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BB8D9">
      <w:pPr>
        <w:spacing w:before="240" w:line="240" w:lineRule="auto"/>
        <w:jc w:val="center"/>
        <w:rPr>
          <w:rFonts w:ascii="Times New Roman" w:hAnsi="Times New Roman" w:cs="Times New Roman"/>
          <w:sz w:val="28"/>
          <w:szCs w:val="28"/>
        </w:rPr>
      </w:pPr>
      <w:r>
        <w:drawing>
          <wp:inline distT="0" distB="0" distL="0" distR="0">
            <wp:extent cx="847725" cy="81153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80347" cy="842617"/>
                    </a:xfrm>
                    <a:prstGeom prst="rect">
                      <a:avLst/>
                    </a:prstGeom>
                    <a:noFill/>
                    <a:ln>
                      <a:noFill/>
                    </a:ln>
                  </pic:spPr>
                </pic:pic>
              </a:graphicData>
            </a:graphic>
          </wp:inline>
        </w:drawing>
      </w:r>
    </w:p>
    <w:p w14:paraId="0F6EE8CD">
      <w:pPr>
        <w:spacing w:before="240" w:line="240" w:lineRule="auto"/>
        <w:jc w:val="center"/>
        <w:rPr>
          <w:rFonts w:ascii="Times New Roman" w:hAnsi="Times New Roman" w:cs="Times New Roman"/>
          <w:b/>
          <w:bCs/>
          <w:sz w:val="28"/>
          <w:szCs w:val="28"/>
        </w:rPr>
      </w:pPr>
      <w:r>
        <w:rPr>
          <w:rFonts w:ascii="Times New Roman" w:hAnsi="Times New Roman" w:cs="Times New Roman"/>
          <w:b/>
          <w:bCs/>
          <w:sz w:val="28"/>
          <w:szCs w:val="28"/>
        </w:rPr>
        <w:t>PROJECT REPORT</w:t>
      </w:r>
    </w:p>
    <w:p w14:paraId="4647CB22">
      <w:pPr>
        <w:tabs>
          <w:tab w:val="left" w:pos="1341"/>
          <w:tab w:val="center" w:pos="4680"/>
        </w:tabs>
        <w:spacing w:before="240" w:line="240" w:lineRule="auto"/>
        <w:rPr>
          <w:rFonts w:ascii="Times New Roman" w:hAnsi="Times New Roman" w:cs="Times New Roman"/>
          <w:b/>
          <w:bCs/>
          <w:i/>
          <w:iCs/>
          <w:sz w:val="28"/>
          <w:szCs w:val="28"/>
        </w:rPr>
      </w:pP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ON</w:t>
      </w:r>
    </w:p>
    <w:p w14:paraId="57CCADBD">
      <w:pPr>
        <w:spacing w:after="0"/>
        <w:jc w:val="center"/>
        <w:rPr>
          <w:rFonts w:ascii="Times New Roman" w:hAnsi="Times New Roman" w:cs="Times New Roman"/>
          <w:b/>
          <w:bCs/>
          <w:sz w:val="32"/>
          <w:szCs w:val="24"/>
        </w:rPr>
      </w:pPr>
      <w:r>
        <w:rPr>
          <w:rFonts w:ascii="Times New Roman" w:hAnsi="Times New Roman" w:cs="Times New Roman"/>
          <w:b/>
          <w:bCs/>
          <w:sz w:val="32"/>
          <w:szCs w:val="24"/>
        </w:rPr>
        <w:t>ANTIFUNGAL EFFECT OF CALOTROPIS PROCERA (BOMBOM LEAF)</w:t>
      </w:r>
    </w:p>
    <w:p w14:paraId="62320AF8">
      <w:pPr>
        <w:spacing w:after="0"/>
        <w:jc w:val="center"/>
        <w:rPr>
          <w:rFonts w:ascii="Monotype Corsiva" w:hAnsi="Monotype Corsiva" w:cs="Tahoma"/>
          <w:b/>
          <w:sz w:val="30"/>
          <w:szCs w:val="36"/>
        </w:rPr>
      </w:pPr>
    </w:p>
    <w:p w14:paraId="34DBA7BB">
      <w:pPr>
        <w:spacing w:after="0"/>
        <w:jc w:val="center"/>
        <w:rPr>
          <w:rFonts w:ascii="Monotype Corsiva" w:hAnsi="Monotype Corsiva" w:cs="Tahoma"/>
          <w:b/>
          <w:sz w:val="36"/>
          <w:szCs w:val="36"/>
        </w:rPr>
      </w:pPr>
      <w:r>
        <w:rPr>
          <w:rFonts w:ascii="Monotype Corsiva" w:hAnsi="Monotype Corsiva" w:cs="Tahoma"/>
          <w:b/>
          <w:sz w:val="36"/>
          <w:szCs w:val="36"/>
        </w:rPr>
        <w:t>By</w:t>
      </w:r>
    </w:p>
    <w:p w14:paraId="69BE9064">
      <w:pPr>
        <w:spacing w:after="0"/>
        <w:ind w:left="360"/>
        <w:jc w:val="center"/>
        <w:rPr>
          <w:rFonts w:ascii="Times New Roman" w:hAnsi="Times New Roman" w:cs="Times New Roman"/>
          <w:b/>
          <w:bCs/>
          <w:sz w:val="28"/>
          <w:szCs w:val="46"/>
        </w:rPr>
      </w:pPr>
    </w:p>
    <w:p w14:paraId="4EB635E7">
      <w:pPr>
        <w:spacing w:after="0"/>
        <w:ind w:left="360"/>
        <w:jc w:val="center"/>
        <w:rPr>
          <w:rFonts w:hint="default" w:ascii="Times New Roman" w:hAnsi="Times New Roman" w:cs="Times New Roman"/>
          <w:b/>
          <w:sz w:val="46"/>
          <w:szCs w:val="46"/>
          <w:lang w:val="en-US"/>
        </w:rPr>
      </w:pPr>
      <w:r>
        <w:rPr>
          <w:rFonts w:hint="default" w:ascii="Times New Roman" w:hAnsi="Times New Roman" w:cs="Times New Roman"/>
          <w:b/>
          <w:bCs/>
          <w:sz w:val="48"/>
          <w:szCs w:val="48"/>
          <w:lang w:val="en-US"/>
        </w:rPr>
        <w:t>OPALEYE DOLAPO OMOWUNMI</w:t>
      </w:r>
      <w:r>
        <w:rPr>
          <w:rFonts w:ascii="Times New Roman" w:hAnsi="Times New Roman" w:cs="Times New Roman"/>
          <w:bCs/>
          <w:sz w:val="28"/>
          <w:szCs w:val="28"/>
        </w:rPr>
        <w:t xml:space="preserve"> </w:t>
      </w:r>
      <w:r>
        <w:rPr>
          <w:rFonts w:ascii="Times New Roman" w:hAnsi="Times New Roman" w:cs="Times New Roman"/>
          <w:b/>
          <w:bCs/>
          <w:sz w:val="46"/>
          <w:szCs w:val="46"/>
        </w:rPr>
        <w:t>HND/23/SLT/FT/</w:t>
      </w:r>
      <w:r>
        <w:rPr>
          <w:rFonts w:hint="default" w:ascii="Times New Roman" w:hAnsi="Times New Roman" w:cs="Times New Roman"/>
          <w:b/>
          <w:bCs/>
          <w:sz w:val="46"/>
          <w:szCs w:val="46"/>
          <w:lang w:val="en-US"/>
        </w:rPr>
        <w:t>0737</w:t>
      </w:r>
    </w:p>
    <w:p w14:paraId="3F3EB623">
      <w:pPr>
        <w:spacing w:after="0"/>
        <w:jc w:val="both"/>
        <w:rPr>
          <w:rFonts w:ascii="Times New Roman" w:hAnsi="Times New Roman" w:cs="Times New Roman"/>
          <w:b/>
          <w:sz w:val="24"/>
          <w:szCs w:val="24"/>
        </w:rPr>
      </w:pPr>
    </w:p>
    <w:p w14:paraId="63DE20AC">
      <w:pPr>
        <w:spacing w:after="0"/>
        <w:ind w:left="360"/>
        <w:jc w:val="center"/>
        <w:rPr>
          <w:rFonts w:ascii="Times New Roman" w:hAnsi="Times New Roman" w:cs="Times New Roman"/>
          <w:b/>
          <w:sz w:val="26"/>
          <w:szCs w:val="26"/>
        </w:rPr>
      </w:pPr>
      <w:r>
        <w:rPr>
          <w:rFonts w:ascii="Times New Roman" w:hAnsi="Times New Roman" w:cs="Times New Roman"/>
          <w:b/>
          <w:sz w:val="26"/>
          <w:szCs w:val="26"/>
        </w:rPr>
        <w:t>BEING A PROJECT SUBMITTED TO</w:t>
      </w:r>
    </w:p>
    <w:p w14:paraId="5B985D05">
      <w:pPr>
        <w:spacing w:after="0"/>
        <w:jc w:val="center"/>
        <w:rPr>
          <w:rFonts w:ascii="Times New Roman" w:hAnsi="Times New Roman" w:cs="Times New Roman"/>
          <w:b/>
          <w:sz w:val="26"/>
          <w:szCs w:val="26"/>
        </w:rPr>
      </w:pPr>
      <w:r>
        <w:rPr>
          <w:rFonts w:ascii="Times New Roman" w:hAnsi="Times New Roman" w:cs="Times New Roman"/>
          <w:b/>
          <w:sz w:val="26"/>
          <w:szCs w:val="26"/>
        </w:rPr>
        <w:t>THE DEPARTMENT OF SCIENCE LABORATORY TECHNOLOGY (</w:t>
      </w:r>
      <w:r>
        <w:rPr>
          <w:rFonts w:hint="default" w:ascii="Times New Roman" w:hAnsi="Times New Roman" w:cs="Times New Roman"/>
          <w:b/>
          <w:sz w:val="26"/>
          <w:szCs w:val="26"/>
          <w:lang w:val="en-US"/>
        </w:rPr>
        <w:t>MICRO</w:t>
      </w:r>
      <w:r>
        <w:rPr>
          <w:rFonts w:ascii="Times New Roman" w:hAnsi="Times New Roman" w:cs="Times New Roman"/>
          <w:b/>
          <w:sz w:val="26"/>
          <w:szCs w:val="26"/>
        </w:rPr>
        <w:t>BIOLOGY UNIT),</w:t>
      </w:r>
    </w:p>
    <w:p w14:paraId="7F35704A">
      <w:pPr>
        <w:spacing w:after="0"/>
        <w:jc w:val="center"/>
        <w:rPr>
          <w:rFonts w:ascii="Times New Roman" w:hAnsi="Times New Roman" w:cs="Times New Roman"/>
          <w:b/>
          <w:sz w:val="26"/>
          <w:szCs w:val="26"/>
        </w:rPr>
      </w:pPr>
      <w:r>
        <w:rPr>
          <w:rFonts w:ascii="Times New Roman" w:hAnsi="Times New Roman" w:cs="Times New Roman"/>
          <w:b/>
          <w:sz w:val="26"/>
          <w:szCs w:val="26"/>
        </w:rPr>
        <w:t>INSTITUTE OF APPLIED SCIENCES, KWARA STATE POLYTECHNIC ILORIN, KWARA STATE.</w:t>
      </w:r>
    </w:p>
    <w:p w14:paraId="4021C12B">
      <w:pPr>
        <w:spacing w:after="0"/>
        <w:rPr>
          <w:rFonts w:ascii="Times New Roman" w:hAnsi="Times New Roman" w:cs="Times New Roman"/>
          <w:b/>
          <w:szCs w:val="26"/>
        </w:rPr>
      </w:pPr>
    </w:p>
    <w:p w14:paraId="69FC52E1">
      <w:pPr>
        <w:spacing w:after="0"/>
        <w:jc w:val="center"/>
        <w:rPr>
          <w:rFonts w:ascii="Times New Roman" w:hAnsi="Times New Roman" w:cs="Times New Roman"/>
          <w:b/>
          <w:sz w:val="26"/>
          <w:szCs w:val="26"/>
        </w:rPr>
      </w:pPr>
      <w:r>
        <w:rPr>
          <w:rFonts w:ascii="Times New Roman" w:hAnsi="Times New Roman" w:cs="Times New Roman"/>
          <w:b/>
          <w:sz w:val="26"/>
          <w:szCs w:val="26"/>
        </w:rPr>
        <w:t>IN PARTIAL FULFILLMENT OF THE REQUIREMENT FOR THE AWARD OF HIGHER NATIONAL DIPLOMA (HND) IN SCIENCE LABORATORY TECHNOLOGY, KWARA STATE POLYTECHNIC ILORIN,</w:t>
      </w:r>
    </w:p>
    <w:p w14:paraId="10046DCA">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KWARA STATE</w:t>
      </w:r>
    </w:p>
    <w:p w14:paraId="14F48F04">
      <w:pPr>
        <w:spacing w:after="0"/>
        <w:jc w:val="center"/>
        <w:rPr>
          <w:rFonts w:ascii="Times New Roman" w:hAnsi="Times New Roman" w:cs="Times New Roman"/>
          <w:b/>
          <w:sz w:val="24"/>
          <w:szCs w:val="26"/>
        </w:rPr>
      </w:pPr>
    </w:p>
    <w:p w14:paraId="051F3B83">
      <w:pPr>
        <w:spacing w:after="0"/>
        <w:jc w:val="center"/>
        <w:rPr>
          <w:rFonts w:ascii="Algerian" w:hAnsi="Algerian" w:cs="Tahoma"/>
          <w:b/>
          <w:sz w:val="24"/>
          <w:szCs w:val="28"/>
        </w:rPr>
      </w:pPr>
      <w:r>
        <w:rPr>
          <w:rFonts w:ascii="Algerian" w:hAnsi="Algerian" w:cs="Tahoma"/>
          <w:b/>
          <w:sz w:val="28"/>
          <w:szCs w:val="28"/>
        </w:rPr>
        <w:t>SUPERVISED BY: MRS. HAROON. T ABDULKADIR</w:t>
      </w:r>
      <w:r>
        <w:rPr>
          <w:rFonts w:ascii="Algerian" w:hAnsi="Algerian" w:cs="Tahoma"/>
          <w:b/>
          <w:sz w:val="24"/>
          <w:szCs w:val="28"/>
        </w:rPr>
        <w:t xml:space="preserve"> </w:t>
      </w:r>
      <w:r>
        <w:rPr>
          <w:rFonts w:ascii="Algerian" w:hAnsi="Algerian" w:cs="Tahoma"/>
          <w:b/>
          <w:sz w:val="24"/>
          <w:szCs w:val="28"/>
        </w:rPr>
        <w:tab/>
      </w:r>
      <w:r>
        <w:rPr>
          <w:rFonts w:ascii="Algerian" w:hAnsi="Algerian" w:cs="Tahoma"/>
          <w:b/>
          <w:sz w:val="24"/>
          <w:szCs w:val="28"/>
        </w:rPr>
        <w:tab/>
      </w:r>
    </w:p>
    <w:p w14:paraId="38ECD23F">
      <w:pPr>
        <w:spacing w:before="240"/>
        <w:jc w:val="right"/>
        <w:rPr>
          <w:rFonts w:ascii="Tahoma" w:hAnsi="Tahoma" w:cs="Tahoma"/>
          <w:b/>
          <w:szCs w:val="28"/>
        </w:rPr>
      </w:pPr>
      <w:r>
        <w:rPr>
          <w:rFonts w:ascii="Tahoma" w:hAnsi="Tahoma" w:cs="Tahoma"/>
          <w:b/>
          <w:sz w:val="24"/>
          <w:szCs w:val="28"/>
        </w:rPr>
        <w:tab/>
      </w:r>
      <w:r>
        <w:rPr>
          <w:rFonts w:ascii="Tahoma" w:hAnsi="Tahoma" w:cs="Tahoma"/>
          <w:b/>
          <w:sz w:val="24"/>
          <w:szCs w:val="28"/>
        </w:rPr>
        <w:tab/>
      </w:r>
      <w:r>
        <w:rPr>
          <w:rFonts w:ascii="Tahoma" w:hAnsi="Tahoma" w:cs="Tahoma"/>
          <w:b/>
          <w:sz w:val="24"/>
          <w:szCs w:val="28"/>
        </w:rPr>
        <w:t>2024/2025 SESSION</w:t>
      </w:r>
    </w:p>
    <w:p w14:paraId="72E12E99">
      <w:pPr>
        <w:spacing w:line="360" w:lineRule="auto"/>
        <w:rPr>
          <w:rFonts w:ascii="Times New Roman" w:hAnsi="Times New Roman" w:cs="Times New Roman"/>
          <w:b/>
          <w:sz w:val="28"/>
          <w:szCs w:val="28"/>
        </w:rPr>
      </w:pPr>
      <w:bookmarkStart w:id="0" w:name="_GoBack"/>
      <w:r>
        <w:rPr>
          <w:rFonts w:hint="default" w:ascii="Times New Roman" w:hAnsi="Times New Roman" w:cs="Times New Roman"/>
          <w:b/>
          <w:sz w:val="28"/>
          <w:szCs w:val="28"/>
          <w:lang w:val="en-US"/>
        </w:rPr>
        <w:drawing>
          <wp:inline distT="0" distB="0" distL="114300" distR="114300">
            <wp:extent cx="5440045" cy="7313930"/>
            <wp:effectExtent l="0" t="0" r="8255" b="1270"/>
            <wp:docPr id="2" name="Picture 2" descr="IMG-20250803-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50803-WA0001"/>
                    <pic:cNvPicPr>
                      <a:picLocks noChangeAspect="1"/>
                    </pic:cNvPicPr>
                  </pic:nvPicPr>
                  <pic:blipFill>
                    <a:blip r:embed="rId9">
                      <a:lum contrast="30000"/>
                    </a:blip>
                    <a:stretch>
                      <a:fillRect/>
                    </a:stretch>
                  </pic:blipFill>
                  <pic:spPr>
                    <a:xfrm>
                      <a:off x="0" y="0"/>
                      <a:ext cx="5440045" cy="7313930"/>
                    </a:xfrm>
                    <a:prstGeom prst="rect">
                      <a:avLst/>
                    </a:prstGeom>
                    <a:ln>
                      <a:noFill/>
                    </a:ln>
                  </pic:spPr>
                </pic:pic>
              </a:graphicData>
            </a:graphic>
          </wp:inline>
        </w:drawing>
      </w:r>
      <w:bookmarkEnd w:id="0"/>
    </w:p>
    <w:p w14:paraId="49CC6A78">
      <w:pPr>
        <w:spacing w:line="360" w:lineRule="auto"/>
        <w:jc w:val="center"/>
        <w:rPr>
          <w:rFonts w:ascii="Times New Roman" w:hAnsi="Times New Roman" w:cs="Times New Roman"/>
          <w:sz w:val="28"/>
          <w:szCs w:val="28"/>
        </w:rPr>
      </w:pPr>
      <w:r>
        <w:rPr>
          <w:rFonts w:ascii="Times New Roman" w:hAnsi="Times New Roman" w:cs="Times New Roman"/>
          <w:b/>
          <w:sz w:val="28"/>
          <w:szCs w:val="28"/>
        </w:rPr>
        <w:t>DEDICATION</w:t>
      </w:r>
    </w:p>
    <w:p w14:paraId="19A511C4">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I dedicate this project work to the Almighty God, who has been my source of Wisdom, Knowledge and Understanding.</w:t>
      </w:r>
    </w:p>
    <w:p w14:paraId="18976AA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53FEDA8">
      <w:pPr>
        <w:rPr>
          <w:rFonts w:ascii="Times New Roman" w:hAnsi="Times New Roman" w:cs="Times New Roman"/>
          <w:b/>
          <w:sz w:val="28"/>
          <w:szCs w:val="28"/>
        </w:rPr>
      </w:pPr>
      <w:r>
        <w:rPr>
          <w:rFonts w:ascii="Times New Roman" w:hAnsi="Times New Roman" w:cs="Times New Roman"/>
          <w:b/>
          <w:sz w:val="28"/>
          <w:szCs w:val="28"/>
        </w:rPr>
        <w:br w:type="page"/>
      </w:r>
    </w:p>
    <w:p w14:paraId="3EA7DFB5">
      <w:pPr>
        <w:spacing w:line="360" w:lineRule="auto"/>
        <w:ind w:left="2160" w:leftChars="0" w:firstLine="720" w:firstLineChars="0"/>
        <w:jc w:val="both"/>
        <w:rPr>
          <w:rFonts w:ascii="Times New Roman" w:hAnsi="Times New Roman" w:cs="Times New Roman"/>
          <w:b/>
          <w:sz w:val="28"/>
          <w:szCs w:val="28"/>
        </w:rPr>
      </w:pPr>
      <w:r>
        <w:rPr>
          <w:rFonts w:ascii="Times New Roman" w:hAnsi="Times New Roman" w:cs="Times New Roman"/>
          <w:b/>
          <w:sz w:val="28"/>
          <w:szCs w:val="28"/>
        </w:rPr>
        <w:t>ACKNOWLEDGEMENT</w:t>
      </w:r>
    </w:p>
    <w:p w14:paraId="7B0F4B6F">
      <w:pPr>
        <w:keepNext w:val="0"/>
        <w:keepLines w:val="0"/>
        <w:widowControl/>
        <w:suppressLineNumbers w:val="0"/>
        <w:spacing w:line="240" w:lineRule="auto"/>
        <w:jc w:val="left"/>
        <w:rPr>
          <w:sz w:val="28"/>
          <w:szCs w:val="28"/>
        </w:rPr>
      </w:pPr>
      <w:r>
        <w:rPr>
          <w:rFonts w:hint="default" w:ascii="Times New Roman" w:hAnsi="Times New Roman" w:eastAsia="SimSun" w:cs="Times New Roman"/>
          <w:color w:val="000000"/>
          <w:kern w:val="0"/>
          <w:sz w:val="28"/>
          <w:szCs w:val="28"/>
          <w:lang w:val="en-US" w:eastAsia="zh-CN" w:bidi="ar"/>
        </w:rPr>
        <w:t xml:space="preserve">All glory be to God!, I am grateful to the all sufficient God, my Father for bestowing upon me the wisdom, strength, and perseverance to complete this project. His divine guidance and blessings have been my constant source of inspiration. </w:t>
      </w:r>
    </w:p>
    <w:p w14:paraId="6428BB94">
      <w:pPr>
        <w:keepNext w:val="0"/>
        <w:keepLines w:val="0"/>
        <w:widowControl/>
        <w:suppressLineNumbers w:val="0"/>
        <w:spacing w:line="240" w:lineRule="auto"/>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My greatest appreciation goes to lovely mother, Mrs Opaleye for her prayers, their unwavering support, love, and encouragement throughout my academic journey. Their sacrifices, patience, and understanding have enabled me to pursue my goals. I pray the Lord grant you long life with sound health to reap the fruit of your labour. </w:t>
      </w:r>
    </w:p>
    <w:p w14:paraId="6A6FE121">
      <w:pPr>
        <w:keepNext w:val="0"/>
        <w:keepLines w:val="0"/>
        <w:widowControl/>
        <w:suppressLineNumbers w:val="0"/>
        <w:spacing w:line="240" w:lineRule="auto"/>
        <w:jc w:val="left"/>
        <w:rPr>
          <w:sz w:val="28"/>
          <w:szCs w:val="28"/>
        </w:rPr>
      </w:pPr>
      <w:r>
        <w:rPr>
          <w:rFonts w:hint="default" w:ascii="Times New Roman" w:hAnsi="Times New Roman" w:eastAsia="SimSun" w:cs="Times New Roman"/>
          <w:color w:val="000000"/>
          <w:kern w:val="0"/>
          <w:sz w:val="28"/>
          <w:szCs w:val="28"/>
          <w:lang w:val="en-US" w:eastAsia="zh-CN" w:bidi="ar"/>
        </w:rPr>
        <w:t xml:space="preserve">My sincere appreciation goes to my able supervisor in person of Mrs. Abdulkadri. H.T for her effort throughout the supervision of this work. I pray God continue to be with you and your household. </w:t>
      </w:r>
    </w:p>
    <w:p w14:paraId="0B4C5258">
      <w:pPr>
        <w:keepNext w:val="0"/>
        <w:keepLines w:val="0"/>
        <w:widowControl/>
        <w:suppressLineNumbers w:val="0"/>
        <w:spacing w:line="240" w:lineRule="auto"/>
        <w:jc w:val="left"/>
        <w:rPr>
          <w:sz w:val="28"/>
          <w:szCs w:val="28"/>
        </w:rPr>
      </w:pPr>
      <w:r>
        <w:rPr>
          <w:rFonts w:hint="default" w:ascii="Times New Roman" w:hAnsi="Times New Roman" w:eastAsia="SimSun" w:cs="Times New Roman"/>
          <w:color w:val="000000"/>
          <w:kern w:val="0"/>
          <w:sz w:val="28"/>
          <w:szCs w:val="28"/>
          <w:lang w:val="en-US" w:eastAsia="zh-CN" w:bidi="ar"/>
        </w:rPr>
        <w:t xml:space="preserve">Special thanks to my friends for their help, advice, motivation and shared experiences, even with different misunderstandings and understandings you guys have made this journey enjoyable and memorable. </w:t>
      </w:r>
    </w:p>
    <w:p w14:paraId="269FE583">
      <w:pPr>
        <w:keepNext w:val="0"/>
        <w:keepLines w:val="0"/>
        <w:widowControl/>
        <w:suppressLineNumbers w:val="0"/>
        <w:spacing w:line="240" w:lineRule="auto"/>
        <w:jc w:val="left"/>
        <w:rPr>
          <w:rFonts w:ascii="Times New Roman" w:hAnsi="Times New Roman" w:cs="Times New Roman"/>
          <w:bCs/>
          <w:sz w:val="28"/>
          <w:szCs w:val="28"/>
        </w:rPr>
      </w:pPr>
      <w:r>
        <w:rPr>
          <w:rFonts w:hint="default" w:ascii="Times New Roman" w:hAnsi="Times New Roman" w:eastAsia="SimSun" w:cs="Times New Roman"/>
          <w:color w:val="000000"/>
          <w:kern w:val="0"/>
          <w:sz w:val="28"/>
          <w:szCs w:val="28"/>
          <w:lang w:val="en-US" w:eastAsia="zh-CN" w:bidi="ar"/>
        </w:rPr>
        <w:t>I also appreciate my own dedication and perseverance which has enabled me to overcome challenges and complete this project, I am thankful for the opportunity to learn and grow from this experience. Thank you all for being part of my journey!</w:t>
      </w:r>
    </w:p>
    <w:p w14:paraId="73D3DBC2">
      <w:pPr>
        <w:spacing w:line="360" w:lineRule="auto"/>
        <w:ind w:firstLine="720"/>
        <w:jc w:val="both"/>
        <w:rPr>
          <w:rFonts w:ascii="Times New Roman" w:hAnsi="Times New Roman" w:cs="Times New Roman"/>
          <w:bCs/>
          <w:sz w:val="28"/>
          <w:szCs w:val="28"/>
        </w:rPr>
      </w:pPr>
    </w:p>
    <w:p w14:paraId="72C61422">
      <w:pPr>
        <w:spacing w:line="360" w:lineRule="auto"/>
        <w:ind w:firstLine="720"/>
        <w:jc w:val="both"/>
        <w:rPr>
          <w:rFonts w:ascii="Times New Roman" w:hAnsi="Times New Roman" w:cs="Times New Roman"/>
          <w:bCs/>
          <w:sz w:val="28"/>
          <w:szCs w:val="28"/>
        </w:rPr>
      </w:pPr>
    </w:p>
    <w:p w14:paraId="6770040F">
      <w:pPr>
        <w:spacing w:line="360" w:lineRule="auto"/>
        <w:ind w:firstLine="720"/>
        <w:jc w:val="both"/>
        <w:rPr>
          <w:rFonts w:ascii="Times New Roman" w:hAnsi="Times New Roman" w:cs="Times New Roman"/>
          <w:bCs/>
          <w:sz w:val="28"/>
          <w:szCs w:val="28"/>
        </w:rPr>
      </w:pPr>
    </w:p>
    <w:p w14:paraId="4A7411C8">
      <w:pPr>
        <w:spacing w:line="360" w:lineRule="auto"/>
        <w:ind w:firstLine="720"/>
        <w:jc w:val="both"/>
        <w:rPr>
          <w:rFonts w:ascii="Times New Roman" w:hAnsi="Times New Roman" w:cs="Times New Roman"/>
          <w:bCs/>
          <w:sz w:val="28"/>
          <w:szCs w:val="28"/>
        </w:rPr>
      </w:pPr>
    </w:p>
    <w:p w14:paraId="2513E02F">
      <w:pPr>
        <w:spacing w:line="360" w:lineRule="auto"/>
        <w:ind w:firstLine="720"/>
        <w:jc w:val="both"/>
        <w:rPr>
          <w:rFonts w:ascii="Times New Roman" w:hAnsi="Times New Roman" w:cs="Times New Roman"/>
          <w:bCs/>
          <w:sz w:val="28"/>
          <w:szCs w:val="28"/>
        </w:rPr>
      </w:pPr>
    </w:p>
    <w:p w14:paraId="596B1D6F">
      <w:pPr>
        <w:spacing w:line="360" w:lineRule="auto"/>
        <w:jc w:val="both"/>
        <w:rPr>
          <w:rFonts w:ascii="Times New Roman" w:hAnsi="Times New Roman" w:cs="Times New Roman"/>
          <w:bCs/>
          <w:sz w:val="24"/>
          <w:szCs w:val="24"/>
        </w:rPr>
      </w:pPr>
    </w:p>
    <w:p w14:paraId="12349909">
      <w:pPr>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TABLE OF CONTENT</w:t>
      </w:r>
    </w:p>
    <w:p w14:paraId="28C1D5EC">
      <w:pPr>
        <w:rPr>
          <w:rFonts w:ascii="Times New Roman" w:hAnsi="Times New Roman" w:cs="Times New Roman"/>
          <w:bCs/>
          <w:sz w:val="28"/>
          <w:szCs w:val="28"/>
        </w:rPr>
      </w:pPr>
      <w:r>
        <w:rPr>
          <w:rFonts w:ascii="Times New Roman" w:hAnsi="Times New Roman" w:cs="Times New Roman"/>
          <w:bCs/>
          <w:sz w:val="28"/>
          <w:szCs w:val="28"/>
        </w:rPr>
        <w:t>Title page</w:t>
      </w:r>
    </w:p>
    <w:p w14:paraId="0C613743">
      <w:pPr>
        <w:rPr>
          <w:rFonts w:ascii="Times New Roman" w:hAnsi="Times New Roman" w:cs="Times New Roman"/>
          <w:bCs/>
          <w:sz w:val="28"/>
          <w:szCs w:val="28"/>
        </w:rPr>
      </w:pPr>
      <w:r>
        <w:rPr>
          <w:rFonts w:ascii="Times New Roman" w:hAnsi="Times New Roman" w:cs="Times New Roman"/>
          <w:bCs/>
          <w:sz w:val="28"/>
          <w:szCs w:val="28"/>
        </w:rPr>
        <w:t>Certification</w:t>
      </w:r>
    </w:p>
    <w:p w14:paraId="7FDEC4A4">
      <w:pPr>
        <w:rPr>
          <w:rFonts w:ascii="Times New Roman" w:hAnsi="Times New Roman" w:cs="Times New Roman"/>
          <w:bCs/>
          <w:sz w:val="28"/>
          <w:szCs w:val="28"/>
        </w:rPr>
      </w:pPr>
      <w:r>
        <w:rPr>
          <w:rFonts w:ascii="Times New Roman" w:hAnsi="Times New Roman" w:cs="Times New Roman"/>
          <w:bCs/>
          <w:sz w:val="28"/>
          <w:szCs w:val="28"/>
        </w:rPr>
        <w:t>Dedication</w:t>
      </w:r>
    </w:p>
    <w:p w14:paraId="44995094">
      <w:pPr>
        <w:rPr>
          <w:rFonts w:ascii="Times New Roman" w:hAnsi="Times New Roman" w:cs="Times New Roman"/>
          <w:bCs/>
          <w:sz w:val="28"/>
          <w:szCs w:val="28"/>
        </w:rPr>
      </w:pPr>
      <w:r>
        <w:rPr>
          <w:rFonts w:ascii="Times New Roman" w:hAnsi="Times New Roman" w:cs="Times New Roman"/>
          <w:bCs/>
          <w:sz w:val="28"/>
          <w:szCs w:val="28"/>
        </w:rPr>
        <w:t>Acknowledgement</w:t>
      </w:r>
    </w:p>
    <w:p w14:paraId="4B5DC4C5">
      <w:pPr>
        <w:rPr>
          <w:rFonts w:ascii="Times New Roman" w:hAnsi="Times New Roman" w:cs="Times New Roman"/>
          <w:bCs/>
          <w:sz w:val="28"/>
          <w:szCs w:val="28"/>
        </w:rPr>
      </w:pPr>
      <w:r>
        <w:rPr>
          <w:rFonts w:ascii="Times New Roman" w:hAnsi="Times New Roman" w:cs="Times New Roman"/>
          <w:bCs/>
          <w:sz w:val="28"/>
          <w:szCs w:val="28"/>
        </w:rPr>
        <w:t>Table of content</w:t>
      </w:r>
    </w:p>
    <w:p w14:paraId="0CA07BBA">
      <w:pPr>
        <w:rPr>
          <w:rFonts w:ascii="Times New Roman" w:hAnsi="Times New Roman" w:cs="Times New Roman"/>
          <w:b/>
          <w:sz w:val="28"/>
          <w:szCs w:val="28"/>
        </w:rPr>
      </w:pPr>
      <w:r>
        <w:rPr>
          <w:rFonts w:ascii="Times New Roman" w:hAnsi="Times New Roman" w:cs="Times New Roman"/>
          <w:b/>
          <w:sz w:val="28"/>
          <w:szCs w:val="28"/>
        </w:rPr>
        <w:t>Chapter One</w:t>
      </w:r>
    </w:p>
    <w:p w14:paraId="3C039357">
      <w:pPr>
        <w:pStyle w:val="11"/>
        <w:numPr>
          <w:ilvl w:val="0"/>
          <w:numId w:val="1"/>
        </w:numPr>
        <w:rPr>
          <w:rFonts w:ascii="Times New Roman" w:hAnsi="Times New Roman" w:cs="Times New Roman"/>
          <w:bCs/>
          <w:sz w:val="28"/>
          <w:szCs w:val="28"/>
        </w:rPr>
      </w:pPr>
      <w:r>
        <w:rPr>
          <w:rFonts w:ascii="Times New Roman" w:hAnsi="Times New Roman" w:cs="Times New Roman"/>
          <w:bCs/>
          <w:sz w:val="28"/>
          <w:szCs w:val="28"/>
        </w:rPr>
        <w:t>. Introduction</w:t>
      </w:r>
    </w:p>
    <w:p w14:paraId="00761288">
      <w:pPr>
        <w:rPr>
          <w:rFonts w:ascii="Times New Roman" w:hAnsi="Times New Roman" w:cs="Times New Roman"/>
          <w:bCs/>
          <w:sz w:val="28"/>
          <w:szCs w:val="28"/>
        </w:rPr>
      </w:pPr>
      <w:r>
        <w:rPr>
          <w:rFonts w:ascii="Times New Roman" w:hAnsi="Times New Roman" w:cs="Times New Roman"/>
          <w:bCs/>
          <w:sz w:val="28"/>
          <w:szCs w:val="28"/>
        </w:rPr>
        <w:t>1.1. Literature Review</w:t>
      </w:r>
    </w:p>
    <w:p w14:paraId="78638706">
      <w:pPr>
        <w:rPr>
          <w:rFonts w:ascii="Times New Roman" w:hAnsi="Times New Roman" w:cs="Times New Roman"/>
          <w:bCs/>
          <w:sz w:val="28"/>
          <w:szCs w:val="28"/>
        </w:rPr>
      </w:pPr>
      <w:r>
        <w:rPr>
          <w:rFonts w:ascii="Times New Roman" w:hAnsi="Times New Roman" w:cs="Times New Roman"/>
          <w:bCs/>
          <w:sz w:val="28"/>
          <w:szCs w:val="28"/>
        </w:rPr>
        <w:t>1.2. Statement of Problem</w:t>
      </w:r>
    </w:p>
    <w:p w14:paraId="7C6A4E5A">
      <w:pPr>
        <w:rPr>
          <w:rFonts w:ascii="Times New Roman" w:hAnsi="Times New Roman" w:cs="Times New Roman"/>
          <w:bCs/>
          <w:sz w:val="28"/>
          <w:szCs w:val="28"/>
        </w:rPr>
      </w:pPr>
      <w:r>
        <w:rPr>
          <w:rFonts w:ascii="Times New Roman" w:hAnsi="Times New Roman" w:cs="Times New Roman"/>
          <w:bCs/>
          <w:sz w:val="28"/>
          <w:szCs w:val="28"/>
        </w:rPr>
        <w:t xml:space="preserve">1.3. Aim </w:t>
      </w:r>
    </w:p>
    <w:p w14:paraId="31A7C75F">
      <w:pPr>
        <w:rPr>
          <w:rFonts w:ascii="Times New Roman" w:hAnsi="Times New Roman" w:cs="Times New Roman"/>
          <w:bCs/>
          <w:sz w:val="28"/>
          <w:szCs w:val="28"/>
        </w:rPr>
      </w:pPr>
      <w:r>
        <w:rPr>
          <w:rFonts w:ascii="Times New Roman" w:hAnsi="Times New Roman" w:cs="Times New Roman"/>
          <w:bCs/>
          <w:sz w:val="28"/>
          <w:szCs w:val="28"/>
        </w:rPr>
        <w:t>1.4. Objectives</w:t>
      </w:r>
    </w:p>
    <w:p w14:paraId="74F0F79A">
      <w:pPr>
        <w:rPr>
          <w:rFonts w:ascii="Times New Roman" w:hAnsi="Times New Roman" w:cs="Times New Roman"/>
          <w:b/>
          <w:sz w:val="28"/>
          <w:szCs w:val="28"/>
        </w:rPr>
      </w:pPr>
      <w:r>
        <w:rPr>
          <w:rFonts w:ascii="Times New Roman" w:hAnsi="Times New Roman" w:cs="Times New Roman"/>
          <w:b/>
          <w:sz w:val="28"/>
          <w:szCs w:val="28"/>
        </w:rPr>
        <w:t>Chapter Two</w:t>
      </w:r>
    </w:p>
    <w:p w14:paraId="6C79D85B">
      <w:pPr>
        <w:rPr>
          <w:rFonts w:ascii="Times New Roman" w:hAnsi="Times New Roman" w:cs="Times New Roman"/>
          <w:bCs/>
          <w:sz w:val="28"/>
          <w:szCs w:val="28"/>
        </w:rPr>
      </w:pPr>
      <w:r>
        <w:rPr>
          <w:rFonts w:ascii="Times New Roman" w:hAnsi="Times New Roman" w:cs="Times New Roman"/>
          <w:bCs/>
          <w:sz w:val="28"/>
          <w:szCs w:val="28"/>
        </w:rPr>
        <w:t>2.0. Material and Method</w:t>
      </w:r>
    </w:p>
    <w:p w14:paraId="39ABC454">
      <w:pPr>
        <w:rPr>
          <w:rFonts w:ascii="Times New Roman" w:hAnsi="Times New Roman" w:cs="Times New Roman"/>
          <w:bCs/>
          <w:sz w:val="28"/>
          <w:szCs w:val="28"/>
        </w:rPr>
      </w:pPr>
      <w:r>
        <w:rPr>
          <w:rFonts w:ascii="Times New Roman" w:hAnsi="Times New Roman" w:cs="Times New Roman"/>
          <w:bCs/>
          <w:sz w:val="28"/>
          <w:szCs w:val="28"/>
        </w:rPr>
        <w:t>2.1. Material Used</w:t>
      </w:r>
    </w:p>
    <w:p w14:paraId="51B2B6CA">
      <w:pPr>
        <w:rPr>
          <w:rFonts w:ascii="Times New Roman" w:hAnsi="Times New Roman" w:cs="Times New Roman"/>
          <w:bCs/>
          <w:sz w:val="28"/>
          <w:szCs w:val="28"/>
        </w:rPr>
      </w:pPr>
      <w:r>
        <w:rPr>
          <w:rFonts w:ascii="Times New Roman" w:hAnsi="Times New Roman" w:cs="Times New Roman"/>
          <w:bCs/>
          <w:sz w:val="28"/>
          <w:szCs w:val="28"/>
        </w:rPr>
        <w:t>2.2. Chemicals and Reagents</w:t>
      </w:r>
    </w:p>
    <w:p w14:paraId="1756A10E">
      <w:pPr>
        <w:rPr>
          <w:rFonts w:ascii="Times New Roman" w:hAnsi="Times New Roman" w:cs="Times New Roman"/>
          <w:bCs/>
          <w:sz w:val="28"/>
          <w:szCs w:val="28"/>
        </w:rPr>
      </w:pPr>
      <w:r>
        <w:rPr>
          <w:rFonts w:ascii="Times New Roman" w:hAnsi="Times New Roman" w:cs="Times New Roman"/>
          <w:bCs/>
          <w:sz w:val="28"/>
          <w:szCs w:val="28"/>
        </w:rPr>
        <w:t>2.3. Sterilization of Glassware</w:t>
      </w:r>
    </w:p>
    <w:p w14:paraId="477B8670">
      <w:pPr>
        <w:rPr>
          <w:rFonts w:ascii="Times New Roman" w:hAnsi="Times New Roman" w:cs="Times New Roman"/>
          <w:bCs/>
          <w:sz w:val="28"/>
          <w:szCs w:val="28"/>
        </w:rPr>
      </w:pPr>
      <w:r>
        <w:rPr>
          <w:rFonts w:ascii="Times New Roman" w:hAnsi="Times New Roman" w:cs="Times New Roman"/>
          <w:bCs/>
          <w:sz w:val="28"/>
          <w:szCs w:val="28"/>
        </w:rPr>
        <w:t>2.4. Media preparation</w:t>
      </w:r>
    </w:p>
    <w:p w14:paraId="32728E8F">
      <w:pPr>
        <w:rPr>
          <w:rFonts w:ascii="Times New Roman" w:hAnsi="Times New Roman" w:cs="Times New Roman"/>
          <w:bCs/>
          <w:sz w:val="28"/>
          <w:szCs w:val="28"/>
        </w:rPr>
      </w:pPr>
      <w:r>
        <w:rPr>
          <w:rFonts w:ascii="Times New Roman" w:hAnsi="Times New Roman" w:cs="Times New Roman"/>
          <w:bCs/>
          <w:sz w:val="28"/>
          <w:szCs w:val="28"/>
        </w:rPr>
        <w:t>2.5. Sample collection and preparation</w:t>
      </w:r>
    </w:p>
    <w:p w14:paraId="6268AB9F">
      <w:pPr>
        <w:rPr>
          <w:rFonts w:ascii="Times New Roman" w:hAnsi="Times New Roman" w:cs="Times New Roman"/>
          <w:bCs/>
          <w:sz w:val="28"/>
          <w:szCs w:val="28"/>
        </w:rPr>
      </w:pPr>
      <w:r>
        <w:rPr>
          <w:rFonts w:ascii="Times New Roman" w:hAnsi="Times New Roman" w:cs="Times New Roman"/>
          <w:bCs/>
          <w:sz w:val="28"/>
          <w:szCs w:val="28"/>
        </w:rPr>
        <w:t>2.6. Inoculation Methods</w:t>
      </w:r>
    </w:p>
    <w:p w14:paraId="5CA34E65">
      <w:pPr>
        <w:rPr>
          <w:rFonts w:ascii="Times New Roman" w:hAnsi="Times New Roman" w:cs="Times New Roman"/>
          <w:b/>
          <w:sz w:val="28"/>
          <w:szCs w:val="28"/>
        </w:rPr>
      </w:pPr>
      <w:r>
        <w:rPr>
          <w:rFonts w:ascii="Times New Roman" w:hAnsi="Times New Roman" w:cs="Times New Roman"/>
          <w:b/>
          <w:sz w:val="28"/>
          <w:szCs w:val="28"/>
        </w:rPr>
        <w:t>Chapter Three</w:t>
      </w:r>
    </w:p>
    <w:p w14:paraId="0D75BE00">
      <w:pPr>
        <w:rPr>
          <w:rFonts w:ascii="Times New Roman" w:hAnsi="Times New Roman" w:cs="Times New Roman"/>
          <w:bCs/>
          <w:sz w:val="28"/>
          <w:szCs w:val="28"/>
        </w:rPr>
      </w:pPr>
      <w:r>
        <w:rPr>
          <w:rFonts w:ascii="Times New Roman" w:hAnsi="Times New Roman" w:cs="Times New Roman"/>
          <w:bCs/>
          <w:sz w:val="28"/>
          <w:szCs w:val="28"/>
        </w:rPr>
        <w:t>3.0. Results</w:t>
      </w:r>
    </w:p>
    <w:p w14:paraId="22453506">
      <w:pPr>
        <w:rPr>
          <w:rFonts w:ascii="Times New Roman" w:hAnsi="Times New Roman" w:cs="Times New Roman"/>
          <w:bCs/>
          <w:sz w:val="28"/>
          <w:szCs w:val="28"/>
        </w:rPr>
      </w:pPr>
      <w:r>
        <w:rPr>
          <w:rFonts w:ascii="Times New Roman" w:hAnsi="Times New Roman" w:cs="Times New Roman"/>
          <w:bCs/>
          <w:sz w:val="28"/>
          <w:szCs w:val="28"/>
        </w:rPr>
        <w:t>3.1. Zone of inhibition (mm) of Aqueous extract of Calotropis Procera against E.coli.</w:t>
      </w:r>
    </w:p>
    <w:p w14:paraId="311788C8">
      <w:pPr>
        <w:rPr>
          <w:rFonts w:ascii="Times New Roman" w:hAnsi="Times New Roman" w:cs="Times New Roman"/>
          <w:bCs/>
          <w:sz w:val="28"/>
          <w:szCs w:val="28"/>
        </w:rPr>
      </w:pPr>
      <w:r>
        <w:rPr>
          <w:rFonts w:ascii="Times New Roman" w:hAnsi="Times New Roman" w:cs="Times New Roman"/>
          <w:bCs/>
          <w:sz w:val="28"/>
          <w:szCs w:val="28"/>
        </w:rPr>
        <w:t>3.2. Zone of inhibition (mm) of ethanoic extract of Calotropis Procera against E.coli.</w:t>
      </w:r>
    </w:p>
    <w:p w14:paraId="74C3EAF5">
      <w:pPr>
        <w:rPr>
          <w:rFonts w:ascii="Times New Roman" w:hAnsi="Times New Roman" w:cs="Times New Roman"/>
          <w:bCs/>
          <w:sz w:val="28"/>
          <w:szCs w:val="28"/>
        </w:rPr>
      </w:pPr>
      <w:r>
        <w:rPr>
          <w:rFonts w:ascii="Times New Roman" w:hAnsi="Times New Roman" w:cs="Times New Roman"/>
          <w:bCs/>
          <w:sz w:val="28"/>
          <w:szCs w:val="28"/>
        </w:rPr>
        <w:t>3.3. Comparative antimicrobial activity of Aqueous and Ethanoic extracts.</w:t>
      </w:r>
    </w:p>
    <w:p w14:paraId="684C425F">
      <w:pPr>
        <w:rPr>
          <w:rFonts w:ascii="Times New Roman" w:hAnsi="Times New Roman" w:cs="Times New Roman"/>
          <w:b/>
          <w:sz w:val="28"/>
          <w:szCs w:val="28"/>
        </w:rPr>
      </w:pPr>
      <w:r>
        <w:rPr>
          <w:rFonts w:ascii="Times New Roman" w:hAnsi="Times New Roman" w:cs="Times New Roman"/>
          <w:b/>
          <w:sz w:val="28"/>
          <w:szCs w:val="28"/>
        </w:rPr>
        <w:t>Chapter Four</w:t>
      </w:r>
    </w:p>
    <w:p w14:paraId="5C655136">
      <w:pPr>
        <w:rPr>
          <w:rFonts w:ascii="Times New Roman" w:hAnsi="Times New Roman" w:cs="Times New Roman"/>
          <w:bCs/>
          <w:sz w:val="28"/>
          <w:szCs w:val="28"/>
        </w:rPr>
      </w:pPr>
      <w:r>
        <w:rPr>
          <w:rFonts w:ascii="Times New Roman" w:hAnsi="Times New Roman" w:cs="Times New Roman"/>
          <w:bCs/>
          <w:sz w:val="28"/>
          <w:szCs w:val="28"/>
        </w:rPr>
        <w:t>4.0. Discussion and Conclusion</w:t>
      </w:r>
    </w:p>
    <w:p w14:paraId="00078052">
      <w:pPr>
        <w:rPr>
          <w:rFonts w:ascii="Times New Roman" w:hAnsi="Times New Roman" w:cs="Times New Roman"/>
          <w:bCs/>
          <w:sz w:val="28"/>
          <w:szCs w:val="28"/>
        </w:rPr>
      </w:pPr>
      <w:r>
        <w:rPr>
          <w:rFonts w:ascii="Times New Roman" w:hAnsi="Times New Roman" w:cs="Times New Roman"/>
          <w:bCs/>
          <w:sz w:val="28"/>
          <w:szCs w:val="28"/>
        </w:rPr>
        <w:t>4.1. Discussion.</w:t>
      </w:r>
    </w:p>
    <w:p w14:paraId="21C8370E">
      <w:pPr>
        <w:rPr>
          <w:rFonts w:ascii="Times New Roman" w:hAnsi="Times New Roman" w:cs="Times New Roman"/>
          <w:bCs/>
          <w:sz w:val="28"/>
          <w:szCs w:val="28"/>
        </w:rPr>
      </w:pPr>
      <w:r>
        <w:rPr>
          <w:rFonts w:ascii="Times New Roman" w:hAnsi="Times New Roman" w:cs="Times New Roman"/>
          <w:bCs/>
          <w:sz w:val="28"/>
          <w:szCs w:val="28"/>
        </w:rPr>
        <w:t>4.2. Conclusion.</w:t>
      </w:r>
    </w:p>
    <w:p w14:paraId="06FD65A8">
      <w:pPr>
        <w:rPr>
          <w:rFonts w:ascii="Times New Roman" w:hAnsi="Times New Roman" w:cs="Times New Roman"/>
          <w:bCs/>
          <w:sz w:val="28"/>
          <w:szCs w:val="28"/>
        </w:rPr>
      </w:pPr>
      <w:r>
        <w:rPr>
          <w:rFonts w:ascii="Times New Roman" w:hAnsi="Times New Roman" w:cs="Times New Roman"/>
          <w:bCs/>
          <w:sz w:val="28"/>
          <w:szCs w:val="28"/>
        </w:rPr>
        <w:t xml:space="preserve">       References.</w:t>
      </w:r>
    </w:p>
    <w:p w14:paraId="1FFE8D71">
      <w:pPr>
        <w:rPr>
          <w:rFonts w:ascii="Times New Roman" w:hAnsi="Times New Roman" w:cs="Times New Roman"/>
          <w:bCs/>
          <w:sz w:val="28"/>
          <w:szCs w:val="28"/>
        </w:rPr>
      </w:pPr>
    </w:p>
    <w:p w14:paraId="1D75FE3B">
      <w:pPr>
        <w:rPr>
          <w:rFonts w:ascii="Times New Roman" w:hAnsi="Times New Roman" w:cs="Times New Roman"/>
          <w:bCs/>
          <w:sz w:val="28"/>
          <w:szCs w:val="28"/>
        </w:rPr>
      </w:pPr>
    </w:p>
    <w:p w14:paraId="67836B77">
      <w:pPr>
        <w:rPr>
          <w:rFonts w:ascii="Times New Roman" w:hAnsi="Times New Roman" w:cs="Times New Roman"/>
          <w:bCs/>
          <w:sz w:val="28"/>
          <w:szCs w:val="28"/>
        </w:rPr>
      </w:pPr>
    </w:p>
    <w:p w14:paraId="2867EBA8">
      <w:pPr>
        <w:rPr>
          <w:rFonts w:ascii="Times New Roman" w:hAnsi="Times New Roman" w:cs="Times New Roman"/>
          <w:bCs/>
          <w:sz w:val="28"/>
          <w:szCs w:val="28"/>
        </w:rPr>
      </w:pPr>
    </w:p>
    <w:p w14:paraId="600ADAF2">
      <w:pPr>
        <w:rPr>
          <w:rFonts w:ascii="Times New Roman" w:hAnsi="Times New Roman" w:cs="Times New Roman"/>
          <w:bCs/>
          <w:sz w:val="28"/>
          <w:szCs w:val="28"/>
        </w:rPr>
      </w:pPr>
    </w:p>
    <w:p w14:paraId="5B24C9FC">
      <w:pPr>
        <w:rPr>
          <w:rFonts w:ascii="Times New Roman" w:hAnsi="Times New Roman" w:cs="Times New Roman"/>
          <w:bCs/>
          <w:sz w:val="28"/>
          <w:szCs w:val="28"/>
        </w:rPr>
      </w:pPr>
    </w:p>
    <w:p w14:paraId="33748F33">
      <w:pPr>
        <w:rPr>
          <w:rFonts w:ascii="Times New Roman" w:hAnsi="Times New Roman" w:cs="Times New Roman"/>
          <w:bCs/>
          <w:sz w:val="28"/>
          <w:szCs w:val="28"/>
        </w:rPr>
      </w:pPr>
    </w:p>
    <w:p w14:paraId="21E1EE9D">
      <w:pPr>
        <w:rPr>
          <w:rFonts w:ascii="Times New Roman" w:hAnsi="Times New Roman" w:cs="Times New Roman"/>
          <w:bCs/>
          <w:sz w:val="28"/>
          <w:szCs w:val="28"/>
        </w:rPr>
      </w:pPr>
    </w:p>
    <w:p w14:paraId="2189A82B">
      <w:pPr>
        <w:rPr>
          <w:rFonts w:ascii="Times New Roman" w:hAnsi="Times New Roman" w:cs="Times New Roman"/>
          <w:bCs/>
          <w:sz w:val="28"/>
          <w:szCs w:val="28"/>
        </w:rPr>
      </w:pPr>
    </w:p>
    <w:p w14:paraId="1B0C76CD">
      <w:pPr>
        <w:jc w:val="center"/>
        <w:rPr>
          <w:rFonts w:ascii="Times New Roman" w:hAnsi="Times New Roman" w:cs="Times New Roman"/>
          <w:b/>
          <w:sz w:val="28"/>
          <w:szCs w:val="28"/>
        </w:rPr>
      </w:pPr>
      <w:r>
        <w:rPr>
          <w:rFonts w:ascii="Times New Roman" w:hAnsi="Times New Roman" w:cs="Times New Roman"/>
          <w:b/>
          <w:sz w:val="28"/>
          <w:szCs w:val="28"/>
        </w:rPr>
        <w:t>ABSTRACTS</w:t>
      </w:r>
    </w:p>
    <w:p w14:paraId="525C4C34">
      <w:pPr>
        <w:spacing w:line="360" w:lineRule="auto"/>
        <w:jc w:val="both"/>
        <w:rPr>
          <w:rFonts w:ascii="Times New Roman" w:hAnsi="Times New Roman" w:cs="Times New Roman"/>
          <w:sz w:val="28"/>
          <w:szCs w:val="28"/>
        </w:rPr>
        <w:sectPr>
          <w:footerReference r:id="rId5" w:type="default"/>
          <w:pgSz w:w="11520" w:h="14400"/>
          <w:pgMar w:top="1440" w:right="1440" w:bottom="1440" w:left="1440" w:header="706" w:footer="706" w:gutter="0"/>
          <w:pgNumType w:fmt="lowerRoman" w:start="1"/>
          <w:cols w:space="708" w:num="1"/>
          <w:docGrid w:linePitch="360" w:charSpace="0"/>
        </w:sectPr>
      </w:pPr>
      <w:r>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Pr>
          <w:rFonts w:ascii="Times New Roman" w:hAnsi="Times New Roman" w:cs="Times New Roman"/>
          <w:i/>
          <w:iCs/>
          <w:sz w:val="28"/>
          <w:szCs w:val="28"/>
        </w:rPr>
        <w:t>Calotropis procera</w:t>
      </w:r>
      <w:r>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Pr>
          <w:rFonts w:ascii="Times New Roman" w:hAnsi="Times New Roman" w:cs="Times New Roman"/>
          <w:i/>
          <w:iCs/>
          <w:sz w:val="28"/>
          <w:szCs w:val="28"/>
        </w:rPr>
        <w:t>C. procera</w:t>
      </w:r>
      <w:r>
        <w:rPr>
          <w:rFonts w:ascii="Times New Roman" w:hAnsi="Times New Roman" w:cs="Times New Roman"/>
          <w:sz w:val="28"/>
          <w:szCs w:val="28"/>
        </w:rPr>
        <w:t xml:space="preserve"> against </w:t>
      </w:r>
      <w:r>
        <w:rPr>
          <w:rFonts w:ascii="Times New Roman" w:hAnsi="Times New Roman" w:cs="Times New Roman"/>
          <w:i/>
          <w:iCs/>
          <w:sz w:val="28"/>
          <w:szCs w:val="28"/>
        </w:rPr>
        <w:t>Escherichia coli</w:t>
      </w:r>
      <w:r>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Pr>
          <w:rFonts w:ascii="Times New Roman" w:hAnsi="Times New Roman" w:cs="Times New Roman"/>
          <w:i/>
          <w:iCs/>
          <w:sz w:val="28"/>
          <w:szCs w:val="28"/>
        </w:rPr>
        <w:t>E. coli</w:t>
      </w:r>
      <w:r>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Pr>
          <w:rFonts w:ascii="Times New Roman" w:hAnsi="Times New Roman" w:cs="Times New Roman"/>
          <w:i/>
          <w:iCs/>
          <w:sz w:val="28"/>
          <w:szCs w:val="28"/>
        </w:rPr>
        <w:t>C. procera</w:t>
      </w:r>
      <w:r>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14:paraId="56E38475">
      <w:pPr>
        <w:spacing w:line="480" w:lineRule="auto"/>
        <w:jc w:val="both"/>
        <w:rPr>
          <w:rFonts w:ascii="Times New Roman" w:hAnsi="Times New Roman" w:cs="Times New Roman"/>
          <w:bCs/>
          <w:i/>
          <w:iCs/>
          <w:sz w:val="28"/>
          <w:szCs w:val="28"/>
        </w:rPr>
      </w:pPr>
    </w:p>
    <w:p w14:paraId="08C280B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ONE</w:t>
      </w:r>
    </w:p>
    <w:p w14:paraId="28D14E17">
      <w:pPr>
        <w:pStyle w:val="11"/>
        <w:numPr>
          <w:ilvl w:val="0"/>
          <w:numId w:val="2"/>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INTRODUCTION</w:t>
      </w:r>
    </w:p>
    <w:p w14:paraId="00AD9F20">
      <w:pPr>
        <w:pStyle w:val="7"/>
        <w:spacing w:line="480" w:lineRule="auto"/>
        <w:jc w:val="both"/>
        <w:rPr>
          <w:sz w:val="28"/>
          <w:szCs w:val="28"/>
        </w:rPr>
      </w:pPr>
      <w:r>
        <w:rPr>
          <w:rStyle w:val="4"/>
          <w:sz w:val="28"/>
          <w:szCs w:val="28"/>
        </w:rPr>
        <w:t>Calotropis procera</w:t>
      </w:r>
      <w:r>
        <w:rPr>
          <w:sz w:val="28"/>
          <w:szCs w:val="28"/>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Pr>
          <w:rStyle w:val="4"/>
          <w:sz w:val="28"/>
          <w:szCs w:val="28"/>
        </w:rPr>
        <w:t>C. procera</w:t>
      </w:r>
      <w:r>
        <w:rPr>
          <w:sz w:val="28"/>
          <w:szCs w:val="28"/>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Pr>
          <w:rStyle w:val="4"/>
          <w:sz w:val="28"/>
          <w:szCs w:val="28"/>
        </w:rPr>
        <w:t>Calotropis procera</w:t>
      </w:r>
      <w:r>
        <w:rPr>
          <w:sz w:val="28"/>
          <w:szCs w:val="28"/>
        </w:rPr>
        <w:t xml:space="preserve"> in the spotlight.</w:t>
      </w:r>
    </w:p>
    <w:p w14:paraId="1FBE4F24">
      <w:pPr>
        <w:pStyle w:val="7"/>
        <w:spacing w:line="480" w:lineRule="auto"/>
        <w:jc w:val="both"/>
        <w:rPr>
          <w:sz w:val="28"/>
          <w:szCs w:val="28"/>
        </w:rPr>
      </w:pPr>
      <w:r>
        <w:rPr>
          <w:sz w:val="28"/>
          <w:szCs w:val="28"/>
        </w:rPr>
        <w:t xml:space="preserve">Fungal infections remain a major global health concern, particularly in immunocompromised individuals. Opportunistic fungi like </w:t>
      </w:r>
      <w:r>
        <w:rPr>
          <w:rStyle w:val="4"/>
          <w:sz w:val="28"/>
          <w:szCs w:val="28"/>
        </w:rPr>
        <w:t>Candida albicans</w:t>
      </w:r>
      <w:r>
        <w:rPr>
          <w:sz w:val="28"/>
          <w:szCs w:val="28"/>
        </w:rPr>
        <w:t xml:space="preserve">, </w:t>
      </w:r>
      <w:r>
        <w:rPr>
          <w:rStyle w:val="4"/>
          <w:sz w:val="28"/>
          <w:szCs w:val="28"/>
        </w:rPr>
        <w:t>Aspergillus fumigatus</w:t>
      </w:r>
      <w:r>
        <w:rPr>
          <w:sz w:val="28"/>
          <w:szCs w:val="28"/>
        </w:rPr>
        <w:t xml:space="preserve">, and </w:t>
      </w:r>
      <w:r>
        <w:rPr>
          <w:rStyle w:val="4"/>
          <w:sz w:val="28"/>
          <w:szCs w:val="28"/>
        </w:rPr>
        <w:t>Cryptococcus neoformans</w:t>
      </w:r>
      <w:r>
        <w:rPr>
          <w:sz w:val="28"/>
          <w:szCs w:val="28"/>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Pr>
          <w:rStyle w:val="4"/>
          <w:sz w:val="28"/>
          <w:szCs w:val="28"/>
        </w:rPr>
        <w:t>Calotropis procera</w:t>
      </w:r>
      <w:r>
        <w:rPr>
          <w:sz w:val="28"/>
          <w:szCs w:val="28"/>
        </w:rPr>
        <w:t xml:space="preserve"> stands out due to its ethnopharmacological background and the presence of compounds that inhibit fungal growth by disrupting cell wall integrity and metabolic pathways (Eze et al., 2023).</w:t>
      </w:r>
    </w:p>
    <w:p w14:paraId="62EEDA9D">
      <w:pPr>
        <w:pStyle w:val="7"/>
        <w:spacing w:line="480" w:lineRule="auto"/>
        <w:jc w:val="both"/>
        <w:rPr>
          <w:sz w:val="28"/>
          <w:szCs w:val="28"/>
        </w:rPr>
      </w:pPr>
      <w:r>
        <w:rPr>
          <w:sz w:val="28"/>
          <w:szCs w:val="28"/>
        </w:rPr>
        <w:t xml:space="preserve">Several studies have documented the antifungal effects of different parts of </w:t>
      </w:r>
      <w:r>
        <w:rPr>
          <w:rStyle w:val="4"/>
          <w:sz w:val="28"/>
          <w:szCs w:val="28"/>
        </w:rPr>
        <w:t>Calotropis procera</w:t>
      </w:r>
      <w:r>
        <w:rPr>
          <w:sz w:val="28"/>
          <w:szCs w:val="28"/>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Pr>
          <w:rStyle w:val="4"/>
          <w:sz w:val="28"/>
          <w:szCs w:val="28"/>
        </w:rPr>
        <w:t>C. procera</w:t>
      </w:r>
      <w:r>
        <w:rPr>
          <w:sz w:val="28"/>
          <w:szCs w:val="28"/>
        </w:rPr>
        <w:t xml:space="preserve"> have shown inhibitory zones comparable to standard antifungal drugs such as ketoconazole and fluconazole. For instance, a study by Musa et al. (2021) demonstrated that ethanolic leaf extract of </w:t>
      </w:r>
      <w:r>
        <w:rPr>
          <w:rStyle w:val="4"/>
          <w:sz w:val="28"/>
          <w:szCs w:val="28"/>
        </w:rPr>
        <w:t>Calotropis procera</w:t>
      </w:r>
      <w:r>
        <w:rPr>
          <w:sz w:val="28"/>
          <w:szCs w:val="28"/>
        </w:rPr>
        <w:t xml:space="preserve"> exhibited strong antifungal activity against </w:t>
      </w:r>
      <w:r>
        <w:rPr>
          <w:rStyle w:val="4"/>
          <w:sz w:val="28"/>
          <w:szCs w:val="28"/>
        </w:rPr>
        <w:t>Candida tropicalis</w:t>
      </w:r>
      <w:r>
        <w:rPr>
          <w:sz w:val="28"/>
          <w:szCs w:val="28"/>
        </w:rPr>
        <w:t xml:space="preserve"> and </w:t>
      </w:r>
      <w:r>
        <w:rPr>
          <w:rStyle w:val="4"/>
          <w:sz w:val="28"/>
          <w:szCs w:val="28"/>
        </w:rPr>
        <w:t>Trichophyton mentagrophytes</w:t>
      </w:r>
      <w:r>
        <w:rPr>
          <w:sz w:val="28"/>
          <w:szCs w:val="28"/>
        </w:rPr>
        <w:t>. These findings reinforce the potential of the plant as a viable source of antifungal agents.</w:t>
      </w:r>
    </w:p>
    <w:p w14:paraId="0045A9C5">
      <w:pPr>
        <w:pStyle w:val="7"/>
        <w:spacing w:line="480" w:lineRule="auto"/>
        <w:jc w:val="both"/>
        <w:rPr>
          <w:sz w:val="28"/>
          <w:szCs w:val="28"/>
        </w:rPr>
      </w:pPr>
      <w:r>
        <w:rPr>
          <w:sz w:val="28"/>
          <w:szCs w:val="28"/>
        </w:rPr>
        <w:t xml:space="preserve">The mechanism of antifungal activity in </w:t>
      </w:r>
      <w:r>
        <w:rPr>
          <w:rStyle w:val="4"/>
          <w:sz w:val="28"/>
          <w:szCs w:val="28"/>
        </w:rPr>
        <w:t>C. procera</w:t>
      </w:r>
      <w:r>
        <w:rPr>
          <w:sz w:val="28"/>
          <w:szCs w:val="28"/>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14:paraId="0B8E9594">
      <w:pPr>
        <w:pStyle w:val="7"/>
        <w:spacing w:line="480" w:lineRule="auto"/>
        <w:jc w:val="both"/>
        <w:rPr>
          <w:sz w:val="28"/>
          <w:szCs w:val="28"/>
        </w:rPr>
      </w:pPr>
      <w:r>
        <w:rPr>
          <w:sz w:val="28"/>
          <w:szCs w:val="28"/>
        </w:rPr>
        <w:t xml:space="preserve">Geographically, </w:t>
      </w:r>
      <w:r>
        <w:rPr>
          <w:rStyle w:val="4"/>
          <w:sz w:val="28"/>
          <w:szCs w:val="28"/>
        </w:rPr>
        <w:t>Calotropis procera</w:t>
      </w:r>
      <w:r>
        <w:rPr>
          <w:sz w:val="28"/>
          <w:szCs w:val="28"/>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Pr>
          <w:rStyle w:val="4"/>
          <w:sz w:val="28"/>
          <w:szCs w:val="28"/>
        </w:rPr>
        <w:t>C. procera</w:t>
      </w:r>
      <w:r>
        <w:rPr>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14:paraId="780D0C48">
      <w:pPr>
        <w:pStyle w:val="7"/>
        <w:spacing w:line="480" w:lineRule="auto"/>
        <w:jc w:val="both"/>
        <w:rPr>
          <w:sz w:val="28"/>
          <w:szCs w:val="28"/>
        </w:rPr>
      </w:pPr>
      <w:r>
        <w:rPr>
          <w:sz w:val="28"/>
          <w:szCs w:val="28"/>
        </w:rPr>
        <w:t xml:space="preserve">In light of increasing interest in green medicine, researchers have also explored the synergistic effects of </w:t>
      </w:r>
      <w:r>
        <w:rPr>
          <w:rStyle w:val="4"/>
          <w:sz w:val="28"/>
          <w:szCs w:val="28"/>
        </w:rPr>
        <w:t>C. procera</w:t>
      </w:r>
      <w:r>
        <w:rPr>
          <w:sz w:val="28"/>
          <w:szCs w:val="28"/>
        </w:rPr>
        <w:t xml:space="preserve"> with other medicinal plants and conventional antifungal drugs. Synergism can enhance antifungal activity, reduce required dosage, and limit toxicity or resistance development. For example, combining </w:t>
      </w:r>
      <w:r>
        <w:rPr>
          <w:rStyle w:val="4"/>
          <w:sz w:val="28"/>
          <w:szCs w:val="28"/>
        </w:rPr>
        <w:t>C. procera</w:t>
      </w:r>
      <w:r>
        <w:rPr>
          <w:sz w:val="28"/>
          <w:szCs w:val="28"/>
        </w:rPr>
        <w:t xml:space="preserve"> extract with clove or garlic extract has been shown to produce improved antifungal outcomes against dermatophytes (Ibrahim et al., 2022). Additionally, nanoparticles synthesized using </w:t>
      </w:r>
      <w:r>
        <w:rPr>
          <w:rStyle w:val="4"/>
          <w:sz w:val="28"/>
          <w:szCs w:val="28"/>
        </w:rPr>
        <w:t>Calotropis procera</w:t>
      </w:r>
      <w:r>
        <w:rPr>
          <w:sz w:val="28"/>
          <w:szCs w:val="28"/>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14:paraId="279D133F">
      <w:pPr>
        <w:pStyle w:val="7"/>
        <w:spacing w:line="480" w:lineRule="auto"/>
        <w:jc w:val="both"/>
        <w:rPr>
          <w:sz w:val="28"/>
          <w:szCs w:val="28"/>
        </w:rPr>
      </w:pPr>
      <w:r>
        <w:rPr>
          <w:sz w:val="28"/>
          <w:szCs w:val="28"/>
        </w:rPr>
        <w:t xml:space="preserve">However, while the antifungal properties of </w:t>
      </w:r>
      <w:r>
        <w:rPr>
          <w:rStyle w:val="4"/>
          <w:sz w:val="28"/>
          <w:szCs w:val="28"/>
        </w:rPr>
        <w:t>C. procera</w:t>
      </w:r>
      <w:r>
        <w:rPr>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14:paraId="4FF80E36">
      <w:pPr>
        <w:pStyle w:val="7"/>
        <w:spacing w:line="480" w:lineRule="auto"/>
        <w:jc w:val="both"/>
        <w:rPr>
          <w:sz w:val="28"/>
          <w:szCs w:val="28"/>
        </w:rPr>
      </w:pPr>
      <w:r>
        <w:rPr>
          <w:rStyle w:val="4"/>
          <w:sz w:val="28"/>
          <w:szCs w:val="28"/>
        </w:rPr>
        <w:t>Calotropis procera</w:t>
      </w:r>
      <w:r>
        <w:rPr>
          <w:sz w:val="28"/>
          <w:szCs w:val="28"/>
        </w:rPr>
        <w:t xml:space="preserve"> holds substantial promise as a natural antifungal agent. Its wide distribution, low cultivation cost, rich phytochemical profile, and traditional medicinal use make it a valuable candidate for further research. As global health systems continue to grapple with rising antifungal resistance, exploring the therapeutic potential of plants like </w:t>
      </w:r>
      <w:r>
        <w:rPr>
          <w:rStyle w:val="4"/>
          <w:sz w:val="28"/>
          <w:szCs w:val="28"/>
        </w:rPr>
        <w:t>C. procera</w:t>
      </w:r>
      <w:r>
        <w:rPr>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Pr>
          <w:rStyle w:val="4"/>
          <w:sz w:val="28"/>
          <w:szCs w:val="28"/>
        </w:rPr>
        <w:t>C. procera</w:t>
      </w:r>
      <w:r>
        <w:rPr>
          <w:sz w:val="28"/>
          <w:szCs w:val="28"/>
        </w:rPr>
        <w:t xml:space="preserve"> could lead to the development of plant-based antifungal drugs with broad-spectrum efficacy and minimal side effects.</w:t>
      </w:r>
    </w:p>
    <w:p w14:paraId="7A45FB8A">
      <w:pPr>
        <w:spacing w:line="480" w:lineRule="auto"/>
        <w:jc w:val="both"/>
        <w:rPr>
          <w:rFonts w:ascii="Times New Roman" w:hAnsi="Times New Roman" w:cs="Times New Roman"/>
          <w:b/>
          <w:sz w:val="28"/>
          <w:szCs w:val="28"/>
        </w:rPr>
      </w:pPr>
      <w:r>
        <w:rPr>
          <w:rFonts w:ascii="Times New Roman" w:hAnsi="Times New Roman" w:cs="Times New Roman"/>
          <w:b/>
          <w:sz w:val="28"/>
          <w:szCs w:val="28"/>
        </w:rPr>
        <w:t>1.1 Literature Review</w:t>
      </w:r>
    </w:p>
    <w:p w14:paraId="69CFD9BD">
      <w:pPr>
        <w:pStyle w:val="7"/>
        <w:spacing w:line="480" w:lineRule="auto"/>
        <w:jc w:val="both"/>
        <w:rPr>
          <w:sz w:val="28"/>
          <w:szCs w:val="28"/>
        </w:rPr>
      </w:pPr>
      <w:r>
        <w:rPr>
          <w:sz w:val="28"/>
          <w:szCs w:val="28"/>
        </w:rPr>
        <w:t xml:space="preserve">The antifungal potential of </w:t>
      </w:r>
      <w:r>
        <w:rPr>
          <w:rStyle w:val="4"/>
          <w:sz w:val="28"/>
          <w:szCs w:val="28"/>
        </w:rPr>
        <w:t>Calotropis procera</w:t>
      </w:r>
      <w:r>
        <w:rPr>
          <w:sz w:val="28"/>
          <w:szCs w:val="28"/>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Pr>
          <w:rStyle w:val="4"/>
          <w:sz w:val="28"/>
          <w:szCs w:val="28"/>
        </w:rPr>
        <w:t>C. procera</w:t>
      </w:r>
      <w:r>
        <w:rPr>
          <w:sz w:val="28"/>
          <w:szCs w:val="28"/>
        </w:rPr>
        <w:t xml:space="preserve"> could be an effective natural source of antifungal agents. The authors emphasized the growing importance of plant-derived products in light of increasing resistance to synthetic antifungal drugs.</w:t>
      </w:r>
    </w:p>
    <w:p w14:paraId="65E10432">
      <w:pPr>
        <w:pStyle w:val="7"/>
        <w:spacing w:line="480" w:lineRule="auto"/>
        <w:jc w:val="both"/>
        <w:rPr>
          <w:sz w:val="28"/>
          <w:szCs w:val="28"/>
        </w:rPr>
      </w:pPr>
      <w:r>
        <w:rPr>
          <w:sz w:val="28"/>
          <w:szCs w:val="28"/>
        </w:rPr>
        <w:t xml:space="preserve">In a comparative study by Ogundele et al. (2023), the antifungal efficacy of </w:t>
      </w:r>
      <w:r>
        <w:rPr>
          <w:rStyle w:val="4"/>
          <w:sz w:val="28"/>
          <w:szCs w:val="28"/>
        </w:rPr>
        <w:t>C. procera</w:t>
      </w:r>
      <w:r>
        <w:rPr>
          <w:sz w:val="28"/>
          <w:szCs w:val="28"/>
        </w:rPr>
        <w:t xml:space="preserve"> leaf extracts prepared with ethanol, methanol, and water was evaluated against </w:t>
      </w:r>
      <w:r>
        <w:rPr>
          <w:rStyle w:val="4"/>
          <w:sz w:val="28"/>
          <w:szCs w:val="28"/>
        </w:rPr>
        <w:t>Aspergillus niger</w:t>
      </w:r>
      <w:r>
        <w:rPr>
          <w:sz w:val="28"/>
          <w:szCs w:val="28"/>
        </w:rPr>
        <w:t xml:space="preserve"> and </w:t>
      </w:r>
      <w:r>
        <w:rPr>
          <w:rStyle w:val="4"/>
          <w:sz w:val="28"/>
          <w:szCs w:val="28"/>
        </w:rPr>
        <w:t>Candida albicans</w:t>
      </w:r>
      <w:r>
        <w:rPr>
          <w:sz w:val="28"/>
          <w:szCs w:val="28"/>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Pr>
          <w:rStyle w:val="4"/>
          <w:sz w:val="28"/>
          <w:szCs w:val="28"/>
        </w:rPr>
        <w:t>Calotropis procera</w:t>
      </w:r>
      <w:r>
        <w:rPr>
          <w:sz w:val="28"/>
          <w:szCs w:val="28"/>
        </w:rPr>
        <w:t>.</w:t>
      </w:r>
    </w:p>
    <w:p w14:paraId="046AD885">
      <w:pPr>
        <w:pStyle w:val="7"/>
        <w:spacing w:line="480" w:lineRule="auto"/>
        <w:jc w:val="both"/>
        <w:rPr>
          <w:sz w:val="28"/>
          <w:szCs w:val="28"/>
        </w:rPr>
      </w:pPr>
      <w:r>
        <w:rPr>
          <w:sz w:val="28"/>
          <w:szCs w:val="28"/>
        </w:rPr>
        <w:t xml:space="preserve">Musa et al. (2021) investigated the antifungal effects of ethanolic leaf extract of </w:t>
      </w:r>
      <w:r>
        <w:rPr>
          <w:rStyle w:val="4"/>
          <w:sz w:val="28"/>
          <w:szCs w:val="28"/>
        </w:rPr>
        <w:t>Calotropis procera</w:t>
      </w:r>
      <w:r>
        <w:rPr>
          <w:sz w:val="28"/>
          <w:szCs w:val="28"/>
        </w:rPr>
        <w:t xml:space="preserve"> on dermatophytes such as </w:t>
      </w:r>
      <w:r>
        <w:rPr>
          <w:rStyle w:val="4"/>
          <w:sz w:val="28"/>
          <w:szCs w:val="28"/>
        </w:rPr>
        <w:t>Trichophyton mentagrophytes</w:t>
      </w:r>
      <w:r>
        <w:rPr>
          <w:sz w:val="28"/>
          <w:szCs w:val="28"/>
        </w:rPr>
        <w:t xml:space="preserve"> and </w:t>
      </w:r>
      <w:r>
        <w:rPr>
          <w:rStyle w:val="4"/>
          <w:sz w:val="28"/>
          <w:szCs w:val="28"/>
        </w:rPr>
        <w:t>Microsporum gypseum</w:t>
      </w:r>
      <w:r>
        <w:rPr>
          <w:sz w:val="28"/>
          <w:szCs w:val="28"/>
        </w:rPr>
        <w:t xml:space="preserve">. Their results showed significant inhibition of fungal growth, with activity comparable to standard antifungal drugs like ketoconazole. The study revealed that the plant's antifungal activity could be linked to the interaction of its secondary metabolites with fungal cell walls and cytoplasmic content. The researchers concluded that </w:t>
      </w:r>
      <w:r>
        <w:rPr>
          <w:rStyle w:val="4"/>
          <w:sz w:val="28"/>
          <w:szCs w:val="28"/>
        </w:rPr>
        <w:t>C. procera</w:t>
      </w:r>
      <w:r>
        <w:rPr>
          <w:sz w:val="28"/>
          <w:szCs w:val="28"/>
        </w:rPr>
        <w:t xml:space="preserve"> can serve as an effective alternative treatment for fungal skin infections, especially in regions with limited access to modern healthcare facilities.</w:t>
      </w:r>
    </w:p>
    <w:p w14:paraId="12011E71">
      <w:pPr>
        <w:pStyle w:val="7"/>
        <w:spacing w:line="480" w:lineRule="auto"/>
        <w:jc w:val="both"/>
        <w:rPr>
          <w:sz w:val="28"/>
          <w:szCs w:val="28"/>
        </w:rPr>
      </w:pPr>
      <w:r>
        <w:rPr>
          <w:sz w:val="28"/>
          <w:szCs w:val="28"/>
        </w:rPr>
        <w:t xml:space="preserve">In a more integrative approach, Ibrahim et al. (2022) explored the synergistic antifungal effects of combining </w:t>
      </w:r>
      <w:r>
        <w:rPr>
          <w:rStyle w:val="4"/>
          <w:sz w:val="28"/>
          <w:szCs w:val="28"/>
        </w:rPr>
        <w:t>Calotropis procera</w:t>
      </w:r>
      <w:r>
        <w:rPr>
          <w:sz w:val="28"/>
          <w:szCs w:val="28"/>
        </w:rPr>
        <w:t xml:space="preserve"> with clove (</w:t>
      </w:r>
      <w:r>
        <w:rPr>
          <w:rStyle w:val="4"/>
          <w:sz w:val="28"/>
          <w:szCs w:val="28"/>
        </w:rPr>
        <w:t>Syzygium aromaticum</w:t>
      </w:r>
      <w:r>
        <w:rPr>
          <w:sz w:val="28"/>
          <w:szCs w:val="28"/>
        </w:rPr>
        <w:t xml:space="preserve">) extracts. The study demonstrated that the combined extracts showed enhanced inhibitory effects on </w:t>
      </w:r>
      <w:r>
        <w:rPr>
          <w:rStyle w:val="4"/>
          <w:sz w:val="28"/>
          <w:szCs w:val="28"/>
        </w:rPr>
        <w:t>Candida tropicalis</w:t>
      </w:r>
      <w:r>
        <w:rPr>
          <w:sz w:val="28"/>
          <w:szCs w:val="28"/>
        </w:rPr>
        <w:t xml:space="preserve"> and </w:t>
      </w:r>
      <w:r>
        <w:rPr>
          <w:rStyle w:val="4"/>
          <w:sz w:val="28"/>
          <w:szCs w:val="28"/>
        </w:rPr>
        <w:t>Aspergillus fumigatus</w:t>
      </w:r>
      <w:r>
        <w:rPr>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Pr>
          <w:rStyle w:val="4"/>
          <w:sz w:val="28"/>
          <w:szCs w:val="28"/>
        </w:rPr>
        <w:t>C. procera</w:t>
      </w:r>
      <w:r>
        <w:rPr>
          <w:sz w:val="28"/>
          <w:szCs w:val="28"/>
        </w:rPr>
        <w:t xml:space="preserve"> could be more effective when used in polyherbal formulations, opening new prospects for low-cost herbal antifungal therapies in traditional medicine systems.</w:t>
      </w:r>
    </w:p>
    <w:p w14:paraId="4FF98A66">
      <w:pPr>
        <w:pStyle w:val="7"/>
        <w:spacing w:line="480" w:lineRule="auto"/>
        <w:jc w:val="both"/>
        <w:rPr>
          <w:sz w:val="28"/>
          <w:szCs w:val="28"/>
        </w:rPr>
      </w:pPr>
      <w:r>
        <w:rPr>
          <w:sz w:val="28"/>
          <w:szCs w:val="28"/>
        </w:rPr>
        <w:t xml:space="preserve">Recent advancements in green nanotechnology have also leveraged </w:t>
      </w:r>
      <w:r>
        <w:rPr>
          <w:rStyle w:val="4"/>
          <w:sz w:val="28"/>
          <w:szCs w:val="28"/>
        </w:rPr>
        <w:t>Calotropis procera</w:t>
      </w:r>
      <w:r>
        <w:rPr>
          <w:sz w:val="28"/>
          <w:szCs w:val="28"/>
        </w:rPr>
        <w:t xml:space="preserve"> as a reducing agent for the synthesis of silver nanoparticles. Lawal et al. (2024) reported the synthesis of silver nanoparticles using ethanolic leaf extract of </w:t>
      </w:r>
      <w:r>
        <w:rPr>
          <w:rStyle w:val="4"/>
          <w:sz w:val="28"/>
          <w:szCs w:val="28"/>
        </w:rPr>
        <w:t>C. procera</w:t>
      </w:r>
      <w:r>
        <w:rPr>
          <w:sz w:val="28"/>
          <w:szCs w:val="28"/>
        </w:rPr>
        <w:t xml:space="preserve">, which demonstrated potent antifungal activity against </w:t>
      </w:r>
      <w:r>
        <w:rPr>
          <w:rStyle w:val="4"/>
          <w:sz w:val="28"/>
          <w:szCs w:val="28"/>
        </w:rPr>
        <w:t>Candida albicans</w:t>
      </w:r>
      <w:r>
        <w:rPr>
          <w:sz w:val="28"/>
          <w:szCs w:val="28"/>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14:paraId="333F517C">
      <w:pPr>
        <w:pStyle w:val="7"/>
        <w:spacing w:line="480" w:lineRule="auto"/>
        <w:jc w:val="both"/>
        <w:rPr>
          <w:sz w:val="28"/>
          <w:szCs w:val="28"/>
        </w:rPr>
      </w:pPr>
      <w:r>
        <w:rPr>
          <w:sz w:val="28"/>
          <w:szCs w:val="28"/>
        </w:rPr>
        <w:t xml:space="preserve">While the antifungal potential of </w:t>
      </w:r>
      <w:r>
        <w:rPr>
          <w:rStyle w:val="4"/>
          <w:sz w:val="28"/>
          <w:szCs w:val="28"/>
        </w:rPr>
        <w:t>C. procera</w:t>
      </w:r>
      <w:r>
        <w:rPr>
          <w:sz w:val="28"/>
          <w:szCs w:val="28"/>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Pr>
          <w:rStyle w:val="4"/>
          <w:sz w:val="28"/>
          <w:szCs w:val="28"/>
        </w:rPr>
        <w:t>C. procera</w:t>
      </w:r>
      <w:r>
        <w:rPr>
          <w:sz w:val="28"/>
          <w:szCs w:val="28"/>
        </w:rPr>
        <w:t xml:space="preserve"> for therapeutic use. These findings indicate that despite its medicinal value, careful standardization and further clinical studies are essential to ensure its safe application in human health.</w:t>
      </w:r>
    </w:p>
    <w:p w14:paraId="1F25C124">
      <w:pPr>
        <w:pStyle w:val="7"/>
        <w:spacing w:line="480" w:lineRule="auto"/>
        <w:jc w:val="both"/>
        <w:rPr>
          <w:b/>
          <w:sz w:val="28"/>
          <w:szCs w:val="28"/>
        </w:rPr>
      </w:pPr>
      <w:r>
        <w:rPr>
          <w:b/>
          <w:sz w:val="28"/>
          <w:szCs w:val="28"/>
        </w:rPr>
        <w:t>1.2 Statement of Problem</w:t>
      </w:r>
    </w:p>
    <w:p w14:paraId="066F334F">
      <w:pPr>
        <w:pStyle w:val="7"/>
        <w:numPr>
          <w:ilvl w:val="0"/>
          <w:numId w:val="3"/>
        </w:numPr>
        <w:spacing w:line="480" w:lineRule="auto"/>
        <w:jc w:val="both"/>
        <w:rPr>
          <w:sz w:val="28"/>
          <w:szCs w:val="28"/>
        </w:rPr>
      </w:pPr>
      <w:r>
        <w:rPr>
          <w:rStyle w:val="8"/>
          <w:rFonts w:eastAsiaTheme="minorEastAsia"/>
          <w:sz w:val="28"/>
          <w:szCs w:val="28"/>
        </w:rPr>
        <w:t>Increasing resistance to conventional antifungal drugs</w:t>
      </w:r>
      <w:r>
        <w:rPr>
          <w:sz w:val="28"/>
          <w:szCs w:val="28"/>
        </w:rPr>
        <w:t xml:space="preserve"> poses a serious challenge to effective treatment of fungal infections, particularly among immunocompromised individuals. As drug-resistant strains of </w:t>
      </w:r>
      <w:r>
        <w:rPr>
          <w:rStyle w:val="4"/>
          <w:sz w:val="28"/>
          <w:szCs w:val="28"/>
        </w:rPr>
        <w:t>Candida</w:t>
      </w:r>
      <w:r>
        <w:rPr>
          <w:sz w:val="28"/>
          <w:szCs w:val="28"/>
        </w:rPr>
        <w:t xml:space="preserve">, </w:t>
      </w:r>
      <w:r>
        <w:rPr>
          <w:rStyle w:val="4"/>
          <w:sz w:val="28"/>
          <w:szCs w:val="28"/>
        </w:rPr>
        <w:t>Aspergillus</w:t>
      </w:r>
      <w:r>
        <w:rPr>
          <w:sz w:val="28"/>
          <w:szCs w:val="28"/>
        </w:rPr>
        <w:t>, and other pathogenic fungi continue to emerge, there is an urgent need for alternative, affordable, and effective antifungal agents from natural sources.</w:t>
      </w:r>
    </w:p>
    <w:p w14:paraId="73101E22">
      <w:pPr>
        <w:pStyle w:val="7"/>
        <w:numPr>
          <w:ilvl w:val="0"/>
          <w:numId w:val="3"/>
        </w:numPr>
        <w:spacing w:line="480" w:lineRule="auto"/>
        <w:jc w:val="both"/>
        <w:rPr>
          <w:sz w:val="28"/>
          <w:szCs w:val="28"/>
        </w:rPr>
      </w:pPr>
      <w:r>
        <w:rPr>
          <w:rStyle w:val="8"/>
          <w:rFonts w:eastAsiaTheme="minorEastAsia"/>
          <w:sz w:val="28"/>
          <w:szCs w:val="28"/>
        </w:rPr>
        <w:t xml:space="preserve">Despite the traditional use of </w:t>
      </w:r>
      <w:r>
        <w:rPr>
          <w:rStyle w:val="4"/>
          <w:b/>
          <w:bCs/>
          <w:sz w:val="28"/>
          <w:szCs w:val="28"/>
        </w:rPr>
        <w:t>Calotropis procera</w:t>
      </w:r>
      <w:r>
        <w:rPr>
          <w:rStyle w:val="8"/>
          <w:rFonts w:eastAsiaTheme="minorEastAsia"/>
          <w:sz w:val="28"/>
          <w:szCs w:val="28"/>
        </w:rPr>
        <w:t xml:space="preserve"> for treating skin and microbial infections</w:t>
      </w:r>
      <w:r>
        <w:rPr>
          <w:sz w:val="28"/>
          <w:szCs w:val="28"/>
        </w:rPr>
        <w:t>, there is limited scientific validation of its antifungal properties. Lack of comprehensive data on its efficacy, active compounds, and mechanism of action hinders its development into a standardized herbal or pharmaceutical product.</w:t>
      </w:r>
    </w:p>
    <w:p w14:paraId="4C6106A5">
      <w:pPr>
        <w:pStyle w:val="7"/>
        <w:numPr>
          <w:ilvl w:val="0"/>
          <w:numId w:val="3"/>
        </w:numPr>
        <w:spacing w:line="480" w:lineRule="auto"/>
        <w:jc w:val="both"/>
        <w:rPr>
          <w:sz w:val="28"/>
          <w:szCs w:val="28"/>
        </w:rPr>
      </w:pPr>
      <w:r>
        <w:rPr>
          <w:rStyle w:val="8"/>
          <w:rFonts w:eastAsiaTheme="minorEastAsia"/>
          <w:sz w:val="28"/>
          <w:szCs w:val="28"/>
        </w:rPr>
        <w:t xml:space="preserve">The safety and dosage profile of </w:t>
      </w:r>
      <w:r>
        <w:rPr>
          <w:rStyle w:val="4"/>
          <w:b/>
          <w:bCs/>
          <w:sz w:val="28"/>
          <w:szCs w:val="28"/>
        </w:rPr>
        <w:t>Calotropis procera</w:t>
      </w:r>
      <w:r>
        <w:rPr>
          <w:rStyle w:val="8"/>
          <w:rFonts w:eastAsiaTheme="minorEastAsia"/>
          <w:sz w:val="28"/>
          <w:szCs w:val="28"/>
        </w:rPr>
        <w:t xml:space="preserve"> extracts remain unclear</w:t>
      </w:r>
      <w:r>
        <w:rPr>
          <w:sz w:val="28"/>
          <w:szCs w:val="28"/>
        </w:rPr>
        <w:t>, especially with reports indicating possible toxicity at higher concentrations. This presents a major gap in its clinical application and necessitates thorough toxicological evaluation before it can be recommended for therapeutic use.</w:t>
      </w:r>
    </w:p>
    <w:p w14:paraId="4148D15E">
      <w:pPr>
        <w:pStyle w:val="7"/>
        <w:spacing w:line="480" w:lineRule="auto"/>
        <w:jc w:val="both"/>
        <w:rPr>
          <w:b/>
          <w:sz w:val="28"/>
          <w:szCs w:val="28"/>
        </w:rPr>
      </w:pPr>
      <w:r>
        <w:rPr>
          <w:b/>
          <w:sz w:val="28"/>
          <w:szCs w:val="28"/>
        </w:rPr>
        <w:t>1.3 Aim</w:t>
      </w:r>
    </w:p>
    <w:p w14:paraId="2194CC6E">
      <w:pPr>
        <w:pStyle w:val="7"/>
        <w:spacing w:line="480" w:lineRule="auto"/>
        <w:jc w:val="both"/>
        <w:rPr>
          <w:sz w:val="28"/>
          <w:szCs w:val="28"/>
        </w:rPr>
      </w:pPr>
      <w:r>
        <w:rPr>
          <w:sz w:val="28"/>
          <w:szCs w:val="28"/>
        </w:rPr>
        <w:t xml:space="preserve">To evaluate the antifungal activity of </w:t>
      </w:r>
      <w:r>
        <w:rPr>
          <w:rStyle w:val="4"/>
          <w:sz w:val="28"/>
          <w:szCs w:val="28"/>
        </w:rPr>
        <w:t>Calotropis procera</w:t>
      </w:r>
      <w:r>
        <w:rPr>
          <w:sz w:val="28"/>
          <w:szCs w:val="28"/>
        </w:rPr>
        <w:t xml:space="preserve"> (Bombom leaf) extract against selected fungal pathogens and assess its potential as a natural alternative to conventional antifungal agents.</w:t>
      </w:r>
    </w:p>
    <w:p w14:paraId="64736429">
      <w:pPr>
        <w:pStyle w:val="7"/>
        <w:spacing w:line="480" w:lineRule="auto"/>
        <w:jc w:val="both"/>
        <w:rPr>
          <w:b/>
          <w:sz w:val="28"/>
          <w:szCs w:val="28"/>
        </w:rPr>
      </w:pPr>
      <w:r>
        <w:rPr>
          <w:b/>
          <w:sz w:val="28"/>
          <w:szCs w:val="28"/>
        </w:rPr>
        <w:t xml:space="preserve">1.4 Objectives </w:t>
      </w:r>
    </w:p>
    <w:p w14:paraId="39D66EAF">
      <w:pPr>
        <w:pStyle w:val="11"/>
        <w:numPr>
          <w:ilvl w:val="0"/>
          <w:numId w:val="4"/>
        </w:numPr>
        <w:spacing w:after="160" w:line="480" w:lineRule="auto"/>
        <w:jc w:val="both"/>
        <w:rPr>
          <w:rFonts w:ascii="Times New Roman" w:hAnsi="Times New Roman" w:cs="Times New Roman"/>
          <w:sz w:val="28"/>
          <w:szCs w:val="28"/>
        </w:rPr>
      </w:pPr>
      <w:r>
        <w:rPr>
          <w:rFonts w:ascii="Times New Roman" w:hAnsi="Times New Roman" w:cs="Times New Roman"/>
          <w:sz w:val="28"/>
          <w:szCs w:val="28"/>
        </w:rPr>
        <w:t xml:space="preserve">To extract and prepare crude leaf extracts of </w:t>
      </w:r>
      <w:r>
        <w:rPr>
          <w:rFonts w:ascii="Times New Roman" w:hAnsi="Times New Roman" w:cs="Times New Roman"/>
          <w:i/>
          <w:sz w:val="28"/>
          <w:szCs w:val="28"/>
        </w:rPr>
        <w:t>Calotropis procera</w:t>
      </w:r>
      <w:r>
        <w:rPr>
          <w:rFonts w:ascii="Times New Roman" w:hAnsi="Times New Roman" w:cs="Times New Roman"/>
          <w:sz w:val="28"/>
          <w:szCs w:val="28"/>
        </w:rPr>
        <w:t xml:space="preserve"> using suitable solvents (e.g., ethanol, methanol, or water).</w:t>
      </w:r>
    </w:p>
    <w:p w14:paraId="7260F7BA">
      <w:pPr>
        <w:pStyle w:val="11"/>
        <w:numPr>
          <w:ilvl w:val="0"/>
          <w:numId w:val="4"/>
        </w:numPr>
        <w:spacing w:after="160" w:line="480" w:lineRule="auto"/>
        <w:jc w:val="both"/>
        <w:rPr>
          <w:rFonts w:ascii="Times New Roman" w:hAnsi="Times New Roman" w:cs="Times New Roman"/>
          <w:sz w:val="28"/>
          <w:szCs w:val="28"/>
        </w:rPr>
      </w:pPr>
      <w:r>
        <w:rPr>
          <w:rFonts w:ascii="Times New Roman" w:hAnsi="Times New Roman" w:cs="Times New Roman"/>
          <w:sz w:val="28"/>
          <w:szCs w:val="28"/>
        </w:rPr>
        <w:t>To evaluate the antifungal activity of the leaf extracts against selected fungal pathogens using standard laboratory methods such as the agar well diffusion or disc diffusion technique.</w:t>
      </w:r>
    </w:p>
    <w:p w14:paraId="0D0C97B4">
      <w:pPr>
        <w:pStyle w:val="11"/>
        <w:numPr>
          <w:ilvl w:val="0"/>
          <w:numId w:val="4"/>
        </w:numPr>
        <w:spacing w:after="160" w:line="480" w:lineRule="auto"/>
        <w:jc w:val="both"/>
        <w:rPr>
          <w:rFonts w:ascii="Times New Roman" w:hAnsi="Times New Roman" w:cs="Times New Roman"/>
          <w:sz w:val="28"/>
          <w:szCs w:val="28"/>
        </w:rPr>
      </w:pPr>
      <w:r>
        <w:rPr>
          <w:rFonts w:ascii="Times New Roman" w:hAnsi="Times New Roman" w:cs="Times New Roman"/>
          <w:sz w:val="28"/>
          <w:szCs w:val="28"/>
        </w:rPr>
        <w:t>To compare the effectiveness of the plant extract with a conventional antifungal drug and determine its minimum inhibitory concentration (MIC) and possible dose-dependent effects.</w:t>
      </w:r>
    </w:p>
    <w:p w14:paraId="3724950E">
      <w:pPr>
        <w:pStyle w:val="7"/>
        <w:spacing w:line="480" w:lineRule="auto"/>
        <w:jc w:val="both"/>
        <w:rPr>
          <w:sz w:val="28"/>
          <w:szCs w:val="28"/>
        </w:rPr>
      </w:pPr>
    </w:p>
    <w:p w14:paraId="1EDCECF0">
      <w:pPr>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br w:type="page"/>
      </w:r>
      <w:r>
        <w:rPr>
          <w:rFonts w:ascii="Times New Roman" w:hAnsi="Times New Roman" w:eastAsia="Times New Roman" w:cs="Times New Roman"/>
          <w:b/>
          <w:bCs/>
          <w:sz w:val="28"/>
          <w:szCs w:val="28"/>
        </w:rPr>
        <w:t>CHAPTER TWO</w:t>
      </w:r>
    </w:p>
    <w:p w14:paraId="1C7A76A0">
      <w:pPr>
        <w:spacing w:before="100" w:beforeAutospacing="1" w:after="100" w:afterAutospacing="1" w:line="480" w:lineRule="auto"/>
        <w:jc w:val="both"/>
        <w:outlineLvl w:val="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2.0 MATERIALS AND METHODS</w:t>
      </w:r>
    </w:p>
    <w:p w14:paraId="21259DE3">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 Materials Used</w:t>
      </w:r>
    </w:p>
    <w:p w14:paraId="3B26C510">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materials used for this study included fresh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Pr>
          <w:rFonts w:ascii="Times New Roman" w:hAnsi="Times New Roman" w:eastAsia="Times New Roman" w:cs="Times New Roman"/>
          <w:i/>
          <w:iCs/>
          <w:sz w:val="28"/>
          <w:szCs w:val="28"/>
        </w:rPr>
        <w:t>Escherichia coli</w:t>
      </w:r>
      <w:r>
        <w:rPr>
          <w:rFonts w:ascii="Times New Roman" w:hAnsi="Times New Roman" w:eastAsia="Times New Roman" w:cs="Times New Roman"/>
          <w:sz w:val="28"/>
          <w:szCs w:val="28"/>
        </w:rPr>
        <w:t xml:space="preserve"> (E. coli) was the test organism. All glassware and instruments used in the experiment were thoroughly cleaned and sterilized to prevent contamination.</w:t>
      </w:r>
    </w:p>
    <w:p w14:paraId="5962C81C">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2.2 Chemicals and Reagents</w:t>
      </w:r>
    </w:p>
    <w:p w14:paraId="4CB38375">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14:paraId="1DC70FC0">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 Sterilization of Glasswares</w:t>
      </w:r>
    </w:p>
    <w:p w14:paraId="78B3EFF8">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14:paraId="2A09F847">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 Media Preparation</w:t>
      </w:r>
    </w:p>
    <w:p w14:paraId="5B8686F2">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14:paraId="52F3D2DF">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 Sample Collection and Preparation</w:t>
      </w:r>
    </w:p>
    <w:p w14:paraId="6EED907F">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Fresh leaves of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14:paraId="2ACD5006">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2.6 Inoculation Methods</w:t>
      </w:r>
    </w:p>
    <w:p w14:paraId="2183C1A2">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Once the Nutrient Agar in the Petri dishes solidified, small wells or holes were carefully bored on the media surface using a sterile cork borer. The prepared </w:t>
      </w:r>
      <w:r>
        <w:rPr>
          <w:rFonts w:ascii="Times New Roman" w:hAnsi="Times New Roman" w:eastAsia="Times New Roman" w:cs="Times New Roman"/>
          <w:i/>
          <w:iCs/>
          <w:sz w:val="28"/>
          <w:szCs w:val="28"/>
        </w:rPr>
        <w:t>E. coli</w:t>
      </w:r>
      <w:r>
        <w:rPr>
          <w:rFonts w:ascii="Times New Roman" w:hAnsi="Times New Roman" w:eastAsia="Times New Roman" w:cs="Times New Roman"/>
          <w:sz w:val="28"/>
          <w:szCs w:val="28"/>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incubated at 37°C for 24 hours. After incubation, the plates were observed for zones of inhibition around the wells, indicating antimicrobial activity.</w:t>
      </w:r>
    </w:p>
    <w:p w14:paraId="56A83A51">
      <w:pPr>
        <w:spacing w:line="480" w:lineRule="auto"/>
        <w:jc w:val="both"/>
        <w:rPr>
          <w:rFonts w:ascii="Times New Roman" w:hAnsi="Times New Roman" w:eastAsia="Times New Roman" w:cs="Times New Roman"/>
          <w:sz w:val="28"/>
          <w:szCs w:val="28"/>
        </w:rPr>
      </w:pPr>
      <w:r>
        <w:rPr>
          <w:rFonts w:ascii="Times New Roman" w:hAnsi="Times New Roman" w:cs="Times New Roman"/>
          <w:sz w:val="28"/>
          <w:szCs w:val="28"/>
        </w:rPr>
        <w:br w:type="page"/>
      </w:r>
    </w:p>
    <w:p w14:paraId="0ED226CC">
      <w:pPr>
        <w:pStyle w:val="7"/>
        <w:spacing w:line="480" w:lineRule="auto"/>
        <w:jc w:val="center"/>
        <w:rPr>
          <w:b/>
          <w:sz w:val="28"/>
          <w:szCs w:val="28"/>
        </w:rPr>
      </w:pPr>
      <w:r>
        <w:rPr>
          <w:b/>
          <w:sz w:val="28"/>
          <w:szCs w:val="28"/>
        </w:rPr>
        <w:t>CHAPTER THREE</w:t>
      </w:r>
    </w:p>
    <w:p w14:paraId="2F270CC5">
      <w:pPr>
        <w:spacing w:before="100" w:beforeAutospacing="1" w:after="100" w:afterAutospacing="1" w:line="480" w:lineRule="auto"/>
        <w:jc w:val="both"/>
        <w:outlineLvl w:val="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3.0 RESULTS</w:t>
      </w:r>
    </w:p>
    <w:p w14:paraId="08219EF0">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antimicrobial activity of aqueous and ethanolic extracts of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(Bombom leaf) against </w:t>
      </w:r>
      <w:r>
        <w:rPr>
          <w:rFonts w:ascii="Times New Roman" w:hAnsi="Times New Roman" w:eastAsia="Times New Roman" w:cs="Times New Roman"/>
          <w:i/>
          <w:iCs/>
          <w:sz w:val="28"/>
          <w:szCs w:val="28"/>
        </w:rPr>
        <w:t>Escherichia coli</w:t>
      </w:r>
      <w:r>
        <w:rPr>
          <w:rFonts w:ascii="Times New Roman" w:hAnsi="Times New Roman" w:eastAsia="Times New Roman" w:cs="Times New Roman"/>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14:paraId="0CDB079A">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Table 3.1: Zone of Inhibition (mm) of Aqueous Extract of </w:t>
      </w:r>
      <w:r>
        <w:rPr>
          <w:rFonts w:ascii="Times New Roman" w:hAnsi="Times New Roman" w:eastAsia="Times New Roman" w:cs="Times New Roman"/>
          <w:b/>
          <w:bCs/>
          <w:i/>
          <w:iCs/>
          <w:sz w:val="28"/>
          <w:szCs w:val="28"/>
        </w:rPr>
        <w:t>Calotropis procera</w:t>
      </w:r>
      <w:r>
        <w:rPr>
          <w:rFonts w:ascii="Times New Roman" w:hAnsi="Times New Roman" w:eastAsia="Times New Roman" w:cs="Times New Roman"/>
          <w:b/>
          <w:bCs/>
          <w:sz w:val="28"/>
          <w:szCs w:val="28"/>
        </w:rPr>
        <w:t xml:space="preserve"> against </w:t>
      </w:r>
      <w:r>
        <w:rPr>
          <w:rFonts w:ascii="Times New Roman" w:hAnsi="Times New Roman" w:eastAsia="Times New Roman" w:cs="Times New Roman"/>
          <w:b/>
          <w:bCs/>
          <w:i/>
          <w:iCs/>
          <w:sz w:val="28"/>
          <w:szCs w:val="28"/>
        </w:rPr>
        <w:t>E. coli</w:t>
      </w:r>
    </w:p>
    <w:tbl>
      <w:tblPr>
        <w:tblStyle w:val="1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
        <w:gridCol w:w="3047"/>
        <w:gridCol w:w="3118"/>
      </w:tblGrid>
      <w:tr w14:paraId="7B1B83D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auto"/>
          </w:tcPr>
          <w:p w14:paraId="49BF4B14">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Well</w:t>
            </w:r>
          </w:p>
        </w:tc>
        <w:tc>
          <w:tcPr>
            <w:tcW w:w="0" w:type="auto"/>
            <w:tcBorders>
              <w:bottom w:val="single" w:color="000000" w:themeColor="text1" w:sz="4" w:space="0"/>
              <w:insideH w:val="single" w:sz="4" w:space="0"/>
            </w:tcBorders>
            <w:shd w:val="clear" w:color="auto" w:fill="auto"/>
          </w:tcPr>
          <w:p w14:paraId="4AB01794">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Content Applied</w:t>
            </w:r>
          </w:p>
        </w:tc>
        <w:tc>
          <w:tcPr>
            <w:tcW w:w="0" w:type="auto"/>
            <w:tcBorders>
              <w:bottom w:val="single" w:color="000000" w:themeColor="text1" w:sz="4" w:space="0"/>
              <w:insideH w:val="single" w:sz="4" w:space="0"/>
            </w:tcBorders>
            <w:shd w:val="clear" w:color="auto" w:fill="auto"/>
          </w:tcPr>
          <w:p w14:paraId="60857662">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Zone of Inhibition (mm)</w:t>
            </w:r>
          </w:p>
        </w:tc>
      </w:tr>
      <w:tr w14:paraId="25577BB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699D9AB5">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p>
        </w:tc>
        <w:tc>
          <w:tcPr>
            <w:tcW w:w="0" w:type="auto"/>
            <w:shd w:val="clear" w:color="auto" w:fill="auto"/>
          </w:tcPr>
          <w:p w14:paraId="5E44F63B">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Aqueous Extract</w:t>
            </w:r>
          </w:p>
        </w:tc>
        <w:tc>
          <w:tcPr>
            <w:tcW w:w="0" w:type="auto"/>
            <w:shd w:val="clear" w:color="auto" w:fill="auto"/>
          </w:tcPr>
          <w:p w14:paraId="16A72587">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5.0</w:t>
            </w:r>
          </w:p>
        </w:tc>
      </w:tr>
      <w:tr w14:paraId="2B74200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2831125D">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p>
        </w:tc>
        <w:tc>
          <w:tcPr>
            <w:tcW w:w="0" w:type="auto"/>
            <w:shd w:val="clear" w:color="auto" w:fill="auto"/>
          </w:tcPr>
          <w:p w14:paraId="7D9A442F">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Distilled Water (Control)</w:t>
            </w:r>
          </w:p>
        </w:tc>
        <w:tc>
          <w:tcPr>
            <w:tcW w:w="0" w:type="auto"/>
            <w:shd w:val="clear" w:color="auto" w:fill="auto"/>
          </w:tcPr>
          <w:p w14:paraId="2236CD71">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20FD53F5">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Table 3.2: Zone of Inhibition (mm) of Ethanolic Extract of </w:t>
      </w:r>
      <w:r>
        <w:rPr>
          <w:rFonts w:ascii="Times New Roman" w:hAnsi="Times New Roman" w:eastAsia="Times New Roman" w:cs="Times New Roman"/>
          <w:b/>
          <w:bCs/>
          <w:i/>
          <w:iCs/>
          <w:sz w:val="28"/>
          <w:szCs w:val="28"/>
        </w:rPr>
        <w:t>Calotropis procera</w:t>
      </w:r>
      <w:r>
        <w:rPr>
          <w:rFonts w:ascii="Times New Roman" w:hAnsi="Times New Roman" w:eastAsia="Times New Roman" w:cs="Times New Roman"/>
          <w:b/>
          <w:bCs/>
          <w:sz w:val="28"/>
          <w:szCs w:val="28"/>
        </w:rPr>
        <w:t xml:space="preserve"> against </w:t>
      </w:r>
      <w:r>
        <w:rPr>
          <w:rFonts w:ascii="Times New Roman" w:hAnsi="Times New Roman" w:eastAsia="Times New Roman" w:cs="Times New Roman"/>
          <w:b/>
          <w:bCs/>
          <w:i/>
          <w:iCs/>
          <w:sz w:val="28"/>
          <w:szCs w:val="28"/>
        </w:rPr>
        <w:t>E. coli</w:t>
      </w:r>
    </w:p>
    <w:tbl>
      <w:tblPr>
        <w:tblStyle w:val="12"/>
        <w:tblW w:w="0" w:type="auto"/>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776"/>
        <w:gridCol w:w="2200"/>
        <w:gridCol w:w="3118"/>
      </w:tblGrid>
      <w:tr w14:paraId="50CA435F">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318AA650">
            <w:pPr>
              <w:spacing w:line="48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Well</w:t>
            </w:r>
          </w:p>
        </w:tc>
        <w:tc>
          <w:tcPr>
            <w:tcW w:w="0" w:type="auto"/>
            <w:shd w:val="clear" w:color="auto" w:fill="auto"/>
          </w:tcPr>
          <w:p w14:paraId="2F1B0967">
            <w:pPr>
              <w:spacing w:line="48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Content Applied</w:t>
            </w:r>
          </w:p>
        </w:tc>
        <w:tc>
          <w:tcPr>
            <w:tcW w:w="0" w:type="auto"/>
            <w:shd w:val="clear" w:color="auto" w:fill="auto"/>
          </w:tcPr>
          <w:p w14:paraId="3B44930E">
            <w:pPr>
              <w:spacing w:line="48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Zone of Inhibition (mm)</w:t>
            </w:r>
          </w:p>
        </w:tc>
      </w:tr>
      <w:tr w14:paraId="20B8DA1F">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7A8771B1">
            <w:pPr>
              <w:spacing w:line="48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A</w:t>
            </w:r>
          </w:p>
        </w:tc>
        <w:tc>
          <w:tcPr>
            <w:tcW w:w="0" w:type="auto"/>
            <w:shd w:val="clear" w:color="auto" w:fill="auto"/>
          </w:tcPr>
          <w:p w14:paraId="39219FDE">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Ethanolic Extract</w:t>
            </w:r>
          </w:p>
        </w:tc>
        <w:tc>
          <w:tcPr>
            <w:tcW w:w="0" w:type="auto"/>
            <w:shd w:val="clear" w:color="auto" w:fill="auto"/>
          </w:tcPr>
          <w:p w14:paraId="59FED832">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11.5</w:t>
            </w:r>
          </w:p>
        </w:tc>
      </w:tr>
      <w:tr w14:paraId="4A581954">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6E949693">
            <w:pPr>
              <w:spacing w:line="48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B</w:t>
            </w:r>
          </w:p>
        </w:tc>
        <w:tc>
          <w:tcPr>
            <w:tcW w:w="0" w:type="auto"/>
            <w:shd w:val="clear" w:color="auto" w:fill="auto"/>
          </w:tcPr>
          <w:p w14:paraId="556171E6">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Ethanol (Control)</w:t>
            </w:r>
          </w:p>
        </w:tc>
        <w:tc>
          <w:tcPr>
            <w:tcW w:w="0" w:type="auto"/>
            <w:shd w:val="clear" w:color="auto" w:fill="auto"/>
          </w:tcPr>
          <w:p w14:paraId="165B5EFF">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0.0</w:t>
            </w:r>
          </w:p>
        </w:tc>
      </w:tr>
    </w:tbl>
    <w:p w14:paraId="30D08A4D">
      <w:pPr>
        <w:spacing w:before="100" w:beforeAutospacing="1" w:after="100" w:afterAutospacing="1" w:line="480" w:lineRule="auto"/>
        <w:jc w:val="both"/>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Table 3.3: Comparative Antimicrobial Activity of Aqueous and Ethanolic Extracts</w:t>
      </w:r>
    </w:p>
    <w:tbl>
      <w:tblPr>
        <w:tblStyle w:val="1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95"/>
        <w:gridCol w:w="3872"/>
      </w:tblGrid>
      <w:tr w14:paraId="3A1C9BC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auto"/>
          </w:tcPr>
          <w:p w14:paraId="4B567D32">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Extract Type</w:t>
            </w:r>
          </w:p>
        </w:tc>
        <w:tc>
          <w:tcPr>
            <w:tcW w:w="0" w:type="auto"/>
            <w:tcBorders>
              <w:bottom w:val="single" w:color="000000" w:themeColor="text1" w:sz="4" w:space="0"/>
              <w:insideH w:val="single" w:sz="4" w:space="0"/>
            </w:tcBorders>
            <w:shd w:val="clear" w:color="auto" w:fill="auto"/>
          </w:tcPr>
          <w:p w14:paraId="500DBD1B">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Mean Zone of Inhibition (mm)</w:t>
            </w:r>
          </w:p>
        </w:tc>
      </w:tr>
      <w:tr w14:paraId="642A885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76905157">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Aqueous Extract</w:t>
            </w:r>
          </w:p>
        </w:tc>
        <w:tc>
          <w:tcPr>
            <w:tcW w:w="0" w:type="auto"/>
            <w:shd w:val="clear" w:color="auto" w:fill="auto"/>
          </w:tcPr>
          <w:p w14:paraId="198D7E14">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5.0</w:t>
            </w:r>
          </w:p>
        </w:tc>
      </w:tr>
      <w:tr w14:paraId="13F1317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4EBCC7CC">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Ethanolic Extract</w:t>
            </w:r>
          </w:p>
        </w:tc>
        <w:tc>
          <w:tcPr>
            <w:tcW w:w="0" w:type="auto"/>
            <w:shd w:val="clear" w:color="auto" w:fill="auto"/>
          </w:tcPr>
          <w:p w14:paraId="3B49A950">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11.5</w:t>
            </w:r>
          </w:p>
        </w:tc>
      </w:tr>
      <w:tr w14:paraId="19A552E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27045091">
            <w:pPr>
              <w:spacing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Control (Water/Ethanol)</w:t>
            </w:r>
          </w:p>
        </w:tc>
        <w:tc>
          <w:tcPr>
            <w:tcW w:w="0" w:type="auto"/>
            <w:shd w:val="clear" w:color="auto" w:fill="auto"/>
          </w:tcPr>
          <w:p w14:paraId="6B93A171">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766B3712">
      <w:pPr>
        <w:pStyle w:val="7"/>
        <w:spacing w:line="480" w:lineRule="auto"/>
        <w:jc w:val="both"/>
        <w:rPr>
          <w:b/>
          <w:sz w:val="28"/>
          <w:szCs w:val="28"/>
        </w:rPr>
      </w:pPr>
    </w:p>
    <w:p w14:paraId="0A2C99BD">
      <w:pPr>
        <w:pStyle w:val="7"/>
        <w:spacing w:line="480" w:lineRule="auto"/>
        <w:jc w:val="both"/>
        <w:rPr>
          <w:sz w:val="28"/>
          <w:szCs w:val="28"/>
        </w:rPr>
      </w:pPr>
    </w:p>
    <w:p w14:paraId="04EE5952">
      <w:pPr>
        <w:spacing w:line="480" w:lineRule="auto"/>
        <w:jc w:val="both"/>
        <w:rPr>
          <w:rFonts w:ascii="Times New Roman" w:hAnsi="Times New Roman" w:cs="Times New Roman"/>
          <w:sz w:val="28"/>
          <w:szCs w:val="28"/>
        </w:rPr>
      </w:pPr>
    </w:p>
    <w:p w14:paraId="666C6E0E">
      <w:pPr>
        <w:spacing w:line="480" w:lineRule="auto"/>
        <w:jc w:val="both"/>
        <w:rPr>
          <w:rFonts w:ascii="Times New Roman" w:hAnsi="Times New Roman" w:cs="Times New Roman"/>
          <w:sz w:val="28"/>
          <w:szCs w:val="28"/>
        </w:rPr>
      </w:pPr>
    </w:p>
    <w:p w14:paraId="227FCC40">
      <w:pPr>
        <w:spacing w:line="480" w:lineRule="auto"/>
        <w:jc w:val="center"/>
        <w:rPr>
          <w:rFonts w:ascii="Times New Roman" w:hAnsi="Times New Roman" w:cs="Times New Roman"/>
          <w:sz w:val="28"/>
          <w:szCs w:val="28"/>
        </w:rPr>
      </w:pPr>
      <w:r>
        <w:rPr>
          <w:rFonts w:ascii="Times New Roman" w:hAnsi="Times New Roman" w:cs="Times New Roman"/>
          <w:b/>
          <w:sz w:val="28"/>
          <w:szCs w:val="28"/>
        </w:rPr>
        <w:t>CHAPTER FOUR</w:t>
      </w:r>
    </w:p>
    <w:p w14:paraId="1BCB6A53">
      <w:pPr>
        <w:spacing w:line="480" w:lineRule="auto"/>
        <w:jc w:val="both"/>
        <w:rPr>
          <w:rFonts w:ascii="Times New Roman" w:hAnsi="Times New Roman" w:cs="Times New Roman"/>
          <w:b/>
          <w:sz w:val="28"/>
          <w:szCs w:val="28"/>
        </w:rPr>
      </w:pPr>
      <w:r>
        <w:rPr>
          <w:rFonts w:ascii="Times New Roman" w:hAnsi="Times New Roman" w:cs="Times New Roman"/>
          <w:b/>
          <w:sz w:val="28"/>
          <w:szCs w:val="28"/>
        </w:rPr>
        <w:t>4.0 DISCUSSION AND CONCLUSION</w:t>
      </w:r>
    </w:p>
    <w:p w14:paraId="65BAB908">
      <w:pPr>
        <w:spacing w:line="480" w:lineRule="auto"/>
        <w:jc w:val="both"/>
        <w:rPr>
          <w:rFonts w:ascii="Times New Roman" w:hAnsi="Times New Roman" w:cs="Times New Roman"/>
          <w:b/>
          <w:sz w:val="28"/>
          <w:szCs w:val="28"/>
        </w:rPr>
      </w:pPr>
      <w:r>
        <w:rPr>
          <w:rFonts w:ascii="Times New Roman" w:hAnsi="Times New Roman" w:cs="Times New Roman"/>
          <w:b/>
          <w:sz w:val="28"/>
          <w:szCs w:val="28"/>
        </w:rPr>
        <w:t>4.1 DISCUSSION</w:t>
      </w:r>
    </w:p>
    <w:p w14:paraId="475961AA">
      <w:pPr>
        <w:pStyle w:val="7"/>
        <w:spacing w:line="480" w:lineRule="auto"/>
        <w:jc w:val="both"/>
        <w:rPr>
          <w:sz w:val="28"/>
          <w:szCs w:val="28"/>
        </w:rPr>
      </w:pPr>
      <w:r>
        <w:rPr>
          <w:sz w:val="28"/>
          <w:szCs w:val="28"/>
        </w:rPr>
        <w:t xml:space="preserve">The antimicrobial activity of </w:t>
      </w:r>
      <w:r>
        <w:rPr>
          <w:rStyle w:val="4"/>
          <w:rFonts w:eastAsiaTheme="majorEastAsia"/>
          <w:sz w:val="28"/>
          <w:szCs w:val="28"/>
        </w:rPr>
        <w:t>Calotropis procera</w:t>
      </w:r>
      <w:r>
        <w:rPr>
          <w:sz w:val="28"/>
          <w:szCs w:val="28"/>
        </w:rPr>
        <w:t xml:space="preserve"> (Bombom leaf) extracts against </w:t>
      </w:r>
      <w:r>
        <w:rPr>
          <w:rStyle w:val="4"/>
          <w:rFonts w:eastAsiaTheme="majorEastAsia"/>
          <w:sz w:val="28"/>
          <w:szCs w:val="28"/>
        </w:rPr>
        <w:t>Escherichia coli</w:t>
      </w:r>
      <w:r>
        <w:rPr>
          <w:sz w:val="28"/>
          <w:szCs w:val="28"/>
        </w:rPr>
        <w:t xml:space="preserve"> was evaluated using the agar well diffusion method. The results presented in </w:t>
      </w:r>
      <w:r>
        <w:rPr>
          <w:rStyle w:val="8"/>
          <w:rFonts w:eastAsiaTheme="minorEastAsia"/>
          <w:sz w:val="28"/>
          <w:szCs w:val="28"/>
        </w:rPr>
        <w:t>Table 3.1</w:t>
      </w:r>
      <w:r>
        <w:rPr>
          <w:sz w:val="28"/>
          <w:szCs w:val="28"/>
        </w:rPr>
        <w:t xml:space="preserve"> and </w:t>
      </w:r>
      <w:r>
        <w:rPr>
          <w:rStyle w:val="8"/>
          <w:rFonts w:eastAsiaTheme="minorEastAsia"/>
          <w:sz w:val="28"/>
          <w:szCs w:val="28"/>
        </w:rPr>
        <w:t>Table 3.2</w:t>
      </w:r>
      <w:r>
        <w:rPr>
          <w:sz w:val="28"/>
          <w:szCs w:val="28"/>
        </w:rPr>
        <w:t xml:space="preserve"> show that both aqueous and ethanolic extracts exhibited inhibitory effects on the growth of </w:t>
      </w:r>
      <w:r>
        <w:rPr>
          <w:rStyle w:val="4"/>
          <w:rFonts w:eastAsiaTheme="majorEastAsia"/>
          <w:sz w:val="28"/>
          <w:szCs w:val="28"/>
        </w:rPr>
        <w:t>E. coli</w:t>
      </w:r>
      <w:r>
        <w:rPr>
          <w:sz w:val="28"/>
          <w:szCs w:val="28"/>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14:paraId="4B0496F7">
      <w:pPr>
        <w:pStyle w:val="7"/>
        <w:spacing w:line="480" w:lineRule="auto"/>
        <w:jc w:val="both"/>
        <w:rPr>
          <w:sz w:val="28"/>
          <w:szCs w:val="28"/>
        </w:rPr>
      </w:pPr>
      <w:r>
        <w:rPr>
          <w:sz w:val="28"/>
          <w:szCs w:val="28"/>
        </w:rPr>
        <w:t xml:space="preserve">The findings suggest that ethanol is a more efficient solvent for extracting antimicrobial compounds from </w:t>
      </w:r>
      <w:r>
        <w:rPr>
          <w:rStyle w:val="4"/>
          <w:rFonts w:eastAsiaTheme="majorEastAsia"/>
          <w:sz w:val="28"/>
          <w:szCs w:val="28"/>
        </w:rPr>
        <w:t>C. procera</w:t>
      </w:r>
      <w:r>
        <w:rPr>
          <w:sz w:val="28"/>
          <w:szCs w:val="28"/>
        </w:rPr>
        <w:t xml:space="preserve">. This observation aligns with the work of Ogundele et al. (2023), who reported that ethanolic extracts of </w:t>
      </w:r>
      <w:r>
        <w:rPr>
          <w:rStyle w:val="4"/>
          <w:rFonts w:eastAsiaTheme="majorEastAsia"/>
          <w:sz w:val="28"/>
          <w:szCs w:val="28"/>
        </w:rPr>
        <w:t>C. procera</w:t>
      </w:r>
      <w:r>
        <w:rPr>
          <w:sz w:val="28"/>
          <w:szCs w:val="28"/>
        </w:rPr>
        <w:t xml:space="preserve"> showed higher inhibitory activity against microbial pathogens than aqueous extracts. This enhanced activity is attributed to the higher solubility of active phytochemicals such as alkaloids, flavonoids, and phenolics in ethanol, which are known to disrupt microbial cell membranes and inhibit essential metabolic pathways.</w:t>
      </w:r>
    </w:p>
    <w:p w14:paraId="0A206444">
      <w:pPr>
        <w:pStyle w:val="7"/>
        <w:spacing w:line="480" w:lineRule="auto"/>
        <w:jc w:val="both"/>
        <w:rPr>
          <w:sz w:val="28"/>
          <w:szCs w:val="28"/>
        </w:rPr>
      </w:pPr>
      <w:r>
        <w:rPr>
          <w:sz w:val="28"/>
          <w:szCs w:val="28"/>
        </w:rPr>
        <w:t xml:space="preserve">The result in </w:t>
      </w:r>
      <w:r>
        <w:rPr>
          <w:rStyle w:val="8"/>
          <w:rFonts w:eastAsiaTheme="minorEastAsia"/>
          <w:sz w:val="28"/>
          <w:szCs w:val="28"/>
        </w:rPr>
        <w:t>Table 3.3</w:t>
      </w:r>
      <w:r>
        <w:rPr>
          <w:sz w:val="28"/>
          <w:szCs w:val="28"/>
        </w:rPr>
        <w:t xml:space="preserve">, which summarizes the comparative activity of both extracts, reinforces the effectiveness of the ethanolic extract. Similar trends were documented by Musa et al. (2021), who observed that the ethanolic leaf extract of </w:t>
      </w:r>
      <w:r>
        <w:rPr>
          <w:rStyle w:val="4"/>
          <w:rFonts w:eastAsiaTheme="majorEastAsia"/>
          <w:sz w:val="28"/>
          <w:szCs w:val="28"/>
        </w:rPr>
        <w:t>Calotropis procera</w:t>
      </w:r>
      <w:r>
        <w:rPr>
          <w:sz w:val="28"/>
          <w:szCs w:val="28"/>
        </w:rPr>
        <w:t xml:space="preserve"> demonstrated significant antimicrobial activity against </w:t>
      </w:r>
      <w:r>
        <w:rPr>
          <w:rStyle w:val="4"/>
          <w:rFonts w:eastAsiaTheme="majorEastAsia"/>
          <w:sz w:val="28"/>
          <w:szCs w:val="28"/>
        </w:rPr>
        <w:t>Trichophyton mentagrophytes</w:t>
      </w:r>
      <w:r>
        <w:rPr>
          <w:sz w:val="28"/>
          <w:szCs w:val="28"/>
        </w:rPr>
        <w:t xml:space="preserve"> and </w:t>
      </w:r>
      <w:r>
        <w:rPr>
          <w:rStyle w:val="4"/>
          <w:rFonts w:eastAsiaTheme="majorEastAsia"/>
          <w:sz w:val="28"/>
          <w:szCs w:val="28"/>
        </w:rPr>
        <w:t>Candida albicans</w:t>
      </w:r>
      <w:r>
        <w:rPr>
          <w:sz w:val="28"/>
          <w:szCs w:val="28"/>
        </w:rPr>
        <w:t>. These pathogens were notably inhibited by the plant's secondary metabolites, particularly terpenoids and saponins, which may be responsible for the antimicrobial mechanism through membrane lysis and enzyme denaturation.</w:t>
      </w:r>
    </w:p>
    <w:p w14:paraId="17B332B6">
      <w:pPr>
        <w:pStyle w:val="7"/>
        <w:spacing w:line="480" w:lineRule="auto"/>
        <w:jc w:val="both"/>
        <w:rPr>
          <w:sz w:val="28"/>
          <w:szCs w:val="28"/>
        </w:rPr>
      </w:pPr>
      <w:r>
        <w:rPr>
          <w:sz w:val="28"/>
          <w:szCs w:val="28"/>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Pr>
          <w:rStyle w:val="8"/>
          <w:rFonts w:eastAsiaTheme="minorEastAsia"/>
          <w:sz w:val="28"/>
          <w:szCs w:val="28"/>
        </w:rPr>
        <w:t>Table 3.1</w:t>
      </w:r>
      <w:r>
        <w:rPr>
          <w:b/>
          <w:sz w:val="28"/>
          <w:szCs w:val="28"/>
        </w:rPr>
        <w:t xml:space="preserve"> </w:t>
      </w:r>
      <w:r>
        <w:rPr>
          <w:sz w:val="28"/>
          <w:szCs w:val="28"/>
        </w:rPr>
        <w:t xml:space="preserve">for the aqueous extract. Nonetheless, the activity still indicates the presence of water-soluble antimicrobial compounds in </w:t>
      </w:r>
      <w:r>
        <w:rPr>
          <w:rStyle w:val="4"/>
          <w:rFonts w:eastAsiaTheme="majorEastAsia"/>
          <w:sz w:val="28"/>
          <w:szCs w:val="28"/>
        </w:rPr>
        <w:t>C. procera</w:t>
      </w:r>
      <w:r>
        <w:rPr>
          <w:sz w:val="28"/>
          <w:szCs w:val="28"/>
        </w:rPr>
        <w:t>, supporting its use in traditional herbal medicine.</w:t>
      </w:r>
    </w:p>
    <w:p w14:paraId="50AD37D3">
      <w:pPr>
        <w:pStyle w:val="7"/>
        <w:spacing w:line="480" w:lineRule="auto"/>
        <w:jc w:val="both"/>
        <w:rPr>
          <w:sz w:val="28"/>
          <w:szCs w:val="28"/>
        </w:rPr>
      </w:pPr>
      <w:r>
        <w:rPr>
          <w:sz w:val="28"/>
          <w:szCs w:val="28"/>
        </w:rPr>
        <w:t xml:space="preserve">The results also corroborate Ibrahim et al. (2022), who demonstrated that combining </w:t>
      </w:r>
      <w:r>
        <w:rPr>
          <w:rStyle w:val="4"/>
          <w:rFonts w:eastAsiaTheme="majorEastAsia"/>
          <w:sz w:val="28"/>
          <w:szCs w:val="28"/>
        </w:rPr>
        <w:t>C. procera</w:t>
      </w:r>
      <w:r>
        <w:rPr>
          <w:sz w:val="28"/>
          <w:szCs w:val="28"/>
        </w:rPr>
        <w:t xml:space="preserve"> extract with other herbal agents enhanced antimicrobial effects. Although this study focused on </w:t>
      </w:r>
      <w:r>
        <w:rPr>
          <w:rStyle w:val="4"/>
          <w:rFonts w:eastAsiaTheme="majorEastAsia"/>
          <w:sz w:val="28"/>
          <w:szCs w:val="28"/>
        </w:rPr>
        <w:t>E. coli</w:t>
      </w:r>
      <w:r>
        <w:rPr>
          <w:sz w:val="28"/>
          <w:szCs w:val="28"/>
        </w:rPr>
        <w:t xml:space="preserve"> alone, the effectiveness of the ethanolic extract suggests that </w:t>
      </w:r>
      <w:r>
        <w:rPr>
          <w:rStyle w:val="4"/>
          <w:rFonts w:eastAsiaTheme="majorEastAsia"/>
          <w:sz w:val="28"/>
          <w:szCs w:val="28"/>
        </w:rPr>
        <w:t>C. procera</w:t>
      </w:r>
      <w:r>
        <w:rPr>
          <w:sz w:val="28"/>
          <w:szCs w:val="28"/>
        </w:rPr>
        <w:t xml:space="preserve"> may have broad-spectrum antimicrobial potential, especially if formulated synergistically or processed into nanoparticle-based delivery systems, as reported by Lawal et al. (2024).</w:t>
      </w:r>
    </w:p>
    <w:p w14:paraId="20436CFA">
      <w:pPr>
        <w:pStyle w:val="7"/>
        <w:spacing w:line="480" w:lineRule="auto"/>
        <w:jc w:val="both"/>
        <w:rPr>
          <w:sz w:val="28"/>
          <w:szCs w:val="28"/>
        </w:rPr>
      </w:pPr>
      <w:r>
        <w:rPr>
          <w:sz w:val="28"/>
          <w:szCs w:val="28"/>
        </w:rPr>
        <w:t xml:space="preserve">The results from this study confirm the antimicrobial potential of </w:t>
      </w:r>
      <w:r>
        <w:rPr>
          <w:rStyle w:val="4"/>
          <w:rFonts w:eastAsiaTheme="majorEastAsia"/>
          <w:sz w:val="28"/>
          <w:szCs w:val="28"/>
        </w:rPr>
        <w:t>Calotropis procera</w:t>
      </w:r>
      <w:r>
        <w:rPr>
          <w:sz w:val="28"/>
          <w:szCs w:val="28"/>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14:paraId="55B865B2">
      <w:pPr>
        <w:pStyle w:val="7"/>
        <w:spacing w:line="480" w:lineRule="auto"/>
        <w:jc w:val="both"/>
        <w:rPr>
          <w:b/>
          <w:sz w:val="28"/>
          <w:szCs w:val="28"/>
        </w:rPr>
      </w:pPr>
      <w:r>
        <w:rPr>
          <w:b/>
          <w:sz w:val="28"/>
          <w:szCs w:val="28"/>
        </w:rPr>
        <w:t>4.2 Conclusion</w:t>
      </w:r>
    </w:p>
    <w:p w14:paraId="1E224451">
      <w:pPr>
        <w:pStyle w:val="7"/>
        <w:spacing w:line="480" w:lineRule="auto"/>
        <w:jc w:val="both"/>
        <w:rPr>
          <w:sz w:val="28"/>
          <w:szCs w:val="28"/>
        </w:rPr>
      </w:pPr>
      <w:r>
        <w:rPr>
          <w:sz w:val="28"/>
          <w:szCs w:val="28"/>
        </w:rPr>
        <w:t xml:space="preserve">This study has demonstrated that </w:t>
      </w:r>
      <w:r>
        <w:rPr>
          <w:rStyle w:val="4"/>
          <w:sz w:val="28"/>
          <w:szCs w:val="28"/>
        </w:rPr>
        <w:t>Calotropis procera</w:t>
      </w:r>
      <w:r>
        <w:rPr>
          <w:sz w:val="28"/>
          <w:szCs w:val="28"/>
        </w:rPr>
        <w:t xml:space="preserve"> (Bombom leaf) possesses notable antimicrobial activity against </w:t>
      </w:r>
      <w:r>
        <w:rPr>
          <w:rStyle w:val="4"/>
          <w:sz w:val="28"/>
          <w:szCs w:val="28"/>
        </w:rPr>
        <w:t>Escherichia coli</w:t>
      </w:r>
      <w:r>
        <w:rPr>
          <w:sz w:val="28"/>
          <w:szCs w:val="28"/>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Pr>
          <w:rStyle w:val="4"/>
          <w:sz w:val="28"/>
          <w:szCs w:val="28"/>
        </w:rPr>
        <w:t>C. procera</w:t>
      </w:r>
      <w:r>
        <w:rPr>
          <w:sz w:val="28"/>
          <w:szCs w:val="28"/>
        </w:rPr>
        <w:t xml:space="preserve"> contains phytochemicals such as flavonoids, tannins, saponins, and alkaloids that can act as natural antimicrobial agents. These findings support the traditional use of </w:t>
      </w:r>
      <w:r>
        <w:rPr>
          <w:rStyle w:val="4"/>
          <w:sz w:val="28"/>
          <w:szCs w:val="28"/>
        </w:rPr>
        <w:t>C. procera</w:t>
      </w:r>
      <w:r>
        <w:rPr>
          <w:sz w:val="28"/>
          <w:szCs w:val="28"/>
        </w:rPr>
        <w:t xml:space="preserve"> in herbal medicine and highlight its potential as an alternative treatment for bacterial infections.</w:t>
      </w:r>
    </w:p>
    <w:p w14:paraId="3418E44B">
      <w:pPr>
        <w:spacing w:line="480" w:lineRule="auto"/>
        <w:jc w:val="center"/>
        <w:rPr>
          <w:rFonts w:ascii="Times New Roman" w:hAnsi="Times New Roman" w:cs="Times New Roman"/>
          <w:b/>
          <w:sz w:val="28"/>
          <w:szCs w:val="28"/>
        </w:rPr>
      </w:pPr>
    </w:p>
    <w:p w14:paraId="6919A82C">
      <w:pPr>
        <w:spacing w:line="480" w:lineRule="auto"/>
        <w:jc w:val="center"/>
        <w:rPr>
          <w:rFonts w:ascii="Times New Roman" w:hAnsi="Times New Roman" w:cs="Times New Roman"/>
          <w:b/>
          <w:sz w:val="28"/>
          <w:szCs w:val="28"/>
        </w:rPr>
      </w:pPr>
    </w:p>
    <w:p w14:paraId="255720FC">
      <w:pPr>
        <w:spacing w:line="480" w:lineRule="auto"/>
        <w:jc w:val="center"/>
        <w:rPr>
          <w:rFonts w:ascii="Times New Roman" w:hAnsi="Times New Roman" w:cs="Times New Roman"/>
          <w:b/>
          <w:sz w:val="28"/>
          <w:szCs w:val="28"/>
        </w:rPr>
      </w:pPr>
    </w:p>
    <w:p w14:paraId="02B27DB4">
      <w:pPr>
        <w:spacing w:line="480" w:lineRule="auto"/>
        <w:jc w:val="center"/>
        <w:rPr>
          <w:rFonts w:ascii="Times New Roman" w:hAnsi="Times New Roman" w:cs="Times New Roman"/>
          <w:b/>
          <w:sz w:val="28"/>
          <w:szCs w:val="28"/>
        </w:rPr>
      </w:pPr>
    </w:p>
    <w:p w14:paraId="029E2210">
      <w:pPr>
        <w:spacing w:line="480" w:lineRule="auto"/>
        <w:jc w:val="center"/>
        <w:rPr>
          <w:rFonts w:ascii="Times New Roman" w:hAnsi="Times New Roman" w:cs="Times New Roman"/>
          <w:b/>
          <w:sz w:val="28"/>
          <w:szCs w:val="28"/>
        </w:rPr>
      </w:pPr>
    </w:p>
    <w:p w14:paraId="55B29068">
      <w:pPr>
        <w:spacing w:line="480" w:lineRule="auto"/>
        <w:jc w:val="center"/>
        <w:rPr>
          <w:rFonts w:ascii="Times New Roman" w:hAnsi="Times New Roman" w:cs="Times New Roman"/>
          <w:b/>
          <w:sz w:val="28"/>
          <w:szCs w:val="28"/>
        </w:rPr>
      </w:pPr>
    </w:p>
    <w:p w14:paraId="39BAD4D4">
      <w:pPr>
        <w:spacing w:line="480" w:lineRule="auto"/>
        <w:jc w:val="center"/>
        <w:rPr>
          <w:rFonts w:ascii="Times New Roman" w:hAnsi="Times New Roman" w:cs="Times New Roman"/>
          <w:b/>
          <w:sz w:val="28"/>
          <w:szCs w:val="28"/>
        </w:rPr>
      </w:pPr>
    </w:p>
    <w:p w14:paraId="078FE2CC">
      <w:pPr>
        <w:spacing w:line="480" w:lineRule="auto"/>
        <w:jc w:val="center"/>
        <w:rPr>
          <w:rFonts w:ascii="Times New Roman" w:hAnsi="Times New Roman" w:cs="Times New Roman"/>
          <w:b/>
          <w:sz w:val="28"/>
          <w:szCs w:val="28"/>
        </w:rPr>
      </w:pPr>
    </w:p>
    <w:p w14:paraId="2BAA0929">
      <w:pPr>
        <w:spacing w:line="480" w:lineRule="auto"/>
        <w:jc w:val="center"/>
        <w:rPr>
          <w:rFonts w:ascii="Times New Roman" w:hAnsi="Times New Roman" w:cs="Times New Roman"/>
          <w:b/>
          <w:sz w:val="28"/>
          <w:szCs w:val="28"/>
        </w:rPr>
      </w:pPr>
    </w:p>
    <w:p w14:paraId="63DC12AD">
      <w:pPr>
        <w:spacing w:line="480" w:lineRule="auto"/>
        <w:jc w:val="center"/>
        <w:rPr>
          <w:rFonts w:ascii="Times New Roman" w:hAnsi="Times New Roman" w:cs="Times New Roman"/>
          <w:b/>
          <w:sz w:val="28"/>
          <w:szCs w:val="28"/>
        </w:rPr>
      </w:pPr>
    </w:p>
    <w:p w14:paraId="23A3AB6C">
      <w:pPr>
        <w:spacing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14:paraId="58F41976">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Abdullahi, M. I., Usman, H., &amp; Yelwa, M. (2021). </w:t>
      </w:r>
      <w:r>
        <w:rPr>
          <w:rFonts w:ascii="Times New Roman" w:hAnsi="Times New Roman" w:eastAsia="Times New Roman" w:cs="Times New Roman"/>
          <w:i/>
          <w:iCs/>
          <w:sz w:val="28"/>
          <w:szCs w:val="28"/>
        </w:rPr>
        <w:t>Phytochemical and antimicrobial activity of Calotropis procera leaf extracts</w:t>
      </w:r>
      <w:r>
        <w:rPr>
          <w:rFonts w:ascii="Times New Roman" w:hAnsi="Times New Roman" w:eastAsia="Times New Roman" w:cs="Times New Roman"/>
          <w:sz w:val="28"/>
          <w:szCs w:val="28"/>
        </w:rPr>
        <w:t>. Nigerian Journal of Basic and Applied Sciences, 29(2), 123–130.</w:t>
      </w:r>
    </w:p>
    <w:p w14:paraId="2781ABCB">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Ayoade, J. A., Kareem, K. T., &amp; Olowolafe, T. A. (2020). </w:t>
      </w:r>
      <w:r>
        <w:rPr>
          <w:rFonts w:ascii="Times New Roman" w:hAnsi="Times New Roman" w:eastAsia="Times New Roman" w:cs="Times New Roman"/>
          <w:i/>
          <w:iCs/>
          <w:sz w:val="28"/>
          <w:szCs w:val="28"/>
        </w:rPr>
        <w:t>Evaluation of antifungal activity of Calotropis procera latex</w:t>
      </w:r>
      <w:r>
        <w:rPr>
          <w:rFonts w:ascii="Times New Roman" w:hAnsi="Times New Roman" w:eastAsia="Times New Roman" w:cs="Times New Roman"/>
          <w:sz w:val="28"/>
          <w:szCs w:val="28"/>
        </w:rPr>
        <w:t>. African Journal of Plant Science, 14(4), 89–95.</w:t>
      </w:r>
    </w:p>
    <w:p w14:paraId="34A8621D">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Baba, A. A., Sulaiman, A. M., &amp; Rabiu, B. (2021). </w:t>
      </w:r>
      <w:r>
        <w:rPr>
          <w:rFonts w:ascii="Times New Roman" w:hAnsi="Times New Roman" w:eastAsia="Times New Roman" w:cs="Times New Roman"/>
          <w:i/>
          <w:iCs/>
          <w:sz w:val="28"/>
          <w:szCs w:val="28"/>
        </w:rPr>
        <w:t>Ethnobotanical survey of medicinal plants used for skin infections in Kwara State, Nigeria</w:t>
      </w:r>
      <w:r>
        <w:rPr>
          <w:rFonts w:ascii="Times New Roman" w:hAnsi="Times New Roman" w:eastAsia="Times New Roman" w:cs="Times New Roman"/>
          <w:sz w:val="28"/>
          <w:szCs w:val="28"/>
        </w:rPr>
        <w:t>. Journal of Herbal Medicine, 27, 100429.</w:t>
      </w:r>
    </w:p>
    <w:p w14:paraId="3AC8C46F">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Chikere, C. B., Umeh, R. E., &amp; Okeke, E. C. (2022). </w:t>
      </w:r>
      <w:r>
        <w:rPr>
          <w:rFonts w:ascii="Times New Roman" w:hAnsi="Times New Roman" w:eastAsia="Times New Roman" w:cs="Times New Roman"/>
          <w:i/>
          <w:iCs/>
          <w:sz w:val="28"/>
          <w:szCs w:val="28"/>
        </w:rPr>
        <w:t>Emerging resistance in pathogenic fungi: A Nigerian perspective</w:t>
      </w:r>
      <w:r>
        <w:rPr>
          <w:rFonts w:ascii="Times New Roman" w:hAnsi="Times New Roman" w:eastAsia="Times New Roman" w:cs="Times New Roman"/>
          <w:sz w:val="28"/>
          <w:szCs w:val="28"/>
        </w:rPr>
        <w:t>. Clinical Mycology Reports, 4(1), 25–33.</w:t>
      </w:r>
    </w:p>
    <w:p w14:paraId="43249E41">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Eze, P. C., Ani, J. C., &amp; Odoemelam, E. O. (2023). </w:t>
      </w:r>
      <w:r>
        <w:rPr>
          <w:rFonts w:ascii="Times New Roman" w:hAnsi="Times New Roman" w:eastAsia="Times New Roman" w:cs="Times New Roman"/>
          <w:i/>
          <w:iCs/>
          <w:sz w:val="28"/>
          <w:szCs w:val="28"/>
        </w:rPr>
        <w:t>Comparative antimicrobial activity of Calotropis procera leaf and bark extracts</w:t>
      </w:r>
      <w:r>
        <w:rPr>
          <w:rFonts w:ascii="Times New Roman" w:hAnsi="Times New Roman" w:eastAsia="Times New Roman" w:cs="Times New Roman"/>
          <w:sz w:val="28"/>
          <w:szCs w:val="28"/>
        </w:rPr>
        <w:t>. Journal of Applied Biology &amp; Biotechnology, 11(3), 77–84.</w:t>
      </w:r>
    </w:p>
    <w:p w14:paraId="6ED80BD6">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Ibrahim, A. M., Danjuma, A. K., &amp; Haruna, H. (2022). </w:t>
      </w:r>
      <w:r>
        <w:rPr>
          <w:rFonts w:ascii="Times New Roman" w:hAnsi="Times New Roman" w:eastAsia="Times New Roman" w:cs="Times New Roman"/>
          <w:i/>
          <w:iCs/>
          <w:sz w:val="28"/>
          <w:szCs w:val="28"/>
        </w:rPr>
        <w:t>Synergistic antifungal effect of Calotropis procera and other medicinal plant extracts</w:t>
      </w:r>
      <w:r>
        <w:rPr>
          <w:rFonts w:ascii="Times New Roman" w:hAnsi="Times New Roman" w:eastAsia="Times New Roman" w:cs="Times New Roman"/>
          <w:sz w:val="28"/>
          <w:szCs w:val="28"/>
        </w:rPr>
        <w:t>. West African Journal of Pharmacology, 38(2), 145–152.</w:t>
      </w:r>
    </w:p>
    <w:p w14:paraId="714B03FB">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Ibrahim, A. M., Danjuma, A. K., &amp; Haruna, H. (2022). Synergistic antifungal effect of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and other medicinal plant extracts. </w:t>
      </w:r>
      <w:r>
        <w:rPr>
          <w:rFonts w:ascii="Times New Roman" w:hAnsi="Times New Roman" w:eastAsia="Times New Roman" w:cs="Times New Roman"/>
          <w:i/>
          <w:iCs/>
          <w:sz w:val="28"/>
          <w:szCs w:val="28"/>
        </w:rPr>
        <w:t>West African Journal of Pharmacology</w:t>
      </w:r>
      <w:r>
        <w:rPr>
          <w:rFonts w:ascii="Times New Roman" w:hAnsi="Times New Roman" w:eastAsia="Times New Roman" w:cs="Times New Roman"/>
          <w:sz w:val="28"/>
          <w:szCs w:val="28"/>
        </w:rPr>
        <w:t>, 38(2), 145–152.</w:t>
      </w:r>
    </w:p>
    <w:p w14:paraId="65E49C1B">
      <w:pPr>
        <w:pStyle w:val="7"/>
        <w:spacing w:line="480" w:lineRule="auto"/>
        <w:ind w:left="720" w:hanging="720"/>
        <w:jc w:val="both"/>
        <w:rPr>
          <w:sz w:val="28"/>
          <w:szCs w:val="28"/>
        </w:rPr>
      </w:pPr>
      <w:r>
        <w:rPr>
          <w:sz w:val="28"/>
          <w:szCs w:val="28"/>
        </w:rPr>
        <w:t xml:space="preserve">Ibrahim, A. M., Danjuma, A. K., &amp; Haruna, H. (2022). Synergistic antifungal effect of </w:t>
      </w:r>
      <w:r>
        <w:rPr>
          <w:rStyle w:val="4"/>
          <w:sz w:val="28"/>
          <w:szCs w:val="28"/>
        </w:rPr>
        <w:t>Calotropis procera</w:t>
      </w:r>
      <w:r>
        <w:rPr>
          <w:sz w:val="28"/>
          <w:szCs w:val="28"/>
        </w:rPr>
        <w:t xml:space="preserve"> and other medicinal plant extracts. </w:t>
      </w:r>
      <w:r>
        <w:rPr>
          <w:rStyle w:val="4"/>
          <w:sz w:val="28"/>
          <w:szCs w:val="28"/>
        </w:rPr>
        <w:t>West African Journal of Pharmacology</w:t>
      </w:r>
      <w:r>
        <w:rPr>
          <w:sz w:val="28"/>
          <w:szCs w:val="28"/>
        </w:rPr>
        <w:t>, 38(2), 145–152.</w:t>
      </w:r>
    </w:p>
    <w:p w14:paraId="0E45B59E">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Kazeem, M. I., Oyetunde, T. T., &amp; Shoyombo, A. J. (2023). </w:t>
      </w:r>
      <w:r>
        <w:rPr>
          <w:rFonts w:ascii="Times New Roman" w:hAnsi="Times New Roman" w:eastAsia="Times New Roman" w:cs="Times New Roman"/>
          <w:i/>
          <w:iCs/>
          <w:sz w:val="28"/>
          <w:szCs w:val="28"/>
        </w:rPr>
        <w:t>Phytochemical screening and biological activity of Calotropis procera extracts</w:t>
      </w:r>
      <w:r>
        <w:rPr>
          <w:rFonts w:ascii="Times New Roman" w:hAnsi="Times New Roman" w:eastAsia="Times New Roman" w:cs="Times New Roman"/>
          <w:sz w:val="28"/>
          <w:szCs w:val="28"/>
        </w:rPr>
        <w:t>. Journal of Pharmacognosy and Phytochemistry, 12(1), 98–104.</w:t>
      </w:r>
    </w:p>
    <w:p w14:paraId="235520E7">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Kazeem, M. I., Oyetunde, T. T., &amp; Shoyombo, A. J. (2023). Phytochemical screening and biological activity of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extracts. </w:t>
      </w:r>
      <w:r>
        <w:rPr>
          <w:rFonts w:ascii="Times New Roman" w:hAnsi="Times New Roman" w:eastAsia="Times New Roman" w:cs="Times New Roman"/>
          <w:i/>
          <w:iCs/>
          <w:sz w:val="28"/>
          <w:szCs w:val="28"/>
        </w:rPr>
        <w:t>Journal of Pharmacognosy and Phytochemistry</w:t>
      </w:r>
      <w:r>
        <w:rPr>
          <w:rFonts w:ascii="Times New Roman" w:hAnsi="Times New Roman" w:eastAsia="Times New Roman" w:cs="Times New Roman"/>
          <w:sz w:val="28"/>
          <w:szCs w:val="28"/>
        </w:rPr>
        <w:t>, 12(1), 98–104.</w:t>
      </w:r>
    </w:p>
    <w:p w14:paraId="13DC01BB">
      <w:pPr>
        <w:pStyle w:val="7"/>
        <w:spacing w:line="480" w:lineRule="auto"/>
        <w:ind w:left="720" w:hanging="720"/>
        <w:jc w:val="both"/>
        <w:rPr>
          <w:sz w:val="28"/>
          <w:szCs w:val="28"/>
        </w:rPr>
      </w:pPr>
      <w:r>
        <w:rPr>
          <w:sz w:val="28"/>
          <w:szCs w:val="28"/>
        </w:rPr>
        <w:t xml:space="preserve">Kazeem, M. I., Oyetunde, T. T., &amp; Shoyombo, A. J. (2023). Phytochemical screening and biological activity of </w:t>
      </w:r>
      <w:r>
        <w:rPr>
          <w:rStyle w:val="4"/>
          <w:sz w:val="28"/>
          <w:szCs w:val="28"/>
        </w:rPr>
        <w:t>Calotropis procera</w:t>
      </w:r>
      <w:r>
        <w:rPr>
          <w:sz w:val="28"/>
          <w:szCs w:val="28"/>
        </w:rPr>
        <w:t xml:space="preserve"> extracts. </w:t>
      </w:r>
      <w:r>
        <w:rPr>
          <w:rStyle w:val="4"/>
          <w:sz w:val="28"/>
          <w:szCs w:val="28"/>
        </w:rPr>
        <w:t>Journal of Pharmacognosy and Phytochemistry</w:t>
      </w:r>
      <w:r>
        <w:rPr>
          <w:sz w:val="28"/>
          <w:szCs w:val="28"/>
        </w:rPr>
        <w:t>, 12(1), 98–104.</w:t>
      </w:r>
    </w:p>
    <w:p w14:paraId="7A3B252B">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Lawal, A. F., Musa, A. K., &amp; Adedayo, A. A. (2024). </w:t>
      </w:r>
      <w:r>
        <w:rPr>
          <w:rFonts w:ascii="Times New Roman" w:hAnsi="Times New Roman" w:eastAsia="Times New Roman" w:cs="Times New Roman"/>
          <w:i/>
          <w:iCs/>
          <w:sz w:val="28"/>
          <w:szCs w:val="28"/>
        </w:rPr>
        <w:t>Green synthesis of silver nanoparticles using Calotropis procera extract and their antifungal efficacy</w:t>
      </w:r>
      <w:r>
        <w:rPr>
          <w:rFonts w:ascii="Times New Roman" w:hAnsi="Times New Roman" w:eastAsia="Times New Roman" w:cs="Times New Roman"/>
          <w:sz w:val="28"/>
          <w:szCs w:val="28"/>
        </w:rPr>
        <w:t>. Nano Biomedicine and Engineering, 16(2), 101–110.</w:t>
      </w:r>
    </w:p>
    <w:p w14:paraId="4A0DD257">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Lawal, A. F., Musa, A. K., &amp; Adedayo, A. A. (2024). Green synthesis of silver nanoparticles using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extract and their antifungal efficacy. </w:t>
      </w:r>
      <w:r>
        <w:rPr>
          <w:rFonts w:ascii="Times New Roman" w:hAnsi="Times New Roman" w:eastAsia="Times New Roman" w:cs="Times New Roman"/>
          <w:i/>
          <w:iCs/>
          <w:sz w:val="28"/>
          <w:szCs w:val="28"/>
        </w:rPr>
        <w:t>Nano Biomedicine and Engineering</w:t>
      </w:r>
      <w:r>
        <w:rPr>
          <w:rFonts w:ascii="Times New Roman" w:hAnsi="Times New Roman" w:eastAsia="Times New Roman" w:cs="Times New Roman"/>
          <w:sz w:val="28"/>
          <w:szCs w:val="28"/>
        </w:rPr>
        <w:t>, 16(2), 101–110.</w:t>
      </w:r>
    </w:p>
    <w:p w14:paraId="0F4B26DB">
      <w:pPr>
        <w:pStyle w:val="7"/>
        <w:spacing w:line="480" w:lineRule="auto"/>
        <w:ind w:left="720" w:hanging="720"/>
        <w:jc w:val="both"/>
        <w:rPr>
          <w:sz w:val="28"/>
          <w:szCs w:val="28"/>
        </w:rPr>
      </w:pPr>
      <w:r>
        <w:rPr>
          <w:sz w:val="28"/>
          <w:szCs w:val="28"/>
        </w:rPr>
        <w:t xml:space="preserve">Lawal, A. F., Musa, A. K., &amp; Adedayo, A. A. (2024). Green synthesis of silver nanoparticles using </w:t>
      </w:r>
      <w:r>
        <w:rPr>
          <w:rStyle w:val="4"/>
          <w:sz w:val="28"/>
          <w:szCs w:val="28"/>
        </w:rPr>
        <w:t>Calotropis procera</w:t>
      </w:r>
      <w:r>
        <w:rPr>
          <w:sz w:val="28"/>
          <w:szCs w:val="28"/>
        </w:rPr>
        <w:t xml:space="preserve"> extract and their antifungal efficacy. </w:t>
      </w:r>
      <w:r>
        <w:rPr>
          <w:rStyle w:val="4"/>
          <w:sz w:val="28"/>
          <w:szCs w:val="28"/>
        </w:rPr>
        <w:t>Nano Biomedicine and Engineering</w:t>
      </w:r>
      <w:r>
        <w:rPr>
          <w:sz w:val="28"/>
          <w:szCs w:val="28"/>
        </w:rPr>
        <w:t>, 16(2), 101–110.</w:t>
      </w:r>
    </w:p>
    <w:p w14:paraId="511E4B77">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Musa, A. R., Adegoke, A. A., &amp; Tijani, A. A. (2021). Evaluation of antifungal activity of ethanolic extract of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on dermatophytes. </w:t>
      </w:r>
      <w:r>
        <w:rPr>
          <w:rFonts w:ascii="Times New Roman" w:hAnsi="Times New Roman" w:eastAsia="Times New Roman" w:cs="Times New Roman"/>
          <w:i/>
          <w:iCs/>
          <w:sz w:val="28"/>
          <w:szCs w:val="28"/>
        </w:rPr>
        <w:t>African Journal of Microbiology Research</w:t>
      </w:r>
      <w:r>
        <w:rPr>
          <w:rFonts w:ascii="Times New Roman" w:hAnsi="Times New Roman" w:eastAsia="Times New Roman" w:cs="Times New Roman"/>
          <w:sz w:val="28"/>
          <w:szCs w:val="28"/>
        </w:rPr>
        <w:t>, 15(6), 204–210.</w:t>
      </w:r>
    </w:p>
    <w:p w14:paraId="1241FF02">
      <w:pPr>
        <w:pStyle w:val="7"/>
        <w:spacing w:line="480" w:lineRule="auto"/>
        <w:ind w:left="720" w:hanging="720"/>
        <w:jc w:val="both"/>
        <w:rPr>
          <w:sz w:val="28"/>
          <w:szCs w:val="28"/>
        </w:rPr>
      </w:pPr>
      <w:r>
        <w:rPr>
          <w:sz w:val="28"/>
          <w:szCs w:val="28"/>
        </w:rPr>
        <w:t xml:space="preserve">Musa, A. R., Adegoke, A. A., &amp; Tijani, A. A. (2021). Evaluation of antifungal activity of ethanolic extract of </w:t>
      </w:r>
      <w:r>
        <w:rPr>
          <w:rStyle w:val="4"/>
          <w:sz w:val="28"/>
          <w:szCs w:val="28"/>
        </w:rPr>
        <w:t>Calotropis procera</w:t>
      </w:r>
      <w:r>
        <w:rPr>
          <w:sz w:val="28"/>
          <w:szCs w:val="28"/>
        </w:rPr>
        <w:t xml:space="preserve"> on dermatophytes. </w:t>
      </w:r>
      <w:r>
        <w:rPr>
          <w:rStyle w:val="4"/>
          <w:sz w:val="28"/>
          <w:szCs w:val="28"/>
        </w:rPr>
        <w:t>African Journal of Microbiology Research</w:t>
      </w:r>
      <w:r>
        <w:rPr>
          <w:sz w:val="28"/>
          <w:szCs w:val="28"/>
        </w:rPr>
        <w:t>, 15(6), 204–210.</w:t>
      </w:r>
    </w:p>
    <w:p w14:paraId="08E09CFD">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Ogundele, O. S., Ogunlana, E. O., &amp; Adebayo, O. J. (2023). </w:t>
      </w:r>
      <w:r>
        <w:rPr>
          <w:rFonts w:ascii="Times New Roman" w:hAnsi="Times New Roman" w:eastAsia="Times New Roman" w:cs="Times New Roman"/>
          <w:i/>
          <w:iCs/>
          <w:sz w:val="28"/>
          <w:szCs w:val="28"/>
        </w:rPr>
        <w:t>Effect of different solvents on antifungal activity of Calotropis procera leaf extract</w:t>
      </w:r>
      <w:r>
        <w:rPr>
          <w:rFonts w:ascii="Times New Roman" w:hAnsi="Times New Roman" w:eastAsia="Times New Roman" w:cs="Times New Roman"/>
          <w:sz w:val="28"/>
          <w:szCs w:val="28"/>
        </w:rPr>
        <w:t>. Nigerian Journal of Natural Products and Medicine, 27(1), 41–49.</w:t>
      </w:r>
    </w:p>
    <w:p w14:paraId="2BF33E4C">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Ogundele, O. S., Ogunlana, E. O., &amp; Adebayo, O. J. (2023). Effect of different solvents on antifungal activity of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leaf extract. </w:t>
      </w:r>
      <w:r>
        <w:rPr>
          <w:rFonts w:ascii="Times New Roman" w:hAnsi="Times New Roman" w:eastAsia="Times New Roman" w:cs="Times New Roman"/>
          <w:i/>
          <w:iCs/>
          <w:sz w:val="28"/>
          <w:szCs w:val="28"/>
        </w:rPr>
        <w:t>Nigerian Journal of Natural Products and Medicine</w:t>
      </w:r>
      <w:r>
        <w:rPr>
          <w:rFonts w:ascii="Times New Roman" w:hAnsi="Times New Roman" w:eastAsia="Times New Roman" w:cs="Times New Roman"/>
          <w:sz w:val="28"/>
          <w:szCs w:val="28"/>
        </w:rPr>
        <w:t>, 27(1), 41–49.</w:t>
      </w:r>
    </w:p>
    <w:p w14:paraId="2DA9BFC7">
      <w:pPr>
        <w:pStyle w:val="7"/>
        <w:spacing w:line="480" w:lineRule="auto"/>
        <w:ind w:left="720" w:hanging="720"/>
        <w:jc w:val="both"/>
        <w:rPr>
          <w:sz w:val="28"/>
          <w:szCs w:val="28"/>
        </w:rPr>
      </w:pPr>
      <w:r>
        <w:rPr>
          <w:sz w:val="28"/>
          <w:szCs w:val="28"/>
        </w:rPr>
        <w:t xml:space="preserve">Ogundele, O. S., Ogunlana, E. O., &amp; Adebayo, O. J. (2023). Effect of different solvents on antifungal activity of </w:t>
      </w:r>
      <w:r>
        <w:rPr>
          <w:rStyle w:val="4"/>
          <w:sz w:val="28"/>
          <w:szCs w:val="28"/>
        </w:rPr>
        <w:t>Calotropis procera</w:t>
      </w:r>
      <w:r>
        <w:rPr>
          <w:sz w:val="28"/>
          <w:szCs w:val="28"/>
        </w:rPr>
        <w:t xml:space="preserve"> leaf extract. </w:t>
      </w:r>
      <w:r>
        <w:rPr>
          <w:rStyle w:val="4"/>
          <w:sz w:val="28"/>
          <w:szCs w:val="28"/>
        </w:rPr>
        <w:t>Nigerian Journal of Natural Products and Medicine</w:t>
      </w:r>
      <w:r>
        <w:rPr>
          <w:sz w:val="28"/>
          <w:szCs w:val="28"/>
        </w:rPr>
        <w:t>, 27(1), 41–49.</w:t>
      </w:r>
    </w:p>
    <w:p w14:paraId="642F0AC9">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Okonkwo, C. C., Iwu, C. D., &amp; Eke, I. E. (2020). </w:t>
      </w:r>
      <w:r>
        <w:rPr>
          <w:rFonts w:ascii="Times New Roman" w:hAnsi="Times New Roman" w:eastAsia="Times New Roman" w:cs="Times New Roman"/>
          <w:i/>
          <w:iCs/>
          <w:sz w:val="28"/>
          <w:szCs w:val="28"/>
        </w:rPr>
        <w:t>Phytochemical constituents and antimicrobial activity of Calotropis procera</w:t>
      </w:r>
      <w:r>
        <w:rPr>
          <w:rFonts w:ascii="Times New Roman" w:hAnsi="Times New Roman" w:eastAsia="Times New Roman" w:cs="Times New Roman"/>
          <w:sz w:val="28"/>
          <w:szCs w:val="28"/>
        </w:rPr>
        <w:t>. International Journal of Biological Research, 8(2), 112–118.</w:t>
      </w:r>
    </w:p>
    <w:p w14:paraId="7BBDA485">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Suleiman, A. A., Danlami, M. A., &amp; Okereke, A. C. (2022). </w:t>
      </w:r>
      <w:r>
        <w:rPr>
          <w:rFonts w:ascii="Times New Roman" w:hAnsi="Times New Roman" w:eastAsia="Times New Roman" w:cs="Times New Roman"/>
          <w:i/>
          <w:iCs/>
          <w:sz w:val="28"/>
          <w:szCs w:val="28"/>
        </w:rPr>
        <w:t>Mechanisms of action of plant-derived antifungal compounds</w:t>
      </w:r>
      <w:r>
        <w:rPr>
          <w:rFonts w:ascii="Times New Roman" w:hAnsi="Times New Roman" w:eastAsia="Times New Roman" w:cs="Times New Roman"/>
          <w:sz w:val="28"/>
          <w:szCs w:val="28"/>
        </w:rPr>
        <w:t>. African Journal of Microbial Research, 16(3), 87–94.</w:t>
      </w:r>
    </w:p>
    <w:p w14:paraId="355D8AE9">
      <w:pPr>
        <w:spacing w:before="100" w:beforeAutospacing="1" w:after="100" w:afterAutospacing="1" w:line="48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Umaru, H., Folarin, O. M., &amp; Adebisi, A. M. (2023). </w:t>
      </w:r>
      <w:r>
        <w:rPr>
          <w:rFonts w:ascii="Times New Roman" w:hAnsi="Times New Roman" w:eastAsia="Times New Roman" w:cs="Times New Roman"/>
          <w:i/>
          <w:iCs/>
          <w:sz w:val="28"/>
          <w:szCs w:val="28"/>
        </w:rPr>
        <w:t>Toxicological evaluation of Calotropis procera leaf extract in Wistar rats</w:t>
      </w:r>
      <w:r>
        <w:rPr>
          <w:rFonts w:ascii="Times New Roman" w:hAnsi="Times New Roman" w:eastAsia="Times New Roman" w:cs="Times New Roman"/>
          <w:sz w:val="28"/>
          <w:szCs w:val="28"/>
        </w:rPr>
        <w:t>. Journal of Toxicological Studies, 19(4), 221–229.</w:t>
      </w:r>
    </w:p>
    <w:p w14:paraId="60A6EB94">
      <w:pPr>
        <w:spacing w:before="100" w:beforeAutospacing="1" w:after="100" w:afterAutospacing="1" w:line="480" w:lineRule="auto"/>
        <w:ind w:left="720" w:hanging="720"/>
        <w:jc w:val="both"/>
        <w:rPr>
          <w:rFonts w:ascii="Times New Roman" w:hAnsi="Times New Roman" w:cs="Times New Roman"/>
          <w:sz w:val="28"/>
          <w:szCs w:val="28"/>
        </w:rPr>
      </w:pPr>
      <w:r>
        <w:rPr>
          <w:rFonts w:ascii="Times New Roman" w:hAnsi="Times New Roman" w:eastAsia="Times New Roman" w:cs="Times New Roman"/>
          <w:sz w:val="28"/>
          <w:szCs w:val="28"/>
        </w:rPr>
        <w:t xml:space="preserve">Umaru, H., Folarin, O. M., &amp; Adebisi, A. M. (2023). Toxicological evaluation of </w:t>
      </w:r>
      <w:r>
        <w:rPr>
          <w:rFonts w:ascii="Times New Roman" w:hAnsi="Times New Roman" w:eastAsia="Times New Roman" w:cs="Times New Roman"/>
          <w:i/>
          <w:iCs/>
          <w:sz w:val="28"/>
          <w:szCs w:val="28"/>
        </w:rPr>
        <w:t>Calotropis procera</w:t>
      </w:r>
      <w:r>
        <w:rPr>
          <w:rFonts w:ascii="Times New Roman" w:hAnsi="Times New Roman" w:eastAsia="Times New Roman" w:cs="Times New Roman"/>
          <w:sz w:val="28"/>
          <w:szCs w:val="28"/>
        </w:rPr>
        <w:t xml:space="preserve"> leaf extract in Wistar rats. </w:t>
      </w:r>
      <w:r>
        <w:rPr>
          <w:rFonts w:ascii="Times New Roman" w:hAnsi="Times New Roman" w:eastAsia="Times New Roman" w:cs="Times New Roman"/>
          <w:i/>
          <w:iCs/>
          <w:sz w:val="28"/>
          <w:szCs w:val="28"/>
        </w:rPr>
        <w:t>Journal of Toxicological Studies</w:t>
      </w:r>
      <w:r>
        <w:rPr>
          <w:rFonts w:ascii="Times New Roman" w:hAnsi="Times New Roman" w:eastAsia="Times New Roman" w:cs="Times New Roman"/>
          <w:sz w:val="28"/>
          <w:szCs w:val="28"/>
        </w:rPr>
        <w:t>, 19(4), 221–229.</w:t>
      </w:r>
      <w:r>
        <w:rPr>
          <w:rFonts w:ascii="Times New Roman" w:hAnsi="Times New Roman" w:cs="Times New Roman"/>
          <w:sz w:val="28"/>
          <w:szCs w:val="28"/>
        </w:rPr>
        <w:t xml:space="preserve"> </w:t>
      </w:r>
    </w:p>
    <w:p w14:paraId="788105A5">
      <w:pPr>
        <w:spacing w:line="480" w:lineRule="auto"/>
        <w:jc w:val="both"/>
        <w:rPr>
          <w:rFonts w:ascii="Times New Roman" w:hAnsi="Times New Roman" w:cs="Times New Roman"/>
          <w:bCs/>
          <w:i/>
          <w:iCs/>
          <w:sz w:val="28"/>
          <w:szCs w:val="28"/>
        </w:rPr>
      </w:pPr>
    </w:p>
    <w:p w14:paraId="777EDFC4">
      <w:pPr>
        <w:rPr>
          <w:rFonts w:ascii="Times New Roman" w:hAnsi="Times New Roman" w:cs="Times New Roman"/>
          <w:bCs/>
          <w:sz w:val="28"/>
          <w:szCs w:val="28"/>
        </w:rPr>
      </w:pPr>
      <w:r>
        <w:rPr>
          <w:rFonts w:ascii="Times New Roman" w:hAnsi="Times New Roman" w:cs="Times New Roman"/>
          <w:bCs/>
          <w:sz w:val="28"/>
          <w:szCs w:val="28"/>
        </w:rPr>
        <w:t xml:space="preserve"> </w:t>
      </w:r>
    </w:p>
    <w:sectPr>
      <w:footerReference r:id="rId6" w:type="default"/>
      <w:pgSz w:w="12240" w:h="1440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onotype Corsiva">
    <w:panose1 w:val="03010101010201010101"/>
    <w:charset w:val="00"/>
    <w:family w:val="script"/>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lgerian">
    <w:panose1 w:val="04020705040A02060702"/>
    <w:charset w:val="00"/>
    <w:family w:val="decorative"/>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461270"/>
      <w:docPartObj>
        <w:docPartGallery w:val="autotext"/>
      </w:docPartObj>
    </w:sdtPr>
    <w:sdtContent>
      <w:p w14:paraId="3DA3CCE0">
        <w:pPr>
          <w:pStyle w:val="5"/>
          <w:jc w:val="center"/>
        </w:pPr>
        <w:r>
          <w:fldChar w:fldCharType="begin"/>
        </w:r>
        <w:r>
          <w:instrText xml:space="preserve"> PAGE   \* MERGEFORMAT </w:instrText>
        </w:r>
        <w:r>
          <w:fldChar w:fldCharType="separate"/>
        </w:r>
        <w:r>
          <w:t>i</w:t>
        </w:r>
        <w:r>
          <w:fldChar w:fldCharType="end"/>
        </w:r>
      </w:p>
    </w:sdtContent>
  </w:sdt>
  <w:p w14:paraId="356CB80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7719114"/>
      <w:docPartObj>
        <w:docPartGallery w:val="autotext"/>
      </w:docPartObj>
    </w:sdtPr>
    <w:sdtContent>
      <w:p w14:paraId="3DFBD5CE">
        <w:pPr>
          <w:pStyle w:val="5"/>
          <w:jc w:val="center"/>
        </w:pPr>
        <w:r>
          <w:fldChar w:fldCharType="begin"/>
        </w:r>
        <w:r>
          <w:instrText xml:space="preserve"> PAGE   \* MERGEFORMAT </w:instrText>
        </w:r>
        <w:r>
          <w:fldChar w:fldCharType="separate"/>
        </w:r>
        <w:r>
          <w:t>2</w:t>
        </w:r>
        <w:r>
          <w:fldChar w:fldCharType="end"/>
        </w:r>
      </w:p>
    </w:sdtContent>
  </w:sdt>
  <w:p w14:paraId="6A8A01A7">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8763F"/>
    <w:multiLevelType w:val="multilevel"/>
    <w:tmpl w:val="0C38763F"/>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1">
    <w:nsid w:val="217A6BAC"/>
    <w:multiLevelType w:val="multilevel"/>
    <w:tmpl w:val="217A6B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5607B9A"/>
    <w:multiLevelType w:val="multilevel"/>
    <w:tmpl w:val="25607B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DAF152C"/>
    <w:multiLevelType w:val="multilevel"/>
    <w:tmpl w:val="6DAF152C"/>
    <w:lvl w:ilvl="0" w:tentative="0">
      <w:start w:val="1"/>
      <w:numFmt w:val="decimal"/>
      <w:lvlText w:val="%1.0"/>
      <w:lvlJc w:val="left"/>
      <w:pPr>
        <w:ind w:left="375" w:hanging="375"/>
      </w:pPr>
      <w:rPr>
        <w:rFonts w:hint="default"/>
      </w:rPr>
    </w:lvl>
    <w:lvl w:ilvl="1" w:tentative="0">
      <w:start w:val="1"/>
      <w:numFmt w:val="decimal"/>
      <w:lvlText w:val="%1.%2"/>
      <w:lvlJc w:val="left"/>
      <w:pPr>
        <w:ind w:left="1095" w:hanging="375"/>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4A"/>
    <w:rsid w:val="00150150"/>
    <w:rsid w:val="001530CA"/>
    <w:rsid w:val="002458EE"/>
    <w:rsid w:val="0031327F"/>
    <w:rsid w:val="0032468B"/>
    <w:rsid w:val="003C2330"/>
    <w:rsid w:val="00562BE5"/>
    <w:rsid w:val="005C510B"/>
    <w:rsid w:val="006F092B"/>
    <w:rsid w:val="008854B1"/>
    <w:rsid w:val="00893990"/>
    <w:rsid w:val="00930221"/>
    <w:rsid w:val="009429EF"/>
    <w:rsid w:val="0095234A"/>
    <w:rsid w:val="009B08BF"/>
    <w:rsid w:val="009B41E0"/>
    <w:rsid w:val="009F2562"/>
    <w:rsid w:val="00B174A1"/>
    <w:rsid w:val="00B81B65"/>
    <w:rsid w:val="00BD107E"/>
    <w:rsid w:val="00CD23F7"/>
    <w:rsid w:val="00E42B1A"/>
    <w:rsid w:val="00EB7B2A"/>
    <w:rsid w:val="00F50476"/>
    <w:rsid w:val="075037CA"/>
    <w:rsid w:val="1BEC6B91"/>
    <w:rsid w:val="48D3531E"/>
    <w:rsid w:val="5AAB4D51"/>
    <w:rsid w:val="76595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qFormat/>
    <w:uiPriority w:val="99"/>
    <w:pPr>
      <w:tabs>
        <w:tab w:val="center" w:pos="4680"/>
        <w:tab w:val="right" w:pos="9360"/>
      </w:tabs>
      <w:spacing w:after="0" w:line="240" w:lineRule="auto"/>
    </w:pPr>
  </w:style>
  <w:style w:type="paragraph" w:styleId="6">
    <w:name w:val="header"/>
    <w:basedOn w:val="1"/>
    <w:link w:val="9"/>
    <w:unhideWhenUsed/>
    <w:qFormat/>
    <w:uiPriority w:val="99"/>
    <w:pPr>
      <w:tabs>
        <w:tab w:val="center" w:pos="4680"/>
        <w:tab w:val="right" w:pos="9360"/>
      </w:tabs>
      <w:spacing w:after="0" w:line="240" w:lineRule="auto"/>
    </w:p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2"/>
    <w:qFormat/>
    <w:uiPriority w:val="22"/>
    <w:rPr>
      <w:b/>
      <w:bCs/>
    </w:rPr>
  </w:style>
  <w:style w:type="character" w:customStyle="1" w:styleId="9">
    <w:name w:val="Header Char"/>
    <w:basedOn w:val="2"/>
    <w:link w:val="6"/>
    <w:qFormat/>
    <w:uiPriority w:val="99"/>
    <w:rPr>
      <w:rFonts w:eastAsiaTheme="minorEastAsia"/>
    </w:rPr>
  </w:style>
  <w:style w:type="character" w:customStyle="1" w:styleId="10">
    <w:name w:val="Footer Char"/>
    <w:basedOn w:val="2"/>
    <w:link w:val="5"/>
    <w:qFormat/>
    <w:uiPriority w:val="99"/>
    <w:rPr>
      <w:rFonts w:eastAsiaTheme="minorEastAsia"/>
    </w:rPr>
  </w:style>
  <w:style w:type="paragraph" w:styleId="11">
    <w:name w:val="List Paragraph"/>
    <w:basedOn w:val="1"/>
    <w:qFormat/>
    <w:uiPriority w:val="34"/>
    <w:pPr>
      <w:ind w:left="720"/>
      <w:contextualSpacing/>
    </w:pPr>
  </w:style>
  <w:style w:type="table" w:customStyle="1" w:styleId="12">
    <w:name w:val="List Table 2"/>
    <w:basedOn w:val="3"/>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3">
    <w:name w:val="List Table 6 Colorful"/>
    <w:basedOn w:val="3"/>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4344</Words>
  <Characters>24762</Characters>
  <Lines>206</Lines>
  <Paragraphs>58</Paragraphs>
  <TotalTime>2</TotalTime>
  <ScaleCrop>false</ScaleCrop>
  <LinksUpToDate>false</LinksUpToDate>
  <CharactersWithSpaces>29048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2025-07-11T18:52:00Z</dcterms:created>
  <dc:creator>Ibrahim Olamilekan</dc:creator>
  <cp:lastModifiedBy>WPS_1715902913</cp:lastModifiedBy>
  <dcterms:modified xsi:type="dcterms:W3CDTF">2025-08-03T16:23:31Z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7E48826C1107461DBED3BC695C3F853B_13</vt:lpwstr>
  </property>
</Properties>
</file>