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0DB8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ANTIFUNGAL EFFECT OF </w:t>
      </w:r>
      <w:r>
        <w:rPr>
          <w:rFonts w:ascii="Times New Roman" w:hAnsi="Times New Roman" w:cs="Times New Roman"/>
          <w:b/>
          <w:i/>
          <w:sz w:val="28"/>
          <w:szCs w:val="28"/>
        </w:rPr>
        <w:t>CALOTROPIS PROCERA</w:t>
      </w:r>
      <w:r>
        <w:rPr>
          <w:rFonts w:ascii="Times New Roman" w:hAnsi="Times New Roman" w:cs="Times New Roman"/>
          <w:b/>
          <w:sz w:val="28"/>
          <w:szCs w:val="28"/>
        </w:rPr>
        <w:t xml:space="preserve"> (BOMBOM LEAF</w:t>
      </w:r>
    </w:p>
    <w:p w14:paraId="05582F86">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A PROJECT REPORT SUBMITTED</w:t>
      </w:r>
    </w:p>
    <w:p w14:paraId="6E841955">
      <w:pPr>
        <w:jc w:val="center"/>
        <w:rPr>
          <w:rFonts w:ascii="Times New Roman" w:hAnsi="Times New Roman" w:eastAsia="Times New Roman" w:cs="Times New Roman"/>
          <w:b/>
          <w:sz w:val="28"/>
          <w:szCs w:val="28"/>
        </w:rPr>
      </w:pPr>
    </w:p>
    <w:p w14:paraId="46DA27F7">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BY</w:t>
      </w:r>
    </w:p>
    <w:p w14:paraId="4E7AAB7A">
      <w:pPr>
        <w:jc w:val="center"/>
        <w:rPr>
          <w:rFonts w:ascii="Times New Roman" w:hAnsi="Times New Roman" w:cs="Times New Roman"/>
          <w:b/>
          <w:sz w:val="28"/>
          <w:szCs w:val="28"/>
        </w:rPr>
      </w:pPr>
      <w:r>
        <w:rPr>
          <w:rFonts w:ascii="Times New Roman" w:hAnsi="Times New Roman" w:cs="Times New Roman"/>
          <w:b/>
          <w:sz w:val="28"/>
          <w:szCs w:val="28"/>
        </w:rPr>
        <w:t xml:space="preserve">AJOFOYINBO OLUWAFOLAKEMI DORCAS </w:t>
      </w:r>
    </w:p>
    <w:p w14:paraId="0BD9894F">
      <w:pPr>
        <w:jc w:val="center"/>
        <w:rPr>
          <w:rFonts w:ascii="Times New Roman" w:hAnsi="Times New Roman" w:cs="Times New Roman"/>
          <w:b/>
          <w:sz w:val="28"/>
          <w:szCs w:val="28"/>
        </w:rPr>
      </w:pPr>
      <w:r>
        <w:rPr>
          <w:rFonts w:ascii="Times New Roman" w:hAnsi="Times New Roman" w:cs="Times New Roman"/>
          <w:b/>
          <w:sz w:val="28"/>
          <w:szCs w:val="28"/>
        </w:rPr>
        <w:t>HND/23/SLT/FT/0541</w:t>
      </w:r>
    </w:p>
    <w:p w14:paraId="38F21F8D">
      <w:pPr>
        <w:jc w:val="center"/>
        <w:rPr>
          <w:rFonts w:ascii="Times New Roman" w:hAnsi="Times New Roman" w:cs="Times New Roman"/>
          <w:b/>
          <w:sz w:val="28"/>
          <w:szCs w:val="28"/>
        </w:rPr>
      </w:pPr>
    </w:p>
    <w:p w14:paraId="7199E0AA">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5DB032C0">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C941A50">
      <w:pPr>
        <w:jc w:val="right"/>
        <w:rPr>
          <w:rFonts w:ascii="Times New Roman" w:hAnsi="Times New Roman" w:cs="Times New Roman"/>
          <w:b/>
          <w:sz w:val="28"/>
          <w:szCs w:val="28"/>
        </w:rPr>
      </w:pPr>
    </w:p>
    <w:p w14:paraId="1C44524C">
      <w:pPr>
        <w:jc w:val="right"/>
        <w:rPr>
          <w:rFonts w:ascii="Times New Roman" w:hAnsi="Times New Roman" w:cs="Times New Roman"/>
          <w:b/>
          <w:sz w:val="28"/>
          <w:szCs w:val="28"/>
        </w:rPr>
      </w:pPr>
    </w:p>
    <w:p w14:paraId="696FC9E2">
      <w:pPr>
        <w:ind w:left="7200"/>
        <w:jc w:val="both"/>
        <w:rPr>
          <w:rFonts w:ascii="Times New Roman" w:hAnsi="Times New Roman" w:eastAsia="Times New Roman" w:cs="Times New Roman"/>
          <w:b/>
          <w:sz w:val="28"/>
          <w:szCs w:val="28"/>
        </w:rPr>
      </w:pPr>
      <w:r>
        <w:rPr>
          <w:rFonts w:ascii="Times New Roman" w:hAnsi="Times New Roman" w:cs="Times New Roman"/>
          <w:b/>
          <w:sz w:val="28"/>
          <w:szCs w:val="28"/>
        </w:rPr>
        <w:t>JULY,2025</w:t>
      </w:r>
    </w:p>
    <w:p w14:paraId="2315DC58">
      <w:pPr>
        <w:rPr>
          <w:rFonts w:ascii="Times New Roman" w:hAnsi="Times New Roman" w:cs="Times New Roman"/>
          <w:b/>
          <w:bCs/>
          <w:sz w:val="28"/>
          <w:szCs w:val="28"/>
        </w:rPr>
      </w:pPr>
      <w:r>
        <w:rPr>
          <w:rFonts w:ascii="Times New Roman" w:hAnsi="Times New Roman" w:cs="Times New Roman"/>
          <w:b/>
          <w:bCs/>
          <w:sz w:val="28"/>
          <w:szCs w:val="28"/>
        </w:rPr>
        <w:br w:type="page"/>
      </w:r>
    </w:p>
    <w:p w14:paraId="0BDD0F1D">
      <w:pPr>
        <w:jc w:val="both"/>
        <w:rPr>
          <w:rFonts w:hint="default" w:ascii="Times New Roman" w:hAnsi="Times New Roman" w:cs="Times New Roman"/>
          <w:b/>
          <w:bCs/>
          <w:sz w:val="28"/>
          <w:szCs w:val="28"/>
          <w:lang w:val="en-US"/>
        </w:rPr>
      </w:pPr>
      <w:bookmarkStart w:id="27" w:name="_GoBack"/>
      <w:r>
        <w:rPr>
          <w:rFonts w:hint="default" w:ascii="Times New Roman" w:hAnsi="Times New Roman" w:cs="Times New Roman"/>
          <w:b/>
          <w:bCs/>
          <w:sz w:val="28"/>
          <w:szCs w:val="28"/>
          <w:lang w:val="en-US"/>
        </w:rPr>
        <w:drawing>
          <wp:inline distT="0" distB="0" distL="114300" distR="114300">
            <wp:extent cx="5467985" cy="7315200"/>
            <wp:effectExtent l="0" t="0" r="18415" b="0"/>
            <wp:docPr id="1" name="Picture 1" descr="IMG_20250802_143054_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0250802_143054_589"/>
                    <pic:cNvPicPr>
                      <a:picLocks noChangeAspect="1"/>
                    </pic:cNvPicPr>
                  </pic:nvPicPr>
                  <pic:blipFill>
                    <a:blip r:embed="rId7"/>
                    <a:stretch>
                      <a:fillRect/>
                    </a:stretch>
                  </pic:blipFill>
                  <pic:spPr>
                    <a:xfrm>
                      <a:off x="0" y="0"/>
                      <a:ext cx="5467985" cy="7315200"/>
                    </a:xfrm>
                    <a:prstGeom prst="rect">
                      <a:avLst/>
                    </a:prstGeom>
                  </pic:spPr>
                </pic:pic>
              </a:graphicData>
            </a:graphic>
          </wp:inline>
        </w:drawing>
      </w:r>
      <w:bookmarkEnd w:id="27"/>
    </w:p>
    <w:p w14:paraId="479222BB">
      <w:pPr>
        <w:jc w:val="both"/>
        <w:rPr>
          <w:rFonts w:ascii="Times New Roman" w:hAnsi="Times New Roman" w:cs="Times New Roman"/>
          <w:b/>
          <w:bCs/>
          <w:sz w:val="28"/>
          <w:szCs w:val="28"/>
        </w:rPr>
      </w:pPr>
    </w:p>
    <w:p w14:paraId="7AF2623E">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t>DEDICATION</w:t>
      </w:r>
    </w:p>
    <w:p w14:paraId="31DF5F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final project is dedicated first and foremost to Almighty God, whose grace, strength, and guidance sustained me throughout this academic journey,and my stay in KWARA STATE POLYTECHNIC </w:t>
      </w:r>
    </w:p>
    <w:p w14:paraId="26CCEEF5">
      <w:pPr>
        <w:spacing w:line="480" w:lineRule="auto"/>
        <w:jc w:val="both"/>
        <w:rPr>
          <w:rFonts w:ascii="Times New Roman" w:hAnsi="Times New Roman" w:eastAsia="Times New Roman" w:cs="Times New Roman"/>
          <w:b/>
          <w:sz w:val="28"/>
          <w:szCs w:val="28"/>
        </w:rPr>
      </w:pPr>
      <w:r>
        <w:rPr>
          <w:rFonts w:ascii="Times New Roman" w:hAnsi="Times New Roman" w:cs="Times New Roman"/>
          <w:sz w:val="28"/>
          <w:szCs w:val="28"/>
        </w:rPr>
        <w:t>I dedicate this project to my wonderful parents, whose unwavering love, prayers, and sacrifices have been my greatest motivation. Your belief in my dreams gave me strength through every challenge.</w:t>
      </w:r>
      <w:r>
        <w:rPr>
          <w:rFonts w:ascii="Times New Roman" w:hAnsi="Times New Roman" w:eastAsia="Times New Roman" w:cs="Times New Roman"/>
          <w:b/>
          <w:sz w:val="28"/>
          <w:szCs w:val="28"/>
        </w:rPr>
        <w:br w:type="page"/>
      </w:r>
    </w:p>
    <w:p w14:paraId="371291CC">
      <w:pPr>
        <w:spacing w:line="60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ACKNOWLEDGEMENT</w:t>
      </w:r>
    </w:p>
    <w:p w14:paraId="4933547E">
      <w:pPr>
        <w:spacing w:line="360" w:lineRule="auto"/>
        <w:jc w:val="both"/>
        <w:rPr>
          <w:rFonts w:ascii="Times New Roman" w:hAnsi="Times New Roman" w:cs="Times New Roman"/>
          <w:sz w:val="28"/>
          <w:szCs w:val="28"/>
        </w:rPr>
      </w:pPr>
      <w:r>
        <w:rPr>
          <w:rFonts w:ascii="Times New Roman" w:hAnsi="Times New Roman" w:cs="Times New Roman"/>
          <w:sz w:val="28"/>
          <w:szCs w:val="28"/>
        </w:rPr>
        <w:t>With a heart full of gratitude, I thank Almighty God for the strength, health, grace, and clarity of mind that carried me through the entire duration in school. I extend my deepest appreciation to my project supervisor, Mrs Abuduquadril, whose mentorship, patience, and insightful feedback guided the direction of t his work. Your encouragement and attention to detail helped shape this project into what it is today. To my wonderful parents MR and MRS AJOFOYINBO words can never fully express my gratitude. Your unwavering love, constant prayers, emotional support, and countless sacrifices have been the pillars upon which I stand. Thank you for believing in me even when I doubted myself, for cheering me on through late nights and long days, and for being my greatest source of strength. This achievement is as much yours as it is mine. To my amazing boyfriend, Ajiboye Olamide, thank you for being my rock. Your patience, encouragement, and faith in my dreams kept me going through moments of exhaustion and doubt. Your thoughtful words, listening ears, and emotional presence meant more to me than you’ll ever know. I am deeply grateful for your unwavering support and love.</w:t>
      </w:r>
    </w:p>
    <w:p w14:paraId="1D20924A">
      <w:pPr>
        <w:spacing w:line="276" w:lineRule="auto"/>
        <w:jc w:val="both"/>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hAnsiTheme="minorHAnsi" w:eastAsiaTheme="minorHAnsi" w:cstheme="minorBidi"/>
          <w:color w:val="000000" w:themeColor="text1"/>
          <w:sz w:val="28"/>
          <w:szCs w:val="28"/>
          <w14:textFill>
            <w14:solidFill>
              <w14:schemeClr w14:val="tx1"/>
            </w14:solidFill>
          </w14:textFill>
        </w:rPr>
        <w:id w:val="-1669315309"/>
        <w:docPartObj>
          <w:docPartGallery w:val="Table of Contents"/>
          <w:docPartUnique/>
        </w:docPartObj>
      </w:sdtPr>
      <w:sdtEndPr>
        <w:rPr>
          <w:rFonts w:ascii="Times New Roman" w:hAnsi="Times New Roman" w:cs="Times New Roman" w:eastAsiaTheme="minorHAnsi"/>
          <w:b/>
          <w:bCs/>
          <w:color w:val="auto"/>
          <w:sz w:val="22"/>
          <w:szCs w:val="22"/>
        </w:rPr>
      </w:sdtEndPr>
      <w:sdtContent>
        <w:p w14:paraId="2DC8128B">
          <w:pPr>
            <w:pStyle w:val="2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TABLE OF CONTENTS</w:t>
          </w:r>
        </w:p>
        <w:p w14:paraId="3549C067">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TITLE PAGE</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w:t>
          </w:r>
          <w:r>
            <w:rPr>
              <w:rFonts w:ascii="Times New Roman" w:hAnsi="Times New Roman" w:eastAsia="Times New Roman" w:cs="Times New Roman"/>
              <w:bCs/>
              <w:color w:val="000000" w:themeColor="text1"/>
              <w:sz w:val="28"/>
              <w:szCs w:val="28"/>
              <w14:textFill>
                <w14:solidFill>
                  <w14:schemeClr w14:val="tx1"/>
                </w14:solidFill>
              </w14:textFill>
            </w:rPr>
            <w:tab/>
          </w:r>
        </w:p>
        <w:p w14:paraId="0DC66CE9">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CERTIFICATION</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II</w:t>
          </w:r>
        </w:p>
        <w:p w14:paraId="78AF6F54">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DEDICATION</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III</w:t>
          </w:r>
        </w:p>
        <w:p w14:paraId="2F5F55D8">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AKNOWLEDGEMENT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IV</w:t>
          </w:r>
        </w:p>
        <w:p w14:paraId="09EE7D72">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ABSTRACT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V</w:t>
          </w:r>
        </w:p>
        <w:p w14:paraId="0CEBD738">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TABLE OF CONTENT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 xml:space="preserve">   VI- VII</w:t>
          </w:r>
        </w:p>
        <w:p w14:paraId="447B1B54">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LIST OF TABLES</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VIII</w:t>
          </w:r>
        </w:p>
        <w:p w14:paraId="6391ADB7">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TOC \o "1-3" \h \z \u </w:instrText>
          </w:r>
          <w:r>
            <w:rPr>
              <w:rFonts w:ascii="Times New Roman" w:hAnsi="Times New Roman" w:cs="Times New Roman"/>
              <w:color w:val="000000" w:themeColor="text1"/>
              <w:sz w:val="28"/>
              <w:szCs w:val="28"/>
              <w14:textFill>
                <w14:solidFill>
                  <w14:schemeClr w14:val="tx1"/>
                </w14:solidFill>
              </w14:textFill>
            </w:rPr>
            <w:fldChar w:fldCharType="separate"/>
          </w:r>
          <w:r>
            <w:fldChar w:fldCharType="begin"/>
          </w:r>
          <w:r>
            <w:instrText xml:space="preserve"> HYPERLINK \l "_Toc203225906"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ONE</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862233F">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"_Toc203225907"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1.0 INTRODUCTION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_Toc203225907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49FA124B">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"_Toc203225908"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1.1 Literature Review</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55E31AFC">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"_Toc203225909"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1.2 Statement of Problem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2454B0D">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1.3 Aim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59597AD">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"_Toc203225911"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1.4 Objectives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7F147446">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"_Toc203225912"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CHAPTER TWO</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14C7D3E1">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"_Toc203225913"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2.0 MATERIALS AND METHODS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_Toc203225913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4131EF40">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"_Toc203225914"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2.1 Materials Used</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_Toc203225914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9C312A2">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"_Toc203225915"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2.2 Chemicals and Reagents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_Toc203225915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50E7865">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"_Toc203225916"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2.3 Sterilization of Glasswares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13</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19B21EC8">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"_Toc203225917"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2.4 Media Preparation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_Toc203225917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13</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29F098E">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"_Toc203225918"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2.5 Sample Collection and Preparation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14</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B06961C">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"_Toc203225919"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2.6 Inoculation Methods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14</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85693D6">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THREE</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E6F8275">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"_Toc203225921"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3.0 RESULTS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663DB3D0">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"_Toc203225922"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3.1 Zone of Inhibition (mm) of Aqueous Extract of </w:t>
          </w:r>
          <w:r>
            <w:rPr>
              <w:rStyle w:val="10"/>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Style w:val="10"/>
              <w:rFonts w:ascii="Times New Roman" w:hAnsi="Times New Roman" w:eastAsia="Times New Roman" w:cs="Times New Roman"/>
              <w:b/>
              <w:i/>
              <w:iCs/>
              <w:color w:val="000000" w:themeColor="text1"/>
              <w:sz w:val="28"/>
              <w:szCs w:val="28"/>
              <w14:textFill>
                <w14:solidFill>
                  <w14:schemeClr w14:val="tx1"/>
                </w14:solidFill>
              </w14:textFill>
            </w:rPr>
            <w:t>E. coli</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CA8A5F2">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"_Toc203225924"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3.2 Zone of Inhibition (mm) of Ethanolic Extract of </w:t>
          </w:r>
          <w:r>
            <w:rPr>
              <w:rStyle w:val="10"/>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Style w:val="10"/>
              <w:rFonts w:ascii="Times New Roman" w:hAnsi="Times New Roman" w:eastAsia="Times New Roman" w:cs="Times New Roman"/>
              <w:b/>
              <w:i/>
              <w:iCs/>
              <w:color w:val="000000" w:themeColor="text1"/>
              <w:sz w:val="28"/>
              <w:szCs w:val="28"/>
              <w14:textFill>
                <w14:solidFill>
                  <w14:schemeClr w14:val="tx1"/>
                </w14:solidFill>
              </w14:textFill>
            </w:rPr>
            <w:t>E. coli</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_Toc203225924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17</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6972CB17">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"_Toc203225926"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3.3: Comparative Antimicrobial Activity of Aqueous and Ethanolic Extracts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17</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543F459A">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"_Toc203225928"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FOUR</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4C9E9C43">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"_Toc203225929"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4.0 DISCUSSION AND CONCLUSION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58CA0251">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4.1 DISCUSSION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61F85528">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"_Toc203225931"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4.2 Conclusion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21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48C867D">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"_Toc203225932"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REFERENCES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22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07F193D">
          <w:pPr>
            <w:rPr>
              <w:rFonts w:ascii="Times New Roman" w:hAnsi="Times New Roman" w:cs="Times New Roman"/>
            </w:rPr>
          </w:pPr>
          <w:r>
            <w:rPr>
              <w:rFonts w:ascii="Times New Roman" w:hAnsi="Times New Roman" w:cs="Times New Roman"/>
              <w:b/>
              <w:bCs/>
              <w:color w:val="000000" w:themeColor="text1"/>
              <w:sz w:val="28"/>
              <w:szCs w:val="28"/>
              <w14:textFill>
                <w14:solidFill>
                  <w14:schemeClr w14:val="tx1"/>
                </w14:solidFill>
              </w14:textFill>
            </w:rPr>
            <w:fldChar w:fldCharType="end"/>
          </w:r>
        </w:p>
      </w:sdtContent>
    </w:sdt>
    <w:p w14:paraId="01AAE0D7">
      <w:pPr>
        <w:spacing w:line="480" w:lineRule="auto"/>
        <w:jc w:val="both"/>
        <w:rPr>
          <w:rFonts w:ascii="Times New Roman" w:hAnsi="Times New Roman" w:cs="Times New Roman"/>
          <w:sz w:val="28"/>
          <w:szCs w:val="28"/>
        </w:rPr>
      </w:pPr>
    </w:p>
    <w:p w14:paraId="51D0CDDA">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t>LIST OF TABLES</w:t>
      </w:r>
    </w:p>
    <w:p w14:paraId="5BE1F021">
      <w:pPr>
        <w:rPr>
          <w:rFonts w:ascii="Times New Roman" w:hAnsi="Times New Roman" w:cs="Times New Roman"/>
          <w:sz w:val="28"/>
          <w:szCs w:val="28"/>
        </w:rPr>
      </w:pPr>
      <w:r>
        <w:rPr>
          <w:rFonts w:ascii="Times New Roman" w:hAnsi="Times New Roman" w:cs="Times New Roman"/>
          <w:sz w:val="28"/>
          <w:szCs w:val="28"/>
        </w:rPr>
        <w:t xml:space="preserve">Table 1: Zone of Inhibition (mm) of Aqueous Extract of </w:t>
      </w:r>
      <w:r>
        <w:rPr>
          <w:rFonts w:ascii="Times New Roman" w:hAnsi="Times New Roman" w:cs="Times New Roman"/>
          <w:i/>
          <w:sz w:val="28"/>
          <w:szCs w:val="28"/>
        </w:rPr>
        <w:t>Calotropis procera</w:t>
      </w:r>
      <w:r>
        <w:rPr>
          <w:rFonts w:ascii="Times New Roman" w:hAnsi="Times New Roman" w:cs="Times New Roman"/>
          <w:sz w:val="28"/>
          <w:szCs w:val="28"/>
        </w:rPr>
        <w:t xml:space="preserve"> against E. coli……………………………………………….……………..16</w:t>
      </w:r>
    </w:p>
    <w:p w14:paraId="2C9E8531">
      <w:pPr>
        <w:rPr>
          <w:rFonts w:ascii="Times New Roman" w:hAnsi="Times New Roman" w:cs="Times New Roman"/>
          <w:sz w:val="28"/>
          <w:szCs w:val="28"/>
        </w:rPr>
      </w:pPr>
      <w:r>
        <w:rPr>
          <w:rFonts w:ascii="Times New Roman" w:hAnsi="Times New Roman" w:cs="Times New Roman"/>
          <w:sz w:val="28"/>
          <w:szCs w:val="28"/>
        </w:rPr>
        <w:t xml:space="preserve">Table 2: Zone of Inhibition (mm) of Ethanolic Extract of </w:t>
      </w:r>
      <w:r>
        <w:rPr>
          <w:rFonts w:ascii="Times New Roman" w:hAnsi="Times New Roman" w:cs="Times New Roman"/>
          <w:i/>
          <w:sz w:val="28"/>
          <w:szCs w:val="28"/>
        </w:rPr>
        <w:t>Calotropis procera</w:t>
      </w:r>
      <w:r>
        <w:rPr>
          <w:rFonts w:ascii="Times New Roman" w:hAnsi="Times New Roman" w:cs="Times New Roman"/>
          <w:sz w:val="28"/>
          <w:szCs w:val="28"/>
        </w:rPr>
        <w:t xml:space="preserve"> against </w:t>
      </w:r>
      <w:r>
        <w:rPr>
          <w:rFonts w:ascii="Times New Roman" w:hAnsi="Times New Roman" w:cs="Times New Roman"/>
          <w:i/>
          <w:sz w:val="28"/>
          <w:szCs w:val="28"/>
        </w:rPr>
        <w:t>E. coli</w:t>
      </w:r>
      <w:r>
        <w:rPr>
          <w:rFonts w:ascii="Times New Roman" w:hAnsi="Times New Roman" w:cs="Times New Roman"/>
          <w:sz w:val="28"/>
          <w:szCs w:val="28"/>
        </w:rPr>
        <w:t>…………………………………………………………..….17</w:t>
      </w:r>
    </w:p>
    <w:p w14:paraId="11B210E2">
      <w:pPr>
        <w:rPr>
          <w:rFonts w:ascii="Times New Roman" w:hAnsi="Times New Roman" w:cs="Times New Roman"/>
          <w:b/>
          <w:sz w:val="28"/>
          <w:szCs w:val="28"/>
        </w:rPr>
      </w:pPr>
      <w:r>
        <w:rPr>
          <w:rFonts w:ascii="Times New Roman" w:hAnsi="Times New Roman" w:cs="Times New Roman"/>
          <w:sz w:val="28"/>
          <w:szCs w:val="28"/>
        </w:rPr>
        <w:t>Table 3 Comparative Antimicrobial Activity of Aqueous and Ethanolic Extracts……………………………………………………………………17</w:t>
      </w:r>
      <w:r>
        <w:rPr>
          <w:rFonts w:ascii="Times New Roman" w:hAnsi="Times New Roman" w:cs="Times New Roman"/>
          <w:b/>
          <w:sz w:val="28"/>
          <w:szCs w:val="28"/>
        </w:rPr>
        <w:br w:type="page"/>
      </w:r>
    </w:p>
    <w:p w14:paraId="4EFBD0E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3E36CB6E">
      <w:pPr>
        <w:spacing w:line="360" w:lineRule="auto"/>
        <w:jc w:val="both"/>
        <w:rPr>
          <w:rFonts w:ascii="Times New Roman" w:hAnsi="Times New Roman" w:cs="Times New Roman"/>
          <w:sz w:val="28"/>
          <w:szCs w:val="28"/>
        </w:rPr>
        <w:sectPr>
          <w:footerReference r:id="rId5" w:type="default"/>
          <w:pgSz w:w="11520" w:h="14400"/>
          <w:pgMar w:top="1440" w:right="1440" w:bottom="1440" w:left="1440" w:header="706" w:footer="706" w:gutter="0"/>
          <w:pgNumType w:fmt="lowerRoman" w:start="1"/>
          <w:cols w:space="708" w:num="1"/>
          <w:docGrid w:linePitch="360" w:charSpace="0"/>
        </w:sectPr>
      </w:pPr>
      <w:r>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Pr>
          <w:rFonts w:ascii="Times New Roman" w:hAnsi="Times New Roman" w:cs="Times New Roman"/>
          <w:i/>
          <w:iCs/>
          <w:sz w:val="28"/>
          <w:szCs w:val="28"/>
        </w:rPr>
        <w:t>Calotropis procera</w:t>
      </w:r>
      <w:r>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Pr>
          <w:rFonts w:ascii="Times New Roman" w:hAnsi="Times New Roman" w:cs="Times New Roman"/>
          <w:i/>
          <w:iCs/>
          <w:sz w:val="28"/>
          <w:szCs w:val="28"/>
        </w:rPr>
        <w:t>C. procera</w:t>
      </w:r>
      <w:r>
        <w:rPr>
          <w:rFonts w:ascii="Times New Roman" w:hAnsi="Times New Roman" w:cs="Times New Roman"/>
          <w:sz w:val="28"/>
          <w:szCs w:val="28"/>
        </w:rPr>
        <w:t xml:space="preserve"> against </w:t>
      </w:r>
      <w:r>
        <w:rPr>
          <w:rFonts w:ascii="Times New Roman" w:hAnsi="Times New Roman" w:cs="Times New Roman"/>
          <w:i/>
          <w:iCs/>
          <w:sz w:val="28"/>
          <w:szCs w:val="28"/>
        </w:rPr>
        <w:t>Escherichia coli</w:t>
      </w:r>
      <w:r>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Pr>
          <w:rFonts w:ascii="Times New Roman" w:hAnsi="Times New Roman" w:cs="Times New Roman"/>
          <w:i/>
          <w:iCs/>
          <w:sz w:val="28"/>
          <w:szCs w:val="28"/>
        </w:rPr>
        <w:t>E. coli</w:t>
      </w:r>
      <w:r>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Pr>
          <w:rFonts w:ascii="Times New Roman" w:hAnsi="Times New Roman" w:cs="Times New Roman"/>
          <w:i/>
          <w:iCs/>
          <w:sz w:val="28"/>
          <w:szCs w:val="28"/>
        </w:rPr>
        <w:t>C. procera</w:t>
      </w:r>
      <w:r>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14:paraId="73C7E56E">
      <w:pPr>
        <w:spacing w:line="360" w:lineRule="auto"/>
        <w:jc w:val="center"/>
        <w:rPr>
          <w:rFonts w:ascii="Times New Roman" w:hAnsi="Times New Roman" w:cs="Times New Roman"/>
          <w:b/>
          <w:color w:val="000000" w:themeColor="text1"/>
          <w:sz w:val="28"/>
          <w:szCs w:val="28"/>
          <w14:textFill>
            <w14:solidFill>
              <w14:schemeClr w14:val="tx1"/>
            </w14:solidFill>
          </w14:textFill>
        </w:rPr>
      </w:pPr>
      <w:bookmarkStart w:id="0" w:name="_Toc203225906"/>
      <w:r>
        <w:rPr>
          <w:rFonts w:ascii="Times New Roman" w:hAnsi="Times New Roman" w:cs="Times New Roman"/>
          <w:b/>
          <w:color w:val="000000" w:themeColor="text1"/>
          <w:sz w:val="28"/>
          <w:szCs w:val="28"/>
          <w14:textFill>
            <w14:solidFill>
              <w14:schemeClr w14:val="tx1"/>
            </w14:solidFill>
          </w14:textFill>
        </w:rPr>
        <w:t>CHAPTER ONE</w:t>
      </w:r>
      <w:bookmarkEnd w:id="0"/>
    </w:p>
    <w:p w14:paraId="1A208158">
      <w:pPr>
        <w:pStyle w:val="2"/>
        <w:rPr>
          <w:rFonts w:ascii="Times New Roman" w:hAnsi="Times New Roman" w:cs="Times New Roman"/>
          <w:b/>
          <w:color w:val="000000" w:themeColor="text1"/>
          <w:sz w:val="28"/>
          <w:szCs w:val="28"/>
          <w14:textFill>
            <w14:solidFill>
              <w14:schemeClr w14:val="tx1"/>
            </w14:solidFill>
          </w14:textFill>
        </w:rPr>
      </w:pPr>
      <w:bookmarkStart w:id="1" w:name="_Toc203225907"/>
      <w:r>
        <w:rPr>
          <w:rFonts w:ascii="Times New Roman" w:hAnsi="Times New Roman" w:cs="Times New Roman"/>
          <w:b/>
          <w:color w:val="000000" w:themeColor="text1"/>
          <w:sz w:val="28"/>
          <w:szCs w:val="28"/>
          <w14:textFill>
            <w14:solidFill>
              <w14:schemeClr w14:val="tx1"/>
            </w14:solidFill>
          </w14:textFill>
        </w:rPr>
        <w:t>1.0 INTRODUCTION</w:t>
      </w:r>
      <w:bookmarkEnd w:id="1"/>
    </w:p>
    <w:p w14:paraId="600A039A">
      <w:pPr>
        <w:pStyle w:val="11"/>
        <w:spacing w:line="480" w:lineRule="auto"/>
        <w:jc w:val="both"/>
        <w:rPr>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in the spotlight.</w:t>
      </w:r>
    </w:p>
    <w:p w14:paraId="5185C1B8">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Fungal infections remain a major global health concern, particularly in immunocompromised individuals. Opportunistic fungi like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xml:space="preserve">, </w:t>
      </w:r>
      <w:r>
        <w:rPr>
          <w:rStyle w:val="7"/>
          <w:color w:val="000000" w:themeColor="text1"/>
          <w:sz w:val="28"/>
          <w:szCs w:val="28"/>
          <w14:textFill>
            <w14:solidFill>
              <w14:schemeClr w14:val="tx1"/>
            </w14:solidFill>
          </w14:textFill>
        </w:rPr>
        <w:t>Aspergillus fumigatus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Cryptococcus neoformans</w:t>
      </w:r>
      <w:r>
        <w:rPr>
          <w:color w:val="000000" w:themeColor="text1"/>
          <w:sz w:val="28"/>
          <w:szCs w:val="28"/>
          <w14:textFill>
            <w14:solidFill>
              <w14:schemeClr w14:val="tx1"/>
            </w14:solidFill>
          </w14:textFill>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stands out due to its ethnopharmacological background and the presence of compounds that inhibit fungal growth by disrupting cell wall integrity and metabolic pathways (Eze et al., 2023).</w:t>
      </w:r>
    </w:p>
    <w:p w14:paraId="573A5BF9">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Several studies have documented the antifungal effects of different parts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have shown inhibitory zones comparable to standard antifungal drugs such as ketoconazole and fluconazole. For instance, a study by Musa et al. (2021) demonstrated that ethanolic leaf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exhibited strong antifungal activity against </w:t>
      </w:r>
      <w:r>
        <w:rPr>
          <w:rStyle w:val="7"/>
          <w:color w:val="000000" w:themeColor="text1"/>
          <w:sz w:val="28"/>
          <w:szCs w:val="28"/>
          <w14:textFill>
            <w14:solidFill>
              <w14:schemeClr w14:val="tx1"/>
            </w14:solidFill>
          </w14:textFill>
        </w:rPr>
        <w:t>Candida tropicalis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These findings reinforce the potential of the plant as a viable source of antifungal agents.</w:t>
      </w:r>
    </w:p>
    <w:p w14:paraId="7BF58138">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mechanism of antifungal activity in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14:paraId="6F13A7C5">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Geographically,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14:paraId="5147A480">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light of increasing interest in green medicine, researchers have also explored the synergistic effects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with other medicinal plants and conventional antifungal drugs. Synergism can enhance antifungal activity, reduce required dosage, and limit toxicity or resistance development. For example, combining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extract with clove or garlic extract has been shown to produce improved antifungal outcomes against dermatophytes (Ibrahim et al., 2022). Additionally, nanoparticles synthesized using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14:paraId="0BD5398A">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However, while the antifungal properties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14:paraId="097909BF">
      <w:pPr>
        <w:pStyle w:val="11"/>
        <w:spacing w:line="480" w:lineRule="auto"/>
        <w:jc w:val="both"/>
        <w:rPr>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lead to the development of plant-based antifungal drugs with broad-spectrum efficacy and minimal side effects.</w:t>
      </w:r>
    </w:p>
    <w:p w14:paraId="32698925">
      <w:pPr>
        <w:pStyle w:val="2"/>
        <w:rPr>
          <w:rFonts w:ascii="Times New Roman" w:hAnsi="Times New Roman" w:cs="Times New Roman"/>
          <w:b/>
          <w:color w:val="000000" w:themeColor="text1"/>
          <w:sz w:val="28"/>
          <w:szCs w:val="28"/>
          <w14:textFill>
            <w14:solidFill>
              <w14:schemeClr w14:val="tx1"/>
            </w14:solidFill>
          </w14:textFill>
        </w:rPr>
      </w:pPr>
      <w:bookmarkStart w:id="2" w:name="_Toc203225908"/>
      <w:r>
        <w:rPr>
          <w:rFonts w:ascii="Times New Roman" w:hAnsi="Times New Roman" w:cs="Times New Roman"/>
          <w:b/>
          <w:color w:val="000000" w:themeColor="text1"/>
          <w:sz w:val="28"/>
          <w:szCs w:val="28"/>
          <w14:textFill>
            <w14:solidFill>
              <w14:schemeClr w14:val="tx1"/>
            </w14:solidFill>
          </w14:textFill>
        </w:rPr>
        <w:t>1.1 Literature Review</w:t>
      </w:r>
      <w:bookmarkEnd w:id="2"/>
    </w:p>
    <w:p w14:paraId="29450852">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antifungal potential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be an effective natural source of antifungal agents. The authors emphasized the growing importance of plant-derived products in light of increasing resistance to synthetic antifungal drugs.</w:t>
      </w:r>
    </w:p>
    <w:p w14:paraId="1E004833">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a comparative study by Ogundele et al. (2023), the antifungal efficacy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leaf extracts prepared with ethanol, methanol, and water was evaluated against </w:t>
      </w:r>
      <w:r>
        <w:rPr>
          <w:rStyle w:val="7"/>
          <w:color w:val="000000" w:themeColor="text1"/>
          <w:sz w:val="28"/>
          <w:szCs w:val="28"/>
          <w14:textFill>
            <w14:solidFill>
              <w14:schemeClr w14:val="tx1"/>
            </w14:solidFill>
          </w14:textFill>
        </w:rPr>
        <w:t>Aspergillus niger</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w:t>
      </w:r>
    </w:p>
    <w:p w14:paraId="5F7CA962">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Musa et al. (2021) investigated the antifungal effects of ethanolic leaf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on dermatophytes such as </w:t>
      </w:r>
      <w:r>
        <w:rPr>
          <w:rStyle w:val="7"/>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Microsporum gypseum</w:t>
      </w:r>
      <w:r>
        <w:rPr>
          <w:color w:val="000000" w:themeColor="text1"/>
          <w:sz w:val="28"/>
          <w:szCs w:val="28"/>
          <w14:textFill>
            <w14:solidFill>
              <w14:schemeClr w14:val="tx1"/>
            </w14:solidFill>
          </w14:textFill>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can serve as an effective alternative treatment for fungal skin infections, especially in regions with limited access to modern healthcare facilities.</w:t>
      </w:r>
    </w:p>
    <w:p w14:paraId="0D8525B8">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a more integrative approach, Ibrahim et al. (2022) explored the synergistic antifungal effects of combining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with clove (</w:t>
      </w:r>
      <w:r>
        <w:rPr>
          <w:rStyle w:val="7"/>
          <w:color w:val="000000" w:themeColor="text1"/>
          <w:sz w:val="28"/>
          <w:szCs w:val="28"/>
          <w14:textFill>
            <w14:solidFill>
              <w14:schemeClr w14:val="tx1"/>
            </w14:solidFill>
          </w14:textFill>
        </w:rPr>
        <w:t>Syzygium aromaticum</w:t>
      </w:r>
      <w:r>
        <w:rPr>
          <w:color w:val="000000" w:themeColor="text1"/>
          <w:sz w:val="28"/>
          <w:szCs w:val="28"/>
          <w14:textFill>
            <w14:solidFill>
              <w14:schemeClr w14:val="tx1"/>
            </w14:solidFill>
          </w14:textFill>
        </w:rPr>
        <w:t xml:space="preserve">) extracts. The study demonstrated that the combined extracts showed enhanced inhibitory effects on </w:t>
      </w:r>
      <w:r>
        <w:rPr>
          <w:rStyle w:val="7"/>
          <w:color w:val="000000" w:themeColor="text1"/>
          <w:sz w:val="28"/>
          <w:szCs w:val="28"/>
          <w14:textFill>
            <w14:solidFill>
              <w14:schemeClr w14:val="tx1"/>
            </w14:solidFill>
          </w14:textFill>
        </w:rPr>
        <w:t>Candida tropicalis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Aspergillus fumigatus</w:t>
      </w:r>
      <w:r>
        <w:rPr>
          <w:color w:val="000000" w:themeColor="text1"/>
          <w:sz w:val="28"/>
          <w:szCs w:val="28"/>
          <w14:textFill>
            <w14:solidFill>
              <w14:schemeClr w14:val="tx1"/>
            </w14:solidFill>
          </w14:textFill>
        </w:rPr>
        <w:t xml:space="preserve"> than when used separately. This synergism is attributed to the combined action of phenolic compounds, flavonoids, and alkaloids from both plants, working on multiple fungal targets simultaneously. These findings suggest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be more effective when used in polyherbal formulations, opening new prospects for low-cost herbal antifungal therapies in traditional medicine systems.</w:t>
      </w:r>
    </w:p>
    <w:p w14:paraId="261C2327">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Recent advancements in green nanotechnology have also leveraged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as a reducing agent for the synthesis of silver nanoparticles. Lawal et al. (2024) reported the synthesis of silver nanoparticles using ethanolic leaf extract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which demonstrated potent antifungal activity against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14:paraId="10CF2D42">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While the antifungal potential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for therapeutic use. These findings indicate that despite its medicinal value, careful standardization and further clinical studies are essential to ensure its safe application in human health.</w:t>
      </w:r>
    </w:p>
    <w:p w14:paraId="58474F44">
      <w:pPr>
        <w:pStyle w:val="2"/>
        <w:rPr>
          <w:rFonts w:ascii="Times New Roman" w:hAnsi="Times New Roman" w:cs="Times New Roman"/>
          <w:b/>
          <w:color w:val="000000" w:themeColor="text1"/>
          <w:sz w:val="28"/>
          <w:szCs w:val="28"/>
          <w14:textFill>
            <w14:solidFill>
              <w14:schemeClr w14:val="tx1"/>
            </w14:solidFill>
          </w14:textFill>
        </w:rPr>
      </w:pPr>
      <w:bookmarkStart w:id="3" w:name="_Toc203225909"/>
      <w:r>
        <w:rPr>
          <w:rFonts w:ascii="Times New Roman" w:hAnsi="Times New Roman" w:cs="Times New Roman"/>
          <w:b/>
          <w:color w:val="000000" w:themeColor="text1"/>
          <w:sz w:val="28"/>
          <w:szCs w:val="28"/>
          <w14:textFill>
            <w14:solidFill>
              <w14:schemeClr w14:val="tx1"/>
            </w14:solidFill>
          </w14:textFill>
        </w:rPr>
        <w:t>1.2 Statement of Problem</w:t>
      </w:r>
      <w:bookmarkEnd w:id="3"/>
    </w:p>
    <w:p w14:paraId="08D61D1C">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Increasing resistance to conventional antifungal drugs</w:t>
      </w:r>
      <w:r>
        <w:rPr>
          <w:color w:val="000000" w:themeColor="text1"/>
          <w:sz w:val="28"/>
          <w:szCs w:val="28"/>
          <w14:textFill>
            <w14:solidFill>
              <w14:schemeClr w14:val="tx1"/>
            </w14:solidFill>
          </w14:textFill>
        </w:rPr>
        <w:t xml:space="preserve"> poses a serious challenge to effective treatment of fungal infections, particularly among immunocompromised individuals. As drug-resistant strains of </w:t>
      </w:r>
      <w:r>
        <w:rPr>
          <w:rStyle w:val="7"/>
          <w:color w:val="000000" w:themeColor="text1"/>
          <w:sz w:val="28"/>
          <w:szCs w:val="28"/>
          <w14:textFill>
            <w14:solidFill>
              <w14:schemeClr w14:val="tx1"/>
            </w14:solidFill>
          </w14:textFill>
        </w:rPr>
        <w:t>Candida</w:t>
      </w:r>
      <w:r>
        <w:rPr>
          <w:color w:val="000000" w:themeColor="text1"/>
          <w:sz w:val="28"/>
          <w:szCs w:val="28"/>
          <w14:textFill>
            <w14:solidFill>
              <w14:schemeClr w14:val="tx1"/>
            </w14:solidFill>
          </w14:textFill>
        </w:rPr>
        <w:t xml:space="preserve">, </w:t>
      </w:r>
      <w:r>
        <w:rPr>
          <w:rStyle w:val="7"/>
          <w:color w:val="000000" w:themeColor="text1"/>
          <w:sz w:val="28"/>
          <w:szCs w:val="28"/>
          <w14:textFill>
            <w14:solidFill>
              <w14:schemeClr w14:val="tx1"/>
            </w14:solidFill>
          </w14:textFill>
        </w:rPr>
        <w:t>Aspergillus</w:t>
      </w:r>
      <w:r>
        <w:rPr>
          <w:color w:val="000000" w:themeColor="text1"/>
          <w:sz w:val="28"/>
          <w:szCs w:val="28"/>
          <w14:textFill>
            <w14:solidFill>
              <w14:schemeClr w14:val="tx1"/>
            </w14:solidFill>
          </w14:textFill>
        </w:rPr>
        <w:t>, and other pathogenic fungi continue to emerge, there is an urgent need for alternative, affordable, and effective antifungal agents from natural sources.</w:t>
      </w:r>
    </w:p>
    <w:p w14:paraId="224D5CD2">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 xml:space="preserve">Despite the traditional use of </w:t>
      </w:r>
      <w:r>
        <w:rPr>
          <w:rStyle w:val="7"/>
          <w:b/>
          <w:bCs/>
          <w:color w:val="000000" w:themeColor="text1"/>
          <w:sz w:val="28"/>
          <w:szCs w:val="28"/>
          <w14:textFill>
            <w14:solidFill>
              <w14:schemeClr w14:val="tx1"/>
            </w14:solidFill>
          </w14:textFill>
        </w:rPr>
        <w:t>Calotropis procera</w:t>
      </w:r>
      <w:r>
        <w:rPr>
          <w:rStyle w:val="12"/>
          <w:color w:val="000000" w:themeColor="text1"/>
          <w:sz w:val="28"/>
          <w:szCs w:val="28"/>
          <w14:textFill>
            <w14:solidFill>
              <w14:schemeClr w14:val="tx1"/>
            </w14:solidFill>
          </w14:textFill>
        </w:rPr>
        <w:t xml:space="preserve"> for treating skin and microbial infections</w:t>
      </w:r>
      <w:r>
        <w:rPr>
          <w:color w:val="000000" w:themeColor="text1"/>
          <w:sz w:val="28"/>
          <w:szCs w:val="28"/>
          <w14:textFill>
            <w14:solidFill>
              <w14:schemeClr w14:val="tx1"/>
            </w14:solidFill>
          </w14:textFill>
        </w:rPr>
        <w:t>, there is limited scientific validation of its antifungal properties. Lack of comprehensive data on its efficacy, active compounds, and mechanism of action hinders its development into a standardized herbal or pharmaceutical product.</w:t>
      </w:r>
    </w:p>
    <w:p w14:paraId="099E689F">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 xml:space="preserve">The safety and dosage profile of </w:t>
      </w:r>
      <w:r>
        <w:rPr>
          <w:rStyle w:val="7"/>
          <w:b/>
          <w:bCs/>
          <w:color w:val="000000" w:themeColor="text1"/>
          <w:sz w:val="28"/>
          <w:szCs w:val="28"/>
          <w14:textFill>
            <w14:solidFill>
              <w14:schemeClr w14:val="tx1"/>
            </w14:solidFill>
          </w14:textFill>
        </w:rPr>
        <w:t>Calotropis procera</w:t>
      </w:r>
      <w:r>
        <w:rPr>
          <w:rStyle w:val="12"/>
          <w:color w:val="000000" w:themeColor="text1"/>
          <w:sz w:val="28"/>
          <w:szCs w:val="28"/>
          <w14:textFill>
            <w14:solidFill>
              <w14:schemeClr w14:val="tx1"/>
            </w14:solidFill>
          </w14:textFill>
        </w:rPr>
        <w:t xml:space="preserve"> extracts remain unclear</w:t>
      </w:r>
      <w:r>
        <w:rPr>
          <w:color w:val="000000" w:themeColor="text1"/>
          <w:sz w:val="28"/>
          <w:szCs w:val="28"/>
          <w14:textFill>
            <w14:solidFill>
              <w14:schemeClr w14:val="tx1"/>
            </w14:solidFill>
          </w14:textFill>
        </w:rPr>
        <w:t>, especially with reports indicating possible toxicity at higher concentrations. This presents a major gap in its clinical application and necessitates thorough toxicological evaluation before it can be recommended for therapeutic use.</w:t>
      </w:r>
    </w:p>
    <w:p w14:paraId="6B7444BD">
      <w:pPr>
        <w:pStyle w:val="2"/>
        <w:rPr>
          <w:rFonts w:ascii="Times New Roman" w:hAnsi="Times New Roman" w:cs="Times New Roman"/>
          <w:b/>
          <w:color w:val="000000" w:themeColor="text1"/>
          <w:sz w:val="28"/>
          <w:szCs w:val="28"/>
          <w14:textFill>
            <w14:solidFill>
              <w14:schemeClr w14:val="tx1"/>
            </w14:solidFill>
          </w14:textFill>
        </w:rPr>
      </w:pPr>
      <w:bookmarkStart w:id="4" w:name="_Toc203225910"/>
      <w:r>
        <w:rPr>
          <w:rFonts w:ascii="Times New Roman" w:hAnsi="Times New Roman" w:cs="Times New Roman"/>
          <w:b/>
          <w:color w:val="000000" w:themeColor="text1"/>
          <w:sz w:val="28"/>
          <w:szCs w:val="28"/>
          <w14:textFill>
            <w14:solidFill>
              <w14:schemeClr w14:val="tx1"/>
            </w14:solidFill>
          </w14:textFill>
        </w:rPr>
        <w:t>1.3 Aim</w:t>
      </w:r>
      <w:bookmarkEnd w:id="4"/>
    </w:p>
    <w:p w14:paraId="1A23B2B8">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To evaluate the antifungal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extract against selected fungal pathogens and assess its potential as a natural alternative to conventional antifungal agents.</w:t>
      </w:r>
    </w:p>
    <w:p w14:paraId="3A53BEC6">
      <w:pPr>
        <w:pStyle w:val="2"/>
        <w:rPr>
          <w:rFonts w:ascii="Times New Roman" w:hAnsi="Times New Roman" w:cs="Times New Roman"/>
          <w:b/>
          <w:color w:val="000000" w:themeColor="text1"/>
          <w:sz w:val="28"/>
          <w:szCs w:val="28"/>
          <w14:textFill>
            <w14:solidFill>
              <w14:schemeClr w14:val="tx1"/>
            </w14:solidFill>
          </w14:textFill>
        </w:rPr>
      </w:pPr>
      <w:bookmarkStart w:id="5" w:name="_Toc203225911"/>
      <w:r>
        <w:rPr>
          <w:rFonts w:ascii="Times New Roman" w:hAnsi="Times New Roman" w:cs="Times New Roman"/>
          <w:b/>
          <w:color w:val="000000" w:themeColor="text1"/>
          <w:sz w:val="28"/>
          <w:szCs w:val="28"/>
          <w14:textFill>
            <w14:solidFill>
              <w14:schemeClr w14:val="tx1"/>
            </w14:solidFill>
          </w14:textFill>
        </w:rPr>
        <w:t>1.4 Objectives</w:t>
      </w:r>
      <w:bookmarkEnd w:id="5"/>
      <w:r>
        <w:rPr>
          <w:rFonts w:ascii="Times New Roman" w:hAnsi="Times New Roman" w:cs="Times New Roman"/>
          <w:b/>
          <w:color w:val="000000" w:themeColor="text1"/>
          <w:sz w:val="28"/>
          <w:szCs w:val="28"/>
          <w14:textFill>
            <w14:solidFill>
              <w14:schemeClr w14:val="tx1"/>
            </w14:solidFill>
          </w14:textFill>
        </w:rPr>
        <w:t xml:space="preserve"> </w:t>
      </w:r>
    </w:p>
    <w:p w14:paraId="47F9002A">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To extract and prepare crude leaf extracts of </w:t>
      </w:r>
      <w:r>
        <w:rPr>
          <w:rFonts w:ascii="Times New Roman" w:hAnsi="Times New Roman" w:cs="Times New Roman"/>
          <w:i/>
          <w:color w:val="000000" w:themeColor="text1"/>
          <w:sz w:val="28"/>
          <w:szCs w:val="28"/>
          <w14:textFill>
            <w14:solidFill>
              <w14:schemeClr w14:val="tx1"/>
            </w14:solidFill>
          </w14:textFill>
        </w:rPr>
        <w:t>Calotropis procera</w:t>
      </w:r>
      <w:r>
        <w:rPr>
          <w:rFonts w:ascii="Times New Roman" w:hAnsi="Times New Roman" w:cs="Times New Roman"/>
          <w:color w:val="000000" w:themeColor="text1"/>
          <w:sz w:val="28"/>
          <w:szCs w:val="28"/>
          <w14:textFill>
            <w14:solidFill>
              <w14:schemeClr w14:val="tx1"/>
            </w14:solidFill>
          </w14:textFill>
        </w:rPr>
        <w:t xml:space="preserve"> using suitable solvents (e.g., ethanol, methanol, or water).</w:t>
      </w:r>
    </w:p>
    <w:p w14:paraId="120870D6">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To evaluate the antifungal activity of the leaf extracts against selected fungal pathogens using standard laboratory methods such as the agar well diffusion or disc diffusion technique.</w:t>
      </w:r>
    </w:p>
    <w:p w14:paraId="77592F9A">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To compare the effectiveness of the plant extract with a conventional antifungal drug and determine its minimum inhibitory concentration (MIC) and possible dose-dependent effects.</w:t>
      </w:r>
    </w:p>
    <w:p w14:paraId="70F958BD">
      <w:pPr>
        <w:pStyle w:val="11"/>
        <w:spacing w:line="480" w:lineRule="auto"/>
        <w:jc w:val="both"/>
        <w:rPr>
          <w:color w:val="000000" w:themeColor="text1"/>
          <w:sz w:val="28"/>
          <w:szCs w:val="28"/>
          <w14:textFill>
            <w14:solidFill>
              <w14:schemeClr w14:val="tx1"/>
            </w14:solidFill>
          </w14:textFill>
        </w:rPr>
      </w:pPr>
    </w:p>
    <w:p w14:paraId="082C3A8B">
      <w:pPr>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br w:type="page"/>
      </w:r>
    </w:p>
    <w:p w14:paraId="7C48ABD8">
      <w:pPr>
        <w:pStyle w:val="2"/>
        <w:jc w:val="center"/>
        <w:rPr>
          <w:rFonts w:ascii="Times New Roman" w:hAnsi="Times New Roman" w:eastAsia="Times New Roman" w:cs="Times New Roman"/>
          <w:b/>
          <w:color w:val="000000" w:themeColor="text1"/>
          <w:sz w:val="28"/>
          <w:szCs w:val="28"/>
          <w14:textFill>
            <w14:solidFill>
              <w14:schemeClr w14:val="tx1"/>
            </w14:solidFill>
          </w14:textFill>
        </w:rPr>
      </w:pPr>
      <w:bookmarkStart w:id="6" w:name="_Toc203225912"/>
      <w:r>
        <w:rPr>
          <w:rFonts w:ascii="Times New Roman" w:hAnsi="Times New Roman" w:eastAsia="Times New Roman" w:cs="Times New Roman"/>
          <w:b/>
          <w:color w:val="000000" w:themeColor="text1"/>
          <w:sz w:val="28"/>
          <w:szCs w:val="28"/>
          <w14:textFill>
            <w14:solidFill>
              <w14:schemeClr w14:val="tx1"/>
            </w14:solidFill>
          </w14:textFill>
        </w:rPr>
        <w:t>CHAPTER TWO</w:t>
      </w:r>
      <w:bookmarkEnd w:id="6"/>
    </w:p>
    <w:p w14:paraId="24B4933E">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7" w:name="_Toc203225913"/>
      <w:r>
        <w:rPr>
          <w:rFonts w:ascii="Times New Roman" w:hAnsi="Times New Roman" w:eastAsia="Times New Roman" w:cs="Times New Roman"/>
          <w:b/>
          <w:color w:val="000000" w:themeColor="text1"/>
          <w:sz w:val="28"/>
          <w:szCs w:val="28"/>
          <w14:textFill>
            <w14:solidFill>
              <w14:schemeClr w14:val="tx1"/>
            </w14:solidFill>
          </w14:textFill>
        </w:rPr>
        <w:t>2.0 MATERIALS AND METHODS</w:t>
      </w:r>
      <w:bookmarkEnd w:id="7"/>
    </w:p>
    <w:p w14:paraId="333C9AED">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8" w:name="_Toc203225914"/>
      <w:r>
        <w:rPr>
          <w:rFonts w:ascii="Times New Roman" w:hAnsi="Times New Roman" w:eastAsia="Times New Roman" w:cs="Times New Roman"/>
          <w:b/>
          <w:color w:val="000000" w:themeColor="text1"/>
          <w:sz w:val="28"/>
          <w:szCs w:val="28"/>
          <w14:textFill>
            <w14:solidFill>
              <w14:schemeClr w14:val="tx1"/>
            </w14:solidFill>
          </w14:textFill>
        </w:rPr>
        <w:t>2.1 Materials Used</w:t>
      </w:r>
      <w:bookmarkEnd w:id="8"/>
    </w:p>
    <w:p w14:paraId="65DFA0E1">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The materials used for this study included fresh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Pr>
          <w:rFonts w:ascii="Times New Roman" w:hAnsi="Times New Roman" w:eastAsia="Times New Roman" w:cs="Times New Roman"/>
          <w:i/>
          <w:iCs/>
          <w:color w:val="000000" w:themeColor="text1"/>
          <w:sz w:val="28"/>
          <w:szCs w:val="28"/>
          <w14:textFill>
            <w14:solidFill>
              <w14:schemeClr w14:val="tx1"/>
            </w14:solidFill>
          </w14:textFill>
        </w:rPr>
        <w:t>Escherichia coli</w:t>
      </w:r>
      <w:r>
        <w:rPr>
          <w:rFonts w:ascii="Times New Roman" w:hAnsi="Times New Roman" w:eastAsia="Times New Roman" w:cs="Times New Roman"/>
          <w:color w:val="000000" w:themeColor="text1"/>
          <w:sz w:val="28"/>
          <w:szCs w:val="28"/>
          <w14:textFill>
            <w14:solidFill>
              <w14:schemeClr w14:val="tx1"/>
            </w14:solidFill>
          </w14:textFill>
        </w:rPr>
        <w:t xml:space="preserve"> (E. coli) was the test organism. All glassware and instruments used in the experiment were thoroughly cleaned and sterilized to prevent contamination.</w:t>
      </w:r>
    </w:p>
    <w:p w14:paraId="4381CBA9">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9" w:name="_Toc203225915"/>
      <w:r>
        <w:rPr>
          <w:rFonts w:ascii="Times New Roman" w:hAnsi="Times New Roman" w:eastAsia="Times New Roman" w:cs="Times New Roman"/>
          <w:b/>
          <w:color w:val="000000" w:themeColor="text1"/>
          <w:sz w:val="28"/>
          <w:szCs w:val="28"/>
          <w14:textFill>
            <w14:solidFill>
              <w14:schemeClr w14:val="tx1"/>
            </w14:solidFill>
          </w14:textFill>
        </w:rPr>
        <w:t>2.2 Chemicals and Reagents</w:t>
      </w:r>
      <w:bookmarkEnd w:id="9"/>
    </w:p>
    <w:p w14:paraId="648C9247">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14:paraId="61D79E1F">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0" w:name="_Toc203225916"/>
      <w:r>
        <w:rPr>
          <w:rFonts w:ascii="Times New Roman" w:hAnsi="Times New Roman" w:eastAsia="Times New Roman" w:cs="Times New Roman"/>
          <w:b/>
          <w:color w:val="000000" w:themeColor="text1"/>
          <w:sz w:val="28"/>
          <w:szCs w:val="28"/>
          <w14:textFill>
            <w14:solidFill>
              <w14:schemeClr w14:val="tx1"/>
            </w14:solidFill>
          </w14:textFill>
        </w:rPr>
        <w:t>2.3 Sterilization of Glasswares</w:t>
      </w:r>
      <w:bookmarkEnd w:id="10"/>
    </w:p>
    <w:p w14:paraId="14F46139">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14:paraId="11DAB3AB">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1" w:name="_Toc203225917"/>
      <w:r>
        <w:rPr>
          <w:rFonts w:ascii="Times New Roman" w:hAnsi="Times New Roman" w:eastAsia="Times New Roman" w:cs="Times New Roman"/>
          <w:b/>
          <w:color w:val="000000" w:themeColor="text1"/>
          <w:sz w:val="28"/>
          <w:szCs w:val="28"/>
          <w14:textFill>
            <w14:solidFill>
              <w14:schemeClr w14:val="tx1"/>
            </w14:solidFill>
          </w14:textFill>
        </w:rPr>
        <w:t>2.4 Media Preparation</w:t>
      </w:r>
      <w:bookmarkEnd w:id="11"/>
    </w:p>
    <w:p w14:paraId="634A0FAF">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14:paraId="7AB7E502">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2" w:name="_Toc203225918"/>
      <w:r>
        <w:rPr>
          <w:rFonts w:ascii="Times New Roman" w:hAnsi="Times New Roman" w:eastAsia="Times New Roman" w:cs="Times New Roman"/>
          <w:b/>
          <w:color w:val="000000" w:themeColor="text1"/>
          <w:sz w:val="28"/>
          <w:szCs w:val="28"/>
          <w14:textFill>
            <w14:solidFill>
              <w14:schemeClr w14:val="tx1"/>
            </w14:solidFill>
          </w14:textFill>
        </w:rPr>
        <w:t>2.5 Sample Collection and Preparation</w:t>
      </w:r>
      <w:bookmarkEnd w:id="12"/>
    </w:p>
    <w:p w14:paraId="2FEF5F4C">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Fresh leaves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14:paraId="1621D4D1">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3" w:name="_Toc203225919"/>
      <w:r>
        <w:rPr>
          <w:rFonts w:ascii="Times New Roman" w:hAnsi="Times New Roman" w:eastAsia="Times New Roman" w:cs="Times New Roman"/>
          <w:b/>
          <w:color w:val="000000" w:themeColor="text1"/>
          <w:sz w:val="28"/>
          <w:szCs w:val="28"/>
          <w14:textFill>
            <w14:solidFill>
              <w14:schemeClr w14:val="tx1"/>
            </w14:solidFill>
          </w14:textFill>
        </w:rPr>
        <w:t>2.6 Inoculation Methods</w:t>
      </w:r>
      <w:bookmarkEnd w:id="13"/>
    </w:p>
    <w:p w14:paraId="6A3B69A3">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Once the Nutrient Agar in the Petri dishes solidified, small wells or holes were carefully bored on the media surface using a sterile cork borer. The prepared </w:t>
      </w:r>
      <w:r>
        <w:rPr>
          <w:rFonts w:ascii="Times New Roman" w:hAnsi="Times New Roman" w:eastAsia="Times New Roman" w:cs="Times New Roman"/>
          <w:i/>
          <w:iCs/>
          <w:color w:val="000000" w:themeColor="text1"/>
          <w:sz w:val="28"/>
          <w:szCs w:val="28"/>
          <w14:textFill>
            <w14:solidFill>
              <w14:schemeClr w14:val="tx1"/>
            </w14:solidFill>
          </w14:textFill>
        </w:rPr>
        <w:t>E. coli</w:t>
      </w:r>
      <w:r>
        <w:rPr>
          <w:rFonts w:ascii="Times New Roman" w:hAnsi="Times New Roman" w:eastAsia="Times New Roman" w:cs="Times New Roman"/>
          <w:color w:val="000000" w:themeColor="text1"/>
          <w:sz w:val="28"/>
          <w:szCs w:val="28"/>
          <w14:textFill>
            <w14:solidFill>
              <w14:schemeClr w14:val="tx1"/>
            </w14:solidFill>
          </w14:textFill>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incubated at 37°C for 24 hours. After incubation, the plates were observed for zones of inhibition around the wells, indicating antimicrobial activity.</w:t>
      </w:r>
    </w:p>
    <w:p w14:paraId="0F4A784E">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p>
    <w:p w14:paraId="3F24982B">
      <w:pPr>
        <w:pStyle w:val="2"/>
        <w:jc w:val="center"/>
        <w:rPr>
          <w:rFonts w:ascii="Times New Roman" w:hAnsi="Times New Roman" w:cs="Times New Roman"/>
          <w:b/>
          <w:color w:val="000000" w:themeColor="text1"/>
          <w:sz w:val="28"/>
          <w:szCs w:val="28"/>
          <w14:textFill>
            <w14:solidFill>
              <w14:schemeClr w14:val="tx1"/>
            </w14:solidFill>
          </w14:textFill>
        </w:rPr>
      </w:pPr>
      <w:bookmarkStart w:id="14" w:name="_Toc203225920"/>
      <w:r>
        <w:rPr>
          <w:rFonts w:ascii="Times New Roman" w:hAnsi="Times New Roman" w:cs="Times New Roman"/>
          <w:b/>
          <w:color w:val="000000" w:themeColor="text1"/>
          <w:sz w:val="28"/>
          <w:szCs w:val="28"/>
          <w14:textFill>
            <w14:solidFill>
              <w14:schemeClr w14:val="tx1"/>
            </w14:solidFill>
          </w14:textFill>
        </w:rPr>
        <w:t>CHAPTER THREE</w:t>
      </w:r>
      <w:bookmarkEnd w:id="14"/>
    </w:p>
    <w:p w14:paraId="00A07AFC">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5" w:name="_Toc203225921"/>
      <w:r>
        <w:rPr>
          <w:rFonts w:ascii="Times New Roman" w:hAnsi="Times New Roman" w:eastAsia="Times New Roman" w:cs="Times New Roman"/>
          <w:b/>
          <w:color w:val="000000" w:themeColor="text1"/>
          <w:sz w:val="28"/>
          <w:szCs w:val="28"/>
          <w14:textFill>
            <w14:solidFill>
              <w14:schemeClr w14:val="tx1"/>
            </w14:solidFill>
          </w14:textFill>
        </w:rPr>
        <w:t>3.0 RESULTS</w:t>
      </w:r>
      <w:bookmarkEnd w:id="15"/>
    </w:p>
    <w:p w14:paraId="6D54DF1A">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The antimicrobial activity of aqueous and ethanolic extracts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(Bombom leaf) against </w:t>
      </w:r>
      <w:r>
        <w:rPr>
          <w:rFonts w:ascii="Times New Roman" w:hAnsi="Times New Roman" w:eastAsia="Times New Roman" w:cs="Times New Roman"/>
          <w:i/>
          <w:iCs/>
          <w:color w:val="000000" w:themeColor="text1"/>
          <w:sz w:val="28"/>
          <w:szCs w:val="28"/>
          <w14:textFill>
            <w14:solidFill>
              <w14:schemeClr w14:val="tx1"/>
            </w14:solidFill>
          </w14:textFill>
        </w:rPr>
        <w:t>Escherichia coli</w:t>
      </w:r>
      <w:r>
        <w:rPr>
          <w:rFonts w:ascii="Times New Roman" w:hAnsi="Times New Roman" w:eastAsia="Times New Roman" w:cs="Times New Roman"/>
          <w:color w:val="000000" w:themeColor="text1"/>
          <w:sz w:val="28"/>
          <w:szCs w:val="28"/>
          <w14:textFill>
            <w14:solidFill>
              <w14:schemeClr w14:val="tx1"/>
            </w14:solidFill>
          </w14:textFill>
        </w:rPr>
        <w:t xml:space="preserve"> was evaluated using the agar well diffusion method. After 24 hours of incubation, the diameter of the zones of inhibition formed around each well was measured in millimeters (mm). The results are presented in the tables below.</w:t>
      </w:r>
    </w:p>
    <w:p w14:paraId="25443EED">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6" w:name="_Toc203225922"/>
      <w:r>
        <w:rPr>
          <w:rFonts w:ascii="Times New Roman" w:hAnsi="Times New Roman" w:eastAsia="Times New Roman" w:cs="Times New Roman"/>
          <w:b/>
          <w:color w:val="000000" w:themeColor="text1"/>
          <w:sz w:val="28"/>
          <w:szCs w:val="28"/>
          <w14:textFill>
            <w14:solidFill>
              <w14:schemeClr w14:val="tx1"/>
            </w14:solidFill>
          </w14:textFill>
        </w:rPr>
        <w:t xml:space="preserve">3.1: Zone of Inhibition (mm) of Aqueous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6"/>
    </w:p>
    <w:p w14:paraId="4816A9D4">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7" w:name="_Toc203225923"/>
      <w:r>
        <w:rPr>
          <w:rFonts w:ascii="Times New Roman" w:hAnsi="Times New Roman" w:eastAsia="Times New Roman" w:cs="Times New Roman"/>
          <w:b/>
          <w:iCs/>
          <w:color w:val="000000" w:themeColor="text1"/>
          <w:sz w:val="28"/>
          <w:szCs w:val="28"/>
          <w14:textFill>
            <w14:solidFill>
              <w14:schemeClr w14:val="tx1"/>
            </w14:solidFill>
          </w14:textFill>
        </w:rPr>
        <w:t xml:space="preserve">Table 1: </w:t>
      </w:r>
      <w:r>
        <w:rPr>
          <w:rFonts w:ascii="Times New Roman" w:hAnsi="Times New Roman" w:eastAsia="Times New Roman" w:cs="Times New Roman"/>
          <w:b/>
          <w:color w:val="000000" w:themeColor="text1"/>
          <w:sz w:val="28"/>
          <w:szCs w:val="28"/>
          <w14:textFill>
            <w14:solidFill>
              <w14:schemeClr w14:val="tx1"/>
            </w14:solidFill>
          </w14:textFill>
        </w:rPr>
        <w:t xml:space="preserve">Zone of Inhibition (mm) of Aqueous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7"/>
    </w:p>
    <w:tbl>
      <w:tblPr>
        <w:tblStyle w:val="19"/>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
        <w:gridCol w:w="3047"/>
        <w:gridCol w:w="3118"/>
      </w:tblGrid>
      <w:tr w14:paraId="7AAE25D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auto"/>
          </w:tcPr>
          <w:p w14:paraId="6C76D49A">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Well</w:t>
            </w:r>
          </w:p>
        </w:tc>
        <w:tc>
          <w:tcPr>
            <w:tcW w:w="0" w:type="auto"/>
            <w:tcBorders>
              <w:bottom w:val="single" w:color="000000" w:themeColor="text1" w:sz="4" w:space="0"/>
              <w:insideH w:val="single" w:sz="4" w:space="0"/>
            </w:tcBorders>
            <w:shd w:val="clear" w:color="auto" w:fill="auto"/>
          </w:tcPr>
          <w:p w14:paraId="19AC5FED">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Content Applied</w:t>
            </w:r>
          </w:p>
        </w:tc>
        <w:tc>
          <w:tcPr>
            <w:tcW w:w="0" w:type="auto"/>
            <w:tcBorders>
              <w:bottom w:val="single" w:color="000000" w:themeColor="text1" w:sz="4" w:space="0"/>
              <w:insideH w:val="single" w:sz="4" w:space="0"/>
            </w:tcBorders>
            <w:shd w:val="clear" w:color="auto" w:fill="auto"/>
          </w:tcPr>
          <w:p w14:paraId="442C6EE0">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Zone of Inhibition (mm)</w:t>
            </w:r>
          </w:p>
        </w:tc>
      </w:tr>
      <w:tr w14:paraId="351A843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35DD97D2">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p>
        </w:tc>
        <w:tc>
          <w:tcPr>
            <w:tcW w:w="0" w:type="auto"/>
            <w:shd w:val="clear" w:color="auto" w:fill="auto"/>
          </w:tcPr>
          <w:p w14:paraId="30F2969F">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Aqueous Extract</w:t>
            </w:r>
          </w:p>
        </w:tc>
        <w:tc>
          <w:tcPr>
            <w:tcW w:w="0" w:type="auto"/>
            <w:shd w:val="clear" w:color="auto" w:fill="auto"/>
          </w:tcPr>
          <w:p w14:paraId="2BC3C46C">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5.0</w:t>
            </w:r>
          </w:p>
        </w:tc>
      </w:tr>
      <w:tr w14:paraId="1C10F13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75E90948">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p>
        </w:tc>
        <w:tc>
          <w:tcPr>
            <w:tcW w:w="0" w:type="auto"/>
            <w:shd w:val="clear" w:color="auto" w:fill="auto"/>
          </w:tcPr>
          <w:p w14:paraId="58F4A7A7">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Distilled Water (Control)</w:t>
            </w:r>
          </w:p>
        </w:tc>
        <w:tc>
          <w:tcPr>
            <w:tcW w:w="0" w:type="auto"/>
            <w:shd w:val="clear" w:color="auto" w:fill="auto"/>
          </w:tcPr>
          <w:p w14:paraId="17CDA83F">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765545FE">
      <w:pPr>
        <w:spacing w:before="100" w:beforeAutospacing="1" w:after="100" w:afterAutospacing="1" w:line="480" w:lineRule="auto"/>
        <w:jc w:val="both"/>
        <w:outlineLvl w:val="2"/>
        <w:rPr>
          <w:rFonts w:ascii="Times New Roman" w:hAnsi="Times New Roman" w:eastAsia="Times New Roman" w:cs="Times New Roman"/>
          <w:b/>
          <w:bCs/>
          <w:color w:val="000000" w:themeColor="text1"/>
          <w:sz w:val="28"/>
          <w:szCs w:val="28"/>
          <w14:textFill>
            <w14:solidFill>
              <w14:schemeClr w14:val="tx1"/>
            </w14:solidFill>
          </w14:textFill>
        </w:rPr>
      </w:pPr>
    </w:p>
    <w:p w14:paraId="380F86DF">
      <w:pPr>
        <w:spacing w:before="100" w:beforeAutospacing="1" w:after="100" w:afterAutospacing="1" w:line="480" w:lineRule="auto"/>
        <w:jc w:val="both"/>
        <w:outlineLvl w:val="2"/>
        <w:rPr>
          <w:rFonts w:ascii="Times New Roman" w:hAnsi="Times New Roman" w:eastAsia="Times New Roman" w:cs="Times New Roman"/>
          <w:b/>
          <w:bCs/>
          <w:color w:val="000000" w:themeColor="text1"/>
          <w:sz w:val="28"/>
          <w:szCs w:val="28"/>
          <w14:textFill>
            <w14:solidFill>
              <w14:schemeClr w14:val="tx1"/>
            </w14:solidFill>
          </w14:textFill>
        </w:rPr>
      </w:pPr>
    </w:p>
    <w:p w14:paraId="251D6594">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8" w:name="_Toc203225924"/>
      <w:r>
        <w:rPr>
          <w:rFonts w:ascii="Times New Roman" w:hAnsi="Times New Roman" w:eastAsia="Times New Roman" w:cs="Times New Roman"/>
          <w:b/>
          <w:color w:val="000000" w:themeColor="text1"/>
          <w:sz w:val="28"/>
          <w:szCs w:val="28"/>
          <w14:textFill>
            <w14:solidFill>
              <w14:schemeClr w14:val="tx1"/>
            </w14:solidFill>
          </w14:textFill>
        </w:rPr>
        <w:t xml:space="preserve">3.2: Zone of Inhibition (mm) of Ethanolic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8"/>
    </w:p>
    <w:p w14:paraId="4864EEB7">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9" w:name="_Toc203225925"/>
      <w:r>
        <w:rPr>
          <w:rFonts w:ascii="Times New Roman" w:hAnsi="Times New Roman" w:eastAsia="Times New Roman" w:cs="Times New Roman"/>
          <w:b/>
          <w:iCs/>
          <w:color w:val="000000" w:themeColor="text1"/>
          <w:sz w:val="28"/>
          <w:szCs w:val="28"/>
          <w14:textFill>
            <w14:solidFill>
              <w14:schemeClr w14:val="tx1"/>
            </w14:solidFill>
          </w14:textFill>
        </w:rPr>
        <w:t xml:space="preserve">Table 2: </w:t>
      </w:r>
      <w:r>
        <w:rPr>
          <w:rFonts w:ascii="Times New Roman" w:hAnsi="Times New Roman" w:eastAsia="Times New Roman" w:cs="Times New Roman"/>
          <w:b/>
          <w:color w:val="000000" w:themeColor="text1"/>
          <w:sz w:val="28"/>
          <w:szCs w:val="28"/>
          <w14:textFill>
            <w14:solidFill>
              <w14:schemeClr w14:val="tx1"/>
            </w14:solidFill>
          </w14:textFill>
        </w:rPr>
        <w:t xml:space="preserve">Zone of Inhibition (mm) of Ethanolic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9"/>
    </w:p>
    <w:tbl>
      <w:tblPr>
        <w:tblStyle w:val="18"/>
        <w:tblW w:w="0" w:type="auto"/>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776"/>
        <w:gridCol w:w="2200"/>
        <w:gridCol w:w="3118"/>
      </w:tblGrid>
      <w:tr w14:paraId="6A6E989C">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1C1D3B6E">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Well</w:t>
            </w:r>
          </w:p>
        </w:tc>
        <w:tc>
          <w:tcPr>
            <w:tcW w:w="0" w:type="auto"/>
            <w:shd w:val="clear" w:color="auto" w:fill="auto"/>
          </w:tcPr>
          <w:p w14:paraId="279F5849">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Content Applied</w:t>
            </w:r>
          </w:p>
        </w:tc>
        <w:tc>
          <w:tcPr>
            <w:tcW w:w="0" w:type="auto"/>
            <w:shd w:val="clear" w:color="auto" w:fill="auto"/>
          </w:tcPr>
          <w:p w14:paraId="6B53BA3D">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Zone of Inhibition (mm)</w:t>
            </w:r>
          </w:p>
        </w:tc>
      </w:tr>
      <w:tr w14:paraId="18978BE7">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3666E07C">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p>
        </w:tc>
        <w:tc>
          <w:tcPr>
            <w:tcW w:w="0" w:type="auto"/>
            <w:shd w:val="clear" w:color="auto" w:fill="auto"/>
          </w:tcPr>
          <w:p w14:paraId="3F03207D">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Ethanolic Extract</w:t>
            </w:r>
          </w:p>
        </w:tc>
        <w:tc>
          <w:tcPr>
            <w:tcW w:w="0" w:type="auto"/>
            <w:shd w:val="clear" w:color="auto" w:fill="auto"/>
          </w:tcPr>
          <w:p w14:paraId="5372003B">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11.5</w:t>
            </w:r>
          </w:p>
        </w:tc>
      </w:tr>
      <w:tr w14:paraId="61E4679A">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367E6DA8">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p>
        </w:tc>
        <w:tc>
          <w:tcPr>
            <w:tcW w:w="0" w:type="auto"/>
            <w:shd w:val="clear" w:color="auto" w:fill="auto"/>
          </w:tcPr>
          <w:p w14:paraId="72F199BF">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Ethanol (Control)</w:t>
            </w:r>
          </w:p>
        </w:tc>
        <w:tc>
          <w:tcPr>
            <w:tcW w:w="0" w:type="auto"/>
            <w:shd w:val="clear" w:color="auto" w:fill="auto"/>
          </w:tcPr>
          <w:p w14:paraId="5F9BEC17">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4AC2CF3A">
      <w:pPr>
        <w:pStyle w:val="2"/>
        <w:rPr>
          <w:rFonts w:ascii="Times New Roman" w:hAnsi="Times New Roman" w:eastAsia="Times New Roman" w:cs="Times New Roman"/>
          <w:color w:val="000000" w:themeColor="text1"/>
          <w:sz w:val="28"/>
          <w:szCs w:val="28"/>
          <w14:textFill>
            <w14:solidFill>
              <w14:schemeClr w14:val="tx1"/>
            </w14:solidFill>
          </w14:textFill>
        </w:rPr>
      </w:pPr>
    </w:p>
    <w:p w14:paraId="258BD53E">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20" w:name="_Toc203225926"/>
      <w:r>
        <w:rPr>
          <w:rFonts w:ascii="Times New Roman" w:hAnsi="Times New Roman" w:eastAsia="Times New Roman" w:cs="Times New Roman"/>
          <w:b/>
          <w:color w:val="000000" w:themeColor="text1"/>
          <w:sz w:val="28"/>
          <w:szCs w:val="28"/>
          <w14:textFill>
            <w14:solidFill>
              <w14:schemeClr w14:val="tx1"/>
            </w14:solidFill>
          </w14:textFill>
        </w:rPr>
        <w:t>3.3: Comparative Antimicrobial Activity of Aqueous and Ethanolic Extracts</w:t>
      </w:r>
      <w:bookmarkEnd w:id="20"/>
    </w:p>
    <w:p w14:paraId="362F6130">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21" w:name="_Toc203225927"/>
      <w:r>
        <w:rPr>
          <w:rFonts w:ascii="Times New Roman" w:hAnsi="Times New Roman" w:eastAsia="Times New Roman" w:cs="Times New Roman"/>
          <w:b/>
          <w:color w:val="000000" w:themeColor="text1"/>
          <w:sz w:val="28"/>
          <w:szCs w:val="28"/>
          <w14:textFill>
            <w14:solidFill>
              <w14:schemeClr w14:val="tx1"/>
            </w14:solidFill>
          </w14:textFill>
        </w:rPr>
        <w:t>Table 3 Comparative Antimicrobial Activity of Aqueous and Ethanolic Extracts</w:t>
      </w:r>
      <w:bookmarkEnd w:id="21"/>
    </w:p>
    <w:tbl>
      <w:tblPr>
        <w:tblStyle w:val="19"/>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5"/>
        <w:gridCol w:w="3872"/>
      </w:tblGrid>
      <w:tr w14:paraId="73E326D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auto"/>
          </w:tcPr>
          <w:p w14:paraId="5D23DFBA">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Extract Type</w:t>
            </w:r>
          </w:p>
        </w:tc>
        <w:tc>
          <w:tcPr>
            <w:tcW w:w="0" w:type="auto"/>
            <w:tcBorders>
              <w:bottom w:val="single" w:color="000000" w:themeColor="text1" w:sz="4" w:space="0"/>
              <w:insideH w:val="single" w:sz="4" w:space="0"/>
            </w:tcBorders>
            <w:shd w:val="clear" w:color="auto" w:fill="auto"/>
          </w:tcPr>
          <w:p w14:paraId="49AFE03F">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Mean Zone of Inhibition (mm)</w:t>
            </w:r>
          </w:p>
        </w:tc>
      </w:tr>
      <w:tr w14:paraId="58EC7AA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30526E32">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Aqueous Extract</w:t>
            </w:r>
          </w:p>
        </w:tc>
        <w:tc>
          <w:tcPr>
            <w:tcW w:w="0" w:type="auto"/>
            <w:shd w:val="clear" w:color="auto" w:fill="auto"/>
          </w:tcPr>
          <w:p w14:paraId="79AFF5FE">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5.0</w:t>
            </w:r>
          </w:p>
        </w:tc>
      </w:tr>
      <w:tr w14:paraId="22A0B91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498C2869">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Ethanolic Extract</w:t>
            </w:r>
          </w:p>
        </w:tc>
        <w:tc>
          <w:tcPr>
            <w:tcW w:w="0" w:type="auto"/>
            <w:shd w:val="clear" w:color="auto" w:fill="auto"/>
          </w:tcPr>
          <w:p w14:paraId="4F1BACA8">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11.5</w:t>
            </w:r>
          </w:p>
        </w:tc>
      </w:tr>
      <w:tr w14:paraId="398AB71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1C05B387">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Control (Water/Ethanol)</w:t>
            </w:r>
          </w:p>
        </w:tc>
        <w:tc>
          <w:tcPr>
            <w:tcW w:w="0" w:type="auto"/>
            <w:shd w:val="clear" w:color="auto" w:fill="auto"/>
          </w:tcPr>
          <w:p w14:paraId="794B31B4">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67FA317F">
      <w:pPr>
        <w:pStyle w:val="11"/>
        <w:spacing w:line="480" w:lineRule="auto"/>
        <w:jc w:val="both"/>
        <w:rPr>
          <w:b/>
          <w:color w:val="000000" w:themeColor="text1"/>
          <w:sz w:val="28"/>
          <w:szCs w:val="28"/>
          <w14:textFill>
            <w14:solidFill>
              <w14:schemeClr w14:val="tx1"/>
            </w14:solidFill>
          </w14:textFill>
        </w:rPr>
      </w:pPr>
    </w:p>
    <w:p w14:paraId="3DE19194">
      <w:pPr>
        <w:pStyle w:val="11"/>
        <w:spacing w:line="480" w:lineRule="auto"/>
        <w:jc w:val="both"/>
        <w:rPr>
          <w:color w:val="000000" w:themeColor="text1"/>
          <w:sz w:val="28"/>
          <w:szCs w:val="28"/>
          <w14:textFill>
            <w14:solidFill>
              <w14:schemeClr w14:val="tx1"/>
            </w14:solidFill>
          </w14:textFill>
        </w:rPr>
      </w:pPr>
    </w:p>
    <w:p w14:paraId="3818B5E2">
      <w:pPr>
        <w:pStyle w:val="2"/>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bookmarkStart w:id="22" w:name="_Toc203225928"/>
      <w:r>
        <w:rPr>
          <w:rFonts w:ascii="Times New Roman" w:hAnsi="Times New Roman" w:cs="Times New Roman"/>
          <w:b/>
          <w:color w:val="000000" w:themeColor="text1"/>
          <w:sz w:val="28"/>
          <w:szCs w:val="28"/>
          <w14:textFill>
            <w14:solidFill>
              <w14:schemeClr w14:val="tx1"/>
            </w14:solidFill>
          </w14:textFill>
        </w:rPr>
        <w:t>CHAPTER FOUR</w:t>
      </w:r>
      <w:bookmarkEnd w:id="22"/>
    </w:p>
    <w:p w14:paraId="2B47D01D">
      <w:pPr>
        <w:pStyle w:val="2"/>
        <w:rPr>
          <w:rFonts w:ascii="Times New Roman" w:hAnsi="Times New Roman" w:cs="Times New Roman"/>
          <w:b/>
          <w:color w:val="000000" w:themeColor="text1"/>
          <w:sz w:val="28"/>
          <w:szCs w:val="28"/>
          <w14:textFill>
            <w14:solidFill>
              <w14:schemeClr w14:val="tx1"/>
            </w14:solidFill>
          </w14:textFill>
        </w:rPr>
      </w:pPr>
      <w:bookmarkStart w:id="23" w:name="_Toc203225929"/>
      <w:r>
        <w:rPr>
          <w:rFonts w:ascii="Times New Roman" w:hAnsi="Times New Roman" w:cs="Times New Roman"/>
          <w:b/>
          <w:color w:val="000000" w:themeColor="text1"/>
          <w:sz w:val="28"/>
          <w:szCs w:val="28"/>
          <w14:textFill>
            <w14:solidFill>
              <w14:schemeClr w14:val="tx1"/>
            </w14:solidFill>
          </w14:textFill>
        </w:rPr>
        <w:t>4.0 DISCUSSION AND CONCLUSION</w:t>
      </w:r>
      <w:bookmarkEnd w:id="23"/>
    </w:p>
    <w:p w14:paraId="4CB9C125">
      <w:pPr>
        <w:pStyle w:val="2"/>
        <w:rPr>
          <w:rFonts w:ascii="Times New Roman" w:hAnsi="Times New Roman" w:cs="Times New Roman"/>
          <w:b/>
          <w:color w:val="000000" w:themeColor="text1"/>
          <w:sz w:val="28"/>
          <w:szCs w:val="28"/>
          <w14:textFill>
            <w14:solidFill>
              <w14:schemeClr w14:val="tx1"/>
            </w14:solidFill>
          </w14:textFill>
        </w:rPr>
      </w:pPr>
      <w:bookmarkStart w:id="24" w:name="_Toc203225930"/>
      <w:r>
        <w:rPr>
          <w:rFonts w:ascii="Times New Roman" w:hAnsi="Times New Roman" w:cs="Times New Roman"/>
          <w:b/>
          <w:color w:val="000000" w:themeColor="text1"/>
          <w:sz w:val="28"/>
          <w:szCs w:val="28"/>
          <w14:textFill>
            <w14:solidFill>
              <w14:schemeClr w14:val="tx1"/>
            </w14:solidFill>
          </w14:textFill>
        </w:rPr>
        <w:t>4.1 DISCUSSION</w:t>
      </w:r>
      <w:bookmarkEnd w:id="24"/>
    </w:p>
    <w:p w14:paraId="4B7F0F90">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antimicrobial activity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extracts against </w:t>
      </w:r>
      <w:r>
        <w:rPr>
          <w:rStyle w:val="7"/>
          <w:rFonts w:eastAsiaTheme="majorEastAsia"/>
          <w:color w:val="000000" w:themeColor="text1"/>
          <w:sz w:val="28"/>
          <w:szCs w:val="28"/>
          <w14:textFill>
            <w14:solidFill>
              <w14:schemeClr w14:val="tx1"/>
            </w14:solidFill>
          </w14:textFill>
        </w:rPr>
        <w:t>Escherichia coli</w:t>
      </w:r>
      <w:r>
        <w:rPr>
          <w:color w:val="000000" w:themeColor="text1"/>
          <w:sz w:val="28"/>
          <w:szCs w:val="28"/>
          <w14:textFill>
            <w14:solidFill>
              <w14:schemeClr w14:val="tx1"/>
            </w14:solidFill>
          </w14:textFill>
        </w:rPr>
        <w:t xml:space="preserve"> was evaluated using the agar well diffusion method. The results presented in </w:t>
      </w:r>
      <w:r>
        <w:rPr>
          <w:rStyle w:val="12"/>
          <w:b w:val="0"/>
          <w:color w:val="000000" w:themeColor="text1"/>
          <w:sz w:val="28"/>
          <w:szCs w:val="28"/>
          <w14:textFill>
            <w14:solidFill>
              <w14:schemeClr w14:val="tx1"/>
            </w14:solidFill>
          </w14:textFill>
        </w:rPr>
        <w:t>Table 3.1</w:t>
      </w:r>
      <w:r>
        <w:rPr>
          <w:color w:val="000000" w:themeColor="text1"/>
          <w:sz w:val="28"/>
          <w:szCs w:val="28"/>
          <w14:textFill>
            <w14:solidFill>
              <w14:schemeClr w14:val="tx1"/>
            </w14:solidFill>
          </w14:textFill>
        </w:rPr>
        <w:t xml:space="preserve"> and </w:t>
      </w:r>
      <w:r>
        <w:rPr>
          <w:rStyle w:val="12"/>
          <w:b w:val="0"/>
          <w:color w:val="000000" w:themeColor="text1"/>
          <w:sz w:val="28"/>
          <w:szCs w:val="28"/>
          <w14:textFill>
            <w14:solidFill>
              <w14:schemeClr w14:val="tx1"/>
            </w14:solidFill>
          </w14:textFill>
        </w:rPr>
        <w:t>Table 3.2</w:t>
      </w:r>
      <w:r>
        <w:rPr>
          <w:color w:val="000000" w:themeColor="text1"/>
          <w:sz w:val="28"/>
          <w:szCs w:val="28"/>
          <w14:textFill>
            <w14:solidFill>
              <w14:schemeClr w14:val="tx1"/>
            </w14:solidFill>
          </w14:textFill>
        </w:rPr>
        <w:t xml:space="preserve"> show that both aqueous and ethanolic extracts exhibited inhibitory effects on the growth of </w:t>
      </w:r>
      <w:r>
        <w:rPr>
          <w:rStyle w:val="7"/>
          <w:rFonts w:eastAsiaTheme="majorEastAsia"/>
          <w:color w:val="000000" w:themeColor="text1"/>
          <w:sz w:val="28"/>
          <w:szCs w:val="28"/>
          <w14:textFill>
            <w14:solidFill>
              <w14:schemeClr w14:val="tx1"/>
            </w14:solidFill>
          </w14:textFill>
        </w:rPr>
        <w:t>E. coli</w:t>
      </w:r>
      <w:r>
        <w:rPr>
          <w:color w:val="000000" w:themeColor="text1"/>
          <w:sz w:val="28"/>
          <w:szCs w:val="28"/>
          <w14:textFill>
            <w14:solidFill>
              <w14:schemeClr w14:val="tx1"/>
            </w14:solidFill>
          </w14:textFill>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14:paraId="7038F56E">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findings suggest that ethanol is a more efficient solvent for extracting antimicrobial compounds from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This observation aligns with the work of Ogundele et al. (2023), who reported that ethanolic extracts of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showed higher inhibitory activity against microbial pathogens than aqueous extracts. This enhanced activity is attributed to the higher solubility of active phytochemicals such as alkaloids, flavonoids, and phenolics in ethanol, which are known to disrupt microbial cell membranes and inhibit essential metabolic pathways.</w:t>
      </w:r>
    </w:p>
    <w:p w14:paraId="79D0339F">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 in </w:t>
      </w:r>
      <w:r>
        <w:rPr>
          <w:rStyle w:val="12"/>
          <w:b w:val="0"/>
          <w:color w:val="000000" w:themeColor="text1"/>
          <w:sz w:val="28"/>
          <w:szCs w:val="28"/>
          <w14:textFill>
            <w14:solidFill>
              <w14:schemeClr w14:val="tx1"/>
            </w14:solidFill>
          </w14:textFill>
        </w:rPr>
        <w:t>Table 3.3</w:t>
      </w:r>
      <w:r>
        <w:rPr>
          <w:color w:val="000000" w:themeColor="text1"/>
          <w:sz w:val="28"/>
          <w:szCs w:val="28"/>
          <w14:textFill>
            <w14:solidFill>
              <w14:schemeClr w14:val="tx1"/>
            </w14:solidFill>
          </w14:textFill>
        </w:rPr>
        <w:t xml:space="preserve">, which summarizes the comparative activity of both extracts, reinforces the effectiveness of the ethanolic extract. Similar trends were documented by Musa et al. (2021), who observed that the ethanolic leaf extract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demonstrated significant antimicrobial activity against </w:t>
      </w:r>
      <w:r>
        <w:rPr>
          <w:rStyle w:val="7"/>
          <w:rFonts w:eastAsiaTheme="majorEastAsia"/>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xml:space="preserve"> and </w:t>
      </w:r>
      <w:r>
        <w:rPr>
          <w:rStyle w:val="7"/>
          <w:rFonts w:eastAsiaTheme="majorEastAsia"/>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These pathogens were notably inhibited by the plant's secondary metabolites, particularly terpenoids and saponins, which may be responsible for the antimicrobial mechanism through membrane lysis and enzyme denaturation.</w:t>
      </w:r>
    </w:p>
    <w:p w14:paraId="106A8A78">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Pr>
          <w:rStyle w:val="12"/>
          <w:b w:val="0"/>
          <w:color w:val="000000" w:themeColor="text1"/>
          <w:sz w:val="28"/>
          <w:szCs w:val="28"/>
          <w14:textFill>
            <w14:solidFill>
              <w14:schemeClr w14:val="tx1"/>
            </w14:solidFill>
          </w14:textFill>
        </w:rPr>
        <w:t>Table 3.1</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for the aqueous extract. Nonetheless, the activity still indicates the presence of water-soluble antimicrobial compounds in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supporting its use in traditional herbal medicine.</w:t>
      </w:r>
    </w:p>
    <w:p w14:paraId="3FAC7A90">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results also corroborate Ibrahim et al. (2022), who demonstrated that combining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extract with other herbal agents enhanced antimicrobial effects. Although this study focused on </w:t>
      </w:r>
      <w:r>
        <w:rPr>
          <w:rStyle w:val="7"/>
          <w:rFonts w:eastAsiaTheme="majorEastAsia"/>
          <w:color w:val="000000" w:themeColor="text1"/>
          <w:sz w:val="28"/>
          <w:szCs w:val="28"/>
          <w14:textFill>
            <w14:solidFill>
              <w14:schemeClr w14:val="tx1"/>
            </w14:solidFill>
          </w14:textFill>
        </w:rPr>
        <w:t>E. coli</w:t>
      </w:r>
      <w:r>
        <w:rPr>
          <w:color w:val="000000" w:themeColor="text1"/>
          <w:sz w:val="28"/>
          <w:szCs w:val="28"/>
          <w14:textFill>
            <w14:solidFill>
              <w14:schemeClr w14:val="tx1"/>
            </w14:solidFill>
          </w14:textFill>
        </w:rPr>
        <w:t xml:space="preserve"> alone, the effectiveness of the ethanolic extract suggests that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may have broad-spectrum antimicrobial potential, especially if formulated synergistically or processed into nanoparticle-based delivery systems, as reported by Lawal et al. (2024).</w:t>
      </w:r>
    </w:p>
    <w:p w14:paraId="6F09C1CD">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results from this study confirm the antimicrobial potential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14:paraId="6EB5588C">
      <w:pPr>
        <w:pStyle w:val="11"/>
        <w:spacing w:line="480" w:lineRule="auto"/>
        <w:jc w:val="both"/>
        <w:rPr>
          <w:color w:val="000000" w:themeColor="text1"/>
          <w:sz w:val="28"/>
          <w:szCs w:val="28"/>
          <w14:textFill>
            <w14:solidFill>
              <w14:schemeClr w14:val="tx1"/>
            </w14:solidFill>
          </w14:textFill>
        </w:rPr>
      </w:pPr>
    </w:p>
    <w:p w14:paraId="415B90D7">
      <w:pPr>
        <w:pStyle w:val="2"/>
        <w:rPr>
          <w:rFonts w:ascii="Times New Roman" w:hAnsi="Times New Roman" w:cs="Times New Roman"/>
          <w:b/>
          <w:color w:val="000000" w:themeColor="text1"/>
          <w:sz w:val="28"/>
          <w:szCs w:val="28"/>
          <w14:textFill>
            <w14:solidFill>
              <w14:schemeClr w14:val="tx1"/>
            </w14:solidFill>
          </w14:textFill>
        </w:rPr>
      </w:pPr>
      <w:bookmarkStart w:id="25" w:name="_Toc203225931"/>
      <w:r>
        <w:rPr>
          <w:rFonts w:ascii="Times New Roman" w:hAnsi="Times New Roman" w:cs="Times New Roman"/>
          <w:b/>
          <w:color w:val="000000" w:themeColor="text1"/>
          <w:sz w:val="28"/>
          <w:szCs w:val="28"/>
          <w14:textFill>
            <w14:solidFill>
              <w14:schemeClr w14:val="tx1"/>
            </w14:solidFill>
          </w14:textFill>
        </w:rPr>
        <w:t>4.2 Conclusion</w:t>
      </w:r>
      <w:bookmarkEnd w:id="25"/>
    </w:p>
    <w:p w14:paraId="6F834CA1">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This study has demonstrated that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possesses notable antimicrobial activity against </w:t>
      </w:r>
      <w:r>
        <w:rPr>
          <w:rStyle w:val="7"/>
          <w:color w:val="000000" w:themeColor="text1"/>
          <w:sz w:val="28"/>
          <w:szCs w:val="28"/>
          <w14:textFill>
            <w14:solidFill>
              <w14:schemeClr w14:val="tx1"/>
            </w14:solidFill>
          </w14:textFill>
        </w:rPr>
        <w:t>Escherichia coli</w:t>
      </w:r>
      <w:r>
        <w:rPr>
          <w:color w:val="000000" w:themeColor="text1"/>
          <w:sz w:val="28"/>
          <w:szCs w:val="28"/>
          <w14:textFill>
            <w14:solidFill>
              <w14:schemeClr w14:val="tx1"/>
            </w14:solidFill>
          </w14:textFill>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contains phytochemicals such as flavonoids, tannins, saponins, and alkaloids that can act as natural antimicrobial agents. These findings support the traditional use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in herbal medicine and highlight its potential as an alternative treatment for bacterial infections.</w:t>
      </w:r>
    </w:p>
    <w:p w14:paraId="2C591513">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br w:type="page"/>
      </w:r>
    </w:p>
    <w:p w14:paraId="364D8DD2">
      <w:pPr>
        <w:pStyle w:val="2"/>
        <w:jc w:val="center"/>
        <w:rPr>
          <w:rFonts w:ascii="Times New Roman" w:hAnsi="Times New Roman" w:cs="Times New Roman"/>
          <w:b/>
          <w:color w:val="000000" w:themeColor="text1"/>
          <w:sz w:val="28"/>
          <w:szCs w:val="28"/>
          <w14:textFill>
            <w14:solidFill>
              <w14:schemeClr w14:val="tx1"/>
            </w14:solidFill>
          </w14:textFill>
        </w:rPr>
      </w:pPr>
      <w:bookmarkStart w:id="26" w:name="_Toc203225932"/>
      <w:r>
        <w:rPr>
          <w:rFonts w:ascii="Times New Roman" w:hAnsi="Times New Roman" w:cs="Times New Roman"/>
          <w:b/>
          <w:color w:val="000000" w:themeColor="text1"/>
          <w:sz w:val="28"/>
          <w:szCs w:val="28"/>
          <w14:textFill>
            <w14:solidFill>
              <w14:schemeClr w14:val="tx1"/>
            </w14:solidFill>
          </w14:textFill>
        </w:rPr>
        <w:t>REFERENCES</w:t>
      </w:r>
      <w:bookmarkEnd w:id="26"/>
    </w:p>
    <w:p w14:paraId="5A653C17">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Abdullahi, M. I., Usman, H., &amp; Yelwa, M. (2021). </w:t>
      </w:r>
      <w:r>
        <w:rPr>
          <w:rFonts w:ascii="Times New Roman" w:hAnsi="Times New Roman" w:eastAsia="Times New Roman" w:cs="Times New Roman"/>
          <w:i/>
          <w:iCs/>
          <w:color w:val="000000" w:themeColor="text1"/>
          <w:sz w:val="28"/>
          <w:szCs w:val="28"/>
          <w14:textFill>
            <w14:solidFill>
              <w14:schemeClr w14:val="tx1"/>
            </w14:solidFill>
          </w14:textFill>
        </w:rPr>
        <w:t>Phytochemical and antimicrobial activity of Calotropis procera leaf extracts</w:t>
      </w:r>
      <w:r>
        <w:rPr>
          <w:rFonts w:ascii="Times New Roman" w:hAnsi="Times New Roman" w:eastAsia="Times New Roman" w:cs="Times New Roman"/>
          <w:color w:val="000000" w:themeColor="text1"/>
          <w:sz w:val="28"/>
          <w:szCs w:val="28"/>
          <w14:textFill>
            <w14:solidFill>
              <w14:schemeClr w14:val="tx1"/>
            </w14:solidFill>
          </w14:textFill>
        </w:rPr>
        <w:t>. Nigerian Journal of Basic and Applied Sciences, 29(2), 123–130.</w:t>
      </w:r>
    </w:p>
    <w:p w14:paraId="2D3F9442">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Ayoade, J. A., Kareem, K. T., &amp; Olowolafe, T. A. (2020). </w:t>
      </w:r>
      <w:r>
        <w:rPr>
          <w:rFonts w:ascii="Times New Roman" w:hAnsi="Times New Roman" w:eastAsia="Times New Roman" w:cs="Times New Roman"/>
          <w:i/>
          <w:iCs/>
          <w:color w:val="000000" w:themeColor="text1"/>
          <w:sz w:val="28"/>
          <w:szCs w:val="28"/>
          <w14:textFill>
            <w14:solidFill>
              <w14:schemeClr w14:val="tx1"/>
            </w14:solidFill>
          </w14:textFill>
        </w:rPr>
        <w:t>Evaluation of antifungal activity of Calotropis procera latex</w:t>
      </w:r>
      <w:r>
        <w:rPr>
          <w:rFonts w:ascii="Times New Roman" w:hAnsi="Times New Roman" w:eastAsia="Times New Roman" w:cs="Times New Roman"/>
          <w:color w:val="000000" w:themeColor="text1"/>
          <w:sz w:val="28"/>
          <w:szCs w:val="28"/>
          <w14:textFill>
            <w14:solidFill>
              <w14:schemeClr w14:val="tx1"/>
            </w14:solidFill>
          </w14:textFill>
        </w:rPr>
        <w:t>. African Journal of Plant Science, 14(4), 89–95.</w:t>
      </w:r>
    </w:p>
    <w:p w14:paraId="6B4AD72E">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Baba, A. A., Sulaiman, A. M., &amp; Rabiu, B. (2021). </w:t>
      </w:r>
      <w:r>
        <w:rPr>
          <w:rFonts w:ascii="Times New Roman" w:hAnsi="Times New Roman" w:eastAsia="Times New Roman" w:cs="Times New Roman"/>
          <w:i/>
          <w:iCs/>
          <w:color w:val="000000" w:themeColor="text1"/>
          <w:sz w:val="28"/>
          <w:szCs w:val="28"/>
          <w14:textFill>
            <w14:solidFill>
              <w14:schemeClr w14:val="tx1"/>
            </w14:solidFill>
          </w14:textFill>
        </w:rPr>
        <w:t>Ethnobotanical survey of medicinal plants used for skin infections in Kwara State, Nigeria</w:t>
      </w:r>
      <w:r>
        <w:rPr>
          <w:rFonts w:ascii="Times New Roman" w:hAnsi="Times New Roman" w:eastAsia="Times New Roman" w:cs="Times New Roman"/>
          <w:color w:val="000000" w:themeColor="text1"/>
          <w:sz w:val="28"/>
          <w:szCs w:val="28"/>
          <w14:textFill>
            <w14:solidFill>
              <w14:schemeClr w14:val="tx1"/>
            </w14:solidFill>
          </w14:textFill>
        </w:rPr>
        <w:t>. Journal of Herbal Medicine, 27, 100429.</w:t>
      </w:r>
    </w:p>
    <w:p w14:paraId="1B08B2DD">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Chikere, C. B., Umeh, R. E., &amp; Okeke, E. C. (2022). </w:t>
      </w:r>
      <w:r>
        <w:rPr>
          <w:rFonts w:ascii="Times New Roman" w:hAnsi="Times New Roman" w:eastAsia="Times New Roman" w:cs="Times New Roman"/>
          <w:i/>
          <w:iCs/>
          <w:color w:val="000000" w:themeColor="text1"/>
          <w:sz w:val="28"/>
          <w:szCs w:val="28"/>
          <w14:textFill>
            <w14:solidFill>
              <w14:schemeClr w14:val="tx1"/>
            </w14:solidFill>
          </w14:textFill>
        </w:rPr>
        <w:t>Emerging resistance in pathogenic fungi: A Nigerian perspective</w:t>
      </w:r>
      <w:r>
        <w:rPr>
          <w:rFonts w:ascii="Times New Roman" w:hAnsi="Times New Roman" w:eastAsia="Times New Roman" w:cs="Times New Roman"/>
          <w:color w:val="000000" w:themeColor="text1"/>
          <w:sz w:val="28"/>
          <w:szCs w:val="28"/>
          <w14:textFill>
            <w14:solidFill>
              <w14:schemeClr w14:val="tx1"/>
            </w14:solidFill>
          </w14:textFill>
        </w:rPr>
        <w:t>. Clinical Mycology Reports, 4(1), 25–33.</w:t>
      </w:r>
    </w:p>
    <w:p w14:paraId="48A32802">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Eze, P. C., Ani, J. C., &amp; Odoemelam, E. O. (2023). </w:t>
      </w:r>
      <w:r>
        <w:rPr>
          <w:rFonts w:ascii="Times New Roman" w:hAnsi="Times New Roman" w:eastAsia="Times New Roman" w:cs="Times New Roman"/>
          <w:i/>
          <w:iCs/>
          <w:color w:val="000000" w:themeColor="text1"/>
          <w:sz w:val="28"/>
          <w:szCs w:val="28"/>
          <w14:textFill>
            <w14:solidFill>
              <w14:schemeClr w14:val="tx1"/>
            </w14:solidFill>
          </w14:textFill>
        </w:rPr>
        <w:t>Comparative antimicrobial activity of Calotropis procera leaf and bark extracts</w:t>
      </w:r>
      <w:r>
        <w:rPr>
          <w:rFonts w:ascii="Times New Roman" w:hAnsi="Times New Roman" w:eastAsia="Times New Roman" w:cs="Times New Roman"/>
          <w:color w:val="000000" w:themeColor="text1"/>
          <w:sz w:val="28"/>
          <w:szCs w:val="28"/>
          <w14:textFill>
            <w14:solidFill>
              <w14:schemeClr w14:val="tx1"/>
            </w14:solidFill>
          </w14:textFill>
        </w:rPr>
        <w:t>. Journal of Applied Biology &amp; Biotechnology, 11(3), 77–84.</w:t>
      </w:r>
    </w:p>
    <w:p w14:paraId="661A9D24">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Ibrahim, A. M., Danjuma, A. K., &amp; Haruna, H. (2022). </w:t>
      </w:r>
      <w:r>
        <w:rPr>
          <w:rFonts w:ascii="Times New Roman" w:hAnsi="Times New Roman" w:eastAsia="Times New Roman" w:cs="Times New Roman"/>
          <w:i/>
          <w:iCs/>
          <w:color w:val="000000" w:themeColor="text1"/>
          <w:sz w:val="28"/>
          <w:szCs w:val="28"/>
          <w14:textFill>
            <w14:solidFill>
              <w14:schemeClr w14:val="tx1"/>
            </w14:solidFill>
          </w14:textFill>
        </w:rPr>
        <w:t>Synergistic antifungal effect of Calotropis procera and other medicinal plant extracts</w:t>
      </w:r>
      <w:r>
        <w:rPr>
          <w:rFonts w:ascii="Times New Roman" w:hAnsi="Times New Roman" w:eastAsia="Times New Roman" w:cs="Times New Roman"/>
          <w:color w:val="000000" w:themeColor="text1"/>
          <w:sz w:val="28"/>
          <w:szCs w:val="28"/>
          <w14:textFill>
            <w14:solidFill>
              <w14:schemeClr w14:val="tx1"/>
            </w14:solidFill>
          </w14:textFill>
        </w:rPr>
        <w:t>. West African Journal of Pharmacology, 38(2), 145–152.</w:t>
      </w:r>
    </w:p>
    <w:p w14:paraId="1663F5FA">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Ibrahim, A. M., Danjuma, A. K., &amp; Haruna, H. (2022). Synergistic antifungal effect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and other medicinal plant extracts. </w:t>
      </w:r>
      <w:r>
        <w:rPr>
          <w:rFonts w:ascii="Times New Roman" w:hAnsi="Times New Roman" w:eastAsia="Times New Roman" w:cs="Times New Roman"/>
          <w:i/>
          <w:iCs/>
          <w:color w:val="000000" w:themeColor="text1"/>
          <w:sz w:val="28"/>
          <w:szCs w:val="28"/>
          <w14:textFill>
            <w14:solidFill>
              <w14:schemeClr w14:val="tx1"/>
            </w14:solidFill>
          </w14:textFill>
        </w:rPr>
        <w:t>West African Journal of Pharmacology</w:t>
      </w:r>
      <w:r>
        <w:rPr>
          <w:rFonts w:ascii="Times New Roman" w:hAnsi="Times New Roman" w:eastAsia="Times New Roman" w:cs="Times New Roman"/>
          <w:color w:val="000000" w:themeColor="text1"/>
          <w:sz w:val="28"/>
          <w:szCs w:val="28"/>
          <w14:textFill>
            <w14:solidFill>
              <w14:schemeClr w14:val="tx1"/>
            </w14:solidFill>
          </w14:textFill>
        </w:rPr>
        <w:t>, 38(2), 145–152.</w:t>
      </w:r>
    </w:p>
    <w:p w14:paraId="26B3091B">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Ibrahim, A. M., Danjuma, A. K., &amp; Haruna, H. (2022). Synergistic antifungal effect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and other medicinal plant extracts. </w:t>
      </w:r>
      <w:r>
        <w:rPr>
          <w:rStyle w:val="7"/>
          <w:color w:val="000000" w:themeColor="text1"/>
          <w:sz w:val="28"/>
          <w:szCs w:val="28"/>
          <w14:textFill>
            <w14:solidFill>
              <w14:schemeClr w14:val="tx1"/>
            </w14:solidFill>
          </w14:textFill>
        </w:rPr>
        <w:t>West African Journal of Pharmacology</w:t>
      </w:r>
      <w:r>
        <w:rPr>
          <w:color w:val="000000" w:themeColor="text1"/>
          <w:sz w:val="28"/>
          <w:szCs w:val="28"/>
          <w14:textFill>
            <w14:solidFill>
              <w14:schemeClr w14:val="tx1"/>
            </w14:solidFill>
          </w14:textFill>
        </w:rPr>
        <w:t>, 38(2), 145–152.</w:t>
      </w:r>
    </w:p>
    <w:p w14:paraId="01A79F5B">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Kazeem, M. I., Oyetunde, T. T., &amp; Shoyombo, A. J. (2023). </w:t>
      </w:r>
      <w:r>
        <w:rPr>
          <w:rFonts w:ascii="Times New Roman" w:hAnsi="Times New Roman" w:eastAsia="Times New Roman" w:cs="Times New Roman"/>
          <w:i/>
          <w:iCs/>
          <w:color w:val="000000" w:themeColor="text1"/>
          <w:sz w:val="28"/>
          <w:szCs w:val="28"/>
          <w14:textFill>
            <w14:solidFill>
              <w14:schemeClr w14:val="tx1"/>
            </w14:solidFill>
          </w14:textFill>
        </w:rPr>
        <w:t>Phytochemical screening and biological activity of Calotropis procera extracts</w:t>
      </w:r>
      <w:r>
        <w:rPr>
          <w:rFonts w:ascii="Times New Roman" w:hAnsi="Times New Roman" w:eastAsia="Times New Roman" w:cs="Times New Roman"/>
          <w:color w:val="000000" w:themeColor="text1"/>
          <w:sz w:val="28"/>
          <w:szCs w:val="28"/>
          <w14:textFill>
            <w14:solidFill>
              <w14:schemeClr w14:val="tx1"/>
            </w14:solidFill>
          </w14:textFill>
        </w:rPr>
        <w:t>. Journal of Pharmacognosy and Phytochemistry, 12(1), 98–104.</w:t>
      </w:r>
    </w:p>
    <w:p w14:paraId="3B53FEA8">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Kazeem, M. I., Oyetunde, T. T., &amp; Shoyombo, A. J. (2023). Phytochemical screening and biological activity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extracts. </w:t>
      </w:r>
      <w:r>
        <w:rPr>
          <w:rFonts w:ascii="Times New Roman" w:hAnsi="Times New Roman" w:eastAsia="Times New Roman" w:cs="Times New Roman"/>
          <w:i/>
          <w:iCs/>
          <w:color w:val="000000" w:themeColor="text1"/>
          <w:sz w:val="28"/>
          <w:szCs w:val="28"/>
          <w14:textFill>
            <w14:solidFill>
              <w14:schemeClr w14:val="tx1"/>
            </w14:solidFill>
          </w14:textFill>
        </w:rPr>
        <w:t>Journal of Pharmacognosy and Phytochemistry</w:t>
      </w:r>
      <w:r>
        <w:rPr>
          <w:rFonts w:ascii="Times New Roman" w:hAnsi="Times New Roman" w:eastAsia="Times New Roman" w:cs="Times New Roman"/>
          <w:color w:val="000000" w:themeColor="text1"/>
          <w:sz w:val="28"/>
          <w:szCs w:val="28"/>
          <w14:textFill>
            <w14:solidFill>
              <w14:schemeClr w14:val="tx1"/>
            </w14:solidFill>
          </w14:textFill>
        </w:rPr>
        <w:t>, 12(1), 98–104.</w:t>
      </w:r>
    </w:p>
    <w:p w14:paraId="40715BEE">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Kazeem, M. I., Oyetunde, T. T., &amp; Shoyombo, A. J. (2023). Phytochemical screening and biological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extracts. </w:t>
      </w:r>
      <w:r>
        <w:rPr>
          <w:rStyle w:val="7"/>
          <w:color w:val="000000" w:themeColor="text1"/>
          <w:sz w:val="28"/>
          <w:szCs w:val="28"/>
          <w14:textFill>
            <w14:solidFill>
              <w14:schemeClr w14:val="tx1"/>
            </w14:solidFill>
          </w14:textFill>
        </w:rPr>
        <w:t>Journal of Pharmacognosy and Phytochemistry</w:t>
      </w:r>
      <w:r>
        <w:rPr>
          <w:color w:val="000000" w:themeColor="text1"/>
          <w:sz w:val="28"/>
          <w:szCs w:val="28"/>
          <w14:textFill>
            <w14:solidFill>
              <w14:schemeClr w14:val="tx1"/>
            </w14:solidFill>
          </w14:textFill>
        </w:rPr>
        <w:t>, 12(1), 98–104.</w:t>
      </w:r>
    </w:p>
    <w:p w14:paraId="3484A88D">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Lawal, A. F., Musa, A. K., &amp; Adedayo, A. A. (2024). </w:t>
      </w:r>
      <w:r>
        <w:rPr>
          <w:rFonts w:ascii="Times New Roman" w:hAnsi="Times New Roman" w:eastAsia="Times New Roman" w:cs="Times New Roman"/>
          <w:i/>
          <w:iCs/>
          <w:color w:val="000000" w:themeColor="text1"/>
          <w:sz w:val="28"/>
          <w:szCs w:val="28"/>
          <w14:textFill>
            <w14:solidFill>
              <w14:schemeClr w14:val="tx1"/>
            </w14:solidFill>
          </w14:textFill>
        </w:rPr>
        <w:t>Green synthesis of silver nanoparticles using Calotropis procera extract and their antifungal efficacy</w:t>
      </w:r>
      <w:r>
        <w:rPr>
          <w:rFonts w:ascii="Times New Roman" w:hAnsi="Times New Roman" w:eastAsia="Times New Roman" w:cs="Times New Roman"/>
          <w:color w:val="000000" w:themeColor="text1"/>
          <w:sz w:val="28"/>
          <w:szCs w:val="28"/>
          <w14:textFill>
            <w14:solidFill>
              <w14:schemeClr w14:val="tx1"/>
            </w14:solidFill>
          </w14:textFill>
        </w:rPr>
        <w:t>. Nano Biomedicine and Engineering, 16(2), 101–110.</w:t>
      </w:r>
    </w:p>
    <w:p w14:paraId="703C213C">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Lawal, A. F., Musa, A. K., &amp; Adedayo, A. A. (2024). Green synthesis of silver nanoparticles using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extract and their antifungal efficacy. </w:t>
      </w:r>
      <w:r>
        <w:rPr>
          <w:rFonts w:ascii="Times New Roman" w:hAnsi="Times New Roman" w:eastAsia="Times New Roman" w:cs="Times New Roman"/>
          <w:i/>
          <w:iCs/>
          <w:color w:val="000000" w:themeColor="text1"/>
          <w:sz w:val="28"/>
          <w:szCs w:val="28"/>
          <w14:textFill>
            <w14:solidFill>
              <w14:schemeClr w14:val="tx1"/>
            </w14:solidFill>
          </w14:textFill>
        </w:rPr>
        <w:t>Nano Biomedicine and Engineering</w:t>
      </w:r>
      <w:r>
        <w:rPr>
          <w:rFonts w:ascii="Times New Roman" w:hAnsi="Times New Roman" w:eastAsia="Times New Roman" w:cs="Times New Roman"/>
          <w:color w:val="000000" w:themeColor="text1"/>
          <w:sz w:val="28"/>
          <w:szCs w:val="28"/>
          <w14:textFill>
            <w14:solidFill>
              <w14:schemeClr w14:val="tx1"/>
            </w14:solidFill>
          </w14:textFill>
        </w:rPr>
        <w:t>, 16(2), 101–110.</w:t>
      </w:r>
    </w:p>
    <w:p w14:paraId="1E61F1A3">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Lawal, A. F., Musa, A. K., &amp; Adedayo, A. A. (2024). Green synthesis of silver nanoparticles using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 and their antifungal efficacy. </w:t>
      </w:r>
      <w:r>
        <w:rPr>
          <w:rStyle w:val="7"/>
          <w:color w:val="000000" w:themeColor="text1"/>
          <w:sz w:val="28"/>
          <w:szCs w:val="28"/>
          <w14:textFill>
            <w14:solidFill>
              <w14:schemeClr w14:val="tx1"/>
            </w14:solidFill>
          </w14:textFill>
        </w:rPr>
        <w:t>Nano Biomedicine and Engineering</w:t>
      </w:r>
      <w:r>
        <w:rPr>
          <w:color w:val="000000" w:themeColor="text1"/>
          <w:sz w:val="28"/>
          <w:szCs w:val="28"/>
          <w14:textFill>
            <w14:solidFill>
              <w14:schemeClr w14:val="tx1"/>
            </w14:solidFill>
          </w14:textFill>
        </w:rPr>
        <w:t>, 16(2), 101–110.</w:t>
      </w:r>
    </w:p>
    <w:p w14:paraId="18315690">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Musa, A. R., Adegoke, A. A., &amp; Tijani, A. A. (2021). Evaluation of antifungal activity of ethanolic extract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on dermatophytes. </w:t>
      </w:r>
      <w:r>
        <w:rPr>
          <w:rFonts w:ascii="Times New Roman" w:hAnsi="Times New Roman" w:eastAsia="Times New Roman" w:cs="Times New Roman"/>
          <w:i/>
          <w:iCs/>
          <w:color w:val="000000" w:themeColor="text1"/>
          <w:sz w:val="28"/>
          <w:szCs w:val="28"/>
          <w14:textFill>
            <w14:solidFill>
              <w14:schemeClr w14:val="tx1"/>
            </w14:solidFill>
          </w14:textFill>
        </w:rPr>
        <w:t>African Journal of Microbiology Research</w:t>
      </w:r>
      <w:r>
        <w:rPr>
          <w:rFonts w:ascii="Times New Roman" w:hAnsi="Times New Roman" w:eastAsia="Times New Roman" w:cs="Times New Roman"/>
          <w:color w:val="000000" w:themeColor="text1"/>
          <w:sz w:val="28"/>
          <w:szCs w:val="28"/>
          <w14:textFill>
            <w14:solidFill>
              <w14:schemeClr w14:val="tx1"/>
            </w14:solidFill>
          </w14:textFill>
        </w:rPr>
        <w:t>, 15(6), 204–210.</w:t>
      </w:r>
    </w:p>
    <w:p w14:paraId="1E8D27DA">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Musa, A. R., Adegoke, A. A., &amp; Tijani, A. A. (2021). Evaluation of antifungal activity of ethanolic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on dermatophytes. </w:t>
      </w:r>
      <w:r>
        <w:rPr>
          <w:rStyle w:val="7"/>
          <w:color w:val="000000" w:themeColor="text1"/>
          <w:sz w:val="28"/>
          <w:szCs w:val="28"/>
          <w14:textFill>
            <w14:solidFill>
              <w14:schemeClr w14:val="tx1"/>
            </w14:solidFill>
          </w14:textFill>
        </w:rPr>
        <w:t>African Journal of Microbiology Research</w:t>
      </w:r>
      <w:r>
        <w:rPr>
          <w:color w:val="000000" w:themeColor="text1"/>
          <w:sz w:val="28"/>
          <w:szCs w:val="28"/>
          <w14:textFill>
            <w14:solidFill>
              <w14:schemeClr w14:val="tx1"/>
            </w14:solidFill>
          </w14:textFill>
        </w:rPr>
        <w:t>, 15(6), 204–210.</w:t>
      </w:r>
    </w:p>
    <w:p w14:paraId="072C4388">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Ogundele, O. S., Ogunlana, E. O., &amp; Adebayo, O. J. (2023). </w:t>
      </w:r>
      <w:r>
        <w:rPr>
          <w:rFonts w:ascii="Times New Roman" w:hAnsi="Times New Roman" w:eastAsia="Times New Roman" w:cs="Times New Roman"/>
          <w:i/>
          <w:iCs/>
          <w:color w:val="000000" w:themeColor="text1"/>
          <w:sz w:val="28"/>
          <w:szCs w:val="28"/>
          <w14:textFill>
            <w14:solidFill>
              <w14:schemeClr w14:val="tx1"/>
            </w14:solidFill>
          </w14:textFill>
        </w:rPr>
        <w:t>Effect of different solvents on antifungal activity of Calotropis procera leaf extract</w:t>
      </w:r>
      <w:r>
        <w:rPr>
          <w:rFonts w:ascii="Times New Roman" w:hAnsi="Times New Roman" w:eastAsia="Times New Roman" w:cs="Times New Roman"/>
          <w:color w:val="000000" w:themeColor="text1"/>
          <w:sz w:val="28"/>
          <w:szCs w:val="28"/>
          <w14:textFill>
            <w14:solidFill>
              <w14:schemeClr w14:val="tx1"/>
            </w14:solidFill>
          </w14:textFill>
        </w:rPr>
        <w:t>. Nigerian Journal of Natural Products and Medicine, 27(1), 41–49.</w:t>
      </w:r>
    </w:p>
    <w:p w14:paraId="2395D379">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Ogundele, O. S., Ogunlana, E. O., &amp; Adebayo, O. J. (2023). Effect of different solvents on antifungal activity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leaf extract. </w:t>
      </w:r>
      <w:r>
        <w:rPr>
          <w:rFonts w:ascii="Times New Roman" w:hAnsi="Times New Roman" w:eastAsia="Times New Roman" w:cs="Times New Roman"/>
          <w:i/>
          <w:iCs/>
          <w:color w:val="000000" w:themeColor="text1"/>
          <w:sz w:val="28"/>
          <w:szCs w:val="28"/>
          <w14:textFill>
            <w14:solidFill>
              <w14:schemeClr w14:val="tx1"/>
            </w14:solidFill>
          </w14:textFill>
        </w:rPr>
        <w:t>Nigerian Journal of Natural Products and Medicine</w:t>
      </w:r>
      <w:r>
        <w:rPr>
          <w:rFonts w:ascii="Times New Roman" w:hAnsi="Times New Roman" w:eastAsia="Times New Roman" w:cs="Times New Roman"/>
          <w:color w:val="000000" w:themeColor="text1"/>
          <w:sz w:val="28"/>
          <w:szCs w:val="28"/>
          <w14:textFill>
            <w14:solidFill>
              <w14:schemeClr w14:val="tx1"/>
            </w14:solidFill>
          </w14:textFill>
        </w:rPr>
        <w:t>, 27(1), 41–49.</w:t>
      </w:r>
    </w:p>
    <w:p w14:paraId="03EFDBF2">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Ogundele, O. S., Ogunlana, E. O., &amp; Adebayo, O. J. (2023). Effect of different solvents on antifungal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leaf extract. </w:t>
      </w:r>
      <w:r>
        <w:rPr>
          <w:rStyle w:val="7"/>
          <w:color w:val="000000" w:themeColor="text1"/>
          <w:sz w:val="28"/>
          <w:szCs w:val="28"/>
          <w14:textFill>
            <w14:solidFill>
              <w14:schemeClr w14:val="tx1"/>
            </w14:solidFill>
          </w14:textFill>
        </w:rPr>
        <w:t>Nigerian Journal of Natural Products and Medicine</w:t>
      </w:r>
      <w:r>
        <w:rPr>
          <w:color w:val="000000" w:themeColor="text1"/>
          <w:sz w:val="28"/>
          <w:szCs w:val="28"/>
          <w14:textFill>
            <w14:solidFill>
              <w14:schemeClr w14:val="tx1"/>
            </w14:solidFill>
          </w14:textFill>
        </w:rPr>
        <w:t>, 27(1), 41–49.</w:t>
      </w:r>
    </w:p>
    <w:p w14:paraId="5F441603">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Okonkwo, C. C., Iwu, C. D., &amp; Eke, I. E. (2020). </w:t>
      </w:r>
      <w:r>
        <w:rPr>
          <w:rFonts w:ascii="Times New Roman" w:hAnsi="Times New Roman" w:eastAsia="Times New Roman" w:cs="Times New Roman"/>
          <w:i/>
          <w:iCs/>
          <w:color w:val="000000" w:themeColor="text1"/>
          <w:sz w:val="28"/>
          <w:szCs w:val="28"/>
          <w14:textFill>
            <w14:solidFill>
              <w14:schemeClr w14:val="tx1"/>
            </w14:solidFill>
          </w14:textFill>
        </w:rPr>
        <w:t>Phytochemical constituents and antimicrobial activity of Calotropis procera</w:t>
      </w:r>
      <w:r>
        <w:rPr>
          <w:rFonts w:ascii="Times New Roman" w:hAnsi="Times New Roman" w:eastAsia="Times New Roman" w:cs="Times New Roman"/>
          <w:color w:val="000000" w:themeColor="text1"/>
          <w:sz w:val="28"/>
          <w:szCs w:val="28"/>
          <w14:textFill>
            <w14:solidFill>
              <w14:schemeClr w14:val="tx1"/>
            </w14:solidFill>
          </w14:textFill>
        </w:rPr>
        <w:t>. International Journal of Biological Research, 8(2), 112–118.</w:t>
      </w:r>
    </w:p>
    <w:p w14:paraId="5452E65A">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Suleiman, A. A., Danlami, M. A., &amp; Okereke, A. C. (2022). </w:t>
      </w:r>
      <w:r>
        <w:rPr>
          <w:rFonts w:ascii="Times New Roman" w:hAnsi="Times New Roman" w:eastAsia="Times New Roman" w:cs="Times New Roman"/>
          <w:i/>
          <w:iCs/>
          <w:color w:val="000000" w:themeColor="text1"/>
          <w:sz w:val="28"/>
          <w:szCs w:val="28"/>
          <w14:textFill>
            <w14:solidFill>
              <w14:schemeClr w14:val="tx1"/>
            </w14:solidFill>
          </w14:textFill>
        </w:rPr>
        <w:t>Mechanisms of action of plant-derived antifungal compounds</w:t>
      </w:r>
      <w:r>
        <w:rPr>
          <w:rFonts w:ascii="Times New Roman" w:hAnsi="Times New Roman" w:eastAsia="Times New Roman" w:cs="Times New Roman"/>
          <w:color w:val="000000" w:themeColor="text1"/>
          <w:sz w:val="28"/>
          <w:szCs w:val="28"/>
          <w14:textFill>
            <w14:solidFill>
              <w14:schemeClr w14:val="tx1"/>
            </w14:solidFill>
          </w14:textFill>
        </w:rPr>
        <w:t>. African Journal of Microbial Research, 16(3), 87–94.</w:t>
      </w:r>
    </w:p>
    <w:p w14:paraId="1C53A496">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Umaru, H., Folarin, O. M., &amp; Adebisi, A. M. (2023). </w:t>
      </w:r>
      <w:r>
        <w:rPr>
          <w:rFonts w:ascii="Times New Roman" w:hAnsi="Times New Roman" w:eastAsia="Times New Roman" w:cs="Times New Roman"/>
          <w:i/>
          <w:iCs/>
          <w:color w:val="000000" w:themeColor="text1"/>
          <w:sz w:val="28"/>
          <w:szCs w:val="28"/>
          <w14:textFill>
            <w14:solidFill>
              <w14:schemeClr w14:val="tx1"/>
            </w14:solidFill>
          </w14:textFill>
        </w:rPr>
        <w:t>Toxicological evaluation of Calotropis procera leaf extract in Wistar rats</w:t>
      </w:r>
      <w:r>
        <w:rPr>
          <w:rFonts w:ascii="Times New Roman" w:hAnsi="Times New Roman" w:eastAsia="Times New Roman" w:cs="Times New Roman"/>
          <w:color w:val="000000" w:themeColor="text1"/>
          <w:sz w:val="28"/>
          <w:szCs w:val="28"/>
          <w14:textFill>
            <w14:solidFill>
              <w14:schemeClr w14:val="tx1"/>
            </w14:solidFill>
          </w14:textFill>
        </w:rPr>
        <w:t>. Journal of Toxicological Studies, 19(4), 221–229.</w:t>
      </w:r>
    </w:p>
    <w:p w14:paraId="19C8861B">
      <w:pPr>
        <w:spacing w:before="100" w:beforeAutospacing="1" w:after="100" w:afterAutospacing="1" w:line="480" w:lineRule="auto"/>
        <w:ind w:left="720" w:hanging="72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Umaru, H., Folarin, O. M., &amp; Adebisi, A. M. (2023). Toxicological evaluation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leaf extract in Wistar rats. </w:t>
      </w:r>
      <w:r>
        <w:rPr>
          <w:rFonts w:ascii="Times New Roman" w:hAnsi="Times New Roman" w:eastAsia="Times New Roman" w:cs="Times New Roman"/>
          <w:i/>
          <w:iCs/>
          <w:color w:val="000000" w:themeColor="text1"/>
          <w:sz w:val="28"/>
          <w:szCs w:val="28"/>
          <w14:textFill>
            <w14:solidFill>
              <w14:schemeClr w14:val="tx1"/>
            </w14:solidFill>
          </w14:textFill>
        </w:rPr>
        <w:t>Journal of Toxicological Studies</w:t>
      </w:r>
      <w:r>
        <w:rPr>
          <w:rFonts w:ascii="Times New Roman" w:hAnsi="Times New Roman" w:eastAsia="Times New Roman" w:cs="Times New Roman"/>
          <w:color w:val="000000" w:themeColor="text1"/>
          <w:sz w:val="28"/>
          <w:szCs w:val="28"/>
          <w14:textFill>
            <w14:solidFill>
              <w14:schemeClr w14:val="tx1"/>
            </w14:solidFill>
          </w14:textFill>
        </w:rPr>
        <w:t>, 19(4), 221–229.</w:t>
      </w:r>
      <w:r>
        <w:rPr>
          <w:rFonts w:ascii="Times New Roman" w:hAnsi="Times New Roman" w:cs="Times New Roman"/>
          <w:color w:val="000000" w:themeColor="text1"/>
          <w:sz w:val="28"/>
          <w:szCs w:val="28"/>
          <w14:textFill>
            <w14:solidFill>
              <w14:schemeClr w14:val="tx1"/>
            </w14:solidFill>
          </w14:textFill>
        </w:rPr>
        <w:t xml:space="preserve"> </w:t>
      </w:r>
    </w:p>
    <w:sectPr>
      <w:pgSz w:w="11520" w:h="14400"/>
      <w:pgMar w:top="1440" w:right="1440" w:bottom="1440" w:left="1440" w:header="706" w:footer="706"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461270"/>
      <w:docPartObj>
        <w:docPartGallery w:val="AutoText"/>
      </w:docPartObj>
    </w:sdtPr>
    <w:sdtContent>
      <w:p w14:paraId="3C640965">
        <w:pPr>
          <w:pStyle w:val="8"/>
          <w:jc w:val="center"/>
        </w:pPr>
        <w:r>
          <w:fldChar w:fldCharType="begin"/>
        </w:r>
        <w:r>
          <w:instrText xml:space="preserve"> PAGE   \* MERGEFORMAT </w:instrText>
        </w:r>
        <w:r>
          <w:fldChar w:fldCharType="separate"/>
        </w:r>
        <w:r>
          <w:t>i</w:t>
        </w:r>
        <w:r>
          <w:fldChar w:fldCharType="end"/>
        </w:r>
      </w:p>
    </w:sdtContent>
  </w:sdt>
  <w:p w14:paraId="0E2991A7">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A6BAC"/>
    <w:multiLevelType w:val="multilevel"/>
    <w:tmpl w:val="217A6B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5607B9A"/>
    <w:multiLevelType w:val="multilevel"/>
    <w:tmpl w:val="25607B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065747"/>
    <w:rsid w:val="00107089"/>
    <w:rsid w:val="001151F8"/>
    <w:rsid w:val="00172098"/>
    <w:rsid w:val="00191234"/>
    <w:rsid w:val="00280381"/>
    <w:rsid w:val="002B0610"/>
    <w:rsid w:val="002B0BB5"/>
    <w:rsid w:val="00331D47"/>
    <w:rsid w:val="00380D27"/>
    <w:rsid w:val="00531202"/>
    <w:rsid w:val="0056789D"/>
    <w:rsid w:val="00645FF4"/>
    <w:rsid w:val="00657CB7"/>
    <w:rsid w:val="00701FA4"/>
    <w:rsid w:val="0078606D"/>
    <w:rsid w:val="007A5C16"/>
    <w:rsid w:val="007D1476"/>
    <w:rsid w:val="00806E62"/>
    <w:rsid w:val="008E05E5"/>
    <w:rsid w:val="0098466D"/>
    <w:rsid w:val="00A561EC"/>
    <w:rsid w:val="00B52347"/>
    <w:rsid w:val="00BA4612"/>
    <w:rsid w:val="00C778CF"/>
    <w:rsid w:val="00C77AD7"/>
    <w:rsid w:val="00CE4FE5"/>
    <w:rsid w:val="00D30C73"/>
    <w:rsid w:val="00D415F8"/>
    <w:rsid w:val="00D76EF5"/>
    <w:rsid w:val="00DA0F41"/>
    <w:rsid w:val="00DF28FE"/>
    <w:rsid w:val="00E6797D"/>
    <w:rsid w:val="00E71726"/>
    <w:rsid w:val="00EE5127"/>
    <w:rsid w:val="00F57D6E"/>
    <w:rsid w:val="00F60C46"/>
    <w:rsid w:val="00FB3D52"/>
    <w:rsid w:val="00FD0443"/>
    <w:rsid w:val="69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link w:val="16"/>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link w:val="1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22"/>
    <w:unhideWhenUsed/>
    <w:uiPriority w:val="99"/>
    <w:pPr>
      <w:tabs>
        <w:tab w:val="center" w:pos="4680"/>
        <w:tab w:val="right" w:pos="9360"/>
      </w:tabs>
      <w:spacing w:after="0" w:line="240" w:lineRule="auto"/>
    </w:pPr>
  </w:style>
  <w:style w:type="paragraph" w:styleId="9">
    <w:name w:val="header"/>
    <w:basedOn w:val="1"/>
    <w:link w:val="21"/>
    <w:unhideWhenUsed/>
    <w:uiPriority w:val="99"/>
    <w:pPr>
      <w:tabs>
        <w:tab w:val="center" w:pos="4680"/>
        <w:tab w:val="right" w:pos="9360"/>
      </w:tabs>
      <w:spacing w:after="0" w:line="240" w:lineRule="auto"/>
    </w:pPr>
  </w:style>
  <w:style w:type="character" w:styleId="10">
    <w:name w:val="Hyperlink"/>
    <w:basedOn w:val="5"/>
    <w:unhideWhenUsed/>
    <w:uiPriority w:val="99"/>
    <w:rPr>
      <w:color w:val="0563C1" w:themeColor="hyperlink"/>
      <w:u w:val="single"/>
      <w14:textFill>
        <w14:solidFill>
          <w14:schemeClr w14:val="hlink"/>
        </w14:solidFill>
      </w14:textFill>
    </w:r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5"/>
    <w:qFormat/>
    <w:uiPriority w:val="22"/>
    <w:rPr>
      <w:b/>
      <w:bCs/>
    </w:rPr>
  </w:style>
  <w:style w:type="paragraph" w:styleId="13">
    <w:name w:val="toc 1"/>
    <w:basedOn w:val="1"/>
    <w:next w:val="1"/>
    <w:autoRedefine/>
    <w:unhideWhenUsed/>
    <w:qFormat/>
    <w:uiPriority w:val="39"/>
    <w:pPr>
      <w:spacing w:after="100"/>
    </w:pPr>
  </w:style>
  <w:style w:type="paragraph" w:styleId="14">
    <w:name w:val="List Paragraph"/>
    <w:basedOn w:val="1"/>
    <w:qFormat/>
    <w:uiPriority w:val="34"/>
    <w:pPr>
      <w:ind w:left="720"/>
      <w:contextualSpacing/>
    </w:pPr>
  </w:style>
  <w:style w:type="character" w:customStyle="1" w:styleId="15">
    <w:name w:val="Heading 1 Char"/>
    <w:basedOn w:val="5"/>
    <w:link w:val="2"/>
    <w:uiPriority w:val="9"/>
    <w:rPr>
      <w:rFonts w:asciiTheme="majorHAnsi" w:hAnsiTheme="majorHAnsi" w:eastAsiaTheme="majorEastAsia" w:cstheme="majorBidi"/>
      <w:color w:val="2E75B6" w:themeColor="accent1" w:themeShade="BF"/>
      <w:sz w:val="32"/>
      <w:szCs w:val="32"/>
    </w:rPr>
  </w:style>
  <w:style w:type="character" w:customStyle="1" w:styleId="16">
    <w:name w:val="Heading 2 Char"/>
    <w:basedOn w:val="5"/>
    <w:link w:val="3"/>
    <w:uiPriority w:val="9"/>
    <w:rPr>
      <w:rFonts w:ascii="Times New Roman" w:hAnsi="Times New Roman" w:eastAsia="Times New Roman" w:cs="Times New Roman"/>
      <w:b/>
      <w:bCs/>
      <w:sz w:val="36"/>
      <w:szCs w:val="36"/>
    </w:rPr>
  </w:style>
  <w:style w:type="character" w:customStyle="1" w:styleId="17">
    <w:name w:val="Heading 3 Char"/>
    <w:basedOn w:val="5"/>
    <w:link w:val="4"/>
    <w:qFormat/>
    <w:uiPriority w:val="9"/>
    <w:rPr>
      <w:rFonts w:ascii="Times New Roman" w:hAnsi="Times New Roman" w:eastAsia="Times New Roman" w:cs="Times New Roman"/>
      <w:b/>
      <w:bCs/>
      <w:sz w:val="27"/>
      <w:szCs w:val="27"/>
    </w:rPr>
  </w:style>
  <w:style w:type="table" w:customStyle="1" w:styleId="18">
    <w:name w:val="List Table 2"/>
    <w:basedOn w:val="6"/>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9">
    <w:name w:val="List Table 6 Colorful"/>
    <w:basedOn w:val="6"/>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0">
    <w:name w:val="TOC Heading"/>
    <w:basedOn w:val="2"/>
    <w:next w:val="1"/>
    <w:unhideWhenUsed/>
    <w:qFormat/>
    <w:uiPriority w:val="39"/>
    <w:pPr>
      <w:outlineLvl w:val="9"/>
    </w:pPr>
  </w:style>
  <w:style w:type="character" w:customStyle="1" w:styleId="21">
    <w:name w:val="Header Char"/>
    <w:basedOn w:val="5"/>
    <w:link w:val="9"/>
    <w:uiPriority w:val="99"/>
  </w:style>
  <w:style w:type="character" w:customStyle="1" w:styleId="22">
    <w:name w:val="Footer Char"/>
    <w:basedOn w:val="5"/>
    <w:link w:val="8"/>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DA6CA-E059-4AD3-B7B0-3982885132F3}">
  <ds:schemaRefs/>
</ds:datastoreItem>
</file>

<file path=docProps/app.xml><?xml version="1.0" encoding="utf-8"?>
<Properties xmlns="http://schemas.openxmlformats.org/officeDocument/2006/extended-properties" xmlns:vt="http://schemas.openxmlformats.org/officeDocument/2006/docPropsVTypes">
  <Template>Normal</Template>
  <Pages>34</Pages>
  <Words>4833</Words>
  <Characters>27550</Characters>
  <Lines>229</Lines>
  <Paragraphs>64</Paragraphs>
  <TotalTime>5</TotalTime>
  <ScaleCrop>false</ScaleCrop>
  <LinksUpToDate>false</LinksUpToDate>
  <CharactersWithSpaces>32319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2025-07-12T15:11:00Z</dcterms:created>
  <dc:creator>Microsoft account</dc:creator>
  <cp:lastModifiedBy>PC</cp:lastModifiedBy>
  <dcterms:modified xsi:type="dcterms:W3CDTF">2025-08-02T14:20:19Z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AA14AB002AC546C692FE4AA3AF27D7CD_13</vt:lpwstr>
  </property>
</Properties>
</file>