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4"/>
          <w:szCs w:val="24"/>
        </w:rPr>
      </w:pPr>
      <w:r>
        <w:rPr>
          <w:rFonts w:ascii="Times New Roman"/>
          <w:b/>
          <w:bCs/>
          <w:sz w:val="36"/>
          <w:szCs w:val="24"/>
        </w:rPr>
        <w:t xml:space="preserve">DESIGN AND IMPLEMENTATION OF SOLAR POWER SYSTEM FOR RESIDENTIAL LODGING </w:t>
      </w:r>
    </w:p>
    <w:p>
      <w:pPr>
        <w:pStyle w:val="style0"/>
        <w:spacing w:lineRule="auto" w:line="240"/>
        <w:jc w:val="center"/>
        <w:rPr>
          <w:rFonts w:ascii="Times New Roman"/>
          <w:sz w:val="24"/>
          <w:szCs w:val="24"/>
        </w:rPr>
      </w:pPr>
    </w:p>
    <w:p>
      <w:pPr>
        <w:pStyle w:val="style0"/>
        <w:spacing w:lineRule="auto" w:line="240"/>
        <w:jc w:val="center"/>
        <w:rPr>
          <w:rFonts w:ascii="Monotype Corsiva" w:hAnsi="Monotype Corsiva"/>
          <w:b/>
          <w:bCs/>
          <w:sz w:val="72"/>
          <w:szCs w:val="24"/>
        </w:rPr>
      </w:pPr>
      <w:r>
        <w:rPr>
          <w:rFonts w:ascii="Monotype Corsiva" w:hAnsi="Monotype Corsiva"/>
          <w:b/>
          <w:bCs/>
          <w:sz w:val="72"/>
          <w:szCs w:val="24"/>
        </w:rPr>
        <w:t>BY</w:t>
      </w:r>
    </w:p>
    <w:p>
      <w:pPr>
        <w:pStyle w:val="style0"/>
        <w:spacing w:lineRule="auto" w:line="240"/>
        <w:jc w:val="left"/>
        <w:rPr>
          <w:rFonts w:ascii="Times New Roman"/>
          <w:b/>
          <w:sz w:val="24"/>
          <w:szCs w:val="24"/>
        </w:rPr>
      </w:pPr>
    </w:p>
    <w:p>
      <w:pPr>
        <w:pStyle w:val="style0"/>
        <w:spacing w:after="0" w:lineRule="auto" w:line="240"/>
        <w:jc w:val="center"/>
        <w:rPr>
          <w:rFonts w:ascii="Arial Black" w:hAnsi="Arial Black"/>
          <w:b/>
          <w:sz w:val="42"/>
          <w:szCs w:val="24"/>
        </w:rPr>
      </w:pPr>
      <w:r>
        <w:rPr>
          <w:rFonts w:hAnsi="Arial Black"/>
          <w:b/>
          <w:sz w:val="42"/>
          <w:szCs w:val="24"/>
          <w:lang w:val="en-US"/>
        </w:rPr>
        <w:t>FAWAZ ALADE ALIU</w:t>
      </w:r>
    </w:p>
    <w:p>
      <w:pPr>
        <w:pStyle w:val="style0"/>
        <w:spacing w:after="0" w:lineRule="auto" w:line="240"/>
        <w:jc w:val="center"/>
        <w:rPr>
          <w:rFonts w:ascii="Arial Black" w:hAnsi="Arial Black"/>
          <w:b/>
          <w:sz w:val="42"/>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193</w:t>
      </w:r>
    </w:p>
    <w:p>
      <w:pPr>
        <w:pStyle w:val="style0"/>
        <w:spacing w:after="0" w:lineRule="auto" w:line="240"/>
        <w:jc w:val="left"/>
        <w:rPr>
          <w:rFonts w:ascii="Times New Roman" w:hAnsi="Times New Roman"/>
          <w:b/>
          <w:sz w:val="24"/>
          <w:szCs w:val="24"/>
        </w:rPr>
      </w:pPr>
    </w:p>
    <w:p>
      <w:pPr>
        <w:pStyle w:val="style0"/>
        <w:spacing w:after="0" w:lineRule="auto" w:line="240"/>
        <w:jc w:val="left"/>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FAWAZ ALADE ALIU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w:t>
      </w:r>
      <w:r>
        <w:rPr>
          <w:rFonts w:ascii="Times New Roman" w:hAnsi="Times New Roman"/>
          <w:b/>
          <w:sz w:val="28"/>
          <w:szCs w:val="28"/>
          <w:lang w:val="en-US"/>
        </w:rPr>
        <w:t>193</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lang w:val="en-US"/>
        </w:rPr>
        <w:t xml:space="preserve"> ABDULKADIR Z.A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ABDULKADIR Z.A</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Project Coordinator </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 xml:space="preserve">(DR.)O.A LAWAL </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Head Of Department </w:t>
      </w:r>
      <w:r>
        <w:rPr>
          <w:rFonts w:ascii="宋体" w:cs="宋体" w:hAnsi="宋体"/>
          <w:b/>
          <w:sz w:val="24"/>
          <w:szCs w:val="24"/>
        </w:rPr>
        <w:t xml:space="preserve">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0" w:lineRule="auto" w:line="240"/>
        <w:jc w:val="both"/>
        <w:rPr>
          <w:rFonts w:ascii="宋体" w:cs="宋体" w:hAnsi="宋体"/>
          <w:b/>
          <w:sz w:val="24"/>
          <w:szCs w:val="24"/>
        </w:rPr>
      </w:pPr>
    </w:p>
    <w:p>
      <w:pPr>
        <w:pStyle w:val="style0"/>
        <w:spacing w:after="0" w:lineRule="auto" w:line="240"/>
        <w:jc w:val="both"/>
        <w:rPr>
          <w:rFonts w:ascii="宋体" w:cs="宋体" w:hAnsi="宋体"/>
          <w:b/>
          <w:sz w:val="24"/>
          <w:szCs w:val="24"/>
        </w:rPr>
      </w:pP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lang w:val="en-US"/>
        </w:rPr>
        <w:t>This project is dedicated to the creator of heaven and the earth the Almighty GOD that guide us through the course of this project.If not for him (GOD) this project would have not been afulfilledone. I also give regards to my parents Mr. and Mrs FAWAZ  for their support in all aspect to make the fulfillment of the High National Diploma (HND) a successful one.</w:t>
      </w: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lang w:val="en-US"/>
        </w:rPr>
        <w:t xml:space="preserve"> MR. and Mrs FAWAZ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Pr>
          <w:rFonts w:ascii="Times New Roman" w:hAnsi="Times New Roman"/>
          <w:sz w:val="28"/>
          <w:szCs w:val="28"/>
        </w:rPr>
        <w:t>.</w:t>
      </w:r>
      <w:r>
        <w:rPr>
          <w:rFonts w:ascii="Times New Roman" w:hAnsi="Times New Roman"/>
          <w:sz w:val="28"/>
          <w:szCs w:val="28"/>
        </w:rPr>
        <w:t xml:space="preserve"> Abdulkadir Z.A</w:t>
      </w:r>
      <w:r>
        <w:rPr>
          <w:rFonts w:ascii="Times New Roman" w:hAnsi="Times New Roman"/>
          <w:sz w:val="28"/>
          <w:szCs w:val="28"/>
        </w:rPr>
        <w:t xml:space="preserve"> and </w:t>
      </w:r>
      <w:r>
        <w:rPr>
          <w:rFonts w:ascii="Times New Roman" w:hAnsi="Times New Roman"/>
          <w:sz w:val="28"/>
          <w:szCs w:val="28"/>
        </w:rPr>
        <w:t xml:space="preserve">Jimoh Adeyemi </w:t>
      </w:r>
      <w:r>
        <w:rPr>
          <w:rFonts w:ascii="Times New Roman" w:hAnsi="Times New Roman"/>
          <w:sz w:val="28"/>
          <w:szCs w:val="28"/>
        </w:rPr>
        <w:t xml:space="preserve">who helped me to </w:t>
      </w:r>
      <w:r>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 xml:space="preserve">ramification of your life </w:t>
      </w:r>
      <w:r>
        <w:rPr>
          <w:rFonts w:ascii="Times New Roman" w:hAnsi="Times New Roman"/>
          <w:sz w:val="28"/>
          <w:szCs w:val="28"/>
          <w:lang w:val="en-US"/>
        </w:rPr>
        <w:t xml:space="preserve"> </w:t>
      </w:r>
      <w:r>
        <w:rPr>
          <w:rFonts w:ascii="Times New Roman" w:hAnsi="Times New Roman"/>
          <w:sz w:val="28"/>
          <w:szCs w:val="28"/>
        </w:rPr>
        <w:t>(Amin).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(Dr.) O.A 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8"/>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8"/>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v:shape>
                <v:shape id="1042" coordsize="699135,312420" path="m7472,124085nsc40386,54094,175466,3031,335383,129c460315,-2138,578444,25585,645180,72835l349568,156210l7472,124085xem7472,124085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v:shape>
                <v:group id="1043" filled="f" stroked="f" style="position:absolute;left:2231;top:7085;width:72;height:72;z-index:11;mso-position-horizontal-relative:page;mso-position-vertical-relative:page;mso-width-relative:page;mso-height-relative:page;visibility:visible;"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v:shape>
                <v:shape id="1067" coordsize="699135,312420" path="m7472,124085nsc40386,54094,175466,3031,335383,129c460315,-2138,578444,25585,645180,72835l349568,156210l7472,124085xem7472,124085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v:shape>
                <v:shape id="1068" coordsize="699135,312420" path="m7472,124085nsc40386,54094,175466,3031,335383,129c460315,-2138,578444,25585,645180,72835l349568,156210l7472,124085xem7472,124085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v:shape>
                <v:shape id="1069" coordsize="709930,436245" path="m2953,190047nsc26340,79327,182009,-2666,363647,65c556249,2961,709930,99735,709930,218123l354965,218123l2953,190047xem2953,190047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drawing>
          <wp:inline distL="0" distT="0" distB="0" distR="0">
            <wp:extent cx="1457325" cy="200025"/>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1457325" cy="2000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1647825" cy="409575"/>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cstate="print"/>
                    <a:srcRect l="0" t="0" r="0" b="0"/>
                    <a:stretch/>
                  </pic:blipFill>
                  <pic:spPr>
                    <a:xfrm rot="0">
                      <a:off x="0" y="0"/>
                      <a:ext cx="1647825" cy="40957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drawing>
          <wp:inline distL="0" distT="0" distB="0" distR="0">
            <wp:extent cx="962025" cy="180975"/>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962025" cy="180975"/>
                    </a:xfrm>
                    <a:prstGeom prst="rect"/>
                    <a:ln>
                      <a:noFill/>
                    </a:ln>
                  </pic:spPr>
                </pic:pic>
              </a:graphicData>
            </a:graphic>
          </wp:inline>
        </w:drawing>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drawing>
          <wp:inline distL="0" distT="0" distB="0" distR="0">
            <wp:extent cx="762000" cy="390525"/>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9" cstate="print"/>
                    <a:srcRect l="0" t="0" r="0" b="0"/>
                    <a:stretch/>
                  </pic:blipFill>
                  <pic:spPr>
                    <a:xfrm rot="0">
                      <a:off x="0" y="0"/>
                      <a:ext cx="762000" cy="3905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2895600" cy="390525"/>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2895600" cy="39052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drawing>
          <wp:inline distL="0" distT="0" distB="0" distR="0">
            <wp:extent cx="609600" cy="219075"/>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609600" cy="2190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657225" cy="4476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657225"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2438400" cy="447675"/>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3" cstate="print"/>
                    <a:srcRect l="0" t="0" r="0" b="0"/>
                    <a:stretch/>
                  </pic:blipFill>
                  <pic:spPr>
                    <a:xfrm rot="0">
                      <a:off x="0" y="0"/>
                      <a:ext cx="2438400"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7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7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7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9"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0"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0">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8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5"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8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6"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83"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84"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4">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4"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8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17"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8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8"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88"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89"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0"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091"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1">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1"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09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1"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093"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09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22"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drawing>
          <wp:inline distL="0" distT="0" distB="0" distR="0">
            <wp:extent cx="2438400" cy="228600"/>
            <wp:effectExtent l="0" t="0" r="0" b="0"/>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3" cstate="print"/>
                    <a:srcRect l="0" t="0" r="0" b="0"/>
                    <a:stretch/>
                  </pic:blipFill>
                  <pic:spPr>
                    <a:xfrm rot="0">
                      <a:off x="0" y="0"/>
                      <a:ext cx="2438400" cy="228600"/>
                    </a:xfrm>
                    <a:prstGeom prst="rect"/>
                    <a:ln>
                      <a:noFill/>
                    </a:ln>
                  </pic:spPr>
                </pic:pic>
              </a:graphicData>
            </a:graphic>
          </wp:inline>
        </w:drawing>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drawing>
          <wp:inline distL="0" distT="0" distB="0" distR="0">
            <wp:extent cx="3429000" cy="228600"/>
            <wp:effectExtent l="0" t="0" r="0" b="0"/>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4" cstate="print"/>
                    <a:srcRect l="0" t="0" r="0" b="0"/>
                    <a:stretch/>
                  </pic:blipFill>
                  <pic:spPr>
                    <a:xfrm rot="0">
                      <a:off x="0" y="0"/>
                      <a:ext cx="3429000" cy="228600"/>
                    </a:xfrm>
                    <a:prstGeom prst="rect"/>
                    <a:ln>
                      <a:noFill/>
                    </a:ln>
                  </pic:spPr>
                </pic:pic>
              </a:graphicData>
            </a:graphic>
          </wp:inline>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atang">
    <w:altName w:val="바탕"/>
    <w:panose1 w:val="02030600000000010101"/>
    <w:charset w:val="81"/>
    <w:family w:val="auto"/>
    <w:pitch w:val="fixed"/>
    <w:sig w:usb0="00000001" w:usb1="09060000" w:usb2="00000010" w:usb3="00000000" w:csb0="00080000"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e092883-15f7-42db-a9e9-d28bd66f70dc"/>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b533389-2341-47a5-b3a3-a7a0bd78d7ec"/>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9260865b-278d-490f-8e8f-9b66bdc59046"/>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d585132-cf37-4568-86c7-c4a585cf753d"/>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5.emf"/><Relationship Id="rId22" Type="http://schemas.openxmlformats.org/officeDocument/2006/relationships/image" Target="media/image7.emf"/><Relationship Id="rId21" Type="http://schemas.openxmlformats.org/officeDocument/2006/relationships/image" Target="media/image6.emf"/><Relationship Id="rId24" Type="http://schemas.openxmlformats.org/officeDocument/2006/relationships/image" Target="media/image11.wmf"/><Relationship Id="rId23"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image" Target="media/image5.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3.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image" Target="media/image9.wmf"/><Relationship Id="rId12" Type="http://schemas.openxmlformats.org/officeDocument/2006/relationships/image" Target="media/image8.wmf"/><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4.emf"/><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7334</Words>
  <Pages>47</Pages>
  <Characters>38256</Characters>
  <Application>WPS Office</Application>
  <DocSecurity>0</DocSecurity>
  <Paragraphs>534</Paragraphs>
  <ScaleCrop>false</ScaleCrop>
  <LinksUpToDate>false</LinksUpToDate>
  <CharactersWithSpaces>45826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2025-07-12T14:30:00Z</dcterms:created>
  <dc:creator>MARYAM</dc:creator>
  <lastModifiedBy>Infinix X6816</lastModifiedBy>
  <dcterms:modified xsi:type="dcterms:W3CDTF">2025-08-02T07:05:16Z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bebd9301d7a54650b96c3aa29545d0f1</vt:lpwstr>
  </property>
</Properties>
</file>