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A PROJECT REPORT</w:t>
      </w:r>
      <w:bookmarkStart w:id="0" w:name="_GoBack"/>
      <w:bookmarkEnd w:id="0"/>
    </w:p>
    <w:p w:rsidR="002F5AFB" w:rsidRPr="005B6981" w:rsidRDefault="002F5AFB" w:rsidP="002F5AFB">
      <w:pPr>
        <w:spacing w:after="0"/>
        <w:jc w:val="center"/>
        <w:rPr>
          <w:rFonts w:ascii="Arial Black" w:hAnsi="Arial Black" w:cs="Times New Roman"/>
          <w:b/>
          <w:sz w:val="28"/>
          <w:szCs w:val="24"/>
        </w:rPr>
      </w:pPr>
    </w:p>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ON</w:t>
      </w:r>
    </w:p>
    <w:p w:rsidR="002F5AFB" w:rsidRPr="005B6981" w:rsidRDefault="002F5AFB" w:rsidP="002F5AFB">
      <w:pPr>
        <w:spacing w:after="0"/>
        <w:jc w:val="center"/>
        <w:rPr>
          <w:rFonts w:ascii="Arial Black" w:hAnsi="Arial Black" w:cs="Times New Roman"/>
          <w:b/>
          <w:sz w:val="28"/>
          <w:szCs w:val="24"/>
        </w:rPr>
      </w:pPr>
    </w:p>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EVALUATING THE ACID NEUTRALIZING CAPACITY OF SOME ANTACIDS SOLD OVER THE COUNTER WITHIN ILORIN METROPOLITAN</w:t>
      </w:r>
    </w:p>
    <w:p w:rsidR="002F5AFB" w:rsidRPr="005B6981" w:rsidRDefault="002F5AFB" w:rsidP="002F5AFB">
      <w:pPr>
        <w:spacing w:after="0"/>
        <w:jc w:val="center"/>
        <w:rPr>
          <w:rFonts w:ascii="Arial Black" w:hAnsi="Arial Black" w:cs="Times New Roman"/>
          <w:b/>
          <w:sz w:val="24"/>
          <w:szCs w:val="24"/>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BY</w:t>
      </w:r>
    </w:p>
    <w:p w:rsidR="004C068E" w:rsidRPr="005B6981" w:rsidRDefault="004C068E" w:rsidP="004C068E">
      <w:pPr>
        <w:spacing w:after="0"/>
        <w:jc w:val="center"/>
        <w:rPr>
          <w:rFonts w:ascii="Arial Black" w:hAnsi="Arial Black" w:cs="Times New Roman"/>
          <w:b/>
          <w:sz w:val="20"/>
          <w:szCs w:val="20"/>
        </w:rPr>
      </w:pPr>
    </w:p>
    <w:p w:rsidR="004C068E" w:rsidRPr="005B6981" w:rsidRDefault="004C068E" w:rsidP="004C068E">
      <w:pPr>
        <w:spacing w:after="0"/>
        <w:jc w:val="center"/>
        <w:rPr>
          <w:rFonts w:ascii="Arial Black" w:hAnsi="Arial Black" w:cs="Times New Roman"/>
          <w:b/>
          <w:sz w:val="20"/>
          <w:szCs w:val="20"/>
        </w:rPr>
      </w:pPr>
    </w:p>
    <w:p w:rsidR="004C068E" w:rsidRPr="005B6981" w:rsidRDefault="002F5AFB" w:rsidP="004C068E">
      <w:pPr>
        <w:spacing w:after="0"/>
        <w:jc w:val="center"/>
        <w:rPr>
          <w:rFonts w:ascii="Arial Black" w:hAnsi="Arial Black" w:cs="Times New Roman"/>
          <w:b/>
          <w:sz w:val="28"/>
          <w:szCs w:val="28"/>
        </w:rPr>
      </w:pPr>
      <w:r w:rsidRPr="005B6981">
        <w:rPr>
          <w:rFonts w:ascii="Arial Black" w:hAnsi="Arial Black" w:cs="Times New Roman"/>
          <w:b/>
          <w:sz w:val="28"/>
          <w:szCs w:val="28"/>
        </w:rPr>
        <w:t>AJIBOYE KOFOWOROLA KHADIJAT</w:t>
      </w:r>
    </w:p>
    <w:p w:rsidR="002F5AFB" w:rsidRPr="005B6981" w:rsidRDefault="001E0CE8" w:rsidP="001E0CE8">
      <w:pPr>
        <w:tabs>
          <w:tab w:val="left" w:pos="2550"/>
          <w:tab w:val="center" w:pos="4622"/>
        </w:tabs>
        <w:spacing w:after="0"/>
        <w:rPr>
          <w:rFonts w:ascii="Arial Black" w:hAnsi="Arial Black" w:cs="Times New Roman"/>
          <w:b/>
          <w:sz w:val="28"/>
          <w:szCs w:val="28"/>
        </w:rPr>
      </w:pPr>
      <w:r>
        <w:rPr>
          <w:rFonts w:ascii="Arial Black" w:hAnsi="Arial Black" w:cs="Times New Roman"/>
          <w:b/>
          <w:sz w:val="28"/>
          <w:szCs w:val="28"/>
        </w:rPr>
        <w:tab/>
      </w:r>
      <w:r>
        <w:rPr>
          <w:rFonts w:ascii="Arial Black" w:hAnsi="Arial Black" w:cs="Times New Roman"/>
          <w:b/>
          <w:sz w:val="28"/>
          <w:szCs w:val="28"/>
        </w:rPr>
        <w:tab/>
      </w:r>
      <w:r w:rsidR="002F5AFB" w:rsidRPr="005B6981">
        <w:rPr>
          <w:rFonts w:ascii="Arial Black" w:hAnsi="Arial Black" w:cs="Times New Roman"/>
          <w:b/>
          <w:sz w:val="28"/>
          <w:szCs w:val="28"/>
        </w:rPr>
        <w:t>ND/23/SLT/PT/0392</w:t>
      </w:r>
    </w:p>
    <w:p w:rsidR="002F5AFB" w:rsidRPr="005B6981" w:rsidRDefault="002F5AFB" w:rsidP="002F5AFB">
      <w:pPr>
        <w:spacing w:after="0"/>
        <w:jc w:val="center"/>
        <w:rPr>
          <w:rFonts w:ascii="Arial Black" w:hAnsi="Arial Black" w:cs="Times New Roman"/>
          <w:b/>
          <w:sz w:val="28"/>
          <w:szCs w:val="28"/>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SUBMITTED TO THE DEPARTMENT OF SCIENCE LABORATORY TECHN</w:t>
      </w:r>
      <w:r w:rsidR="00F65E53" w:rsidRPr="005B6981">
        <w:rPr>
          <w:rFonts w:ascii="Arial Black" w:hAnsi="Arial Black" w:cs="Times New Roman"/>
          <w:b/>
          <w:sz w:val="24"/>
          <w:szCs w:val="24"/>
        </w:rPr>
        <w:t>O</w:t>
      </w:r>
      <w:r w:rsidRPr="005B6981">
        <w:rPr>
          <w:rFonts w:ascii="Arial Black" w:hAnsi="Arial Black" w:cs="Times New Roman"/>
          <w:b/>
          <w:sz w:val="24"/>
          <w:szCs w:val="24"/>
        </w:rPr>
        <w:t xml:space="preserve">LOGY, INSTITUTE OF APPLIED SCIENCE, KWARA STATE POLYTECHNIC, </w:t>
      </w:r>
      <w:proofErr w:type="gramStart"/>
      <w:r w:rsidRPr="005B6981">
        <w:rPr>
          <w:rFonts w:ascii="Arial Black" w:hAnsi="Arial Black" w:cs="Times New Roman"/>
          <w:b/>
          <w:sz w:val="24"/>
          <w:szCs w:val="24"/>
        </w:rPr>
        <w:t>ILORIN</w:t>
      </w:r>
      <w:proofErr w:type="gramEnd"/>
      <w:r w:rsidRPr="005B6981">
        <w:rPr>
          <w:rFonts w:ascii="Arial Black" w:hAnsi="Arial Black" w:cs="Times New Roman"/>
          <w:b/>
          <w:sz w:val="24"/>
          <w:szCs w:val="24"/>
        </w:rPr>
        <w:t>.</w:t>
      </w:r>
    </w:p>
    <w:p w:rsidR="002F5AFB" w:rsidRPr="005B6981" w:rsidRDefault="002F5AFB" w:rsidP="002F5AFB">
      <w:pPr>
        <w:spacing w:after="0"/>
        <w:jc w:val="center"/>
        <w:rPr>
          <w:rFonts w:ascii="Arial Black" w:hAnsi="Arial Black" w:cs="Times New Roman"/>
          <w:b/>
          <w:sz w:val="24"/>
          <w:szCs w:val="24"/>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IN PARTIAL FULFI</w:t>
      </w:r>
      <w:r w:rsidR="00B06891" w:rsidRPr="005B6981">
        <w:rPr>
          <w:rFonts w:ascii="Arial Black" w:hAnsi="Arial Black" w:cs="Times New Roman"/>
          <w:b/>
          <w:sz w:val="24"/>
          <w:szCs w:val="24"/>
        </w:rPr>
        <w:t>L</w:t>
      </w:r>
      <w:r w:rsidRPr="005B6981">
        <w:rPr>
          <w:rFonts w:ascii="Arial Black" w:hAnsi="Arial Black" w:cs="Times New Roman"/>
          <w:b/>
          <w:sz w:val="24"/>
          <w:szCs w:val="24"/>
        </w:rPr>
        <w:t>LMENT OF THE REQUIREMENTS FOR THE AWARD OF NATIONAL DIPLOMA (ND) IN SCIENCE LABORATORY TECHNOLOGY</w:t>
      </w:r>
    </w:p>
    <w:p w:rsidR="002F5AFB" w:rsidRPr="005B6981" w:rsidRDefault="002F5AFB" w:rsidP="002F5AFB">
      <w:pPr>
        <w:spacing w:after="0"/>
        <w:jc w:val="right"/>
        <w:rPr>
          <w:rFonts w:ascii="Arial Black" w:hAnsi="Arial Black" w:cs="Times New Roman"/>
          <w:b/>
          <w:sz w:val="24"/>
          <w:szCs w:val="24"/>
        </w:rPr>
      </w:pPr>
    </w:p>
    <w:p w:rsidR="002F5AFB" w:rsidRPr="005B6981" w:rsidRDefault="002F5AFB" w:rsidP="002F5AFB">
      <w:pPr>
        <w:spacing w:after="0"/>
        <w:jc w:val="right"/>
        <w:rPr>
          <w:rFonts w:ascii="Arial Black" w:hAnsi="Arial Black" w:cs="Times New Roman"/>
          <w:b/>
          <w:sz w:val="24"/>
          <w:szCs w:val="24"/>
        </w:rPr>
      </w:pPr>
    </w:p>
    <w:p w:rsidR="002F5AFB" w:rsidRPr="005B6981" w:rsidRDefault="002F5AFB" w:rsidP="002F5AFB">
      <w:pPr>
        <w:spacing w:after="0"/>
        <w:jc w:val="right"/>
        <w:rPr>
          <w:rFonts w:ascii="Arial Black" w:hAnsi="Arial Black" w:cs="Times New Roman"/>
          <w:b/>
          <w:sz w:val="24"/>
          <w:szCs w:val="24"/>
        </w:rPr>
      </w:pPr>
    </w:p>
    <w:p w:rsidR="002F5AFB" w:rsidRPr="005B6981" w:rsidRDefault="002F5AFB" w:rsidP="002F5AFB">
      <w:pPr>
        <w:spacing w:after="0"/>
        <w:rPr>
          <w:rFonts w:ascii="Arial Black" w:hAnsi="Arial Black" w:cs="Times New Roman"/>
          <w:b/>
          <w:sz w:val="24"/>
          <w:szCs w:val="24"/>
        </w:rPr>
      </w:pPr>
    </w:p>
    <w:p w:rsidR="002F5AFB" w:rsidRPr="005B6981" w:rsidRDefault="002F5AFB" w:rsidP="002F5AFB">
      <w:pPr>
        <w:spacing w:after="0"/>
        <w:jc w:val="right"/>
        <w:rPr>
          <w:rFonts w:ascii="Arial Black" w:hAnsi="Arial Black" w:cs="Times New Roman"/>
          <w:b/>
          <w:sz w:val="24"/>
          <w:szCs w:val="24"/>
        </w:rPr>
      </w:pPr>
      <w:r w:rsidRPr="005B6981">
        <w:rPr>
          <w:rFonts w:ascii="Arial Black" w:hAnsi="Arial Black" w:cs="Times New Roman"/>
          <w:b/>
          <w:sz w:val="24"/>
          <w:szCs w:val="24"/>
        </w:rPr>
        <w:t>JULY, 2025.</w:t>
      </w:r>
    </w:p>
    <w:p w:rsidR="004C068E" w:rsidRDefault="004C068E" w:rsidP="002F5AFB">
      <w:pPr>
        <w:pStyle w:val="Heading2"/>
        <w:spacing w:line="360" w:lineRule="auto"/>
        <w:jc w:val="center"/>
      </w:pPr>
      <w:bookmarkStart w:id="1" w:name="_Toc172679862"/>
    </w:p>
    <w:p w:rsidR="002F5AFB" w:rsidRPr="002F5AFB" w:rsidRDefault="002F5AFB" w:rsidP="002F5AFB">
      <w:pPr>
        <w:pStyle w:val="Heading2"/>
        <w:spacing w:line="360" w:lineRule="auto"/>
        <w:jc w:val="center"/>
      </w:pPr>
      <w:r w:rsidRPr="002F5AFB">
        <w:lastRenderedPageBreak/>
        <w:t>CERTIFICATION</w:t>
      </w:r>
      <w:bookmarkEnd w:id="1"/>
    </w:p>
    <w:p w:rsidR="002F5AFB" w:rsidRPr="004C068E" w:rsidRDefault="002F5AFB" w:rsidP="004C068E">
      <w:pPr>
        <w:pStyle w:val="BodyText"/>
        <w:spacing w:line="360" w:lineRule="auto"/>
        <w:rPr>
          <w:b/>
        </w:rPr>
      </w:pPr>
      <w:r w:rsidRPr="002F5AFB">
        <w:t xml:space="preserve">This is to certify that this research study was conducted by </w:t>
      </w:r>
      <w:r w:rsidR="004C068E" w:rsidRPr="004C068E">
        <w:rPr>
          <w:b/>
        </w:rPr>
        <w:t>AJIBOYE KOFOWOROLA KHADIJAT</w:t>
      </w:r>
      <w:r w:rsidR="004C068E">
        <w:rPr>
          <w:b/>
        </w:rPr>
        <w:t xml:space="preserve"> </w:t>
      </w:r>
      <w:r w:rsidR="004C068E">
        <w:t>matric number</w:t>
      </w:r>
      <w:r w:rsidR="005B6981">
        <w:t>:</w:t>
      </w:r>
      <w:r w:rsidR="004C068E">
        <w:t xml:space="preserve"> </w:t>
      </w:r>
      <w:r w:rsidR="004C068E" w:rsidRPr="004C068E">
        <w:rPr>
          <w:b/>
        </w:rPr>
        <w:t>ND/23/SLT/PT/0392</w:t>
      </w:r>
      <w:r w:rsidRPr="002F5AFB">
        <w:t xml:space="preserve"> had been read and approved as a requirement for the award of National diploma (ND) in the department of Science Laboratory Technology, Institute of Applied Sciences, </w:t>
      </w:r>
      <w:proofErr w:type="spellStart"/>
      <w:proofErr w:type="gramStart"/>
      <w:r w:rsidRPr="002F5AFB">
        <w:t>Kwara</w:t>
      </w:r>
      <w:proofErr w:type="spellEnd"/>
      <w:proofErr w:type="gramEnd"/>
      <w:r w:rsidRPr="002F5AFB">
        <w:t xml:space="preserve"> State Polytechnics.</w:t>
      </w:r>
    </w:p>
    <w:p w:rsidR="002F5AFB" w:rsidRPr="002F5AFB" w:rsidRDefault="002F5AFB" w:rsidP="002F5AFB">
      <w:pPr>
        <w:pStyle w:val="BodyText"/>
        <w:spacing w:line="360" w:lineRule="auto"/>
      </w:pPr>
    </w:p>
    <w:p w:rsidR="002F5AFB" w:rsidRPr="002F5AFB" w:rsidRDefault="002F5AFB" w:rsidP="002F5AFB">
      <w:pPr>
        <w:pStyle w:val="BodyText"/>
        <w:spacing w:before="0" w:line="276" w:lineRule="auto"/>
      </w:pPr>
      <w:r w:rsidRPr="002F5AFB">
        <w:rPr>
          <w:noProof/>
        </w:rPr>
        <mc:AlternateContent>
          <mc:Choice Requires="wps">
            <w:drawing>
              <wp:anchor distT="0" distB="0" distL="114300" distR="114300" simplePos="0" relativeHeight="251659264" behindDoc="0" locked="0" layoutInCell="1" allowOverlap="1" wp14:anchorId="7938AF37" wp14:editId="0EA6D947">
                <wp:simplePos x="0" y="0"/>
                <wp:positionH relativeFrom="column">
                  <wp:posOffset>7620</wp:posOffset>
                </wp:positionH>
                <wp:positionV relativeFrom="paragraph">
                  <wp:posOffset>337820</wp:posOffset>
                </wp:positionV>
                <wp:extent cx="1945005" cy="10795"/>
                <wp:effectExtent l="0" t="0" r="17145" b="273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05" cy="107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6pt" to="153.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" strokeweight=".5pt">
                <v:stroke joinstyle="miter"/>
              </v:line>
            </w:pict>
          </mc:Fallback>
        </mc:AlternateContent>
      </w:r>
      <w:r w:rsidRPr="002F5AFB">
        <w:rPr>
          <w:noProof/>
        </w:rPr>
        <mc:AlternateContent>
          <mc:Choice Requires="wps">
            <w:drawing>
              <wp:anchor distT="0" distB="0" distL="114300" distR="114300" simplePos="0" relativeHeight="251660288" behindDoc="0" locked="0" layoutInCell="1" allowOverlap="1" wp14:anchorId="31EA3BDB" wp14:editId="020709D8">
                <wp:simplePos x="0" y="0"/>
                <wp:positionH relativeFrom="column">
                  <wp:posOffset>3871595</wp:posOffset>
                </wp:positionH>
                <wp:positionV relativeFrom="paragraph">
                  <wp:posOffset>318770</wp:posOffset>
                </wp:positionV>
                <wp:extent cx="1562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210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25.1pt" to="42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" strokecolor="#0d0d0d" strokeweight=".5pt">
                <v:stroke joinstyle="miter"/>
                <o:lock v:ext="edit" shapetype="f"/>
              </v:line>
            </w:pict>
          </mc:Fallback>
        </mc:AlternateContent>
      </w:r>
    </w:p>
    <w:p w:rsidR="002F5AFB" w:rsidRDefault="002F5AFB" w:rsidP="002F5AFB">
      <w:pPr>
        <w:spacing w:after="0"/>
        <w:rPr>
          <w:rFonts w:ascii="Times New Roman" w:hAnsi="Times New Roman" w:cs="Times New Roman"/>
          <w:b/>
          <w:sz w:val="24"/>
          <w:szCs w:val="24"/>
        </w:rPr>
      </w:pPr>
    </w:p>
    <w:p w:rsidR="002F5AFB" w:rsidRPr="002F5AFB" w:rsidRDefault="002F5AFB" w:rsidP="002F5AFB">
      <w:pPr>
        <w:spacing w:after="0"/>
        <w:rPr>
          <w:rFonts w:ascii="Times New Roman" w:hAnsi="Times New Roman" w:cs="Times New Roman"/>
          <w:b/>
          <w:sz w:val="24"/>
          <w:szCs w:val="24"/>
        </w:rPr>
      </w:pPr>
      <w:r w:rsidRPr="002F5AFB">
        <w:rPr>
          <w:rFonts w:ascii="Times New Roman" w:hAnsi="Times New Roman" w:cs="Times New Roman"/>
          <w:b/>
          <w:sz w:val="24"/>
          <w:szCs w:val="24"/>
        </w:rPr>
        <w:t>MR. ABDULRAHMAN B.D</w:t>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t>Date</w:t>
      </w:r>
      <w:r w:rsidRPr="002F5AFB">
        <w:rPr>
          <w:rFonts w:ascii="Times New Roman" w:hAnsi="Times New Roman" w:cs="Times New Roman"/>
          <w:bCs/>
          <w:sz w:val="24"/>
          <w:szCs w:val="24"/>
        </w:rPr>
        <w:tab/>
        <w:t xml:space="preserve">                  </w:t>
      </w:r>
    </w:p>
    <w:p w:rsidR="002F5AFB" w:rsidRPr="002F5AFB" w:rsidRDefault="002F5AFB" w:rsidP="002F5AFB">
      <w:pPr>
        <w:pStyle w:val="BodyText"/>
        <w:spacing w:before="0" w:after="240" w:line="276" w:lineRule="auto"/>
        <w:ind w:left="0"/>
        <w:rPr>
          <w:b/>
        </w:rPr>
      </w:pPr>
      <w:r w:rsidRPr="002F5AFB">
        <w:rPr>
          <w:bCs/>
        </w:rPr>
        <w:t>(Supervisor)</w:t>
      </w:r>
      <w:r w:rsidRPr="002F5AFB">
        <w:rPr>
          <w:bCs/>
        </w:rPr>
        <w:tab/>
      </w:r>
      <w:r w:rsidRPr="002F5AFB">
        <w:rPr>
          <w:b/>
        </w:rPr>
        <w:tab/>
      </w:r>
      <w:r w:rsidRPr="002F5AFB">
        <w:rPr>
          <w:b/>
        </w:rPr>
        <w:tab/>
      </w:r>
      <w:r w:rsidRPr="002F5AFB">
        <w:rPr>
          <w:b/>
        </w:rPr>
        <w:tab/>
      </w:r>
      <w:r w:rsidRPr="002F5AFB">
        <w:rPr>
          <w:b/>
        </w:rPr>
        <w:tab/>
      </w:r>
      <w:r w:rsidRPr="002F5AFB">
        <w:rPr>
          <w:b/>
        </w:rPr>
        <w:tab/>
      </w:r>
      <w:r w:rsidRPr="002F5AFB">
        <w:rPr>
          <w:b/>
        </w:rPr>
        <w:tab/>
      </w:r>
      <w:r w:rsidRPr="002F5AFB">
        <w:rPr>
          <w:b/>
        </w:rPr>
        <w:tab/>
      </w:r>
    </w:p>
    <w:p w:rsidR="002F5AFB" w:rsidRPr="002F5AFB" w:rsidRDefault="002F5AFB" w:rsidP="002F5AFB">
      <w:pPr>
        <w:pStyle w:val="BodyText"/>
        <w:spacing w:before="0" w:line="276" w:lineRule="auto"/>
        <w:rPr>
          <w:b/>
        </w:rPr>
      </w:pPr>
    </w:p>
    <w:p w:rsidR="002F5AFB" w:rsidRPr="002F5AFB" w:rsidRDefault="002F5AFB" w:rsidP="002F5AFB">
      <w:pPr>
        <w:pStyle w:val="BodyText"/>
        <w:spacing w:before="0" w:line="276" w:lineRule="auto"/>
        <w:rPr>
          <w:bCs/>
        </w:rPr>
      </w:pPr>
    </w:p>
    <w:p w:rsidR="002F5AFB" w:rsidRPr="002F5AFB" w:rsidRDefault="002F5AFB" w:rsidP="002F5AFB">
      <w:pPr>
        <w:pStyle w:val="BodyText"/>
        <w:spacing w:before="0" w:line="276" w:lineRule="auto"/>
        <w:rPr>
          <w:bCs/>
        </w:rPr>
      </w:pPr>
      <w:r w:rsidRPr="002F5AFB">
        <w:rPr>
          <w:noProof/>
        </w:rPr>
        <mc:AlternateContent>
          <mc:Choice Requires="wps">
            <w:drawing>
              <wp:anchor distT="0" distB="0" distL="114300" distR="114300" simplePos="0" relativeHeight="251661312" behindDoc="0" locked="0" layoutInCell="1" allowOverlap="1" wp14:anchorId="36609234" wp14:editId="31D59F38">
                <wp:simplePos x="0" y="0"/>
                <wp:positionH relativeFrom="column">
                  <wp:posOffset>-48260</wp:posOffset>
                </wp:positionH>
                <wp:positionV relativeFrom="paragraph">
                  <wp:posOffset>168275</wp:posOffset>
                </wp:positionV>
                <wp:extent cx="2058035" cy="9525"/>
                <wp:effectExtent l="0" t="0" r="1841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" strokecolor="#0d0d0d" strokeweight=".5pt">
                <v:stroke joinstyle="miter"/>
              </v:line>
            </w:pict>
          </mc:Fallback>
        </mc:AlternateContent>
      </w:r>
      <w:r w:rsidRPr="002F5AFB">
        <w:rPr>
          <w:noProof/>
        </w:rPr>
        <mc:AlternateContent>
          <mc:Choice Requires="wps">
            <w:drawing>
              <wp:anchor distT="4294967295" distB="4294967295" distL="114300" distR="114300" simplePos="0" relativeHeight="251662336" behindDoc="0" locked="0" layoutInCell="1" allowOverlap="1" wp14:anchorId="6B4A0860" wp14:editId="12302D55">
                <wp:simplePos x="0" y="0"/>
                <wp:positionH relativeFrom="column">
                  <wp:posOffset>3900170</wp:posOffset>
                </wp:positionH>
                <wp:positionV relativeFrom="paragraph">
                  <wp:posOffset>117475</wp:posOffset>
                </wp:positionV>
                <wp:extent cx="14954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" strokecolor="#0d0d0d" strokeweight=".5pt">
                <v:stroke joinstyle="miter"/>
                <o:lock v:ext="edit" shapetype="f"/>
              </v:line>
            </w:pict>
          </mc:Fallback>
        </mc:AlternateContent>
      </w:r>
      <w:r w:rsidRPr="002F5AFB">
        <w:rPr>
          <w:bCs/>
        </w:rPr>
        <w:t xml:space="preserve">             </w:t>
      </w:r>
    </w:p>
    <w:p w:rsidR="002F5AFB" w:rsidRPr="002F5AFB" w:rsidRDefault="00E331DA" w:rsidP="002F5AFB">
      <w:pPr>
        <w:pStyle w:val="BodyText"/>
        <w:spacing w:before="0" w:line="276" w:lineRule="auto"/>
        <w:ind w:left="0"/>
        <w:rPr>
          <w:bCs/>
        </w:rPr>
      </w:pPr>
      <w:r>
        <w:rPr>
          <w:b/>
          <w:bCs/>
        </w:rPr>
        <w:t>MR. LUKMAN, Z.A</w:t>
      </w:r>
      <w:r w:rsidR="002F5AFB" w:rsidRPr="002F5AFB">
        <w:rPr>
          <w:bCs/>
        </w:rPr>
        <w:tab/>
      </w:r>
      <w:r>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t>Date</w:t>
      </w:r>
    </w:p>
    <w:p w:rsidR="002F5AFB" w:rsidRPr="002F5AFB" w:rsidRDefault="002F5AFB" w:rsidP="002F5AFB">
      <w:pPr>
        <w:pStyle w:val="BodyText"/>
        <w:spacing w:before="0" w:line="276" w:lineRule="auto"/>
        <w:ind w:left="0"/>
        <w:rPr>
          <w:bCs/>
        </w:rPr>
      </w:pPr>
      <w:r w:rsidRPr="002F5AFB">
        <w:rPr>
          <w:bCs/>
        </w:rPr>
        <w:t>(SLT Part -Time Coordinator)</w:t>
      </w:r>
    </w:p>
    <w:p w:rsidR="002F5AFB" w:rsidRPr="002F5AFB" w:rsidRDefault="002F5AFB" w:rsidP="002F5AFB">
      <w:pPr>
        <w:pStyle w:val="BodyText"/>
        <w:spacing w:before="0" w:line="276" w:lineRule="auto"/>
        <w:rPr>
          <w:bCs/>
        </w:rPr>
      </w:pPr>
    </w:p>
    <w:p w:rsidR="002F5AFB" w:rsidRPr="002F5AFB" w:rsidRDefault="002F5AFB" w:rsidP="002F5AFB">
      <w:pPr>
        <w:pStyle w:val="BodyText"/>
        <w:spacing w:before="0" w:line="276" w:lineRule="auto"/>
        <w:ind w:left="0"/>
        <w:rPr>
          <w:b/>
        </w:rPr>
      </w:pPr>
    </w:p>
    <w:p w:rsidR="00E331DA" w:rsidRDefault="00E331DA" w:rsidP="00E331DA">
      <w:pPr>
        <w:pStyle w:val="BodyText"/>
        <w:spacing w:before="0" w:line="276" w:lineRule="auto"/>
        <w:rPr>
          <w:bCs/>
        </w:rPr>
      </w:pPr>
      <w:r>
        <w:rPr>
          <w:noProof/>
        </w:rPr>
        <mc:AlternateContent>
          <mc:Choice Requires="wps">
            <w:drawing>
              <wp:anchor distT="0" distB="0" distL="114300" distR="114300" simplePos="0" relativeHeight="251666432" behindDoc="0" locked="0" layoutInCell="1" allowOverlap="1">
                <wp:simplePos x="0" y="0"/>
                <wp:positionH relativeFrom="column">
                  <wp:posOffset>-48260</wp:posOffset>
                </wp:positionH>
                <wp:positionV relativeFrom="paragraph">
                  <wp:posOffset>168275</wp:posOffset>
                </wp:positionV>
                <wp:extent cx="2058035" cy="9525"/>
                <wp:effectExtent l="0" t="0" r="1841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" strokecolor="#0d0d0d" strokeweight=".5pt">
                <v:stroke joinstyle="miter"/>
              </v:line>
            </w:pict>
          </mc:Fallback>
        </mc:AlternateContent>
      </w: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3900170</wp:posOffset>
                </wp:positionH>
                <wp:positionV relativeFrom="paragraph">
                  <wp:posOffset>117475</wp:posOffset>
                </wp:positionV>
                <wp:extent cx="1495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" strokecolor="#0d0d0d" strokeweight=".5pt">
                <v:stroke joinstyle="miter"/>
                <o:lock v:ext="edit" shapetype="f"/>
              </v:line>
            </w:pict>
          </mc:Fallback>
        </mc:AlternateContent>
      </w:r>
      <w:r>
        <w:rPr>
          <w:bCs/>
        </w:rPr>
        <w:t xml:space="preserve">             </w:t>
      </w:r>
    </w:p>
    <w:p w:rsidR="00E331DA" w:rsidRDefault="00E331DA" w:rsidP="00E331DA">
      <w:pPr>
        <w:pStyle w:val="BodyText"/>
        <w:spacing w:before="0" w:line="276" w:lineRule="auto"/>
        <w:ind w:left="0"/>
        <w:rPr>
          <w:bCs/>
        </w:rPr>
      </w:pPr>
      <w:r>
        <w:rPr>
          <w:b/>
          <w:bCs/>
        </w:rPr>
        <w:t>DR. ABDULKAREEM USMAN</w:t>
      </w:r>
      <w:r>
        <w:rPr>
          <w:bCs/>
        </w:rPr>
        <w:tab/>
      </w:r>
      <w:r>
        <w:rPr>
          <w:bCs/>
        </w:rPr>
        <w:tab/>
      </w:r>
      <w:r>
        <w:rPr>
          <w:bCs/>
        </w:rPr>
        <w:tab/>
      </w:r>
      <w:r>
        <w:rPr>
          <w:bCs/>
        </w:rPr>
        <w:tab/>
      </w:r>
      <w:r>
        <w:rPr>
          <w:bCs/>
        </w:rPr>
        <w:tab/>
      </w:r>
      <w:r>
        <w:rPr>
          <w:bCs/>
        </w:rPr>
        <w:tab/>
        <w:t>Date</w:t>
      </w:r>
    </w:p>
    <w:p w:rsidR="00E331DA" w:rsidRDefault="00E331DA" w:rsidP="00E331DA">
      <w:pPr>
        <w:pStyle w:val="BodyText"/>
        <w:spacing w:before="0" w:line="276" w:lineRule="auto"/>
        <w:ind w:left="0"/>
        <w:rPr>
          <w:bCs/>
        </w:rPr>
      </w:pPr>
      <w:r>
        <w:rPr>
          <w:bCs/>
        </w:rPr>
        <w:t>(Head of Department)</w:t>
      </w:r>
    </w:p>
    <w:p w:rsidR="00E331DA" w:rsidRDefault="00E331DA" w:rsidP="002F5AFB">
      <w:pPr>
        <w:pStyle w:val="BodyText"/>
        <w:spacing w:before="0" w:line="276" w:lineRule="auto"/>
        <w:ind w:left="0"/>
        <w:rPr>
          <w:b/>
        </w:rPr>
      </w:pPr>
    </w:p>
    <w:p w:rsidR="00E331DA" w:rsidRDefault="00E331DA" w:rsidP="002F5AFB">
      <w:pPr>
        <w:pStyle w:val="BodyText"/>
        <w:spacing w:before="0" w:line="276" w:lineRule="auto"/>
        <w:ind w:left="0"/>
        <w:rPr>
          <w:b/>
        </w:rPr>
      </w:pPr>
    </w:p>
    <w:p w:rsidR="00E331DA" w:rsidRDefault="00E331DA" w:rsidP="002F5AFB">
      <w:pPr>
        <w:pStyle w:val="BodyText"/>
        <w:spacing w:before="0" w:line="276" w:lineRule="auto"/>
        <w:ind w:left="0"/>
        <w:rPr>
          <w:b/>
        </w:rPr>
      </w:pPr>
    </w:p>
    <w:p w:rsidR="002F5AFB" w:rsidRPr="002F5AFB" w:rsidRDefault="002F5AFB" w:rsidP="002F5AFB">
      <w:pPr>
        <w:pStyle w:val="BodyText"/>
        <w:spacing w:before="0" w:line="276" w:lineRule="auto"/>
        <w:ind w:left="0"/>
        <w:rPr>
          <w:b/>
        </w:rPr>
      </w:pPr>
      <w:r w:rsidRPr="002F5AFB">
        <w:rPr>
          <w:noProof/>
        </w:rPr>
        <mc:AlternateContent>
          <mc:Choice Requires="wps">
            <w:drawing>
              <wp:anchor distT="4294967295" distB="4294967295" distL="114300" distR="114300" simplePos="0" relativeHeight="251663360" behindDoc="0" locked="0" layoutInCell="1" allowOverlap="1" wp14:anchorId="57870CA4" wp14:editId="72FCCA8A">
                <wp:simplePos x="0" y="0"/>
                <wp:positionH relativeFrom="column">
                  <wp:posOffset>7620</wp:posOffset>
                </wp:positionH>
                <wp:positionV relativeFrom="paragraph">
                  <wp:posOffset>115570</wp:posOffset>
                </wp:positionV>
                <wp:extent cx="17335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pt" to="13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c2wEAAKYDAAAOAAAAZHJzL2Uyb0RvYy54bWysU8tu2zAQvBfoPxC8x/IDSQP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" strokecolor="windowText" strokeweight=".5pt">
                <v:stroke joinstyle="miter"/>
                <o:lock v:ext="edit" shapetype="f"/>
              </v:line>
            </w:pict>
          </mc:Fallback>
        </mc:AlternateContent>
      </w:r>
      <w:r w:rsidRPr="002F5AFB">
        <w:rPr>
          <w:noProof/>
        </w:rPr>
        <mc:AlternateContent>
          <mc:Choice Requires="wps">
            <w:drawing>
              <wp:anchor distT="4294967295" distB="4294967295" distL="114300" distR="114300" simplePos="0" relativeHeight="251664384" behindDoc="0" locked="0" layoutInCell="1" allowOverlap="1" wp14:anchorId="66F2FD9A" wp14:editId="12F7E553">
                <wp:simplePos x="0" y="0"/>
                <wp:positionH relativeFrom="column">
                  <wp:posOffset>3921760</wp:posOffset>
                </wp:positionH>
                <wp:positionV relativeFrom="paragraph">
                  <wp:posOffset>115570</wp:posOffset>
                </wp:positionV>
                <wp:extent cx="146685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9.1pt" to="424.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" strokecolor="windowText" strokeweight=".5pt">
                <v:stroke joinstyle="miter"/>
                <o:lock v:ext="edit" shapetype="f"/>
              </v:line>
            </w:pict>
          </mc:Fallback>
        </mc:AlternateContent>
      </w:r>
    </w:p>
    <w:p w:rsidR="002F5AFB" w:rsidRPr="002F5AFB" w:rsidRDefault="002F5AFB" w:rsidP="002F5AFB">
      <w:pPr>
        <w:pStyle w:val="BodyText"/>
        <w:spacing w:before="0" w:line="276" w:lineRule="auto"/>
        <w:ind w:left="0"/>
        <w:rPr>
          <w:b/>
        </w:rPr>
      </w:pPr>
      <w:r w:rsidRPr="002F5AFB">
        <w:rPr>
          <w:b/>
        </w:rPr>
        <w:t xml:space="preserve">External Examiner </w:t>
      </w:r>
      <w:r w:rsidRPr="002F5AFB">
        <w:rPr>
          <w:b/>
        </w:rPr>
        <w:tab/>
        <w:t xml:space="preserve">                             </w:t>
      </w:r>
      <w:r w:rsidRPr="002F5AFB">
        <w:rPr>
          <w:b/>
        </w:rPr>
        <w:tab/>
      </w:r>
      <w:r w:rsidRPr="002F5AFB">
        <w:rPr>
          <w:b/>
        </w:rPr>
        <w:tab/>
      </w:r>
      <w:r w:rsidRPr="002F5AFB">
        <w:rPr>
          <w:b/>
        </w:rPr>
        <w:tab/>
      </w:r>
      <w:r w:rsidRPr="002F5AFB">
        <w:rPr>
          <w:b/>
        </w:rPr>
        <w:tab/>
      </w:r>
      <w:r w:rsidRPr="002F5AFB">
        <w:rPr>
          <w:b/>
        </w:rPr>
        <w:tab/>
      </w:r>
      <w:r w:rsidRPr="002F5AFB">
        <w:t>Date</w:t>
      </w:r>
      <w:r w:rsidRPr="002F5AFB">
        <w:rPr>
          <w:b/>
        </w:rPr>
        <w:t xml:space="preserve"> </w:t>
      </w:r>
      <w:r w:rsidRPr="002F5AFB">
        <w:rPr>
          <w:b/>
        </w:rPr>
        <w:tab/>
      </w: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Default="002F5AFB" w:rsidP="00E331DA">
      <w:pPr>
        <w:pStyle w:val="Heading2"/>
        <w:spacing w:line="360" w:lineRule="auto"/>
        <w:ind w:left="0" w:firstLine="0"/>
      </w:pPr>
      <w:bookmarkStart w:id="2" w:name="_Toc172679863"/>
    </w:p>
    <w:p w:rsidR="002F5AFB" w:rsidRPr="002F5AFB" w:rsidRDefault="002F5AFB" w:rsidP="002F5AFB">
      <w:pPr>
        <w:pStyle w:val="Heading2"/>
        <w:spacing w:line="360" w:lineRule="auto"/>
        <w:jc w:val="center"/>
      </w:pPr>
      <w:r w:rsidRPr="002F5AFB">
        <w:lastRenderedPageBreak/>
        <w:t>DEDICATION</w:t>
      </w:r>
      <w:bookmarkEnd w:id="2"/>
    </w:p>
    <w:p w:rsidR="002F5AFB" w:rsidRPr="002F5AFB" w:rsidRDefault="002F5AFB" w:rsidP="002F5AFB">
      <w:pPr>
        <w:spacing w:line="360" w:lineRule="auto"/>
        <w:jc w:val="both"/>
        <w:rPr>
          <w:rFonts w:ascii="Times New Roman" w:hAnsi="Times New Roman" w:cs="Times New Roman"/>
          <w:sz w:val="24"/>
          <w:szCs w:val="24"/>
        </w:rPr>
      </w:pPr>
      <w:r w:rsidRPr="002F5AFB">
        <w:rPr>
          <w:rFonts w:ascii="Times New Roman" w:hAnsi="Times New Roman" w:cs="Times New Roman"/>
          <w:sz w:val="24"/>
          <w:szCs w:val="24"/>
        </w:rPr>
        <w:t xml:space="preserve">This research work is dedicated to God, the creator of the earth for his infinite mercies he bestow upon us during my academic years in </w:t>
      </w:r>
      <w:proofErr w:type="spellStart"/>
      <w:r w:rsidRPr="002F5AFB">
        <w:rPr>
          <w:rFonts w:ascii="Times New Roman" w:hAnsi="Times New Roman" w:cs="Times New Roman"/>
          <w:sz w:val="24"/>
          <w:szCs w:val="24"/>
        </w:rPr>
        <w:t>Kwara</w:t>
      </w:r>
      <w:proofErr w:type="spellEnd"/>
      <w:r w:rsidRPr="002F5AFB">
        <w:rPr>
          <w:rFonts w:ascii="Times New Roman" w:hAnsi="Times New Roman" w:cs="Times New Roman"/>
          <w:sz w:val="24"/>
          <w:szCs w:val="24"/>
        </w:rPr>
        <w:t xml:space="preserve"> State Polytechnic, Ilorin for giving me wisdom, knowledge and understanding to carry out this project successfully.</w:t>
      </w: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rPr>
          <w:rFonts w:ascii="Times New Roman" w:hAnsi="Times New Roman" w:cs="Times New Roman"/>
          <w:b/>
          <w:sz w:val="24"/>
          <w:szCs w:val="24"/>
        </w:rPr>
      </w:pPr>
    </w:p>
    <w:p w:rsidR="002F5AFB" w:rsidRPr="002F5AFB" w:rsidRDefault="002F5AFB" w:rsidP="002F5AFB">
      <w:pPr>
        <w:pStyle w:val="Heading2"/>
        <w:spacing w:line="360" w:lineRule="auto"/>
        <w:jc w:val="center"/>
      </w:pPr>
      <w:r w:rsidRPr="002F5AFB">
        <w:rPr>
          <w:rFonts w:eastAsiaTheme="majorEastAsia"/>
          <w:b w:val="0"/>
        </w:rPr>
        <w:br w:type="page"/>
      </w:r>
      <w:bookmarkStart w:id="3" w:name="_Toc172679864"/>
      <w:bookmarkStart w:id="4" w:name="_Toc172027847"/>
      <w:bookmarkStart w:id="5" w:name="_Toc172027780"/>
      <w:r w:rsidRPr="002F5AFB">
        <w:lastRenderedPageBreak/>
        <w:t>ACKNOWLEDGEMENT</w:t>
      </w:r>
      <w:bookmarkEnd w:id="3"/>
      <w:bookmarkEnd w:id="4"/>
      <w:bookmarkEnd w:id="5"/>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 xml:space="preserve">All glory, honor and adoration belong to </w:t>
      </w:r>
      <w:r w:rsidRPr="00572FEE">
        <w:rPr>
          <w:rFonts w:ascii="Times New Roman" w:hAnsi="Times New Roman" w:cs="Times New Roman"/>
          <w:b/>
          <w:sz w:val="24"/>
          <w:szCs w:val="24"/>
        </w:rPr>
        <w:t>Almighty Allah,</w:t>
      </w:r>
      <w:r>
        <w:rPr>
          <w:rFonts w:ascii="Times New Roman" w:hAnsi="Times New Roman" w:cs="Times New Roman"/>
          <w:sz w:val="24"/>
          <w:szCs w:val="24"/>
        </w:rPr>
        <w:t xml:space="preserve"> The Most High, The Most Glorious, and T</w:t>
      </w:r>
      <w:r w:rsidRPr="00572FEE">
        <w:rPr>
          <w:rFonts w:ascii="Times New Roman" w:hAnsi="Times New Roman" w:cs="Times New Roman"/>
          <w:sz w:val="24"/>
          <w:szCs w:val="24"/>
        </w:rPr>
        <w:t>he Ancient of days who has given me the opportunity to complete my National Diploma</w:t>
      </w:r>
      <w:r>
        <w:rPr>
          <w:rFonts w:ascii="Times New Roman" w:hAnsi="Times New Roman" w:cs="Times New Roman"/>
          <w:sz w:val="24"/>
          <w:szCs w:val="24"/>
        </w:rPr>
        <w:t xml:space="preserve"> (ND)</w:t>
      </w:r>
      <w:r w:rsidRPr="00572FEE">
        <w:rPr>
          <w:rFonts w:ascii="Times New Roman" w:hAnsi="Times New Roman" w:cs="Times New Roman"/>
          <w:sz w:val="24"/>
          <w:szCs w:val="24"/>
        </w:rPr>
        <w:t xml:space="preserve">; it has been God all through. The wisdom, knowledge and understanding </w:t>
      </w:r>
      <w:proofErr w:type="gramStart"/>
      <w:r w:rsidRPr="00572FEE">
        <w:rPr>
          <w:rFonts w:ascii="Times New Roman" w:hAnsi="Times New Roman" w:cs="Times New Roman"/>
          <w:sz w:val="24"/>
          <w:szCs w:val="24"/>
        </w:rPr>
        <w:t>is</w:t>
      </w:r>
      <w:proofErr w:type="gramEnd"/>
      <w:r w:rsidRPr="00572FEE">
        <w:rPr>
          <w:rFonts w:ascii="Times New Roman" w:hAnsi="Times New Roman" w:cs="Times New Roman"/>
          <w:sz w:val="24"/>
          <w:szCs w:val="24"/>
        </w:rPr>
        <w:t xml:space="preserve"> not given based on merit </w:t>
      </w:r>
      <w:r>
        <w:rPr>
          <w:rFonts w:ascii="Times New Roman" w:hAnsi="Times New Roman" w:cs="Times New Roman"/>
          <w:sz w:val="24"/>
          <w:szCs w:val="24"/>
        </w:rPr>
        <w:t xml:space="preserve">or </w:t>
      </w:r>
      <w:r w:rsidRPr="00572FEE">
        <w:rPr>
          <w:rFonts w:ascii="Times New Roman" w:hAnsi="Times New Roman" w:cs="Times New Roman"/>
          <w:sz w:val="24"/>
          <w:szCs w:val="24"/>
        </w:rPr>
        <w:t xml:space="preserve">by chance, if not I wouldn’t have been qualified but His mercy qualified me. I sincerely appreciate </w:t>
      </w:r>
      <w:r w:rsidRPr="00572FEE">
        <w:rPr>
          <w:rFonts w:ascii="Times New Roman" w:hAnsi="Times New Roman" w:cs="Times New Roman"/>
          <w:b/>
          <w:sz w:val="24"/>
          <w:szCs w:val="24"/>
        </w:rPr>
        <w:t>Almighty God</w:t>
      </w:r>
      <w:r w:rsidRPr="00572FEE">
        <w:rPr>
          <w:rFonts w:ascii="Times New Roman" w:hAnsi="Times New Roman" w:cs="Times New Roman"/>
          <w:sz w:val="24"/>
          <w:szCs w:val="24"/>
        </w:rPr>
        <w:t xml:space="preserve"> for all the battles won; I return all the glory back to </w:t>
      </w:r>
      <w:r w:rsidRPr="00572FEE">
        <w:rPr>
          <w:rFonts w:ascii="Times New Roman" w:hAnsi="Times New Roman" w:cs="Times New Roman"/>
          <w:b/>
          <w:sz w:val="24"/>
          <w:szCs w:val="24"/>
        </w:rPr>
        <w:t>Almighty Allah.</w:t>
      </w:r>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 xml:space="preserve">My profound gratitude and appreciation goes to </w:t>
      </w:r>
      <w:r>
        <w:rPr>
          <w:rFonts w:ascii="Times New Roman" w:hAnsi="Times New Roman" w:cs="Times New Roman"/>
          <w:sz w:val="24"/>
          <w:szCs w:val="24"/>
        </w:rPr>
        <w:t>my amiable supervisor</w:t>
      </w:r>
      <w:r w:rsidR="00375EC0">
        <w:rPr>
          <w:rFonts w:ascii="Times New Roman" w:hAnsi="Times New Roman" w:cs="Times New Roman"/>
          <w:sz w:val="24"/>
          <w:szCs w:val="24"/>
        </w:rPr>
        <w:t>;</w:t>
      </w:r>
      <w:r>
        <w:rPr>
          <w:rFonts w:ascii="Times New Roman" w:hAnsi="Times New Roman" w:cs="Times New Roman"/>
          <w:sz w:val="24"/>
          <w:szCs w:val="24"/>
        </w:rPr>
        <w:t xml:space="preserve"> </w:t>
      </w:r>
      <w:r w:rsidRPr="00572FEE">
        <w:rPr>
          <w:rFonts w:ascii="Times New Roman" w:hAnsi="Times New Roman" w:cs="Times New Roman"/>
          <w:b/>
          <w:sz w:val="24"/>
          <w:szCs w:val="24"/>
        </w:rPr>
        <w:t xml:space="preserve">Mr. </w:t>
      </w:r>
      <w:proofErr w:type="spellStart"/>
      <w:r w:rsidRPr="00572FEE">
        <w:rPr>
          <w:rFonts w:ascii="Times New Roman" w:hAnsi="Times New Roman" w:cs="Times New Roman"/>
          <w:b/>
          <w:sz w:val="24"/>
          <w:szCs w:val="24"/>
        </w:rPr>
        <w:t>AbdulRahman</w:t>
      </w:r>
      <w:proofErr w:type="spellEnd"/>
      <w:r w:rsidRPr="00572FEE">
        <w:rPr>
          <w:rFonts w:ascii="Times New Roman" w:hAnsi="Times New Roman" w:cs="Times New Roman"/>
          <w:b/>
          <w:sz w:val="24"/>
          <w:szCs w:val="24"/>
        </w:rPr>
        <w:t xml:space="preserve"> Bashir. D.</w:t>
      </w:r>
      <w:r w:rsidRPr="00572FEE">
        <w:rPr>
          <w:rFonts w:ascii="Times New Roman" w:hAnsi="Times New Roman" w:cs="Times New Roman"/>
          <w:sz w:val="24"/>
          <w:szCs w:val="24"/>
        </w:rPr>
        <w:t xml:space="preserve"> for his support, encouragement, corrections and motivation as regards the writing of this project, thank you so much sir. I pray that Almighty Allah continue to guide you and your entire family in your entire endeavor.</w:t>
      </w:r>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 xml:space="preserve">I sincerely and wholeheartedly acknowledged </w:t>
      </w:r>
      <w:r w:rsidR="00375EC0">
        <w:rPr>
          <w:rFonts w:ascii="Times New Roman" w:hAnsi="Times New Roman" w:cs="Times New Roman"/>
          <w:sz w:val="24"/>
          <w:szCs w:val="24"/>
        </w:rPr>
        <w:t>my wonderful and dynamic mother;</w:t>
      </w:r>
      <w:r w:rsidRPr="00572FEE">
        <w:rPr>
          <w:rFonts w:ascii="Times New Roman" w:hAnsi="Times New Roman" w:cs="Times New Roman"/>
          <w:sz w:val="24"/>
          <w:szCs w:val="24"/>
        </w:rPr>
        <w:t xml:space="preserve"> </w:t>
      </w:r>
      <w:r w:rsidR="00375EC0">
        <w:rPr>
          <w:rFonts w:ascii="Times New Roman" w:hAnsi="Times New Roman" w:cs="Times New Roman"/>
          <w:b/>
          <w:sz w:val="24"/>
          <w:szCs w:val="24"/>
        </w:rPr>
        <w:t xml:space="preserve">Mrs. </w:t>
      </w:r>
      <w:proofErr w:type="spellStart"/>
      <w:r w:rsidR="00375EC0">
        <w:rPr>
          <w:rFonts w:ascii="Times New Roman" w:hAnsi="Times New Roman" w:cs="Times New Roman"/>
          <w:b/>
          <w:sz w:val="24"/>
          <w:szCs w:val="24"/>
        </w:rPr>
        <w:t>Mulikhat</w:t>
      </w:r>
      <w:proofErr w:type="spellEnd"/>
      <w:r w:rsidR="00375EC0">
        <w:rPr>
          <w:rFonts w:ascii="Times New Roman" w:hAnsi="Times New Roman" w:cs="Times New Roman"/>
          <w:b/>
          <w:sz w:val="24"/>
          <w:szCs w:val="24"/>
        </w:rPr>
        <w:t xml:space="preserve"> </w:t>
      </w:r>
      <w:proofErr w:type="spellStart"/>
      <w:r w:rsidR="00375EC0">
        <w:rPr>
          <w:rFonts w:ascii="Times New Roman" w:hAnsi="Times New Roman" w:cs="Times New Roman"/>
          <w:b/>
          <w:sz w:val="24"/>
          <w:szCs w:val="24"/>
        </w:rPr>
        <w:t>Aduke</w:t>
      </w:r>
      <w:proofErr w:type="spellEnd"/>
      <w:r w:rsidR="00375EC0">
        <w:rPr>
          <w:rFonts w:ascii="Times New Roman" w:hAnsi="Times New Roman" w:cs="Times New Roman"/>
          <w:b/>
          <w:sz w:val="24"/>
          <w:szCs w:val="24"/>
        </w:rPr>
        <w:t xml:space="preserve"> </w:t>
      </w:r>
      <w:proofErr w:type="spellStart"/>
      <w:r w:rsidR="00375EC0">
        <w:rPr>
          <w:rFonts w:ascii="Times New Roman" w:hAnsi="Times New Roman" w:cs="Times New Roman"/>
          <w:b/>
          <w:sz w:val="24"/>
          <w:szCs w:val="24"/>
        </w:rPr>
        <w:t>Ajiboye</w:t>
      </w:r>
      <w:proofErr w:type="spellEnd"/>
      <w:r w:rsidRPr="00572FEE">
        <w:rPr>
          <w:rFonts w:ascii="Times New Roman" w:hAnsi="Times New Roman" w:cs="Times New Roman"/>
          <w:sz w:val="24"/>
          <w:szCs w:val="24"/>
        </w:rPr>
        <w:t>, for her support financially, morally, spiritually and her word of encouragement and affirmations toward the completion of this program. I pray you shall be</w:t>
      </w:r>
      <w:r w:rsidR="00375EC0">
        <w:rPr>
          <w:rFonts w:ascii="Times New Roman" w:hAnsi="Times New Roman" w:cs="Times New Roman"/>
          <w:sz w:val="24"/>
          <w:szCs w:val="24"/>
        </w:rPr>
        <w:t xml:space="preserve"> rewarded by my success in life, m</w:t>
      </w:r>
      <w:r w:rsidRPr="00572FEE">
        <w:rPr>
          <w:rFonts w:ascii="Times New Roman" w:hAnsi="Times New Roman" w:cs="Times New Roman"/>
          <w:sz w:val="24"/>
          <w:szCs w:val="24"/>
        </w:rPr>
        <w:t xml:space="preserve">ay </w:t>
      </w:r>
      <w:r w:rsidRPr="00375EC0">
        <w:rPr>
          <w:rFonts w:ascii="Times New Roman" w:hAnsi="Times New Roman" w:cs="Times New Roman"/>
          <w:b/>
          <w:sz w:val="24"/>
          <w:szCs w:val="24"/>
        </w:rPr>
        <w:t>Almighty Allah</w:t>
      </w:r>
      <w:r w:rsidRPr="00572FEE">
        <w:rPr>
          <w:rFonts w:ascii="Times New Roman" w:hAnsi="Times New Roman" w:cs="Times New Roman"/>
          <w:sz w:val="24"/>
          <w:szCs w:val="24"/>
        </w:rPr>
        <w:t xml:space="preserve"> grants you long li</w:t>
      </w:r>
      <w:r w:rsidR="00375EC0">
        <w:rPr>
          <w:rFonts w:ascii="Times New Roman" w:hAnsi="Times New Roman" w:cs="Times New Roman"/>
          <w:sz w:val="24"/>
          <w:szCs w:val="24"/>
        </w:rPr>
        <w:t>fe in sound health and good wealth to witness my success in life</w:t>
      </w:r>
      <w:r w:rsidRPr="00572FEE">
        <w:rPr>
          <w:rFonts w:ascii="Times New Roman" w:hAnsi="Times New Roman" w:cs="Times New Roman"/>
          <w:sz w:val="24"/>
          <w:szCs w:val="24"/>
        </w:rPr>
        <w:t xml:space="preserve"> (Amen).</w:t>
      </w:r>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My sincere appreciation also goes to the Head of Department</w:t>
      </w:r>
      <w:r w:rsidR="00375EC0">
        <w:rPr>
          <w:rFonts w:ascii="Times New Roman" w:hAnsi="Times New Roman" w:cs="Times New Roman"/>
          <w:sz w:val="24"/>
          <w:szCs w:val="24"/>
        </w:rPr>
        <w:t>;</w:t>
      </w:r>
      <w:r w:rsidRPr="00572FEE">
        <w:rPr>
          <w:rFonts w:ascii="Times New Roman" w:hAnsi="Times New Roman" w:cs="Times New Roman"/>
          <w:sz w:val="24"/>
          <w:szCs w:val="24"/>
        </w:rPr>
        <w:t xml:space="preserve"> </w:t>
      </w:r>
      <w:r w:rsidRPr="00375EC0">
        <w:rPr>
          <w:rFonts w:ascii="Times New Roman" w:hAnsi="Times New Roman" w:cs="Times New Roman"/>
          <w:b/>
          <w:sz w:val="24"/>
          <w:szCs w:val="24"/>
        </w:rPr>
        <w:t xml:space="preserve">Dr. Abdul Kareem </w:t>
      </w:r>
      <w:proofErr w:type="spellStart"/>
      <w:r w:rsidRPr="00375EC0">
        <w:rPr>
          <w:rFonts w:ascii="Times New Roman" w:hAnsi="Times New Roman" w:cs="Times New Roman"/>
          <w:b/>
          <w:sz w:val="24"/>
          <w:szCs w:val="24"/>
        </w:rPr>
        <w:t>Usman</w:t>
      </w:r>
      <w:proofErr w:type="spellEnd"/>
      <w:r w:rsidRPr="00375EC0">
        <w:rPr>
          <w:rFonts w:ascii="Times New Roman" w:hAnsi="Times New Roman" w:cs="Times New Roman"/>
          <w:b/>
          <w:sz w:val="24"/>
          <w:szCs w:val="24"/>
        </w:rPr>
        <w:t>,</w:t>
      </w:r>
      <w:r w:rsidR="00742D94">
        <w:rPr>
          <w:rFonts w:ascii="Times New Roman" w:hAnsi="Times New Roman" w:cs="Times New Roman"/>
          <w:sz w:val="24"/>
          <w:szCs w:val="24"/>
        </w:rPr>
        <w:t xml:space="preserve"> </w:t>
      </w:r>
      <w:r w:rsidR="00E331DA">
        <w:rPr>
          <w:rFonts w:ascii="Times New Roman" w:hAnsi="Times New Roman" w:cs="Times New Roman"/>
          <w:sz w:val="24"/>
          <w:szCs w:val="24"/>
        </w:rPr>
        <w:t xml:space="preserve">our Coordinator; </w:t>
      </w:r>
      <w:r w:rsidR="00E331DA">
        <w:rPr>
          <w:rFonts w:ascii="Times New Roman" w:hAnsi="Times New Roman" w:cs="Times New Roman"/>
          <w:b/>
          <w:sz w:val="24"/>
          <w:szCs w:val="24"/>
        </w:rPr>
        <w:t xml:space="preserve">Mr. </w:t>
      </w:r>
      <w:proofErr w:type="spellStart"/>
      <w:r w:rsidR="00E331DA">
        <w:rPr>
          <w:rFonts w:ascii="Times New Roman" w:hAnsi="Times New Roman" w:cs="Times New Roman"/>
          <w:b/>
          <w:sz w:val="24"/>
          <w:szCs w:val="24"/>
        </w:rPr>
        <w:t>Lukman</w:t>
      </w:r>
      <w:proofErr w:type="spellEnd"/>
      <w:r w:rsidR="00E331DA">
        <w:rPr>
          <w:rFonts w:ascii="Times New Roman" w:hAnsi="Times New Roman" w:cs="Times New Roman"/>
          <w:b/>
          <w:sz w:val="24"/>
          <w:szCs w:val="24"/>
        </w:rPr>
        <w:t xml:space="preserve"> Z.A, </w:t>
      </w:r>
      <w:r w:rsidR="00742D94">
        <w:rPr>
          <w:rFonts w:ascii="Times New Roman" w:hAnsi="Times New Roman" w:cs="Times New Roman"/>
          <w:sz w:val="24"/>
          <w:szCs w:val="24"/>
        </w:rPr>
        <w:t>the staffs both academic &amp;</w:t>
      </w:r>
      <w:r w:rsidRPr="00572FEE">
        <w:rPr>
          <w:rFonts w:ascii="Times New Roman" w:hAnsi="Times New Roman" w:cs="Times New Roman"/>
          <w:sz w:val="24"/>
          <w:szCs w:val="24"/>
        </w:rPr>
        <w:t xml:space="preserve"> non-academic</w:t>
      </w:r>
      <w:r w:rsidR="00742D94">
        <w:rPr>
          <w:rFonts w:ascii="Times New Roman" w:hAnsi="Times New Roman" w:cs="Times New Roman"/>
          <w:sz w:val="24"/>
          <w:szCs w:val="24"/>
        </w:rPr>
        <w:t xml:space="preserve"> and </w:t>
      </w:r>
      <w:r w:rsidR="00742D94" w:rsidRPr="00572FEE">
        <w:rPr>
          <w:rFonts w:ascii="Times New Roman" w:hAnsi="Times New Roman" w:cs="Times New Roman"/>
          <w:sz w:val="24"/>
          <w:szCs w:val="24"/>
        </w:rPr>
        <w:t>all the lecturers</w:t>
      </w:r>
      <w:r w:rsidRPr="00572FEE">
        <w:rPr>
          <w:rFonts w:ascii="Times New Roman" w:hAnsi="Times New Roman" w:cs="Times New Roman"/>
          <w:sz w:val="24"/>
          <w:szCs w:val="24"/>
        </w:rPr>
        <w:t xml:space="preserve"> of </w:t>
      </w:r>
      <w:r w:rsidR="00375EC0">
        <w:rPr>
          <w:rFonts w:ascii="Times New Roman" w:hAnsi="Times New Roman" w:cs="Times New Roman"/>
          <w:sz w:val="24"/>
          <w:szCs w:val="24"/>
        </w:rPr>
        <w:t>Science Laboratory Technology (</w:t>
      </w:r>
      <w:r w:rsidRPr="00572FEE">
        <w:rPr>
          <w:rFonts w:ascii="Times New Roman" w:hAnsi="Times New Roman" w:cs="Times New Roman"/>
          <w:sz w:val="24"/>
          <w:szCs w:val="24"/>
        </w:rPr>
        <w:t>SLT</w:t>
      </w:r>
      <w:r w:rsidR="00375EC0">
        <w:rPr>
          <w:rFonts w:ascii="Times New Roman" w:hAnsi="Times New Roman" w:cs="Times New Roman"/>
          <w:sz w:val="24"/>
          <w:szCs w:val="24"/>
        </w:rPr>
        <w:t xml:space="preserve">) Department </w:t>
      </w:r>
      <w:r w:rsidRPr="00572FEE">
        <w:rPr>
          <w:rFonts w:ascii="Times New Roman" w:hAnsi="Times New Roman" w:cs="Times New Roman"/>
          <w:sz w:val="24"/>
          <w:szCs w:val="24"/>
        </w:rPr>
        <w:t xml:space="preserve">for their immense contribution and guidance which has given me golden opportunity to do this wonderful project. I pray that may </w:t>
      </w:r>
      <w:r w:rsidRPr="007E0770">
        <w:rPr>
          <w:rFonts w:ascii="Times New Roman" w:hAnsi="Times New Roman" w:cs="Times New Roman"/>
          <w:b/>
          <w:sz w:val="24"/>
          <w:szCs w:val="24"/>
        </w:rPr>
        <w:t>Almighty Allah</w:t>
      </w:r>
      <w:r w:rsidRPr="00572FEE">
        <w:rPr>
          <w:rFonts w:ascii="Times New Roman" w:hAnsi="Times New Roman" w:cs="Times New Roman"/>
          <w:sz w:val="24"/>
          <w:szCs w:val="24"/>
        </w:rPr>
        <w:t xml:space="preserve"> reward you, f</w:t>
      </w:r>
      <w:r w:rsidR="00375EC0">
        <w:rPr>
          <w:rFonts w:ascii="Times New Roman" w:hAnsi="Times New Roman" w:cs="Times New Roman"/>
          <w:sz w:val="24"/>
          <w:szCs w:val="24"/>
        </w:rPr>
        <w:t>avor you in all your ramification</w:t>
      </w:r>
      <w:r w:rsidRPr="00572FEE">
        <w:rPr>
          <w:rFonts w:ascii="Times New Roman" w:hAnsi="Times New Roman" w:cs="Times New Roman"/>
          <w:sz w:val="24"/>
          <w:szCs w:val="24"/>
        </w:rPr>
        <w:t xml:space="preserve">s in life. May </w:t>
      </w:r>
      <w:r w:rsidRPr="007E0770">
        <w:rPr>
          <w:rFonts w:ascii="Times New Roman" w:hAnsi="Times New Roman" w:cs="Times New Roman"/>
          <w:b/>
          <w:sz w:val="24"/>
          <w:szCs w:val="24"/>
        </w:rPr>
        <w:t>Allah</w:t>
      </w:r>
      <w:r w:rsidRPr="00572FEE">
        <w:rPr>
          <w:rFonts w:ascii="Times New Roman" w:hAnsi="Times New Roman" w:cs="Times New Roman"/>
          <w:sz w:val="24"/>
          <w:szCs w:val="24"/>
        </w:rPr>
        <w:t xml:space="preserve"> continue to bless you and your family </w:t>
      </w:r>
      <w:proofErr w:type="gramStart"/>
      <w:r w:rsidRPr="00572FEE">
        <w:rPr>
          <w:rFonts w:ascii="Times New Roman" w:hAnsi="Times New Roman" w:cs="Times New Roman"/>
          <w:sz w:val="24"/>
          <w:szCs w:val="24"/>
        </w:rPr>
        <w:t>abundantly.</w:t>
      </w:r>
      <w:proofErr w:type="gramEnd"/>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I also want to use this opportunity as well to appreciate my siblings</w:t>
      </w:r>
      <w:r w:rsidR="00375EC0">
        <w:rPr>
          <w:rFonts w:ascii="Times New Roman" w:hAnsi="Times New Roman" w:cs="Times New Roman"/>
          <w:sz w:val="24"/>
          <w:szCs w:val="24"/>
        </w:rPr>
        <w:t>;</w:t>
      </w:r>
      <w:r w:rsidRPr="00572FEE">
        <w:rPr>
          <w:rFonts w:ascii="Times New Roman" w:hAnsi="Times New Roman" w:cs="Times New Roman"/>
          <w:sz w:val="24"/>
          <w:szCs w:val="24"/>
        </w:rPr>
        <w:t xml:space="preserve"> </w:t>
      </w:r>
      <w:proofErr w:type="spellStart"/>
      <w:r w:rsidRPr="007E0770">
        <w:rPr>
          <w:rFonts w:ascii="Times New Roman" w:hAnsi="Times New Roman" w:cs="Times New Roman"/>
          <w:b/>
          <w:sz w:val="24"/>
          <w:szCs w:val="24"/>
        </w:rPr>
        <w:t>A</w:t>
      </w:r>
      <w:r w:rsidR="00375EC0" w:rsidRPr="007E0770">
        <w:rPr>
          <w:rFonts w:ascii="Times New Roman" w:hAnsi="Times New Roman" w:cs="Times New Roman"/>
          <w:b/>
          <w:sz w:val="24"/>
          <w:szCs w:val="24"/>
        </w:rPr>
        <w:t>jiboye</w:t>
      </w:r>
      <w:proofErr w:type="spellEnd"/>
      <w:r w:rsidR="00375EC0" w:rsidRPr="007E0770">
        <w:rPr>
          <w:rFonts w:ascii="Times New Roman" w:hAnsi="Times New Roman" w:cs="Times New Roman"/>
          <w:b/>
          <w:sz w:val="24"/>
          <w:szCs w:val="24"/>
        </w:rPr>
        <w:t xml:space="preserve"> </w:t>
      </w:r>
      <w:proofErr w:type="spellStart"/>
      <w:r w:rsidRPr="007E0770">
        <w:rPr>
          <w:rFonts w:ascii="Times New Roman" w:hAnsi="Times New Roman" w:cs="Times New Roman"/>
          <w:b/>
          <w:sz w:val="24"/>
          <w:szCs w:val="24"/>
        </w:rPr>
        <w:t>Busayo</w:t>
      </w:r>
      <w:proofErr w:type="spellEnd"/>
      <w:r w:rsidR="00375EC0" w:rsidRPr="007E0770">
        <w:rPr>
          <w:rFonts w:ascii="Times New Roman" w:hAnsi="Times New Roman" w:cs="Times New Roman"/>
          <w:b/>
          <w:sz w:val="24"/>
          <w:szCs w:val="24"/>
        </w:rPr>
        <w:t xml:space="preserve">, </w:t>
      </w:r>
      <w:proofErr w:type="spellStart"/>
      <w:r w:rsidR="00375EC0" w:rsidRPr="007E0770">
        <w:rPr>
          <w:rFonts w:ascii="Times New Roman" w:hAnsi="Times New Roman" w:cs="Times New Roman"/>
          <w:b/>
          <w:sz w:val="24"/>
          <w:szCs w:val="24"/>
        </w:rPr>
        <w:t>Ba</w:t>
      </w:r>
      <w:r w:rsidR="007E0770" w:rsidRPr="007E0770">
        <w:rPr>
          <w:rFonts w:ascii="Times New Roman" w:hAnsi="Times New Roman" w:cs="Times New Roman"/>
          <w:b/>
          <w:sz w:val="24"/>
          <w:szCs w:val="24"/>
        </w:rPr>
        <w:t>b</w:t>
      </w:r>
      <w:r w:rsidRPr="007E0770">
        <w:rPr>
          <w:rFonts w:ascii="Times New Roman" w:hAnsi="Times New Roman" w:cs="Times New Roman"/>
          <w:b/>
          <w:sz w:val="24"/>
          <w:szCs w:val="24"/>
        </w:rPr>
        <w:t>atunde</w:t>
      </w:r>
      <w:proofErr w:type="spellEnd"/>
      <w:r w:rsidRPr="007E0770">
        <w:rPr>
          <w:rFonts w:ascii="Times New Roman" w:hAnsi="Times New Roman" w:cs="Times New Roman"/>
          <w:b/>
          <w:sz w:val="24"/>
          <w:szCs w:val="24"/>
        </w:rPr>
        <w:t xml:space="preserve"> and </w:t>
      </w:r>
      <w:proofErr w:type="spellStart"/>
      <w:r w:rsidRPr="007E0770">
        <w:rPr>
          <w:rFonts w:ascii="Times New Roman" w:hAnsi="Times New Roman" w:cs="Times New Roman"/>
          <w:b/>
          <w:sz w:val="24"/>
          <w:szCs w:val="24"/>
        </w:rPr>
        <w:t>Ope</w:t>
      </w:r>
      <w:r w:rsidR="007E0770" w:rsidRPr="007E0770">
        <w:rPr>
          <w:rFonts w:ascii="Times New Roman" w:hAnsi="Times New Roman" w:cs="Times New Roman"/>
          <w:b/>
          <w:sz w:val="24"/>
          <w:szCs w:val="24"/>
        </w:rPr>
        <w:t>yemi</w:t>
      </w:r>
      <w:proofErr w:type="spellEnd"/>
      <w:r w:rsidR="007E0770" w:rsidRPr="007E0770">
        <w:rPr>
          <w:rFonts w:ascii="Times New Roman" w:hAnsi="Times New Roman" w:cs="Times New Roman"/>
          <w:b/>
          <w:sz w:val="24"/>
          <w:szCs w:val="24"/>
        </w:rPr>
        <w:t>,</w:t>
      </w:r>
      <w:r w:rsidRPr="00572FEE">
        <w:rPr>
          <w:rFonts w:ascii="Times New Roman" w:hAnsi="Times New Roman" w:cs="Times New Roman"/>
          <w:sz w:val="24"/>
          <w:szCs w:val="24"/>
        </w:rPr>
        <w:t xml:space="preserve"> they are always there for me in various ways, they mean a lot to me. May </w:t>
      </w:r>
      <w:r w:rsidRPr="007E0770">
        <w:rPr>
          <w:rFonts w:ascii="Times New Roman" w:hAnsi="Times New Roman" w:cs="Times New Roman"/>
          <w:b/>
          <w:sz w:val="24"/>
          <w:szCs w:val="24"/>
        </w:rPr>
        <w:t>Almighty Allah</w:t>
      </w:r>
      <w:r w:rsidRPr="00572FEE">
        <w:rPr>
          <w:rFonts w:ascii="Times New Roman" w:hAnsi="Times New Roman" w:cs="Times New Roman"/>
          <w:sz w:val="24"/>
          <w:szCs w:val="24"/>
        </w:rPr>
        <w:t xml:space="preserve"> continue to bless the works of your hands (Amen)</w:t>
      </w:r>
      <w:proofErr w:type="gramStart"/>
      <w:r w:rsidRPr="00572FEE">
        <w:rPr>
          <w:rFonts w:ascii="Times New Roman" w:hAnsi="Times New Roman" w:cs="Times New Roman"/>
          <w:sz w:val="24"/>
          <w:szCs w:val="24"/>
        </w:rPr>
        <w:t>.</w:t>
      </w:r>
      <w:proofErr w:type="gramEnd"/>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My gratitude goes to all my amiable and dependable friends</w:t>
      </w:r>
      <w:r w:rsidR="007E0770">
        <w:rPr>
          <w:rFonts w:ascii="Times New Roman" w:hAnsi="Times New Roman" w:cs="Times New Roman"/>
          <w:sz w:val="24"/>
          <w:szCs w:val="24"/>
        </w:rPr>
        <w:t>;</w:t>
      </w:r>
      <w:r w:rsidRPr="00572FEE">
        <w:rPr>
          <w:rFonts w:ascii="Times New Roman" w:hAnsi="Times New Roman" w:cs="Times New Roman"/>
          <w:sz w:val="24"/>
          <w:szCs w:val="24"/>
        </w:rPr>
        <w:t xml:space="preserve"> </w:t>
      </w:r>
      <w:proofErr w:type="spellStart"/>
      <w:r w:rsidRPr="007E0770">
        <w:rPr>
          <w:rFonts w:ascii="Times New Roman" w:hAnsi="Times New Roman" w:cs="Times New Roman"/>
          <w:b/>
          <w:sz w:val="24"/>
          <w:szCs w:val="24"/>
        </w:rPr>
        <w:t>A</w:t>
      </w:r>
      <w:r w:rsidR="007E0770" w:rsidRPr="007E0770">
        <w:rPr>
          <w:rFonts w:ascii="Times New Roman" w:hAnsi="Times New Roman" w:cs="Times New Roman"/>
          <w:b/>
          <w:sz w:val="24"/>
          <w:szCs w:val="24"/>
        </w:rPr>
        <w:t>jakay</w:t>
      </w:r>
      <w:r w:rsidRPr="007E0770">
        <w:rPr>
          <w:rFonts w:ascii="Times New Roman" w:hAnsi="Times New Roman" w:cs="Times New Roman"/>
          <w:b/>
          <w:sz w:val="24"/>
          <w:szCs w:val="24"/>
        </w:rPr>
        <w:t>e</w:t>
      </w:r>
      <w:proofErr w:type="spellEnd"/>
      <w:r w:rsidRPr="007E0770">
        <w:rPr>
          <w:rFonts w:ascii="Times New Roman" w:hAnsi="Times New Roman" w:cs="Times New Roman"/>
          <w:b/>
          <w:sz w:val="24"/>
          <w:szCs w:val="24"/>
        </w:rPr>
        <w:t xml:space="preserve"> </w:t>
      </w:r>
      <w:proofErr w:type="spellStart"/>
      <w:r w:rsidRPr="007E0770">
        <w:rPr>
          <w:rFonts w:ascii="Times New Roman" w:hAnsi="Times New Roman" w:cs="Times New Roman"/>
          <w:b/>
          <w:sz w:val="24"/>
          <w:szCs w:val="24"/>
        </w:rPr>
        <w:t>Gbemisola</w:t>
      </w:r>
      <w:proofErr w:type="spellEnd"/>
      <w:r w:rsidRPr="007E0770">
        <w:rPr>
          <w:rFonts w:ascii="Times New Roman" w:hAnsi="Times New Roman" w:cs="Times New Roman"/>
          <w:b/>
          <w:sz w:val="24"/>
          <w:szCs w:val="24"/>
        </w:rPr>
        <w:t xml:space="preserve">, </w:t>
      </w:r>
      <w:proofErr w:type="spellStart"/>
      <w:r w:rsidRPr="007E0770">
        <w:rPr>
          <w:rFonts w:ascii="Times New Roman" w:hAnsi="Times New Roman" w:cs="Times New Roman"/>
          <w:b/>
          <w:sz w:val="24"/>
          <w:szCs w:val="24"/>
        </w:rPr>
        <w:t>Ra</w:t>
      </w:r>
      <w:r w:rsidR="007E0770" w:rsidRPr="007E0770">
        <w:rPr>
          <w:rFonts w:ascii="Times New Roman" w:hAnsi="Times New Roman" w:cs="Times New Roman"/>
          <w:b/>
          <w:sz w:val="24"/>
          <w:szCs w:val="24"/>
        </w:rPr>
        <w:t>biu</w:t>
      </w:r>
      <w:proofErr w:type="spellEnd"/>
      <w:r w:rsidR="007E0770" w:rsidRPr="007E0770">
        <w:rPr>
          <w:rFonts w:ascii="Times New Roman" w:hAnsi="Times New Roman" w:cs="Times New Roman"/>
          <w:b/>
          <w:sz w:val="24"/>
          <w:szCs w:val="24"/>
        </w:rPr>
        <w:t xml:space="preserve"> </w:t>
      </w:r>
      <w:proofErr w:type="spellStart"/>
      <w:r w:rsidR="007E0770" w:rsidRPr="007E0770">
        <w:rPr>
          <w:rFonts w:ascii="Times New Roman" w:hAnsi="Times New Roman" w:cs="Times New Roman"/>
          <w:b/>
          <w:sz w:val="24"/>
          <w:szCs w:val="24"/>
        </w:rPr>
        <w:t>Hamdalat</w:t>
      </w:r>
      <w:proofErr w:type="spellEnd"/>
      <w:r w:rsidRPr="007E0770">
        <w:rPr>
          <w:rFonts w:ascii="Times New Roman" w:hAnsi="Times New Roman" w:cs="Times New Roman"/>
          <w:b/>
          <w:sz w:val="24"/>
          <w:szCs w:val="24"/>
        </w:rPr>
        <w:t xml:space="preserve">, </w:t>
      </w:r>
      <w:proofErr w:type="spellStart"/>
      <w:r w:rsidRPr="007E0770">
        <w:rPr>
          <w:rFonts w:ascii="Times New Roman" w:hAnsi="Times New Roman" w:cs="Times New Roman"/>
          <w:b/>
          <w:sz w:val="24"/>
          <w:szCs w:val="24"/>
        </w:rPr>
        <w:t>Mudasiru</w:t>
      </w:r>
      <w:proofErr w:type="spellEnd"/>
      <w:r w:rsidRPr="007E0770">
        <w:rPr>
          <w:rFonts w:ascii="Times New Roman" w:hAnsi="Times New Roman" w:cs="Times New Roman"/>
          <w:b/>
          <w:sz w:val="24"/>
          <w:szCs w:val="24"/>
        </w:rPr>
        <w:t xml:space="preserve"> </w:t>
      </w:r>
      <w:proofErr w:type="spellStart"/>
      <w:r w:rsidRPr="007E0770">
        <w:rPr>
          <w:rFonts w:ascii="Times New Roman" w:hAnsi="Times New Roman" w:cs="Times New Roman"/>
          <w:b/>
          <w:sz w:val="24"/>
          <w:szCs w:val="24"/>
        </w:rPr>
        <w:t>S</w:t>
      </w:r>
      <w:r w:rsidR="007E0770" w:rsidRPr="007E0770">
        <w:rPr>
          <w:rFonts w:ascii="Times New Roman" w:hAnsi="Times New Roman" w:cs="Times New Roman"/>
          <w:b/>
          <w:sz w:val="24"/>
          <w:szCs w:val="24"/>
        </w:rPr>
        <w:t>ukura</w:t>
      </w:r>
      <w:r w:rsidRPr="007E0770">
        <w:rPr>
          <w:rFonts w:ascii="Times New Roman" w:hAnsi="Times New Roman" w:cs="Times New Roman"/>
          <w:b/>
          <w:sz w:val="24"/>
          <w:szCs w:val="24"/>
        </w:rPr>
        <w:t>t</w:t>
      </w:r>
      <w:proofErr w:type="spellEnd"/>
      <w:r w:rsidRPr="00572FEE">
        <w:rPr>
          <w:rFonts w:ascii="Times New Roman" w:hAnsi="Times New Roman" w:cs="Times New Roman"/>
          <w:sz w:val="24"/>
          <w:szCs w:val="24"/>
        </w:rPr>
        <w:t xml:space="preserve"> and my </w:t>
      </w:r>
      <w:r w:rsidR="007E0770">
        <w:rPr>
          <w:rFonts w:ascii="Times New Roman" w:hAnsi="Times New Roman" w:cs="Times New Roman"/>
          <w:sz w:val="24"/>
          <w:szCs w:val="24"/>
        </w:rPr>
        <w:t>amiable</w:t>
      </w:r>
      <w:r w:rsidRPr="00572FEE">
        <w:rPr>
          <w:rFonts w:ascii="Times New Roman" w:hAnsi="Times New Roman" w:cs="Times New Roman"/>
          <w:sz w:val="24"/>
          <w:szCs w:val="24"/>
        </w:rPr>
        <w:t xml:space="preserve"> class rep</w:t>
      </w:r>
      <w:r w:rsidR="007E0770">
        <w:rPr>
          <w:rFonts w:ascii="Times New Roman" w:hAnsi="Times New Roman" w:cs="Times New Roman"/>
          <w:sz w:val="24"/>
          <w:szCs w:val="24"/>
        </w:rPr>
        <w:t>.</w:t>
      </w:r>
      <w:r w:rsidRPr="00572FEE">
        <w:rPr>
          <w:rFonts w:ascii="Times New Roman" w:hAnsi="Times New Roman" w:cs="Times New Roman"/>
          <w:sz w:val="24"/>
          <w:szCs w:val="24"/>
        </w:rPr>
        <w:t xml:space="preserve"> </w:t>
      </w:r>
      <w:proofErr w:type="spellStart"/>
      <w:r w:rsidRPr="007E0770">
        <w:rPr>
          <w:rFonts w:ascii="Times New Roman" w:hAnsi="Times New Roman" w:cs="Times New Roman"/>
          <w:b/>
          <w:sz w:val="24"/>
          <w:szCs w:val="24"/>
        </w:rPr>
        <w:t>Abdul</w:t>
      </w:r>
      <w:r w:rsidR="00E331DA">
        <w:rPr>
          <w:rFonts w:ascii="Times New Roman" w:hAnsi="Times New Roman" w:cs="Times New Roman"/>
          <w:b/>
          <w:sz w:val="24"/>
          <w:szCs w:val="24"/>
        </w:rPr>
        <w:t>s</w:t>
      </w:r>
      <w:r w:rsidR="007E0770" w:rsidRPr="007E0770">
        <w:rPr>
          <w:rFonts w:ascii="Times New Roman" w:hAnsi="Times New Roman" w:cs="Times New Roman"/>
          <w:b/>
          <w:sz w:val="24"/>
          <w:szCs w:val="24"/>
        </w:rPr>
        <w:t>omad</w:t>
      </w:r>
      <w:proofErr w:type="spellEnd"/>
      <w:r w:rsidRPr="00572FEE">
        <w:rPr>
          <w:rFonts w:ascii="Times New Roman" w:hAnsi="Times New Roman" w:cs="Times New Roman"/>
          <w:sz w:val="24"/>
          <w:szCs w:val="24"/>
        </w:rPr>
        <w:t xml:space="preserve"> and also my project colleagues, </w:t>
      </w:r>
      <w:r w:rsidR="007E0770" w:rsidRPr="00572FEE">
        <w:rPr>
          <w:rFonts w:ascii="Times New Roman" w:hAnsi="Times New Roman" w:cs="Times New Roman"/>
          <w:sz w:val="24"/>
          <w:szCs w:val="24"/>
        </w:rPr>
        <w:t>course mates</w:t>
      </w:r>
      <w:r w:rsidRPr="00572FEE">
        <w:rPr>
          <w:rFonts w:ascii="Times New Roman" w:hAnsi="Times New Roman" w:cs="Times New Roman"/>
          <w:sz w:val="24"/>
          <w:szCs w:val="24"/>
        </w:rPr>
        <w:t xml:space="preserve"> and the entire students of </w:t>
      </w:r>
      <w:proofErr w:type="spellStart"/>
      <w:r w:rsidRPr="00572FEE">
        <w:rPr>
          <w:rFonts w:ascii="Times New Roman" w:hAnsi="Times New Roman" w:cs="Times New Roman"/>
          <w:sz w:val="24"/>
          <w:szCs w:val="24"/>
        </w:rPr>
        <w:t>Kwara</w:t>
      </w:r>
      <w:proofErr w:type="spellEnd"/>
      <w:r w:rsidRPr="00572FEE">
        <w:rPr>
          <w:rFonts w:ascii="Times New Roman" w:hAnsi="Times New Roman" w:cs="Times New Roman"/>
          <w:sz w:val="24"/>
          <w:szCs w:val="24"/>
        </w:rPr>
        <w:t xml:space="preserve"> State Polytechnic</w:t>
      </w:r>
      <w:r w:rsidR="007E0770">
        <w:rPr>
          <w:rFonts w:ascii="Times New Roman" w:hAnsi="Times New Roman" w:cs="Times New Roman"/>
          <w:sz w:val="24"/>
          <w:szCs w:val="24"/>
        </w:rPr>
        <w:t>,</w:t>
      </w:r>
      <w:r w:rsidRPr="00572FEE">
        <w:rPr>
          <w:rFonts w:ascii="Times New Roman" w:hAnsi="Times New Roman" w:cs="Times New Roman"/>
          <w:sz w:val="24"/>
          <w:szCs w:val="24"/>
        </w:rPr>
        <w:t xml:space="preserve"> Ilorin for their support always. I wish you all the best in all your human </w:t>
      </w:r>
      <w:r w:rsidR="007E0770" w:rsidRPr="00572FEE">
        <w:rPr>
          <w:rFonts w:ascii="Times New Roman" w:hAnsi="Times New Roman" w:cs="Times New Roman"/>
          <w:sz w:val="24"/>
          <w:szCs w:val="24"/>
        </w:rPr>
        <w:t>endeavors</w:t>
      </w:r>
      <w:r w:rsidRPr="00572FEE">
        <w:rPr>
          <w:rFonts w:ascii="Times New Roman" w:hAnsi="Times New Roman" w:cs="Times New Roman"/>
          <w:sz w:val="24"/>
          <w:szCs w:val="24"/>
        </w:rPr>
        <w:t>.</w:t>
      </w:r>
    </w:p>
    <w:p w:rsidR="002F5AFB" w:rsidRPr="002F5AFB" w:rsidRDefault="002F5AFB" w:rsidP="002F5AFB">
      <w:pPr>
        <w:jc w:val="center"/>
        <w:rPr>
          <w:rFonts w:ascii="Times New Roman" w:hAnsi="Times New Roman" w:cs="Times New Roman"/>
          <w:b/>
          <w:bCs/>
          <w:sz w:val="24"/>
          <w:szCs w:val="24"/>
        </w:rPr>
      </w:pPr>
      <w:r w:rsidRPr="002F5AFB">
        <w:rPr>
          <w:rFonts w:ascii="Times New Roman" w:hAnsi="Times New Roman" w:cs="Times New Roman"/>
          <w:sz w:val="24"/>
          <w:szCs w:val="24"/>
        </w:rPr>
        <w:br w:type="page"/>
      </w:r>
    </w:p>
    <w:p w:rsidR="002F5AFB" w:rsidRPr="002F5AFB" w:rsidRDefault="002F5AFB" w:rsidP="002F5AFB">
      <w:pPr>
        <w:jc w:val="center"/>
        <w:rPr>
          <w:rFonts w:ascii="Times New Roman" w:hAnsi="Times New Roman" w:cs="Times New Roman"/>
          <w:b/>
          <w:bCs/>
          <w:sz w:val="24"/>
          <w:szCs w:val="24"/>
        </w:rPr>
      </w:pPr>
      <w:r w:rsidRPr="002F5AFB">
        <w:rPr>
          <w:rFonts w:ascii="Times New Roman" w:hAnsi="Times New Roman" w:cs="Times New Roman"/>
          <w:b/>
          <w:bCs/>
          <w:sz w:val="24"/>
          <w:szCs w:val="24"/>
        </w:rPr>
        <w:lastRenderedPageBreak/>
        <w:t>TABLE OF CONTENT</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Title page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Certification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Dedication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Acknowledgments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iv</w:t>
      </w:r>
      <w:proofErr w:type="gramEnd"/>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Table of Contents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v</w:t>
      </w:r>
    </w:p>
    <w:p w:rsidR="002F5AFB" w:rsidRPr="002F5AFB" w:rsidRDefault="002F5AFB" w:rsidP="002F5AFB">
      <w:pPr>
        <w:rPr>
          <w:rFonts w:ascii="Times New Roman" w:hAnsi="Times New Roman" w:cs="Times New Roman"/>
          <w:sz w:val="24"/>
          <w:szCs w:val="24"/>
        </w:rPr>
      </w:pPr>
      <w:r w:rsidRPr="002F5AFB">
        <w:rPr>
          <w:rFonts w:ascii="Times New Roman" w:hAnsi="Times New Roman" w:cs="Times New Roman"/>
          <w:sz w:val="24"/>
          <w:szCs w:val="24"/>
        </w:rPr>
        <w:t>Abstract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vi</w:t>
      </w:r>
      <w:proofErr w:type="gramEnd"/>
    </w:p>
    <w:p w:rsidR="002F5AFB" w:rsidRPr="002F5AFB" w:rsidRDefault="002F5AFB" w:rsidP="002F5AFB">
      <w:pPr>
        <w:rPr>
          <w:rFonts w:ascii="Times New Roman" w:hAnsi="Times New Roman" w:cs="Times New Roman"/>
          <w:b/>
          <w:bCs/>
          <w:sz w:val="24"/>
          <w:szCs w:val="24"/>
        </w:rPr>
      </w:pPr>
      <w:r w:rsidRPr="002F5AFB">
        <w:rPr>
          <w:rFonts w:ascii="Times New Roman" w:hAnsi="Times New Roman" w:cs="Times New Roman"/>
          <w:b/>
          <w:bCs/>
          <w:sz w:val="24"/>
          <w:szCs w:val="24"/>
        </w:rPr>
        <w:t>CHAPTER ONE: INTRODUCTION</w:t>
      </w:r>
    </w:p>
    <w:p w:rsidR="002F5AFB" w:rsidRPr="002F5AFB" w:rsidRDefault="007B2833" w:rsidP="002F5AFB">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F5AFB" w:rsidRPr="002F5AFB">
        <w:rPr>
          <w:rFonts w:ascii="Times New Roman" w:hAnsi="Times New Roman" w:cs="Times New Roman"/>
          <w:sz w:val="24"/>
          <w:szCs w:val="24"/>
        </w:rPr>
        <w:t>Antacids</w:t>
      </w:r>
      <w:r>
        <w:rPr>
          <w:rFonts w:ascii="Times New Roman" w:hAnsi="Times New Roman" w:cs="Times New Roman"/>
          <w:sz w:val="24"/>
          <w:szCs w:val="24"/>
        </w:rPr>
        <w:tab/>
      </w:r>
      <w:r>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t>1</w:t>
      </w:r>
    </w:p>
    <w:p w:rsidR="002F5AFB" w:rsidRPr="002F5AFB" w:rsidRDefault="002F5AFB" w:rsidP="002F5AFB">
      <w:pPr>
        <w:pStyle w:val="ListParagraph"/>
        <w:numPr>
          <w:ilvl w:val="1"/>
          <w:numId w:val="15"/>
        </w:numPr>
        <w:spacing w:line="276" w:lineRule="auto"/>
        <w:rPr>
          <w:sz w:val="24"/>
          <w:szCs w:val="24"/>
        </w:rPr>
      </w:pPr>
      <w:r w:rsidRPr="002F5AFB">
        <w:rPr>
          <w:sz w:val="24"/>
          <w:szCs w:val="24"/>
        </w:rPr>
        <w:t>Common Antacids in Nigeria</w:t>
      </w:r>
      <w:r w:rsidR="007B2833">
        <w:rPr>
          <w:sz w:val="24"/>
          <w:szCs w:val="24"/>
        </w:rPr>
        <w:tab/>
      </w:r>
      <w:r w:rsidR="007B2833">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2</w:t>
      </w:r>
    </w:p>
    <w:p w:rsidR="002F5AFB" w:rsidRPr="002F5AFB" w:rsidRDefault="002F5AFB" w:rsidP="002F5AFB">
      <w:pPr>
        <w:pStyle w:val="ListParagraph"/>
        <w:numPr>
          <w:ilvl w:val="1"/>
          <w:numId w:val="15"/>
        </w:numPr>
        <w:spacing w:line="276" w:lineRule="auto"/>
        <w:rPr>
          <w:sz w:val="24"/>
          <w:szCs w:val="24"/>
        </w:rPr>
      </w:pPr>
      <w:r w:rsidRPr="002F5AFB">
        <w:rPr>
          <w:sz w:val="24"/>
          <w:szCs w:val="24"/>
        </w:rPr>
        <w:t>Types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1.2.1</w:t>
      </w:r>
      <w:r w:rsidRPr="002F5AFB">
        <w:rPr>
          <w:sz w:val="24"/>
          <w:szCs w:val="24"/>
        </w:rPr>
        <w:tab/>
        <w:t>Aluminum-Based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1.2.2</w:t>
      </w:r>
      <w:r w:rsidRPr="002F5AFB">
        <w:rPr>
          <w:sz w:val="24"/>
          <w:szCs w:val="24"/>
        </w:rPr>
        <w:tab/>
        <w:t>Magnesium-Based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1.2.3</w:t>
      </w:r>
      <w:r w:rsidRPr="002F5AFB">
        <w:rPr>
          <w:sz w:val="24"/>
          <w:szCs w:val="24"/>
        </w:rPr>
        <w:tab/>
        <w:t>Calcium-Based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spacing w:line="276" w:lineRule="auto"/>
        <w:ind w:left="720" w:firstLine="0"/>
        <w:rPr>
          <w:sz w:val="24"/>
          <w:szCs w:val="24"/>
        </w:rPr>
      </w:pPr>
      <w:r w:rsidRPr="002F5AFB">
        <w:rPr>
          <w:sz w:val="24"/>
          <w:szCs w:val="24"/>
        </w:rPr>
        <w:t>1.2.4</w:t>
      </w:r>
      <w:r w:rsidRPr="002F5AFB">
        <w:rPr>
          <w:sz w:val="24"/>
          <w:szCs w:val="24"/>
        </w:rPr>
        <w:tab/>
        <w:t>Sodium-Based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spacing w:line="276" w:lineRule="auto"/>
        <w:ind w:left="720" w:firstLine="0"/>
        <w:rPr>
          <w:sz w:val="24"/>
          <w:szCs w:val="24"/>
        </w:rPr>
      </w:pPr>
      <w:r w:rsidRPr="002F5AFB">
        <w:rPr>
          <w:sz w:val="24"/>
          <w:szCs w:val="24"/>
        </w:rPr>
        <w:t>1.2.5</w:t>
      </w:r>
      <w:r w:rsidRPr="002F5AFB">
        <w:rPr>
          <w:sz w:val="24"/>
          <w:szCs w:val="24"/>
        </w:rPr>
        <w:tab/>
        <w:t xml:space="preserve"> Combination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numPr>
          <w:ilvl w:val="1"/>
          <w:numId w:val="15"/>
        </w:numPr>
        <w:spacing w:line="276" w:lineRule="auto"/>
        <w:rPr>
          <w:sz w:val="24"/>
          <w:szCs w:val="24"/>
        </w:rPr>
      </w:pPr>
      <w:r w:rsidRPr="002F5AFB">
        <w:rPr>
          <w:sz w:val="24"/>
          <w:szCs w:val="24"/>
        </w:rPr>
        <w:t>Inorganic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1.3.1</w:t>
      </w:r>
      <w:r w:rsidRPr="002F5AFB">
        <w:rPr>
          <w:sz w:val="24"/>
          <w:szCs w:val="24"/>
        </w:rPr>
        <w:tab/>
        <w:t>Aluminum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1.3.2</w:t>
      </w:r>
      <w:r w:rsidRPr="002F5AFB">
        <w:rPr>
          <w:sz w:val="24"/>
          <w:szCs w:val="24"/>
        </w:rPr>
        <w:tab/>
        <w:t>Magnesium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1.3.3</w:t>
      </w:r>
      <w:r w:rsidRPr="002F5AFB">
        <w:rPr>
          <w:sz w:val="24"/>
          <w:szCs w:val="24"/>
        </w:rPr>
        <w:tab/>
        <w:t>Calcium 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2F5AFB" w:rsidRPr="002F5AFB" w:rsidRDefault="002F5AFB" w:rsidP="002F5AFB">
      <w:pPr>
        <w:pStyle w:val="ListParagraph"/>
        <w:spacing w:line="276" w:lineRule="auto"/>
        <w:ind w:left="720" w:firstLine="0"/>
        <w:rPr>
          <w:sz w:val="24"/>
          <w:szCs w:val="24"/>
        </w:rPr>
      </w:pPr>
      <w:r w:rsidRPr="002F5AFB">
        <w:rPr>
          <w:sz w:val="24"/>
          <w:szCs w:val="24"/>
        </w:rPr>
        <w:t>1.3.4</w:t>
      </w:r>
      <w:r w:rsidRPr="002F5AFB">
        <w:rPr>
          <w:sz w:val="24"/>
          <w:szCs w:val="24"/>
        </w:rPr>
        <w:tab/>
        <w:t>Sodium Bicarbonate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2F5AFB" w:rsidRDefault="002F5AFB" w:rsidP="002F5AFB">
      <w:pPr>
        <w:pStyle w:val="ListParagraph"/>
        <w:spacing w:line="276" w:lineRule="auto"/>
        <w:ind w:left="720" w:firstLine="0"/>
        <w:rPr>
          <w:sz w:val="24"/>
          <w:szCs w:val="24"/>
        </w:rPr>
      </w:pPr>
      <w:r w:rsidRPr="002F5AFB">
        <w:rPr>
          <w:sz w:val="24"/>
          <w:szCs w:val="24"/>
        </w:rPr>
        <w:t>1.3.5</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455718" w:rsidRPr="002F5AFB" w:rsidRDefault="00455718" w:rsidP="002F5AFB">
      <w:pPr>
        <w:pStyle w:val="ListParagraph"/>
        <w:spacing w:line="276" w:lineRule="auto"/>
        <w:ind w:left="720" w:firstLine="0"/>
        <w:rPr>
          <w:sz w:val="24"/>
          <w:szCs w:val="24"/>
        </w:rPr>
      </w:pPr>
    </w:p>
    <w:p w:rsidR="002F5AFB" w:rsidRPr="002F5AFB" w:rsidRDefault="002F5AFB" w:rsidP="002F5AFB">
      <w:pPr>
        <w:pStyle w:val="ListParagraph"/>
        <w:numPr>
          <w:ilvl w:val="1"/>
          <w:numId w:val="15"/>
        </w:numPr>
        <w:spacing w:line="276" w:lineRule="auto"/>
        <w:rPr>
          <w:sz w:val="24"/>
          <w:szCs w:val="24"/>
        </w:rPr>
      </w:pPr>
      <w:r w:rsidRPr="002F5AFB">
        <w:rPr>
          <w:sz w:val="24"/>
          <w:szCs w:val="24"/>
        </w:rPr>
        <w:lastRenderedPageBreak/>
        <w:t>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1.4.1</w:t>
      </w:r>
      <w:r w:rsidRPr="002F5AFB">
        <w:rPr>
          <w:sz w:val="24"/>
          <w:szCs w:val="24"/>
        </w:rPr>
        <w:tab/>
        <w:t>Alginates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1.4.2</w:t>
      </w:r>
      <w:r w:rsidRPr="002F5AFB">
        <w:rPr>
          <w:sz w:val="24"/>
          <w:szCs w:val="24"/>
        </w:rPr>
        <w:tab/>
        <w:t>Amino Acid-Based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1.4.3</w:t>
      </w:r>
      <w:r w:rsidRPr="002F5AFB">
        <w:rPr>
          <w:sz w:val="24"/>
          <w:szCs w:val="24"/>
        </w:rPr>
        <w:tab/>
      </w:r>
      <w:proofErr w:type="spellStart"/>
      <w:r w:rsidRPr="002F5AFB">
        <w:rPr>
          <w:sz w:val="24"/>
          <w:szCs w:val="24"/>
        </w:rPr>
        <w:t>Sucralfate</w:t>
      </w:r>
      <w:proofErr w:type="spellEnd"/>
      <w:r w:rsidRPr="002F5AFB">
        <w:rPr>
          <w:sz w:val="24"/>
          <w:szCs w:val="24"/>
        </w:rPr>
        <w:t xml:space="preserve"> and Other Organic Buffers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rsidR="002F5AFB" w:rsidRPr="002F5AFB" w:rsidRDefault="002F5AFB" w:rsidP="002F5AFB">
      <w:pPr>
        <w:pStyle w:val="ListParagraph"/>
        <w:spacing w:line="276" w:lineRule="auto"/>
        <w:ind w:left="720" w:firstLine="0"/>
        <w:rPr>
          <w:sz w:val="24"/>
          <w:szCs w:val="24"/>
        </w:rPr>
      </w:pPr>
      <w:r w:rsidRPr="002F5AFB">
        <w:rPr>
          <w:sz w:val="24"/>
          <w:szCs w:val="24"/>
        </w:rPr>
        <w:t>1.4.4</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rsidR="002F5AFB" w:rsidRPr="002F5AFB" w:rsidRDefault="002F5AFB" w:rsidP="002F5AFB">
      <w:pPr>
        <w:pStyle w:val="ListParagraph"/>
        <w:numPr>
          <w:ilvl w:val="1"/>
          <w:numId w:val="15"/>
        </w:numPr>
        <w:spacing w:line="276" w:lineRule="auto"/>
        <w:rPr>
          <w:sz w:val="24"/>
          <w:szCs w:val="24"/>
        </w:rPr>
      </w:pPr>
      <w:r w:rsidRPr="002F5AFB">
        <w:rPr>
          <w:sz w:val="24"/>
          <w:szCs w:val="24"/>
        </w:rPr>
        <w:t>Properties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1.5.1</w:t>
      </w:r>
      <w:r w:rsidRPr="002F5AFB">
        <w:rPr>
          <w:sz w:val="24"/>
          <w:szCs w:val="24"/>
        </w:rPr>
        <w:tab/>
        <w:t>Solubility and Reaction Speed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1.5.2</w:t>
      </w:r>
      <w:r w:rsidRPr="002F5AFB">
        <w:rPr>
          <w:sz w:val="24"/>
          <w:szCs w:val="24"/>
        </w:rPr>
        <w:tab/>
        <w:t>Buffering Effect and pH Stability</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1.5.3</w:t>
      </w:r>
      <w:r w:rsidRPr="002F5AFB">
        <w:rPr>
          <w:sz w:val="24"/>
          <w:szCs w:val="24"/>
        </w:rPr>
        <w:tab/>
        <w:t>Duration of Action</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1.5.4</w:t>
      </w:r>
      <w:r w:rsidRPr="002F5AFB">
        <w:rPr>
          <w:sz w:val="24"/>
          <w:szCs w:val="24"/>
        </w:rPr>
        <w:tab/>
        <w:t>Side Effect Profile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1.5.5</w:t>
      </w:r>
      <w:r w:rsidRPr="002F5AFB">
        <w:rPr>
          <w:sz w:val="24"/>
          <w:szCs w:val="24"/>
        </w:rPr>
        <w:tab/>
        <w:t>Comparative Analysis of Antacid Properties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numPr>
          <w:ilvl w:val="1"/>
          <w:numId w:val="15"/>
        </w:numPr>
        <w:spacing w:line="276" w:lineRule="auto"/>
        <w:rPr>
          <w:sz w:val="24"/>
          <w:szCs w:val="24"/>
        </w:rPr>
      </w:pPr>
      <w:r w:rsidRPr="002F5AFB">
        <w:rPr>
          <w:sz w:val="24"/>
          <w:szCs w:val="24"/>
        </w:rPr>
        <w:t>Factors Affecting Antacids’ Effectiveness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1.6.1</w:t>
      </w:r>
      <w:r w:rsidRPr="002F5AFB">
        <w:rPr>
          <w:sz w:val="24"/>
          <w:szCs w:val="24"/>
        </w:rPr>
        <w:tab/>
        <w:t>Gastric pH and Acid Load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1.6.2</w:t>
      </w:r>
      <w:r w:rsidRPr="002F5AFB">
        <w:rPr>
          <w:sz w:val="24"/>
          <w:szCs w:val="24"/>
        </w:rPr>
        <w:tab/>
        <w:t>Food Intake and Gastric Emptying Rate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1.6.3</w:t>
      </w:r>
      <w:r w:rsidRPr="002F5AFB">
        <w:rPr>
          <w:sz w:val="24"/>
          <w:szCs w:val="24"/>
        </w:rPr>
        <w:tab/>
        <w:t>Dosage and Frequency of Use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1.6.4</w:t>
      </w:r>
      <w:r w:rsidRPr="002F5AFB">
        <w:rPr>
          <w:sz w:val="24"/>
          <w:szCs w:val="24"/>
        </w:rPr>
        <w:tab/>
        <w:t>Formulation Type (Liquid vs. Tablet vs. Effervescent)</w:t>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 xml:space="preserve">1.6.5 </w:t>
      </w:r>
      <w:r w:rsidRPr="002F5AFB">
        <w:rPr>
          <w:sz w:val="24"/>
          <w:szCs w:val="24"/>
        </w:rPr>
        <w:tab/>
        <w:t>Drug Interactions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1.6.6</w:t>
      </w:r>
      <w:r w:rsidRPr="002F5AFB">
        <w:rPr>
          <w:sz w:val="24"/>
          <w:szCs w:val="24"/>
        </w:rPr>
        <w:tab/>
        <w:t>Patient-Specific Conditions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numPr>
          <w:ilvl w:val="1"/>
          <w:numId w:val="15"/>
        </w:numPr>
        <w:spacing w:line="276" w:lineRule="auto"/>
        <w:rPr>
          <w:sz w:val="24"/>
          <w:szCs w:val="24"/>
        </w:rPr>
      </w:pPr>
      <w:r w:rsidRPr="002F5AFB">
        <w:rPr>
          <w:sz w:val="24"/>
          <w:szCs w:val="24"/>
        </w:rPr>
        <w:t>Acid Neutralizing Capacity (ANC)</w:t>
      </w:r>
      <w:r w:rsidRPr="002F5AFB">
        <w:rPr>
          <w:sz w:val="24"/>
          <w:szCs w:val="24"/>
        </w:rPr>
        <w:t> </w:t>
      </w:r>
      <w:r w:rsidR="00455718">
        <w:rPr>
          <w:sz w:val="24"/>
          <w:szCs w:val="24"/>
        </w:rPr>
        <w:tab/>
      </w:r>
      <w:r w:rsidR="00455718">
        <w:rPr>
          <w:sz w:val="24"/>
          <w:szCs w:val="24"/>
        </w:rPr>
        <w:tab/>
      </w:r>
      <w:r w:rsidR="00455718">
        <w:rPr>
          <w:sz w:val="24"/>
          <w:szCs w:val="24"/>
        </w:rPr>
        <w:tab/>
      </w:r>
      <w:r w:rsidR="00455718">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1.7.1</w:t>
      </w:r>
      <w:r w:rsidRPr="002F5AFB">
        <w:rPr>
          <w:sz w:val="24"/>
          <w:szCs w:val="24"/>
        </w:rPr>
        <w:tab/>
        <w:t>Factors Influencing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1.7.2</w:t>
      </w:r>
      <w:r w:rsidRPr="002F5AFB">
        <w:rPr>
          <w:sz w:val="24"/>
          <w:szCs w:val="24"/>
        </w:rPr>
        <w:tab/>
        <w:t>Methods for Determining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pStyle w:val="ListParagraph"/>
        <w:spacing w:line="276" w:lineRule="auto"/>
        <w:ind w:left="720" w:firstLine="0"/>
        <w:rPr>
          <w:sz w:val="24"/>
          <w:szCs w:val="24"/>
        </w:rPr>
      </w:pPr>
      <w:r w:rsidRPr="002F5AFB">
        <w:rPr>
          <w:sz w:val="24"/>
          <w:szCs w:val="24"/>
        </w:rPr>
        <w:t>1.7.3</w:t>
      </w:r>
      <w:r w:rsidRPr="002F5AFB">
        <w:rPr>
          <w:sz w:val="24"/>
          <w:szCs w:val="24"/>
        </w:rPr>
        <w:tab/>
        <w:t>Clinical Implications of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pStyle w:val="ListParagraph"/>
        <w:spacing w:line="276" w:lineRule="auto"/>
        <w:ind w:left="720" w:firstLine="0"/>
        <w:rPr>
          <w:sz w:val="24"/>
          <w:szCs w:val="24"/>
        </w:rPr>
      </w:pPr>
      <w:r w:rsidRPr="002F5AFB">
        <w:rPr>
          <w:sz w:val="24"/>
          <w:szCs w:val="24"/>
        </w:rPr>
        <w:t>1.7.4</w:t>
      </w:r>
      <w:r w:rsidRPr="002F5AFB">
        <w:rPr>
          <w:sz w:val="24"/>
          <w:szCs w:val="24"/>
        </w:rPr>
        <w:tab/>
        <w:t xml:space="preserve">Comparison of ANC </w:t>
      </w:r>
      <w:proofErr w:type="gramStart"/>
      <w:r w:rsidRPr="002F5AFB">
        <w:rPr>
          <w:sz w:val="24"/>
          <w:szCs w:val="24"/>
        </w:rPr>
        <w:t>Among</w:t>
      </w:r>
      <w:proofErr w:type="gramEnd"/>
      <w:r w:rsidRPr="002F5AFB">
        <w:rPr>
          <w:sz w:val="24"/>
          <w:szCs w:val="24"/>
        </w:rPr>
        <w:t xml:space="preserve"> Antacid Formulations</w:t>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1.8</w:t>
      </w:r>
      <w:r w:rsidRPr="002F5AFB">
        <w:rPr>
          <w:rFonts w:ascii="Times New Roman" w:hAnsi="Times New Roman" w:cs="Times New Roman"/>
          <w:sz w:val="24"/>
          <w:szCs w:val="24"/>
        </w:rPr>
        <w:tab/>
        <w:t>Statement of the Problem</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 xml:space="preserve">1.9 </w:t>
      </w:r>
      <w:r w:rsidRPr="002F5AFB">
        <w:rPr>
          <w:rFonts w:ascii="Times New Roman" w:hAnsi="Times New Roman" w:cs="Times New Roman"/>
          <w:sz w:val="24"/>
          <w:szCs w:val="24"/>
        </w:rPr>
        <w:tab/>
        <w:t>Significance of the Study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1.10</w:t>
      </w:r>
      <w:r w:rsidRPr="002F5AFB">
        <w:rPr>
          <w:rFonts w:ascii="Times New Roman" w:hAnsi="Times New Roman" w:cs="Times New Roman"/>
          <w:sz w:val="24"/>
          <w:szCs w:val="24"/>
        </w:rPr>
        <w:tab/>
        <w:t>Aims and Objectives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TWO: LITERATURE REVIEW</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2.1</w:t>
      </w:r>
      <w:r w:rsidRPr="002F5AFB">
        <w:rPr>
          <w:rFonts w:ascii="Times New Roman" w:hAnsi="Times New Roman" w:cs="Times New Roman"/>
          <w:sz w:val="24"/>
          <w:szCs w:val="24"/>
        </w:rPr>
        <w:tab/>
        <w:t>Mechanisms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2.1.1</w:t>
      </w:r>
      <w:r w:rsidRPr="002F5AFB">
        <w:rPr>
          <w:rFonts w:ascii="Times New Roman" w:hAnsi="Times New Roman" w:cs="Times New Roman"/>
          <w:sz w:val="24"/>
          <w:szCs w:val="24"/>
        </w:rPr>
        <w:tab/>
        <w:t>Neutralization Reaction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2.1.2</w:t>
      </w:r>
      <w:r w:rsidRPr="002F5AFB">
        <w:rPr>
          <w:rFonts w:ascii="Times New Roman" w:hAnsi="Times New Roman" w:cs="Times New Roman"/>
          <w:sz w:val="24"/>
          <w:szCs w:val="24"/>
        </w:rPr>
        <w:tab/>
        <w:t>Buffering and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2.1.3</w:t>
      </w:r>
      <w:r w:rsidRPr="002F5AFB">
        <w:rPr>
          <w:rFonts w:ascii="Times New Roman" w:hAnsi="Times New Roman" w:cs="Times New Roman"/>
          <w:sz w:val="24"/>
          <w:szCs w:val="24"/>
        </w:rPr>
        <w:tab/>
        <w:t>Interaction with Pepsin and Bile 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2.1.4</w:t>
      </w:r>
      <w:r w:rsidRPr="002F5AFB">
        <w:rPr>
          <w:rFonts w:ascii="Times New Roman" w:hAnsi="Times New Roman" w:cs="Times New Roman"/>
          <w:sz w:val="24"/>
          <w:szCs w:val="24"/>
        </w:rPr>
        <w:tab/>
        <w:t>Effect on Gastric Emptying and Gastrointestinal Motility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2.2</w:t>
      </w:r>
      <w:r w:rsidRPr="002F5AFB">
        <w:rPr>
          <w:rFonts w:ascii="Times New Roman" w:hAnsi="Times New Roman" w:cs="Times New Roman"/>
          <w:sz w:val="24"/>
          <w:szCs w:val="24"/>
        </w:rPr>
        <w:tab/>
        <w:t>Chemical Neutralization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2.3</w:t>
      </w:r>
      <w:r w:rsidRPr="002F5AFB">
        <w:rPr>
          <w:rFonts w:ascii="Times New Roman" w:hAnsi="Times New Roman" w:cs="Times New Roman"/>
          <w:sz w:val="24"/>
          <w:szCs w:val="24"/>
        </w:rPr>
        <w:tab/>
        <w:t>Methods of Evaluating Acid Neutralizing Capacity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2.3.1</w:t>
      </w:r>
      <w:r w:rsidRPr="002F5AFB">
        <w:rPr>
          <w:rFonts w:ascii="Times New Roman" w:hAnsi="Times New Roman" w:cs="Times New Roman"/>
          <w:sz w:val="24"/>
          <w:szCs w:val="24"/>
        </w:rPr>
        <w:tab/>
        <w:t>Titration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2.3.2</w:t>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pH</w:t>
      </w:r>
      <w:proofErr w:type="gramEnd"/>
      <w:r w:rsidRPr="002F5AFB">
        <w:rPr>
          <w:rFonts w:ascii="Times New Roman" w:hAnsi="Times New Roman" w:cs="Times New Roman"/>
          <w:sz w:val="24"/>
          <w:szCs w:val="24"/>
        </w:rPr>
        <w:t xml:space="preserve"> Analysis and pH Stat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2.3.3</w:t>
      </w:r>
      <w:r w:rsidRPr="002F5AFB">
        <w:rPr>
          <w:rFonts w:ascii="Times New Roman" w:hAnsi="Times New Roman" w:cs="Times New Roman"/>
          <w:sz w:val="24"/>
          <w:szCs w:val="24"/>
        </w:rPr>
        <w:tab/>
        <w:t>In-Vitro Gastric Acid Simulation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2.3.4</w:t>
      </w:r>
      <w:r w:rsidRPr="002F5AFB">
        <w:rPr>
          <w:rFonts w:ascii="Times New Roman" w:hAnsi="Times New Roman" w:cs="Times New Roman"/>
          <w:sz w:val="24"/>
          <w:szCs w:val="24"/>
        </w:rPr>
        <w:tab/>
      </w:r>
      <w:proofErr w:type="spellStart"/>
      <w:r w:rsidRPr="002F5AFB">
        <w:rPr>
          <w:rFonts w:ascii="Times New Roman" w:hAnsi="Times New Roman" w:cs="Times New Roman"/>
          <w:sz w:val="24"/>
          <w:szCs w:val="24"/>
        </w:rPr>
        <w:t>Conductometric</w:t>
      </w:r>
      <w:proofErr w:type="spellEnd"/>
      <w:r w:rsidRPr="002F5AFB">
        <w:rPr>
          <w:rFonts w:ascii="Times New Roman" w:hAnsi="Times New Roman" w:cs="Times New Roman"/>
          <w:sz w:val="24"/>
          <w:szCs w:val="24"/>
        </w:rPr>
        <w:t xml:space="preserve"> and </w:t>
      </w:r>
      <w:proofErr w:type="spellStart"/>
      <w:r w:rsidRPr="002F5AFB">
        <w:rPr>
          <w:rFonts w:ascii="Times New Roman" w:hAnsi="Times New Roman" w:cs="Times New Roman"/>
          <w:sz w:val="24"/>
          <w:szCs w:val="24"/>
        </w:rPr>
        <w:t>Spectrophometric</w:t>
      </w:r>
      <w:proofErr w:type="spellEnd"/>
      <w:r w:rsidRPr="002F5AFB">
        <w:rPr>
          <w:rFonts w:ascii="Times New Roman" w:hAnsi="Times New Roman" w:cs="Times New Roman"/>
          <w:sz w:val="24"/>
          <w:szCs w:val="24"/>
        </w:rPr>
        <w:t xml:space="preserve"> Analysis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2.3.5</w:t>
      </w:r>
      <w:r w:rsidRPr="002F5AFB">
        <w:rPr>
          <w:rFonts w:ascii="Times New Roman" w:hAnsi="Times New Roman" w:cs="Times New Roman"/>
          <w:sz w:val="24"/>
          <w:szCs w:val="24"/>
        </w:rPr>
        <w:tab/>
        <w:t>Clinical and Pharmacokinetic Studies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2.4</w:t>
      </w:r>
      <w:r w:rsidRPr="002F5AFB">
        <w:rPr>
          <w:rFonts w:ascii="Times New Roman" w:hAnsi="Times New Roman" w:cs="Times New Roman"/>
          <w:sz w:val="24"/>
          <w:szCs w:val="24"/>
        </w:rPr>
        <w:tab/>
        <w:t>Health Implications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2.4.1</w:t>
      </w:r>
      <w:r w:rsidRPr="002F5AFB">
        <w:rPr>
          <w:rFonts w:ascii="Times New Roman" w:hAnsi="Times New Roman" w:cs="Times New Roman"/>
          <w:sz w:val="24"/>
          <w:szCs w:val="24"/>
        </w:rPr>
        <w:tab/>
        <w:t>Electrolyte and Metabolic Imbalances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ab/>
        <w:t>2.4.4</w:t>
      </w:r>
      <w:r w:rsidRPr="002F5AFB">
        <w:rPr>
          <w:rFonts w:ascii="Times New Roman" w:hAnsi="Times New Roman" w:cs="Times New Roman"/>
          <w:sz w:val="24"/>
          <w:szCs w:val="24"/>
        </w:rPr>
        <w:tab/>
        <w:t>Risk of Acid Rebound</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2.4.5</w:t>
      </w:r>
      <w:r w:rsidRPr="002F5AFB">
        <w:rPr>
          <w:rFonts w:ascii="Times New Roman" w:hAnsi="Times New Roman" w:cs="Times New Roman"/>
          <w:sz w:val="24"/>
          <w:szCs w:val="24"/>
        </w:rPr>
        <w:tab/>
        <w:t>Aluminum Toxicity and Neurological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2.5</w:t>
      </w:r>
      <w:r w:rsidRPr="002F5AFB">
        <w:rPr>
          <w:rFonts w:ascii="Times New Roman" w:hAnsi="Times New Roman" w:cs="Times New Roman"/>
          <w:sz w:val="24"/>
          <w:szCs w:val="24"/>
        </w:rPr>
        <w:tab/>
        <w:t>Positive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2.5.1</w:t>
      </w:r>
      <w:r w:rsidRPr="002F5AFB">
        <w:rPr>
          <w:rFonts w:ascii="Times New Roman" w:hAnsi="Times New Roman" w:cs="Times New Roman"/>
          <w:sz w:val="24"/>
          <w:szCs w:val="24"/>
        </w:rPr>
        <w:tab/>
        <w:t>Rapid Relief of Heartburn and Acid Reflux</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2.5.2</w:t>
      </w:r>
      <w:r w:rsidRPr="002F5AFB">
        <w:rPr>
          <w:rFonts w:ascii="Times New Roman" w:hAnsi="Times New Roman" w:cs="Times New Roman"/>
          <w:sz w:val="24"/>
          <w:szCs w:val="24"/>
        </w:rPr>
        <w:tab/>
        <w:t>Prevention of Peptic Ulcer Complications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2.5.3</w:t>
      </w:r>
      <w:r w:rsidRPr="002F5AFB">
        <w:rPr>
          <w:rFonts w:ascii="Times New Roman" w:hAnsi="Times New Roman" w:cs="Times New Roman"/>
          <w:sz w:val="24"/>
          <w:szCs w:val="24"/>
        </w:rPr>
        <w:tab/>
        <w:t>Enhancing Esophageal and Stomach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2.5.4</w:t>
      </w:r>
      <w:r w:rsidRPr="002F5AFB">
        <w:rPr>
          <w:rFonts w:ascii="Times New Roman" w:hAnsi="Times New Roman" w:cs="Times New Roman"/>
          <w:sz w:val="24"/>
          <w:szCs w:val="24"/>
        </w:rPr>
        <w:tab/>
        <w:t>Support for Bone Health (Calcium-Based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2.5.5</w:t>
      </w:r>
      <w:r w:rsidRPr="002F5AFB">
        <w:rPr>
          <w:rFonts w:ascii="Times New Roman" w:hAnsi="Times New Roman" w:cs="Times New Roman"/>
          <w:sz w:val="24"/>
          <w:szCs w:val="24"/>
        </w:rPr>
        <w:tab/>
        <w:t>Reducing Phosphate Levels in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2.6</w:t>
      </w:r>
      <w:r w:rsidRPr="002F5AFB">
        <w:rPr>
          <w:rFonts w:ascii="Times New Roman" w:hAnsi="Times New Roman" w:cs="Times New Roman"/>
          <w:sz w:val="24"/>
          <w:szCs w:val="24"/>
        </w:rPr>
        <w:tab/>
        <w:t>Negative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2.6.1</w:t>
      </w:r>
      <w:r w:rsidRPr="002F5AFB">
        <w:rPr>
          <w:rFonts w:ascii="Times New Roman" w:hAnsi="Times New Roman" w:cs="Times New Roman"/>
          <w:sz w:val="24"/>
          <w:szCs w:val="24"/>
        </w:rPr>
        <w:tab/>
        <w:t>Electrolyte Imbalances and Metabolic Disorders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2.6.4</w:t>
      </w:r>
      <w:r w:rsidRPr="002F5AFB">
        <w:rPr>
          <w:rFonts w:ascii="Times New Roman" w:hAnsi="Times New Roman" w:cs="Times New Roman"/>
          <w:sz w:val="24"/>
          <w:szCs w:val="24"/>
        </w:rPr>
        <w:tab/>
        <w:t xml:space="preserve">Rebound Acid </w:t>
      </w:r>
      <w:proofErr w:type="spellStart"/>
      <w:r w:rsidRPr="002F5AFB">
        <w:rPr>
          <w:rFonts w:ascii="Times New Roman" w:hAnsi="Times New Roman" w:cs="Times New Roman"/>
          <w:sz w:val="24"/>
          <w:szCs w:val="24"/>
        </w:rPr>
        <w:t>Hypersecretion</w:t>
      </w:r>
      <w:proofErr w:type="spellEnd"/>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2.6.5</w:t>
      </w:r>
      <w:r w:rsidRPr="002F5AFB">
        <w:rPr>
          <w:rFonts w:ascii="Times New Roman" w:hAnsi="Times New Roman" w:cs="Times New Roman"/>
          <w:sz w:val="24"/>
          <w:szCs w:val="24"/>
        </w:rPr>
        <w:tab/>
        <w:t>Aluminum Toxicity and Neurological Concerns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2.7</w:t>
      </w:r>
      <w:r w:rsidRPr="002F5AFB">
        <w:rPr>
          <w:rFonts w:ascii="Times New Roman" w:hAnsi="Times New Roman" w:cs="Times New Roman"/>
          <w:sz w:val="24"/>
          <w:szCs w:val="24"/>
        </w:rPr>
        <w:tab/>
        <w:t>Relief of Acid Reflux and Heartburn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2.7.1</w:t>
      </w:r>
      <w:r w:rsidRPr="002F5AFB">
        <w:rPr>
          <w:rFonts w:ascii="Times New Roman" w:hAnsi="Times New Roman" w:cs="Times New Roman"/>
          <w:sz w:val="24"/>
          <w:szCs w:val="24"/>
        </w:rPr>
        <w:tab/>
        <w:t>Mechanism of Antacids in Acid Reflux Relief</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2.7.2</w:t>
      </w:r>
      <w:r w:rsidRPr="002F5AFB">
        <w:rPr>
          <w:rFonts w:ascii="Times New Roman" w:hAnsi="Times New Roman" w:cs="Times New Roman"/>
          <w:sz w:val="24"/>
          <w:szCs w:val="24"/>
        </w:rPr>
        <w:tab/>
        <w:t>Comparing Antacids with Other Acid Suppressors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2.7.3</w:t>
      </w:r>
      <w:r w:rsidRPr="002F5AFB">
        <w:rPr>
          <w:rFonts w:ascii="Times New Roman" w:hAnsi="Times New Roman" w:cs="Times New Roman"/>
          <w:sz w:val="24"/>
          <w:szCs w:val="24"/>
        </w:rPr>
        <w:tab/>
        <w:t>Combination Antacids for Enhanced Efficacy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2.7.4</w:t>
      </w:r>
      <w:r w:rsidRPr="002F5AFB">
        <w:rPr>
          <w:rFonts w:ascii="Times New Roman" w:hAnsi="Times New Roman" w:cs="Times New Roman"/>
          <w:sz w:val="24"/>
          <w:szCs w:val="24"/>
        </w:rPr>
        <w:tab/>
        <w:t>Considerations and Precautions in Antacid Use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455718" w:rsidRPr="002F5AFB" w:rsidRDefault="00455718" w:rsidP="002F5AFB">
      <w:pPr>
        <w:spacing w:before="240"/>
        <w:rPr>
          <w:rFonts w:ascii="Times New Roman" w:hAnsi="Times New Roman" w:cs="Times New Roman"/>
          <w:sz w:val="24"/>
          <w:szCs w:val="24"/>
        </w:rPr>
      </w:pP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2.8</w:t>
      </w:r>
      <w:r w:rsidRPr="002F5AFB">
        <w:rPr>
          <w:rFonts w:ascii="Times New Roman" w:hAnsi="Times New Roman" w:cs="Times New Roman"/>
          <w:sz w:val="24"/>
          <w:szCs w:val="24"/>
        </w:rPr>
        <w:tab/>
        <w:t>Antacid Use in Special Populations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2.8.1</w:t>
      </w:r>
      <w:r w:rsidRPr="002F5AFB">
        <w:rPr>
          <w:rFonts w:ascii="Times New Roman" w:hAnsi="Times New Roman" w:cs="Times New Roman"/>
          <w:sz w:val="24"/>
          <w:szCs w:val="24"/>
        </w:rPr>
        <w:tab/>
        <w:t>Antacid Use in Pregnant Women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2.8.2</w:t>
      </w:r>
      <w:r w:rsidRPr="002F5AFB">
        <w:rPr>
          <w:rFonts w:ascii="Times New Roman" w:hAnsi="Times New Roman" w:cs="Times New Roman"/>
          <w:sz w:val="24"/>
          <w:szCs w:val="24"/>
        </w:rPr>
        <w:tab/>
        <w:t>Antacid Use in Elderly Individuals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2.8.3</w:t>
      </w:r>
      <w:r w:rsidRPr="002F5AFB">
        <w:rPr>
          <w:rFonts w:ascii="Times New Roman" w:hAnsi="Times New Roman" w:cs="Times New Roman"/>
          <w:sz w:val="24"/>
          <w:szCs w:val="24"/>
        </w:rPr>
        <w:tab/>
        <w:t>Antacid Use in Children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 xml:space="preserve">2.8.4 </w:t>
      </w:r>
      <w:r w:rsidRPr="002F5AFB">
        <w:rPr>
          <w:rFonts w:ascii="Times New Roman" w:hAnsi="Times New Roman" w:cs="Times New Roman"/>
          <w:sz w:val="24"/>
          <w:szCs w:val="24"/>
        </w:rPr>
        <w:tab/>
        <w:t>Antacid Use in Patients with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2.8.5</w:t>
      </w:r>
      <w:r w:rsidRPr="002F5AFB">
        <w:rPr>
          <w:rFonts w:ascii="Times New Roman" w:hAnsi="Times New Roman" w:cs="Times New Roman"/>
          <w:sz w:val="24"/>
          <w:szCs w:val="24"/>
        </w:rPr>
        <w:tab/>
        <w:t>Antacid Use in Patients with Osteoporosis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THREE: MATERIAL AND METHOD</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3.1</w:t>
      </w:r>
      <w:r w:rsidRPr="002F5AFB">
        <w:rPr>
          <w:rFonts w:ascii="Times New Roman" w:hAnsi="Times New Roman" w:cs="Times New Roman"/>
          <w:sz w:val="24"/>
          <w:szCs w:val="24"/>
        </w:rPr>
        <w:tab/>
        <w:t>Equipment and 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3.1.1</w:t>
      </w:r>
      <w:r w:rsidRPr="002F5AFB">
        <w:rPr>
          <w:rFonts w:ascii="Times New Roman" w:hAnsi="Times New Roman" w:cs="Times New Roman"/>
          <w:sz w:val="24"/>
          <w:szCs w:val="24"/>
        </w:rPr>
        <w:tab/>
        <w:t>Equipment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3.1.2</w:t>
      </w:r>
      <w:r w:rsidRPr="002F5AFB">
        <w:rPr>
          <w:rFonts w:ascii="Times New Roman" w:hAnsi="Times New Roman" w:cs="Times New Roman"/>
          <w:sz w:val="24"/>
          <w:szCs w:val="24"/>
        </w:rPr>
        <w:tab/>
        <w:t>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3.1.3</w:t>
      </w:r>
      <w:r w:rsidRPr="002F5AFB">
        <w:rPr>
          <w:rFonts w:ascii="Times New Roman" w:hAnsi="Times New Roman" w:cs="Times New Roman"/>
          <w:sz w:val="24"/>
          <w:szCs w:val="24"/>
        </w:rPr>
        <w:tab/>
        <w:t>Reagent 2</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3.2</w:t>
      </w:r>
      <w:r w:rsidRPr="002F5AFB">
        <w:rPr>
          <w:rFonts w:ascii="Times New Roman" w:hAnsi="Times New Roman" w:cs="Times New Roman"/>
          <w:sz w:val="24"/>
          <w:szCs w:val="24"/>
        </w:rPr>
        <w:tab/>
        <w:t>Sample Preparation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3.3</w:t>
      </w:r>
      <w:r w:rsidRPr="002F5AFB">
        <w:rPr>
          <w:rFonts w:ascii="Times New Roman" w:hAnsi="Times New Roman" w:cs="Times New Roman"/>
          <w:sz w:val="24"/>
          <w:szCs w:val="24"/>
        </w:rPr>
        <w:tab/>
        <w:t>Organoleptic Properties of Antacid Formulations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31</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FOUR: RESULT AND DISCUSSION</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4.1</w:t>
      </w:r>
      <w:r w:rsidRPr="002F5AFB">
        <w:rPr>
          <w:rFonts w:ascii="Times New Roman" w:hAnsi="Times New Roman" w:cs="Times New Roman"/>
          <w:sz w:val="24"/>
          <w:szCs w:val="24"/>
        </w:rPr>
        <w:tab/>
        <w:t>Result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4.2</w:t>
      </w:r>
      <w:r w:rsidRPr="002F5AFB">
        <w:rPr>
          <w:rFonts w:ascii="Times New Roman" w:hAnsi="Times New Roman" w:cs="Times New Roman"/>
          <w:sz w:val="24"/>
          <w:szCs w:val="24"/>
        </w:rPr>
        <w:tab/>
        <w:t>Discussion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FIVE: CONCLUSION AND RECOMMENDATION</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5.1</w:t>
      </w:r>
      <w:r w:rsidRPr="002F5AFB">
        <w:rPr>
          <w:rFonts w:ascii="Times New Roman" w:hAnsi="Times New Roman" w:cs="Times New Roman"/>
          <w:sz w:val="24"/>
          <w:szCs w:val="24"/>
        </w:rPr>
        <w:tab/>
        <w:t>Conclusion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5.2</w:t>
      </w:r>
      <w:r w:rsidRPr="002F5AFB">
        <w:rPr>
          <w:rFonts w:ascii="Times New Roman" w:hAnsi="Times New Roman" w:cs="Times New Roman"/>
          <w:sz w:val="24"/>
          <w:szCs w:val="24"/>
        </w:rPr>
        <w:tab/>
        <w:t>Recommendation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rsidR="002F5AFB" w:rsidRPr="002F5AFB" w:rsidRDefault="002F5AFB" w:rsidP="00455718">
      <w:pPr>
        <w:spacing w:before="240"/>
        <w:rPr>
          <w:rFonts w:ascii="Times New Roman" w:hAnsi="Times New Roman" w:cs="Times New Roman"/>
          <w:sz w:val="24"/>
          <w:szCs w:val="24"/>
        </w:rPr>
      </w:pPr>
      <w:r w:rsidRPr="002F5AFB">
        <w:rPr>
          <w:rFonts w:ascii="Times New Roman" w:hAnsi="Times New Roman" w:cs="Times New Roman"/>
          <w:sz w:val="24"/>
          <w:szCs w:val="24"/>
        </w:rPr>
        <w:tab/>
        <w:t>Reference</w:t>
      </w:r>
    </w:p>
    <w:p w:rsidR="002F5AFB" w:rsidRPr="002F5AFB" w:rsidRDefault="002F5AFB" w:rsidP="002F5AFB">
      <w:pPr>
        <w:spacing w:line="360" w:lineRule="auto"/>
        <w:jc w:val="center"/>
        <w:rPr>
          <w:rFonts w:ascii="Times New Roman" w:hAnsi="Times New Roman" w:cs="Times New Roman"/>
          <w:b/>
          <w:sz w:val="24"/>
          <w:szCs w:val="24"/>
        </w:rPr>
      </w:pPr>
      <w:r w:rsidRPr="002F5AFB">
        <w:rPr>
          <w:rFonts w:ascii="Times New Roman" w:hAnsi="Times New Roman" w:cs="Times New Roman"/>
          <w:b/>
          <w:sz w:val="24"/>
          <w:szCs w:val="24"/>
        </w:rPr>
        <w:lastRenderedPageBreak/>
        <w:t>ABSTRACT</w:t>
      </w:r>
    </w:p>
    <w:p w:rsidR="002F5AFB" w:rsidRPr="002F5AFB" w:rsidRDefault="002F5AFB" w:rsidP="002F5AFB">
      <w:pPr>
        <w:pStyle w:val="NormalWeb"/>
        <w:spacing w:before="0" w:beforeAutospacing="0" w:line="360" w:lineRule="auto"/>
        <w:jc w:val="both"/>
        <w:rPr>
          <w:i/>
        </w:rPr>
      </w:pPr>
      <w:r w:rsidRPr="002F5AFB">
        <w:rPr>
          <w:i/>
        </w:rPr>
        <w:t xml:space="preserve">This study evaluated and compared the pH stability and acid neutralizing capacity (ANC) of five commercially available antacid and anti-ulcer drug brands: </w:t>
      </w:r>
      <w:proofErr w:type="spellStart"/>
      <w:r w:rsidRPr="002F5AFB">
        <w:rPr>
          <w:i/>
        </w:rPr>
        <w:t>Kriscet</w:t>
      </w:r>
      <w:proofErr w:type="spellEnd"/>
      <w:r w:rsidRPr="002F5AFB">
        <w:rPr>
          <w:i/>
        </w:rPr>
        <w:t xml:space="preserve"> (Cimetidine), </w:t>
      </w:r>
      <w:proofErr w:type="spellStart"/>
      <w:r w:rsidRPr="002F5AFB">
        <w:rPr>
          <w:i/>
        </w:rPr>
        <w:t>Pherix</w:t>
      </w:r>
      <w:proofErr w:type="spellEnd"/>
      <w:r w:rsidRPr="002F5AFB">
        <w:rPr>
          <w:i/>
        </w:rPr>
        <w:t xml:space="preserve">, </w:t>
      </w:r>
      <w:proofErr w:type="spellStart"/>
      <w:r w:rsidRPr="002F5AFB">
        <w:rPr>
          <w:i/>
        </w:rPr>
        <w:t>Krisnat</w:t>
      </w:r>
      <w:proofErr w:type="spellEnd"/>
      <w:r w:rsidRPr="002F5AFB">
        <w:rPr>
          <w:i/>
        </w:rPr>
        <w:t xml:space="preserve"> Omeprazole,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Each sample was assessed for its initial pH, pH after 15 minutes, and ANC per standard dose. Results showed that while all drugs were alkaline at 0 minutes, significant variations existed in their buffering abilities and acid neutralization potential over time. </w:t>
      </w:r>
      <w:proofErr w:type="spellStart"/>
      <w:r w:rsidRPr="002F5AFB">
        <w:rPr>
          <w:i/>
        </w:rPr>
        <w:t>Krisnat</w:t>
      </w:r>
      <w:proofErr w:type="spellEnd"/>
      <w:r w:rsidRPr="002F5AFB">
        <w:rPr>
          <w:i/>
        </w:rPr>
        <w:t xml:space="preserve"> Omeprazole recorded the highest initial pH (9.35 ± 0.02) but had the lowest ANC (10.95 </w:t>
      </w:r>
      <w:proofErr w:type="spellStart"/>
      <w:r w:rsidRPr="002F5AFB">
        <w:rPr>
          <w:i/>
        </w:rPr>
        <w:t>mEq</w:t>
      </w:r>
      <w:proofErr w:type="spellEnd"/>
      <w:r w:rsidRPr="002F5AFB">
        <w:rPr>
          <w:i/>
        </w:rPr>
        <w:t xml:space="preserve">/10 mL), suggesting systemic, rather than surface-level neutralization action.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demonstrated superior ANC values (13.80 and 13.25 </w:t>
      </w:r>
      <w:proofErr w:type="spellStart"/>
      <w:r w:rsidRPr="002F5AFB">
        <w:rPr>
          <w:i/>
        </w:rPr>
        <w:t>mEq</w:t>
      </w:r>
      <w:proofErr w:type="spellEnd"/>
      <w:r w:rsidRPr="002F5AFB">
        <w:rPr>
          <w:i/>
        </w:rPr>
        <w:t>/10 mL, respectively) and relatively stable pH after 15 minutes, indicating better immediate acid neutralization potential. The study highlights the differences in formulation efficacy among antacid products and underscores the need for informed selection based on desired therapeutic outcomes.</w:t>
      </w:r>
    </w:p>
    <w:p w:rsidR="002F5AFB" w:rsidRPr="009D24EB" w:rsidRDefault="002F5AFB" w:rsidP="002F5AFB"/>
    <w:p w:rsidR="00A32B4F" w:rsidRDefault="00A32B4F"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0B4B76" w:rsidRDefault="000B4B76" w:rsidP="007B2833">
      <w:pPr>
        <w:spacing w:line="360" w:lineRule="auto"/>
        <w:jc w:val="center"/>
        <w:rPr>
          <w:rFonts w:ascii="Times New Roman" w:hAnsi="Times New Roman" w:cs="Times New Roman"/>
          <w:b/>
          <w:bCs/>
          <w:sz w:val="24"/>
          <w:szCs w:val="24"/>
        </w:rPr>
        <w:sectPr w:rsidR="000B4B76" w:rsidSect="007B2833">
          <w:footerReference w:type="default" r:id="rId8"/>
          <w:pgSz w:w="11808" w:h="15120"/>
          <w:pgMar w:top="1296" w:right="1282" w:bottom="2506" w:left="1282" w:header="0" w:footer="1440" w:gutter="0"/>
          <w:pgNumType w:fmt="lowerRoman" w:start="1"/>
          <w:cols w:space="720"/>
          <w:docGrid w:linePitch="299"/>
        </w:sectPr>
      </w:pPr>
    </w:p>
    <w:p w:rsidR="00C308F5" w:rsidRDefault="00C308F5"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C03B81" w:rsidRDefault="00C03B81"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D659FE" w:rsidRPr="00D659FE" w:rsidRDefault="00C308F5" w:rsidP="007B2833">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over-the-counter medications commonly used to relieve symptoms associated with acid reflux, heartburn, and indigestion. They work by neutralizing excess stomach acid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thereby increasing the pH of gastric contents and providing symptomatic relief (Smith &amp; Johnson, 2021). The active ingredients in antacids vary but often include compounds such as magnesium hydroxide, aluminum hydroxide, calcium carbonate, and sodium bicarbonate. These compounds react with gastric acid to form salt and water, reducing acidity and alleviating discomfort (Brown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mechanism of action of antacids is based on simple acid-base chemistry. For example, 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reacts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(H</w:t>
      </w:r>
      <w:r w:rsidRPr="00D659FE">
        <w:rPr>
          <w:rFonts w:ascii="Cambria Math" w:hAnsi="Cambria Math" w:cs="Cambria Math"/>
          <w:sz w:val="24"/>
          <w:szCs w:val="24"/>
        </w:rPr>
        <w:t>₂</w:t>
      </w:r>
      <w:r w:rsidRPr="00D659FE">
        <w:rPr>
          <w:rFonts w:ascii="Times New Roman" w:hAnsi="Times New Roman" w:cs="Times New Roman"/>
          <w:sz w:val="24"/>
          <w:szCs w:val="24"/>
        </w:rPr>
        <w:t>O), effectively neutralizing the acid (Jones &amp; Patel, 2022). Similarly, 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xml:space="preserve">] reacts with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to form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The effectiveness of an antacid depends on its neutralizing capacity, which varies among different formulations (Williams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2024). Factors such as dissolution rate, formulation type (tablet, liquid, or gel), and presence of additional ingredients like alginates or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influence how well and how quickly the antacid works (Miller &amp; Carter, 2020).</w:t>
      </w:r>
    </w:p>
    <w:p w:rsidR="002F5AF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Evaluating the acid neutralizing capacity (ANC) of antacids is essential in determining their effectiveness and guiding their clinical use. Various methods, including back titration and pH- metric analysis, are used to quantify ANC in both laboratory and pharmaceutical settings (Garcia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2021). Additionally, the prolonged use of certain antacids has been associated with potential health implications, such as altered calcium absorption, kidney stone formation, and metabolic alkalosis, necessitating appropriate usage recommendations (Roberts &amp; Lee, 2023).</w:t>
      </w:r>
    </w:p>
    <w:p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1.1</w:t>
      </w:r>
      <w:r>
        <w:rPr>
          <w:rFonts w:ascii="Times New Roman" w:hAnsi="Times New Roman" w:cs="Times New Roman"/>
          <w:b/>
          <w:bCs/>
          <w:sz w:val="24"/>
          <w:szCs w:val="24"/>
        </w:rPr>
        <w:tab/>
      </w:r>
      <w:r w:rsidR="00C03B81">
        <w:rPr>
          <w:rFonts w:ascii="Times New Roman" w:hAnsi="Times New Roman" w:cs="Times New Roman"/>
          <w:b/>
          <w:bCs/>
          <w:sz w:val="24"/>
          <w:szCs w:val="24"/>
        </w:rPr>
        <w:t>COMMON ANTACIDS IN NIGERIA</w:t>
      </w:r>
    </w:p>
    <w:p w:rsidR="00C308F5"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widely used in Nigeria for the management of acid-related disorders such as heartburn, indigestion, and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The availability and affordability of these medications make them a popular choice for self-medication among Nigerians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Adekunle</w:t>
      </w:r>
      <w:proofErr w:type="spellEnd"/>
      <w:r w:rsidRPr="00D659FE">
        <w:rPr>
          <w:rFonts w:ascii="Times New Roman" w:hAnsi="Times New Roman" w:cs="Times New Roman"/>
          <w:sz w:val="24"/>
          <w:szCs w:val="24"/>
        </w:rPr>
        <w:t>, 2021). In Nigeria, commonly used antacids include brands and generic formulations containing active ingredients such as magnesium hydroxide, aluminum hydroxide, calcium carbonate, and sodium bicarbonate. These compounds function by neutralizing excess stomach acid, thereby relieving discomfort and protecting the stomach lining from irritation (</w:t>
      </w:r>
      <w:proofErr w:type="spellStart"/>
      <w:r w:rsidRPr="00D659FE">
        <w:rPr>
          <w:rFonts w:ascii="Times New Roman" w:hAnsi="Times New Roman" w:cs="Times New Roman"/>
          <w:sz w:val="24"/>
          <w:szCs w:val="24"/>
        </w:rPr>
        <w:t>Okeke</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00C308F5">
        <w:rPr>
          <w:rFonts w:ascii="Times New Roman" w:hAnsi="Times New Roman" w:cs="Times New Roman"/>
          <w:sz w:val="24"/>
          <w:szCs w:val="24"/>
        </w:rPr>
        <w:t xml:space="preserve"> 2023).</w:t>
      </w:r>
    </w:p>
    <w:p w:rsidR="00D659FE"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Among the most widely recognized antacid brands in Nigeria is </w:t>
      </w:r>
      <w:proofErr w:type="spellStart"/>
      <w:r w:rsidRPr="00C308F5">
        <w:rPr>
          <w:rFonts w:ascii="Times New Roman" w:hAnsi="Times New Roman" w:cs="Times New Roman"/>
          <w:sz w:val="24"/>
          <w:szCs w:val="24"/>
        </w:rPr>
        <w:t>Gestid</w:t>
      </w:r>
      <w:proofErr w:type="spellEnd"/>
      <w:r w:rsidRPr="00C308F5">
        <w:rPr>
          <w:rFonts w:ascii="Times New Roman" w:hAnsi="Times New Roman" w:cs="Times New Roman"/>
          <w:sz w:val="24"/>
          <w:szCs w:val="24"/>
        </w:rPr>
        <w:t xml:space="preserve">, which contains a combination of aluminum hydroxide, magnesium hydroxide, and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This formulation provides effective acid neutralization while the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component helps reduce bloating and gas formation (Adebayo &amp; </w:t>
      </w:r>
      <w:proofErr w:type="spellStart"/>
      <w:r w:rsidRPr="00C308F5">
        <w:rPr>
          <w:rFonts w:ascii="Times New Roman" w:hAnsi="Times New Roman" w:cs="Times New Roman"/>
          <w:sz w:val="24"/>
          <w:szCs w:val="24"/>
        </w:rPr>
        <w:t>Chukwuma</w:t>
      </w:r>
      <w:proofErr w:type="spellEnd"/>
      <w:r w:rsidRPr="00C308F5">
        <w:rPr>
          <w:rFonts w:ascii="Times New Roman" w:hAnsi="Times New Roman" w:cs="Times New Roman"/>
          <w:sz w:val="24"/>
          <w:szCs w:val="24"/>
        </w:rPr>
        <w:t xml:space="preserve">, 2022). Another popular antacid is Andrews Liver Salt, which contains sodium bicarbonate and citric acid. It acts as an effervescent antacid, providing rapid relief from acid indigestion and bloating (Emmanuel &amp; </w:t>
      </w:r>
      <w:proofErr w:type="spellStart"/>
      <w:r w:rsidRPr="00C308F5">
        <w:rPr>
          <w:rFonts w:ascii="Times New Roman" w:hAnsi="Times New Roman" w:cs="Times New Roman"/>
          <w:sz w:val="24"/>
          <w:szCs w:val="24"/>
        </w:rPr>
        <w:t>Uchenna</w:t>
      </w:r>
      <w:proofErr w:type="spellEnd"/>
      <w:r w:rsidRPr="00C308F5">
        <w:rPr>
          <w:rFonts w:ascii="Times New Roman" w:hAnsi="Times New Roman" w:cs="Times New Roman"/>
          <w:sz w:val="24"/>
          <w:szCs w:val="24"/>
        </w:rPr>
        <w:t xml:space="preserve">, 2023). </w:t>
      </w:r>
      <w:proofErr w:type="spellStart"/>
      <w:r w:rsidRPr="00C308F5">
        <w:rPr>
          <w:rFonts w:ascii="Times New Roman" w:hAnsi="Times New Roman" w:cs="Times New Roman"/>
          <w:sz w:val="24"/>
          <w:szCs w:val="24"/>
        </w:rPr>
        <w:t>Gaviscon</w:t>
      </w:r>
      <w:proofErr w:type="spellEnd"/>
      <w:r w:rsidRPr="00C308F5">
        <w:rPr>
          <w:rFonts w:ascii="Times New Roman" w:hAnsi="Times New Roman" w:cs="Times New Roman"/>
          <w:sz w:val="24"/>
          <w:szCs w:val="24"/>
        </w:rPr>
        <w:t>, a well-known international brand also available in Nigeria, contains sodium alginate in addition to antacid compounds. It not only neutralizes acid but also forms a protective barrier to prevent acid reflux, making it a preferred choice for GERD management (</w:t>
      </w:r>
      <w:proofErr w:type="spellStart"/>
      <w:r w:rsidRPr="00C308F5">
        <w:rPr>
          <w:rFonts w:ascii="Times New Roman" w:hAnsi="Times New Roman" w:cs="Times New Roman"/>
          <w:sz w:val="24"/>
          <w:szCs w:val="24"/>
        </w:rPr>
        <w:t>Chidiebere</w:t>
      </w:r>
      <w:proofErr w:type="spellEnd"/>
      <w:r w:rsidRPr="00C308F5">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C308F5">
        <w:rPr>
          <w:rFonts w:ascii="Times New Roman" w:hAnsi="Times New Roman" w:cs="Times New Roman"/>
          <w:sz w:val="24"/>
          <w:szCs w:val="24"/>
        </w:rPr>
        <w:t xml:space="preserve"> 2024).</w:t>
      </w:r>
    </w:p>
    <w:p w:rsid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Additionally, </w:t>
      </w:r>
      <w:proofErr w:type="spellStart"/>
      <w:r w:rsidRPr="00C308F5">
        <w:rPr>
          <w:rFonts w:ascii="Times New Roman" w:hAnsi="Times New Roman" w:cs="Times New Roman"/>
          <w:sz w:val="24"/>
          <w:szCs w:val="24"/>
        </w:rPr>
        <w:t>Eno</w:t>
      </w:r>
      <w:proofErr w:type="spellEnd"/>
      <w:r w:rsidRPr="00C308F5">
        <w:rPr>
          <w:rFonts w:ascii="Times New Roman" w:hAnsi="Times New Roman" w:cs="Times New Roman"/>
          <w:sz w:val="24"/>
          <w:szCs w:val="24"/>
        </w:rPr>
        <w:t xml:space="preserve"> Fruit Salt, another effervescent antacid, is commonly used for quick relief from acidity and bloating. It contains sodium bicarbonate, citric acid, and sodium carbonate, which react with gastric acid to form carbon dioxide, facilitating fast neutralization (</w:t>
      </w:r>
      <w:proofErr w:type="spellStart"/>
      <w:r w:rsidRPr="00C308F5">
        <w:rPr>
          <w:rFonts w:ascii="Times New Roman" w:hAnsi="Times New Roman" w:cs="Times New Roman"/>
          <w:sz w:val="24"/>
          <w:szCs w:val="24"/>
        </w:rPr>
        <w:t>Ogundipe</w:t>
      </w:r>
      <w:proofErr w:type="spellEnd"/>
      <w:r w:rsidRPr="00C308F5">
        <w:rPr>
          <w:rFonts w:ascii="Times New Roman" w:hAnsi="Times New Roman" w:cs="Times New Roman"/>
          <w:sz w:val="24"/>
          <w:szCs w:val="24"/>
        </w:rPr>
        <w:t xml:space="preserve"> &amp; Williams, 2021). Magnesium </w:t>
      </w:r>
      <w:proofErr w:type="spellStart"/>
      <w:r w:rsidRPr="00C308F5">
        <w:rPr>
          <w:rFonts w:ascii="Times New Roman" w:hAnsi="Times New Roman" w:cs="Times New Roman"/>
          <w:sz w:val="24"/>
          <w:szCs w:val="24"/>
        </w:rPr>
        <w:t>Trisilicate</w:t>
      </w:r>
      <w:proofErr w:type="spellEnd"/>
      <w:r w:rsidRPr="00C308F5">
        <w:rPr>
          <w:rFonts w:ascii="Times New Roman" w:hAnsi="Times New Roman" w:cs="Times New Roman"/>
          <w:sz w:val="24"/>
          <w:szCs w:val="24"/>
        </w:rPr>
        <w:t>, a generic formulation available in Nigeria, is also widely used and functions by coating the stomach lining while providing a sustained neutralizing effect (</w:t>
      </w:r>
      <w:proofErr w:type="spellStart"/>
      <w:r w:rsidRPr="00C308F5">
        <w:rPr>
          <w:rFonts w:ascii="Times New Roman" w:hAnsi="Times New Roman" w:cs="Times New Roman"/>
          <w:sz w:val="24"/>
          <w:szCs w:val="24"/>
        </w:rPr>
        <w:t>Okon</w:t>
      </w:r>
      <w:proofErr w:type="spellEnd"/>
      <w:r w:rsidRPr="00C308F5">
        <w:rPr>
          <w:rFonts w:ascii="Times New Roman" w:hAnsi="Times New Roman" w:cs="Times New Roman"/>
          <w:sz w:val="24"/>
          <w:szCs w:val="24"/>
        </w:rPr>
        <w:t xml:space="preserve"> &amp; Bello, 2022).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preference for specific antacids in Nigeria often depends on accessibility, affordability, and perceived effectiveness. However, concerns have been raised about the indiscriminate use of </w:t>
      </w:r>
      <w:r w:rsidRPr="00D659FE">
        <w:rPr>
          <w:rFonts w:ascii="Times New Roman" w:hAnsi="Times New Roman" w:cs="Times New Roman"/>
          <w:sz w:val="24"/>
          <w:szCs w:val="24"/>
        </w:rPr>
        <w:lastRenderedPageBreak/>
        <w:t>antacids, especially those containing sodium bicarbonate, due to potential side effects such as alkalosis, electrolyte imbalances, and kidney-related complications when used excessively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 Therefore, understanding the acid-neutralizing capacity of these formulations is essential for guiding their appropriate use and ensuring optimal gastrointestinal health outcomes.</w:t>
      </w:r>
    </w:p>
    <w:p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D659FE" w:rsidRPr="00C308F5">
        <w:rPr>
          <w:rFonts w:ascii="Times New Roman" w:hAnsi="Times New Roman" w:cs="Times New Roman"/>
          <w:b/>
          <w:bCs/>
          <w:sz w:val="24"/>
          <w:szCs w:val="24"/>
        </w:rPr>
        <w:t>TYPES OF ANTACIDS</w:t>
      </w:r>
    </w:p>
    <w:p w:rsidR="00584B9B"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Antacids are classified based on their active ingredients, which determine their acid- neutralizing capacity and overall effectiveness in managing gastric acidity. The primary types of antacids include aluminum-based, magnesium-based, calcium-based, sodium- based, and combination antacids. Each type has unique properties, benefits, and potential side effects, making them suitable for different patient needs (</w:t>
      </w:r>
      <w:proofErr w:type="spellStart"/>
      <w:r w:rsidRPr="00C308F5">
        <w:rPr>
          <w:rFonts w:ascii="Times New Roman" w:hAnsi="Times New Roman" w:cs="Times New Roman"/>
          <w:sz w:val="24"/>
          <w:szCs w:val="24"/>
        </w:rPr>
        <w:t>Okonkwo</w:t>
      </w:r>
      <w:proofErr w:type="spellEnd"/>
      <w:r w:rsidRPr="00C308F5">
        <w:rPr>
          <w:rFonts w:ascii="Times New Roman" w:hAnsi="Times New Roman" w:cs="Times New Roman"/>
          <w:sz w:val="24"/>
          <w:szCs w:val="24"/>
        </w:rPr>
        <w:t xml:space="preserve"> &amp; </w:t>
      </w:r>
      <w:proofErr w:type="spellStart"/>
      <w:r w:rsidRPr="00C308F5">
        <w:rPr>
          <w:rFonts w:ascii="Times New Roman" w:hAnsi="Times New Roman" w:cs="Times New Roman"/>
          <w:sz w:val="24"/>
          <w:szCs w:val="24"/>
        </w:rPr>
        <w:t>Adeyemi</w:t>
      </w:r>
      <w:proofErr w:type="spellEnd"/>
      <w:r w:rsidRPr="00C308F5">
        <w:rPr>
          <w:rFonts w:ascii="Times New Roman" w:hAnsi="Times New Roman" w:cs="Times New Roman"/>
          <w:sz w:val="24"/>
          <w:szCs w:val="24"/>
        </w:rPr>
        <w:t>, 2021).</w:t>
      </w:r>
    </w:p>
    <w:p w:rsidR="00D659FE" w:rsidRPr="007F7090" w:rsidRDefault="007F7090"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r>
      <w:r w:rsidR="00D659FE" w:rsidRPr="007F7090">
        <w:rPr>
          <w:rFonts w:ascii="Times New Roman" w:hAnsi="Times New Roman" w:cs="Times New Roman"/>
          <w:b/>
          <w:bCs/>
          <w:sz w:val="24"/>
          <w:szCs w:val="24"/>
        </w:rPr>
        <w:t>Aluminum-Based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is a common ingredient in many antacid formulations. It neutralizes stomach acid by forming aluminum chloride and water, providin</w:t>
      </w:r>
      <w:r w:rsidR="007F7090">
        <w:rPr>
          <w:rFonts w:ascii="Times New Roman" w:hAnsi="Times New Roman" w:cs="Times New Roman"/>
          <w:sz w:val="24"/>
          <w:szCs w:val="24"/>
        </w:rPr>
        <w:t xml:space="preserve">g effective relief from acidity </w:t>
      </w:r>
      <w:r w:rsidRPr="00D659FE">
        <w:rPr>
          <w:rFonts w:ascii="Times New Roman" w:hAnsi="Times New Roman" w:cs="Times New Roman"/>
          <w:sz w:val="24"/>
          <w:szCs w:val="24"/>
        </w:rPr>
        <w:t>and heartburn. One of its advantages is its ability to form a protective layer on the stomach lining, reducing irritation and promoting ulcer healing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prolonged use of aluminum-based antacids has been associated with constipation and potential interference with phosphate absorption, which may lead to hypophosphatemia, especially in long-term users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D659FE" w:rsidRPr="00BC1219" w:rsidRDefault="00BC1219"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Magnesium hydroxide and magnesium </w:t>
      </w:r>
      <w:proofErr w:type="spellStart"/>
      <w:r w:rsidRPr="00D659FE">
        <w:rPr>
          <w:rFonts w:ascii="Times New Roman" w:hAnsi="Times New Roman" w:cs="Times New Roman"/>
          <w:sz w:val="24"/>
          <w:szCs w:val="24"/>
        </w:rPr>
        <w:t>trisilicate</w:t>
      </w:r>
      <w:proofErr w:type="spellEnd"/>
      <w:r w:rsidRPr="00D659FE">
        <w:rPr>
          <w:rFonts w:ascii="Times New Roman" w:hAnsi="Times New Roman" w:cs="Times New Roman"/>
          <w:sz w:val="24"/>
          <w:szCs w:val="24"/>
        </w:rPr>
        <w:t xml:space="preserve"> are commonly used in antacid formulations due to their rapid acid-neutralizing action. Magnesium-based antacids work by reacting with hydrochloric acid to form magnesium chloride and water, leading to a quick increase in gastric</w:t>
      </w:r>
      <w:r w:rsidR="007F7090">
        <w:rPr>
          <w:rFonts w:ascii="Times New Roman" w:hAnsi="Times New Roman" w:cs="Times New Roman"/>
          <w:sz w:val="24"/>
          <w:szCs w:val="24"/>
        </w:rPr>
        <w:t xml:space="preserve"> </w:t>
      </w:r>
      <w:r w:rsidRPr="00D659FE">
        <w:rPr>
          <w:rFonts w:ascii="Times New Roman" w:hAnsi="Times New Roman" w:cs="Times New Roman"/>
          <w:sz w:val="24"/>
          <w:szCs w:val="24"/>
        </w:rPr>
        <w:t>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Unlike aluminum-based antacids, they tend to have a laxative effect, which can be beneficial for individuals prone to constipation. However, excessive use may result in diarrhea or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particularly in patients with renal impairment (Adebayo &amp; Yusuf, 2024).</w:t>
      </w:r>
    </w:p>
    <w:p w:rsidR="007F7090"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1.2.3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Calcium-Based Antacids</w:t>
      </w:r>
    </w:p>
    <w:p w:rsidR="00D659FE" w:rsidRPr="007F7090" w:rsidRDefault="00D659FE" w:rsidP="009A5A72">
      <w:pPr>
        <w:spacing w:after="0" w:line="360" w:lineRule="auto"/>
        <w:rPr>
          <w:rFonts w:ascii="Times New Roman" w:hAnsi="Times New Roman" w:cs="Times New Roman"/>
          <w:b/>
          <w:bCs/>
          <w:sz w:val="24"/>
          <w:szCs w:val="24"/>
        </w:rPr>
      </w:pPr>
      <w:r w:rsidRPr="007F7090">
        <w:rPr>
          <w:rFonts w:ascii="Times New Roman" w:hAnsi="Times New Roman" w:cs="Times New Roman"/>
          <w:sz w:val="24"/>
          <w:szCs w:val="24"/>
        </w:rPr>
        <w:t>Calcium carbonate is widely used in antacid preparations due to its strong acid-neutralizing capacity. It reacts with stomach acid to form calcium chloride, carbon dioxide, and water, providing quick and long-lasting relief from acid reflux and indigestion (</w:t>
      </w:r>
      <w:proofErr w:type="spellStart"/>
      <w:r w:rsidRPr="007F7090">
        <w:rPr>
          <w:rFonts w:ascii="Times New Roman" w:hAnsi="Times New Roman" w:cs="Times New Roman"/>
          <w:sz w:val="24"/>
          <w:szCs w:val="24"/>
        </w:rPr>
        <w:t>Chidiebere</w:t>
      </w:r>
      <w:proofErr w:type="spellEnd"/>
      <w:r w:rsidRPr="007F7090">
        <w:rPr>
          <w:rFonts w:ascii="Times New Roman" w:hAnsi="Times New Roman" w:cs="Times New Roman"/>
          <w:sz w:val="24"/>
          <w:szCs w:val="24"/>
        </w:rPr>
        <w:t xml:space="preserve"> &amp; </w:t>
      </w:r>
      <w:proofErr w:type="spellStart"/>
      <w:r w:rsidRPr="007F7090">
        <w:rPr>
          <w:rFonts w:ascii="Times New Roman" w:hAnsi="Times New Roman" w:cs="Times New Roman"/>
          <w:sz w:val="24"/>
          <w:szCs w:val="24"/>
        </w:rPr>
        <w:t>Okafor</w:t>
      </w:r>
      <w:proofErr w:type="spellEnd"/>
      <w:r w:rsidRPr="007F7090">
        <w:rPr>
          <w:rFonts w:ascii="Times New Roman" w:hAnsi="Times New Roman" w:cs="Times New Roman"/>
          <w:sz w:val="24"/>
          <w:szCs w:val="24"/>
        </w:rPr>
        <w:t xml:space="preserve">, 2023). Additionally, calcium-based antacids contribute to calcium intake, which can be beneficial for bone health. However, excessive consumption may lead to </w:t>
      </w:r>
      <w:proofErr w:type="spellStart"/>
      <w:r w:rsidRPr="007F7090">
        <w:rPr>
          <w:rFonts w:ascii="Times New Roman" w:hAnsi="Times New Roman" w:cs="Times New Roman"/>
          <w:sz w:val="24"/>
          <w:szCs w:val="24"/>
        </w:rPr>
        <w:t>hypercalcemia</w:t>
      </w:r>
      <w:proofErr w:type="spellEnd"/>
      <w:r w:rsidRPr="007F7090">
        <w:rPr>
          <w:rFonts w:ascii="Times New Roman" w:hAnsi="Times New Roman" w:cs="Times New Roman"/>
          <w:sz w:val="24"/>
          <w:szCs w:val="24"/>
        </w:rPr>
        <w:t>, milk- alkali syndrome, and rebound acid secretion, where the stomach produces more acid after the initial neutralization effect wears off (</w:t>
      </w:r>
      <w:proofErr w:type="spellStart"/>
      <w:r w:rsidRPr="007F7090">
        <w:rPr>
          <w:rFonts w:ascii="Times New Roman" w:hAnsi="Times New Roman" w:cs="Times New Roman"/>
          <w:sz w:val="24"/>
          <w:szCs w:val="24"/>
        </w:rPr>
        <w:t>Oluwaseun</w:t>
      </w:r>
      <w:proofErr w:type="spellEnd"/>
      <w:r w:rsidRPr="007F7090">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7F7090">
        <w:rPr>
          <w:rFonts w:ascii="Times New Roman" w:hAnsi="Times New Roman" w:cs="Times New Roman"/>
          <w:sz w:val="24"/>
          <w:szCs w:val="24"/>
        </w:rPr>
        <w:t xml:space="preserve"> 2022).</w:t>
      </w:r>
    </w:p>
    <w:p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Sodium-Based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Sodium bicarbonate is a fast-acting antacid that provides immediate relief from heartburn and acid indigestion by reacting with hydrochloric acid to produce carbon dioxide, water, and sodium chloride. It is commonly found in effervescent antacid formulations,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While effective, sodium- based antacids are not recommended for long-term use due to their high sodium content, which can contribute to hypertension and fluid retention, particularly in individuals with cardiovascular or kidney conditions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Combination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Many commercial antacids combine multiple active ingredients to balance efficacy and minimize side effects. For instance, magnesium and aluminum hydroxides are often combined to counteract the laxative effect of magnesium with the constipating effect of aluminum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 Another example is the inclusion of alginates in some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which not only neutralizes acid but also creates a protective barrier against reflux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These combination antacids are particularly effective for individuals requiring sustained acid suppression with minimal gastrointestinal side effects.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choice of antacid depends on the severity of symptoms, underlying health conditions, and potential side effects. While antacids provide effective short-term relief, excessive or prolonged use can lead to electrolyte imbalances, metabolic disturbances, and interactions with other medications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 Therefore, proper evaluation of their acid- neutralizing capacity is crucial for optimizing their use and ensuring safety.</w:t>
      </w:r>
    </w:p>
    <w:p w:rsidR="00D659FE" w:rsidRPr="00556125" w:rsidRDefault="0055612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D659FE" w:rsidRPr="00556125">
        <w:rPr>
          <w:rFonts w:ascii="Times New Roman" w:hAnsi="Times New Roman" w:cs="Times New Roman"/>
          <w:b/>
          <w:bCs/>
          <w:sz w:val="24"/>
          <w:szCs w:val="24"/>
        </w:rPr>
        <w:t>INORGANIC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are compounds derived from minerals and inorganic salts that help neutralize gastric acid, providing relief from conditions such as acid reflux, heartburn, and indigestion. These antacids typically contain metal hydroxides, carbonates, or bicarbonates that react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in the stomach to form water and neutral salts, thereby increasing gastric pH and reducing acidity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most commonly used inorganic antacids include aluminum hydroxide, magnesium hydroxide, calcium carbonate, and sodium bicarbonate.</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Aluminum Hydroxide</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w:t>
      </w:r>
      <w:proofErr w:type="gramStart"/>
      <w:r w:rsidRPr="00D659FE">
        <w:rPr>
          <w:rFonts w:ascii="Times New Roman" w:hAnsi="Times New Roman" w:cs="Times New Roman"/>
          <w:sz w:val="24"/>
          <w:szCs w:val="24"/>
        </w:rPr>
        <w:t>Al(</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₃</w:t>
      </w:r>
      <w:r w:rsidRPr="00D659FE">
        <w:rPr>
          <w:rFonts w:ascii="Times New Roman" w:hAnsi="Times New Roman" w:cs="Times New Roman"/>
          <w:sz w:val="24"/>
          <w:szCs w:val="24"/>
        </w:rPr>
        <w:t>] is a widely used antacid that neutralizes stomach acid by forming aluminum chloride (</w:t>
      </w:r>
      <w:proofErr w:type="spellStart"/>
      <w:r w:rsidRPr="00D659FE">
        <w:rPr>
          <w:rFonts w:ascii="Times New Roman" w:hAnsi="Times New Roman" w:cs="Times New Roman"/>
          <w:sz w:val="24"/>
          <w:szCs w:val="24"/>
        </w:rPr>
        <w:t>AlCl</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and water. It is known for its ability to provide prolonged acid suppression and is often used in combination with other antacids to enhance its efficacy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One of its advantages is its protective effect on the gastric lining, making it useful in ulcer treatment. However, prolonged use may lead to constipation and phosphate depletion, resulting in hypophosphatemia, which can weaken bones and cause other metabolic disturbances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 Hydroxide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also known as milk of magnesia, is an inorganic antacid with a rapid acid-neutralizing effect. It reacts with hydrochloric acid to produce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and water, effectively increasing gastric 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In addition to its antacid properties, it has a mild laxative effect, which can be beneficial for individuals suffering from constipation. However, excessive intake may lead to diarrhea and, in </w:t>
      </w:r>
      <w:r w:rsidRPr="00D659FE">
        <w:rPr>
          <w:rFonts w:ascii="Times New Roman" w:hAnsi="Times New Roman" w:cs="Times New Roman"/>
          <w:sz w:val="24"/>
          <w:szCs w:val="24"/>
        </w:rPr>
        <w:lastRenderedPageBreak/>
        <w:t xml:space="preserve">patients with kidney disease,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which can cause neurological and cardiovascular complications (Adebayo &amp; Yusuf, 2024).</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 Carbonate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potent inorganic antacid that provides quick and long- lasting relief from acid-related discomfort. It reacts with hydrochloric acid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which increases gastric pH and reduces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2023). Due to its high neutralizing capacity, calcium carbonate is commonly used in chewable and effervescent antacid formulations. Additionally, it contributes to calcium intake, which is beneficial for bone health. However, excessive use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kidney stone formation, and rebound acid secretion, where the stomach produces more acid after the neutralization effect wears off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Sodium Bicarbonate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Sodium bicarbonate (</w:t>
      </w:r>
      <w:proofErr w:type="spellStart"/>
      <w:r w:rsidRPr="00D659FE">
        <w:rPr>
          <w:rFonts w:ascii="Times New Roman" w:hAnsi="Times New Roman" w:cs="Times New Roman"/>
          <w:sz w:val="24"/>
          <w:szCs w:val="24"/>
        </w:rPr>
        <w:t>NaHCO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fast-acting inorganic antacid that neutralizes stomach acid by producing carbon dioxide (CO</w:t>
      </w:r>
      <w:r w:rsidRPr="00D659FE">
        <w:rPr>
          <w:rFonts w:ascii="Cambria Math" w:hAnsi="Cambria Math" w:cs="Cambria Math"/>
          <w:sz w:val="24"/>
          <w:szCs w:val="24"/>
        </w:rPr>
        <w:t>₂</w:t>
      </w:r>
      <w:r w:rsidRPr="00D659FE">
        <w:rPr>
          <w:rFonts w:ascii="Times New Roman" w:hAnsi="Times New Roman" w:cs="Times New Roman"/>
          <w:sz w:val="24"/>
          <w:szCs w:val="24"/>
        </w:rPr>
        <w:t>), water, and sodium chloride (</w:t>
      </w:r>
      <w:proofErr w:type="spellStart"/>
      <w:r w:rsidRPr="00D659FE">
        <w:rPr>
          <w:rFonts w:ascii="Times New Roman" w:hAnsi="Times New Roman" w:cs="Times New Roman"/>
          <w:sz w:val="24"/>
          <w:szCs w:val="24"/>
        </w:rPr>
        <w:t>NaCl</w:t>
      </w:r>
      <w:proofErr w:type="spellEnd"/>
      <w:r w:rsidRPr="00D659FE">
        <w:rPr>
          <w:rFonts w:ascii="Times New Roman" w:hAnsi="Times New Roman" w:cs="Times New Roman"/>
          <w:sz w:val="24"/>
          <w:szCs w:val="24"/>
        </w:rPr>
        <w:t xml:space="preserve">). It is commonly found in effervescent antacids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providing rapid relief from acid indigestion and bloating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Despite its effectiveness, sodium bicarbonate is not recommended for long-term use due to its high sodium content, which can contribute to hypertension, fluid retention, and metabolic alkalosis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the release of carbon dioxide can cause bloating and discomfort in some individuals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1.3.5</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vary in their acid-neutralizing capacity, duration of action, and side effects. While aluminum and calcium-based antacids provide longer-lasting relief, they may cause constipation or rebound acid secretion. Magnesium-based antacids act quickly but can induce diarrhea, making combination formulations a preferred choice to balance their effects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Sodium bicarbonate, though effective for im</w:t>
      </w:r>
      <w:r w:rsidR="00556125">
        <w:rPr>
          <w:rFonts w:ascii="Times New Roman" w:hAnsi="Times New Roman" w:cs="Times New Roman"/>
          <w:sz w:val="24"/>
          <w:szCs w:val="24"/>
        </w:rPr>
        <w:t xml:space="preserve">mediate relief, has significant </w:t>
      </w:r>
      <w:r w:rsidRPr="00D659FE">
        <w:rPr>
          <w:rFonts w:ascii="Times New Roman" w:hAnsi="Times New Roman" w:cs="Times New Roman"/>
          <w:sz w:val="24"/>
          <w:szCs w:val="24"/>
        </w:rPr>
        <w:t xml:space="preserve">risks </w:t>
      </w:r>
      <w:r w:rsidRPr="00D659FE">
        <w:rPr>
          <w:rFonts w:ascii="Times New Roman" w:hAnsi="Times New Roman" w:cs="Times New Roman"/>
          <w:sz w:val="24"/>
          <w:szCs w:val="24"/>
        </w:rPr>
        <w:lastRenderedPageBreak/>
        <w:t>when used excessively, particularly in individuals with cardiovascular or renal conditions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evaluation of inorganic antacids' acid-neutralizing capacity is essential for determining their effectiveness and ensuring their safe use. Excessive reliance on these medications without medical supervision can lead to metabolic imbalances and other health complications. Therefore, proper dosing and consideration of patient-specific factors are necessary to optimize their benefits while minimizing risks.</w:t>
      </w:r>
    </w:p>
    <w:p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ORGANIC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Organic antacids are less common than their inorganic counterparts but play a significant role in acid neutralization and gastrointestinal protection. These antacids are derived from organic compounds, including naturally occurring substances such as alginates and amino acid-based formulations. They act by neutralizing stomach acid, forming protective barriers, or buffering gastric pH to alleviate conditions such as acid reflux, heartburn, and indigestion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Unlike inorganic antacids, organic antacids often have additional properties, such as mucosal protection and anti-inflammatory effects, making them useful for specific patient populations.</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Alginates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One of the most widely used organic antacid components is </w:t>
      </w:r>
      <w:proofErr w:type="spellStart"/>
      <w:r w:rsidRPr="00D659FE">
        <w:rPr>
          <w:rFonts w:ascii="Times New Roman" w:hAnsi="Times New Roman" w:cs="Times New Roman"/>
          <w:sz w:val="24"/>
          <w:szCs w:val="24"/>
        </w:rPr>
        <w:t>alginic</w:t>
      </w:r>
      <w:proofErr w:type="spellEnd"/>
      <w:r w:rsidRPr="00D659FE">
        <w:rPr>
          <w:rFonts w:ascii="Times New Roman" w:hAnsi="Times New Roman" w:cs="Times New Roman"/>
          <w:sz w:val="24"/>
          <w:szCs w:val="24"/>
        </w:rPr>
        <w:t xml:space="preserve"> acid, commonly found in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Alginates, derived from brown seaweed, work by forming a gel-like barrier that floats on top of stomach contents, preventing acid reflux into the esophagus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When combined with bicarbonates, alginates produce a foamy protective layer that reduces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providing longer-lasting relief than standard acid neutralization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This makes alginate-based antacids particularly beneficial for individuals with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Amino Acid-Based Antacids</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organic antacids incorporate amino acid salts, such as glycine and alginate-amino acid complexes, which help buffer stomach acid while supporting gastric mucosal healing. These </w:t>
      </w:r>
      <w:r w:rsidRPr="00D659FE">
        <w:rPr>
          <w:rFonts w:ascii="Times New Roman" w:hAnsi="Times New Roman" w:cs="Times New Roman"/>
          <w:sz w:val="24"/>
          <w:szCs w:val="24"/>
        </w:rPr>
        <w:lastRenderedPageBreak/>
        <w:t>compounds act as weak bases, neutralizing excess hydrochloric acid while also promoting a balanced gastric environment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Amino acid-based antacids are considered gentler on the digestive system and are sometimes used in combination with inorganic antacids to enhance efficacy while minimizing potential side effects.</w:t>
      </w:r>
    </w:p>
    <w:p w:rsidR="00D659FE" w:rsidRPr="00BC1219" w:rsidRDefault="00D659FE" w:rsidP="009A5A72">
      <w:pPr>
        <w:pStyle w:val="ListParagraph"/>
        <w:numPr>
          <w:ilvl w:val="2"/>
          <w:numId w:val="3"/>
        </w:numPr>
        <w:spacing w:line="360" w:lineRule="auto"/>
        <w:rPr>
          <w:b/>
          <w:bCs/>
          <w:sz w:val="24"/>
          <w:szCs w:val="24"/>
        </w:rPr>
      </w:pPr>
      <w:proofErr w:type="spellStart"/>
      <w:r w:rsidRPr="00BC1219">
        <w:rPr>
          <w:b/>
          <w:bCs/>
          <w:sz w:val="24"/>
          <w:szCs w:val="24"/>
        </w:rPr>
        <w:t>Sucralfate</w:t>
      </w:r>
      <w:proofErr w:type="spellEnd"/>
      <w:r w:rsidRPr="00BC1219">
        <w:rPr>
          <w:b/>
          <w:bCs/>
          <w:sz w:val="24"/>
          <w:szCs w:val="24"/>
        </w:rPr>
        <w:t xml:space="preserve"> and Other Organic Buffers</w:t>
      </w:r>
    </w:p>
    <w:p w:rsidR="00BC1219"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Though not a traditional antacid, </w:t>
      </w:r>
      <w:proofErr w:type="spellStart"/>
      <w:r w:rsidRPr="00D659FE">
        <w:rPr>
          <w:rFonts w:ascii="Times New Roman" w:hAnsi="Times New Roman" w:cs="Times New Roman"/>
          <w:b/>
          <w:sz w:val="24"/>
          <w:szCs w:val="24"/>
        </w:rPr>
        <w:t>sucralfate</w:t>
      </w:r>
      <w:proofErr w:type="spellEnd"/>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 xml:space="preserve">is an organic compound that exhibits acid- buffering properties. It forms a protective coating over ulcers and erosions in the stomach lining, reducing exposure to gastric acid and allowing healing to occur (Adebayo &amp; Yusuf, 2024). Unlike conventional antacids,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does not significantly alter stomach pH but provides symptomatic relief by protecting damaged mucosa. It is often used in patients with peptic ulcers and those at risk of gastrointestinal bleeding due to prolonged acid exposure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BC1219" w:rsidP="009A5A7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differ from inorganic ones in their mode of action and additional therapeutic benefits. While inorganic antacids focus primarily on neutralizing acid, organic antacids often provide mechanical protection and mucosal support. Alginates are particularly effective for reflux conditions, whereas amino acid-based antacids and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support gastric healing and ulcer management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2022). Furthermore, organic antacids generally have fewer side effects, making them suitable for long-term use in individuals with chronic acid- related conditions.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evaluation of organic antacids' effectiveness involves assessing their acid-neutralizing capacity, ability to form protective barriers, and impact on gastric motility. Research continues to explore novel organic antacid formulations that optimize relief while minimizing complications associated with prolonged acid suppression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2021). As the demand for safer, more sustainable acid-neutralizing </w:t>
      </w:r>
      <w:proofErr w:type="gramStart"/>
      <w:r w:rsidRPr="00D659FE">
        <w:rPr>
          <w:rFonts w:ascii="Times New Roman" w:hAnsi="Times New Roman" w:cs="Times New Roman"/>
          <w:sz w:val="24"/>
          <w:szCs w:val="24"/>
        </w:rPr>
        <w:t>agents</w:t>
      </w:r>
      <w:proofErr w:type="gramEnd"/>
      <w:r w:rsidRPr="00D659FE">
        <w:rPr>
          <w:rFonts w:ascii="Times New Roman" w:hAnsi="Times New Roman" w:cs="Times New Roman"/>
          <w:sz w:val="24"/>
          <w:szCs w:val="24"/>
        </w:rPr>
        <w:t xml:space="preserve"> increases, organic antacids may play a larger role in managing gastrointestinal disorders with fewer adverse effects compared to traditional inorganic antacids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PROPERTIES OF ANTACIDS</w:t>
      </w:r>
    </w:p>
    <w:p w:rsidR="00584B9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possess several key properties that determine their effectiveness in neutralizing gastric acid, alleviating symptoms of acid-related disorders, and ensuring patient safety. These properti</w:t>
      </w:r>
      <w:r w:rsidRPr="00B56C0D">
        <w:rPr>
          <w:rFonts w:ascii="Times New Roman" w:hAnsi="Times New Roman" w:cs="Times New Roman"/>
          <w:sz w:val="24"/>
          <w:szCs w:val="24"/>
        </w:rPr>
        <w:t>es include acid-neutralizing capacity, solubility, reaction speed, buffering effect, duration of action, and side effect profile. The choice of an antacid depends on these charact</w:t>
      </w:r>
      <w:r w:rsidRPr="00D659FE">
        <w:rPr>
          <w:rFonts w:ascii="Times New Roman" w:hAnsi="Times New Roman" w:cs="Times New Roman"/>
          <w:sz w:val="24"/>
          <w:szCs w:val="24"/>
        </w:rPr>
        <w:t>eristics, which influence its clinical application and therapeutic benefits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BC1219" w:rsidRPr="009A5A72" w:rsidRDefault="009A5A72" w:rsidP="009A5A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1.5.1</w:t>
      </w:r>
      <w:r>
        <w:rPr>
          <w:rFonts w:ascii="Times New Roman" w:hAnsi="Times New Roman" w:cs="Times New Roman"/>
          <w:b/>
          <w:bCs/>
          <w:sz w:val="24"/>
          <w:szCs w:val="24"/>
        </w:rPr>
        <w:tab/>
      </w:r>
      <w:r w:rsidR="00D659FE" w:rsidRPr="009A5A72">
        <w:rPr>
          <w:rFonts w:ascii="Times New Roman" w:hAnsi="Times New Roman" w:cs="Times New Roman"/>
          <w:b/>
          <w:bCs/>
          <w:sz w:val="24"/>
          <w:szCs w:val="24"/>
        </w:rPr>
        <w:t>Solubility and Reaction Speed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solubility of an antacid affects its onset of action. Highly soluble antacids, such as sodium bicarbonate, dissolve quickly in gastric fluid and neutralize acid rapidly, providing almost immediate relief from symptoms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their effect is short-lived, and they can cause bloating due to carbon dioxide release. On the other hand, poorly soluble antacids, such as aluminum hydroxide, have a slower onset but provide prolonged acid suppression, making them useful for sustained relief (Adebayo &amp; Yusuf, 2024).</w:t>
      </w:r>
    </w:p>
    <w:p w:rsidR="00D659FE" w:rsidRPr="00BC1219" w:rsidRDefault="00D659FE" w:rsidP="009A5A72">
      <w:pPr>
        <w:pStyle w:val="ListParagraph"/>
        <w:numPr>
          <w:ilvl w:val="2"/>
          <w:numId w:val="4"/>
        </w:numPr>
        <w:spacing w:line="360" w:lineRule="auto"/>
        <w:jc w:val="both"/>
        <w:rPr>
          <w:b/>
          <w:bCs/>
          <w:sz w:val="24"/>
          <w:szCs w:val="24"/>
        </w:rPr>
      </w:pPr>
      <w:r w:rsidRPr="00BC1219">
        <w:rPr>
          <w:b/>
          <w:bCs/>
          <w:sz w:val="24"/>
          <w:szCs w:val="24"/>
        </w:rPr>
        <w:t>Buffering Effect and pH Stability</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antacids not only neutralize acid but also act as buffers, helping maintain a stable gastric </w:t>
      </w:r>
      <w:proofErr w:type="spellStart"/>
      <w:r w:rsidRPr="00D659FE">
        <w:rPr>
          <w:rFonts w:ascii="Times New Roman" w:hAnsi="Times New Roman" w:cs="Times New Roman"/>
          <w:sz w:val="24"/>
          <w:szCs w:val="24"/>
        </w:rPr>
        <w:t>pH.</w:t>
      </w:r>
      <w:proofErr w:type="spellEnd"/>
      <w:r w:rsidRPr="00D659FE">
        <w:rPr>
          <w:rFonts w:ascii="Times New Roman" w:hAnsi="Times New Roman" w:cs="Times New Roman"/>
          <w:sz w:val="24"/>
          <w:szCs w:val="24"/>
        </w:rPr>
        <w:t xml:space="preserve"> This is particularly important for preventing drastic pH fluctuations that may trigger rebound acid secretion. For example, calcium carbonate provides a strong neutralizing effect but may lead to increased acid production once its effects wear off, whereas magnesium- aluminum combinations help stabilize pH without causing rebound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Duration of Action</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duration of an antacid’s effect depends on its formulation and interaction with gastric contents. Liquid antacids generally work faster but have a shorter duration, whereas tablet formulations provide longer-lasting relief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2022). Combination antacids that include alginates,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xml:space="preserve">, not only neutralize acid but also form a protective barrier </w:t>
      </w:r>
      <w:r w:rsidRPr="00D659FE">
        <w:rPr>
          <w:rFonts w:ascii="Times New Roman" w:hAnsi="Times New Roman" w:cs="Times New Roman"/>
          <w:sz w:val="24"/>
          <w:szCs w:val="24"/>
        </w:rPr>
        <w:lastRenderedPageBreak/>
        <w:t xml:space="preserve">against reflux, extending their effectiveness beyond simple acid neutralization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Side Effect Profile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Each type of antacid has specific side effects based on its composition. Aluminum- containing antacids can cause constipation and phosphate depletion, while magnesium-based antacids may lead to diarrhea. Calcium carbonate can contribute to kidney stone formation and metabolic alkalosis if consumed in excess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Sodium bicarbonate, due to its high sodium content, is not recommended for hypertensive patients as it can cause fluid retention and cardiovascular complications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Comparative Analysis of Antacid Properties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well-balanced antacid should provide effective acid neutralization, have minimal side effects, and offer sustained relief. Magnesium-aluminum hydroxide combinations are widely preferred because they balance rapid action with prolonged effects while minimizing gastrointestinal disturbances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Additionally, modern antacid formulations incorporate ingredients such as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to reduce bloating and alginates to prevent acid reflux, enhancing their overall therapeutic benefits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Understanding the properties of antacids is crucial in selecting the most suitable formulation for different clinical conditions. Ongoing research aims to develop improved antacid formulations that maximize efficacy while reducing adverse effects, ensuring better management of acid-related disorders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4514" w:rsidRDefault="00D64514"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D659FE" w:rsidRPr="00D64514">
        <w:rPr>
          <w:rFonts w:ascii="Times New Roman" w:hAnsi="Times New Roman" w:cs="Times New Roman"/>
          <w:b/>
          <w:bCs/>
          <w:sz w:val="24"/>
          <w:szCs w:val="24"/>
        </w:rPr>
        <w:t>FACTORS AFFECTING ANTACIDS’ EFFECTIVENESS</w:t>
      </w:r>
    </w:p>
    <w:p w:rsidR="00D659FE" w:rsidRPr="00D659FE"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1.6.1</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Gastric pH and Acid Load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pre-existing acidity level in the stomach affects how well an antacid works. When gastric pH is extremely low (high acidity), a stronger antacid with higher ANC is required to achieve the desired neutralization effect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if the stomach produces excessive acid due to stress, diet, or underlying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Pr="00D659FE">
        <w:rPr>
          <w:rFonts w:ascii="Times New Roman" w:hAnsi="Times New Roman" w:cs="Times New Roman"/>
          <w:sz w:val="24"/>
          <w:szCs w:val="24"/>
        </w:rPr>
        <w:lastRenderedPageBreak/>
        <w:t>disease (GERD), a single dose of an antacid may not provide sufficient relief, necessitating repeated administration (Adebayo &amp; Yusuf, 2024).</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Food Intake and Gastric Emptying Rate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Food consumption can significantly impact antacid effectiveness. Taking antacids after meals prolongs their duration of action because food delays gastric emptying, allowing the antacid to remain in the stomach for a longer period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 However, taking antacids on an empty stomach leads to rapid gastric clearance, reducing their effectiveness as they are quickly expelled into the intestines. Fatty and protein-rich foods can also influence acid secretion, affecting how much acid needs to be neutralized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Dosage and Frequency of Use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effectiveness of antacids is also dependen</w:t>
      </w:r>
      <w:r w:rsidRPr="00D167D5">
        <w:rPr>
          <w:rFonts w:ascii="Times New Roman" w:hAnsi="Times New Roman" w:cs="Times New Roman"/>
          <w:sz w:val="24"/>
          <w:szCs w:val="24"/>
        </w:rPr>
        <w:t>t on the correct dosage and frequency of administration. Underuse may result in insuffi</w:t>
      </w:r>
      <w:r w:rsidRPr="00D659FE">
        <w:rPr>
          <w:rFonts w:ascii="Times New Roman" w:hAnsi="Times New Roman" w:cs="Times New Roman"/>
          <w:sz w:val="24"/>
          <w:szCs w:val="24"/>
        </w:rPr>
        <w:t xml:space="preserve">cient acid neutralization, while excessive use can lead to side effects such as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Some formulations, such as chewable tablets, require thorough chewing for optimal effectiveness, as incomplete chewing may reduce the dissolution rate and delay acid neutralization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Formulation Type (Liquid vs. Tablet vs. Effervescent)</w:t>
      </w:r>
    </w:p>
    <w:p w:rsidR="009A5A72" w:rsidRDefault="00D659FE" w:rsidP="009A5A72">
      <w:pPr>
        <w:spacing w:after="0" w:line="360" w:lineRule="auto"/>
        <w:jc w:val="both"/>
        <w:rPr>
          <w:rFonts w:ascii="Times New Roman" w:hAnsi="Times New Roman" w:cs="Times New Roman"/>
          <w:sz w:val="24"/>
          <w:szCs w:val="24"/>
        </w:rPr>
      </w:pPr>
      <w:r w:rsidRPr="00D167D5">
        <w:rPr>
          <w:rFonts w:ascii="Times New Roman" w:hAnsi="Times New Roman" w:cs="Times New Roman"/>
          <w:sz w:val="24"/>
          <w:szCs w:val="24"/>
        </w:rPr>
        <w:t>The physical formulation of an antacid plays a crucial role in determining its onset of action and overall efficacy. Liquid antacids act faster because they are already dissolved and can immediately interact with gastric acid (</w:t>
      </w:r>
      <w:proofErr w:type="spellStart"/>
      <w:r w:rsidRPr="00D167D5">
        <w:rPr>
          <w:rFonts w:ascii="Times New Roman" w:hAnsi="Times New Roman" w:cs="Times New Roman"/>
          <w:sz w:val="24"/>
          <w:szCs w:val="24"/>
        </w:rPr>
        <w:t>Ogundipe</w:t>
      </w:r>
      <w:proofErr w:type="spellEnd"/>
      <w:r w:rsidRPr="00D167D5">
        <w:rPr>
          <w:rFonts w:ascii="Times New Roman" w:hAnsi="Times New Roman" w:cs="Times New Roman"/>
          <w:sz w:val="24"/>
          <w:szCs w:val="24"/>
        </w:rPr>
        <w:t xml:space="preserve"> &amp; Williams, 2022). In contrast, chewable tablets require time to break down and dissolve in the stomach, leading to a slightly delayed effect. Effervescent antacids, such as sodium bicarbonate-based formulations, dissolve quickly in water and provide rapid relief but may cause </w:t>
      </w:r>
      <w:proofErr w:type="gramStart"/>
      <w:r w:rsidRPr="00D167D5">
        <w:rPr>
          <w:rFonts w:ascii="Times New Roman" w:hAnsi="Times New Roman" w:cs="Times New Roman"/>
          <w:sz w:val="24"/>
          <w:szCs w:val="24"/>
        </w:rPr>
        <w:t>bloating</w:t>
      </w:r>
      <w:proofErr w:type="gramEnd"/>
      <w:r w:rsidRPr="00D167D5">
        <w:rPr>
          <w:rFonts w:ascii="Times New Roman" w:hAnsi="Times New Roman" w:cs="Times New Roman"/>
          <w:sz w:val="24"/>
          <w:szCs w:val="24"/>
        </w:rPr>
        <w:t xml:space="preserve"> due to carbon dioxide release (</w:t>
      </w:r>
      <w:proofErr w:type="spellStart"/>
      <w:r w:rsidRPr="00D167D5">
        <w:rPr>
          <w:rFonts w:ascii="Times New Roman" w:hAnsi="Times New Roman" w:cs="Times New Roman"/>
          <w:sz w:val="24"/>
          <w:szCs w:val="24"/>
        </w:rPr>
        <w:t>Okon</w:t>
      </w:r>
      <w:proofErr w:type="spellEnd"/>
      <w:r w:rsidRPr="00D167D5">
        <w:rPr>
          <w:rFonts w:ascii="Times New Roman" w:hAnsi="Times New Roman" w:cs="Times New Roman"/>
          <w:sz w:val="24"/>
          <w:szCs w:val="24"/>
        </w:rPr>
        <w:t xml:space="preserve"> &amp; Bello, 2023).</w:t>
      </w:r>
    </w:p>
    <w:p w:rsidR="00957AE2" w:rsidRPr="00D167D5" w:rsidRDefault="00957AE2" w:rsidP="009A5A72">
      <w:pPr>
        <w:spacing w:after="0" w:line="360" w:lineRule="auto"/>
        <w:jc w:val="both"/>
        <w:rPr>
          <w:rFonts w:ascii="Times New Roman" w:hAnsi="Times New Roman" w:cs="Times New Roman"/>
          <w:sz w:val="24"/>
          <w:szCs w:val="24"/>
        </w:rPr>
      </w:pPr>
    </w:p>
    <w:p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Drug Interactions</w:t>
      </w:r>
    </w:p>
    <w:p w:rsidR="00814E70"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Antacids can interact with other medications, affecting their absorption and overall therapeutic action. For example, aluminum and magnesium-based antacids can reduce the absorption of antibiotics such as </w:t>
      </w:r>
      <w:proofErr w:type="spellStart"/>
      <w:r w:rsidRPr="00D659FE">
        <w:rPr>
          <w:rFonts w:ascii="Times New Roman" w:hAnsi="Times New Roman" w:cs="Times New Roman"/>
          <w:sz w:val="24"/>
          <w:szCs w:val="24"/>
        </w:rPr>
        <w:t>tetracyclines</w:t>
      </w:r>
      <w:proofErr w:type="spellEnd"/>
      <w:r w:rsidRPr="00D659FE">
        <w:rPr>
          <w:rFonts w:ascii="Times New Roman" w:hAnsi="Times New Roman" w:cs="Times New Roman"/>
          <w:sz w:val="24"/>
          <w:szCs w:val="24"/>
        </w:rPr>
        <w:t xml:space="preserve"> and </w:t>
      </w:r>
      <w:proofErr w:type="spellStart"/>
      <w:r w:rsidRPr="00D659FE">
        <w:rPr>
          <w:rFonts w:ascii="Times New Roman" w:hAnsi="Times New Roman" w:cs="Times New Roman"/>
          <w:sz w:val="24"/>
          <w:szCs w:val="24"/>
        </w:rPr>
        <w:t>fluoroquinolones</w:t>
      </w:r>
      <w:proofErr w:type="spellEnd"/>
      <w:r w:rsidRPr="00D659FE">
        <w:rPr>
          <w:rFonts w:ascii="Times New Roman" w:hAnsi="Times New Roman" w:cs="Times New Roman"/>
          <w:sz w:val="24"/>
          <w:szCs w:val="24"/>
        </w:rPr>
        <w:t>, leading to decreased antibiotic effectiveness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2024). Antacids can also interfere with the absorption of iron supplements and thyroid medications, making it necessary to space out their administration by at least two hours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Patient-Specific Conditions</w:t>
      </w:r>
    </w:p>
    <w:p w:rsidR="00A9662E" w:rsidRPr="009A5A72"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Individual health conditions</w:t>
      </w:r>
      <w:r w:rsidRPr="00D167D5">
        <w:rPr>
          <w:rFonts w:ascii="Times New Roman" w:hAnsi="Times New Roman" w:cs="Times New Roman"/>
          <w:sz w:val="24"/>
          <w:szCs w:val="24"/>
        </w:rPr>
        <w:t xml:space="preserve"> can influence how well an antacid works. Patients with chronic kidney disease (CKD) sh</w:t>
      </w:r>
      <w:r w:rsidRPr="00D659FE">
        <w:rPr>
          <w:rFonts w:ascii="Times New Roman" w:hAnsi="Times New Roman" w:cs="Times New Roman"/>
          <w:sz w:val="24"/>
          <w:szCs w:val="24"/>
        </w:rPr>
        <w:t xml:space="preserve">ould avoid magnesium-based antacids because impaired kidney function can lead to magnesium accumulation, causing toxicity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Similarly, individuals with cardiovascular conditions should limit sodium bicarbonate intake due to its high sodium content, which can contribute to hypertension and fluid retention (Adebayo &amp; Yusuf, 2024). Pregnant women are often advised to use calcium- based antacids, as they provide additional calcium benefits, but excessive intake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xml:space="preserve"> and kidney stone formation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4A5A28" w:rsidRDefault="004A5A28"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D659FE" w:rsidRPr="004A5A28">
        <w:rPr>
          <w:rFonts w:ascii="Times New Roman" w:hAnsi="Times New Roman" w:cs="Times New Roman"/>
          <w:b/>
          <w:bCs/>
          <w:sz w:val="24"/>
          <w:szCs w:val="24"/>
        </w:rPr>
        <w:t>ACID NEUTRALIZING CAPACITY (ANC)</w:t>
      </w:r>
    </w:p>
    <w:p w:rsidR="00C35E98"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Neutralizing Capacity (ANC) is a critical parameter used to measure the effectiveness of antacids in counteracting gastric acid. It is defined as the amount of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that an antacid can neutralize per unit dose, usually expressed in </w:t>
      </w:r>
      <w:proofErr w:type="spellStart"/>
      <w:r w:rsidRPr="00D659FE">
        <w:rPr>
          <w:rFonts w:ascii="Times New Roman" w:hAnsi="Times New Roman" w:cs="Times New Roman"/>
          <w:sz w:val="24"/>
          <w:szCs w:val="24"/>
        </w:rPr>
        <w:t>milliequivalents</w:t>
      </w:r>
      <w:proofErr w:type="spellEnd"/>
      <w:r w:rsidRPr="00D659FE">
        <w:rPr>
          <w:rFonts w:ascii="Times New Roman" w:hAnsi="Times New Roman" w:cs="Times New Roman"/>
          <w:sz w:val="24"/>
          <w:szCs w:val="24"/>
        </w:rPr>
        <w:t xml:space="preserve"> (</w:t>
      </w:r>
      <w:proofErr w:type="spellStart"/>
      <w:r w:rsidRPr="00D659FE">
        <w:rPr>
          <w:rFonts w:ascii="Times New Roman" w:hAnsi="Times New Roman" w:cs="Times New Roman"/>
          <w:sz w:val="24"/>
          <w:szCs w:val="24"/>
        </w:rPr>
        <w:t>mEq</w:t>
      </w:r>
      <w:proofErr w:type="spellEnd"/>
      <w:r w:rsidRPr="00D659FE">
        <w:rPr>
          <w:rFonts w:ascii="Times New Roman" w:hAnsi="Times New Roman" w:cs="Times New Roman"/>
          <w:sz w:val="24"/>
          <w:szCs w:val="24"/>
        </w:rPr>
        <w:t>) of acid neutralized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ANC of an antacid determines its ability to relieve acid-related conditions such as heartburn, acid reflux, and indigestion. A higher ANC indicates greater potency, meaning that less of the antacid is required to achieve acid neutralization.</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1.7.1</w:t>
      </w:r>
      <w:r>
        <w:rPr>
          <w:rFonts w:ascii="Times New Roman" w:hAnsi="Times New Roman" w:cs="Times New Roman"/>
          <w:b/>
          <w:bCs/>
          <w:sz w:val="24"/>
          <w:szCs w:val="24"/>
        </w:rPr>
        <w:tab/>
      </w:r>
      <w:r w:rsidR="005E1AA2" w:rsidRPr="00BC1219">
        <w:rPr>
          <w:rFonts w:ascii="Times New Roman" w:hAnsi="Times New Roman" w:cs="Times New Roman"/>
          <w:b/>
          <w:bCs/>
          <w:sz w:val="24"/>
          <w:szCs w:val="24"/>
        </w:rPr>
        <w:t>Factors Influencing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Several factors influence the ANC of an antacid, including its chemical composition, solubility, and reaction kinetics. Magnesium hydroxide and calcium carbonate are known for their high ANC, making them effective in neutralizing large amounts of gastric acid within a short period </w:t>
      </w:r>
      <w:r w:rsidRPr="00D659FE">
        <w:rPr>
          <w:rFonts w:ascii="Times New Roman" w:hAnsi="Times New Roman" w:cs="Times New Roman"/>
          <w:sz w:val="24"/>
          <w:szCs w:val="24"/>
        </w:rPr>
        <w:lastRenderedPageBreak/>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 In contrast, aluminum hydroxide has a lower ANC but provides a prolonged buffering effect, making it suitable for sustained acid suppression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 Sodium bicarbonate, another commonly used antacid, has a very high ANC but can cause rapid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production, leading to bloating and belching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Methods For Determining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ANC of a</w:t>
      </w:r>
      <w:r w:rsidRPr="004A5A28">
        <w:rPr>
          <w:rFonts w:ascii="Times New Roman" w:hAnsi="Times New Roman" w:cs="Times New Roman"/>
          <w:sz w:val="24"/>
          <w:szCs w:val="24"/>
        </w:rPr>
        <w:t>n antacid is typically evaluated using back titration techniques, where a known excess of standardized hydrochloric acid is added to a sample of the antacid, and the remaining acid is titrated with a base such as sodium hydroxide (</w:t>
      </w:r>
      <w:proofErr w:type="spellStart"/>
      <w:r w:rsidRPr="004A5A28">
        <w:rPr>
          <w:rFonts w:ascii="Times New Roman" w:hAnsi="Times New Roman" w:cs="Times New Roman"/>
          <w:sz w:val="24"/>
          <w:szCs w:val="24"/>
        </w:rPr>
        <w:t>NaOH</w:t>
      </w:r>
      <w:proofErr w:type="spellEnd"/>
      <w:r w:rsidRPr="004A5A28">
        <w:rPr>
          <w:rFonts w:ascii="Times New Roman" w:hAnsi="Times New Roman" w:cs="Times New Roman"/>
          <w:sz w:val="24"/>
          <w:szCs w:val="24"/>
        </w:rPr>
        <w:t>) (Adebayo &amp; Yusuf, 2024). This method allows researchers to quantify the exact amount of acid neutralized by the antacid, providing an objective measure of its effectiveness. Additionally, pH-stat titration is used in advanced studies to continuously monitor pH changes in simulated gastric conditions, offering a real-time asses</w:t>
      </w:r>
      <w:r w:rsidRPr="00D659FE">
        <w:rPr>
          <w:rFonts w:ascii="Times New Roman" w:hAnsi="Times New Roman" w:cs="Times New Roman"/>
          <w:sz w:val="24"/>
          <w:szCs w:val="24"/>
        </w:rPr>
        <w:t>sment of ANC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Clinical Implications of</w:t>
      </w:r>
      <w:r w:rsidR="00D659FE" w:rsidRPr="00BC1219">
        <w:rPr>
          <w:b/>
          <w:bCs/>
          <w:sz w:val="24"/>
          <w:szCs w:val="24"/>
        </w:rPr>
        <w:t xml:space="preserve">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ANC of antacids is essential for ensuring appropriate dosing and maximizing therapeutic benefits. Patients with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require antacids with a higher ANC to effectively counteract persistent acid exposure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2022). However, excessive ANC can lead to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where the stomach produces more acid in response to sudden pH changes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5E1AA2" w:rsidP="009A5A72">
      <w:pPr>
        <w:numPr>
          <w:ilvl w:val="2"/>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w:t>
      </w:r>
      <w:r w:rsidRPr="00D659FE">
        <w:rPr>
          <w:rFonts w:ascii="Times New Roman" w:hAnsi="Times New Roman" w:cs="Times New Roman"/>
          <w:b/>
          <w:bCs/>
          <w:sz w:val="24"/>
          <w:szCs w:val="24"/>
        </w:rPr>
        <w:t>f A</w:t>
      </w:r>
      <w:r>
        <w:rPr>
          <w:rFonts w:ascii="Times New Roman" w:hAnsi="Times New Roman" w:cs="Times New Roman"/>
          <w:b/>
          <w:bCs/>
          <w:sz w:val="24"/>
          <w:szCs w:val="24"/>
        </w:rPr>
        <w:t>NC</w:t>
      </w:r>
      <w:r w:rsidRPr="00D659FE">
        <w:rPr>
          <w:rFonts w:ascii="Times New Roman" w:hAnsi="Times New Roman" w:cs="Times New Roman"/>
          <w:b/>
          <w:bCs/>
          <w:sz w:val="24"/>
          <w:szCs w:val="24"/>
        </w:rPr>
        <w:t xml:space="preserve"> Among Antacid Formulations</w:t>
      </w:r>
    </w:p>
    <w:p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w:t>
      </w:r>
      <w:r w:rsidRPr="004A5A28">
        <w:rPr>
          <w:rFonts w:ascii="Times New Roman" w:hAnsi="Times New Roman" w:cs="Times New Roman"/>
          <w:sz w:val="24"/>
          <w:szCs w:val="24"/>
        </w:rPr>
        <w:t>ifferent formulations, such as liquid, tablet, and effervescent antacids, exhibit varying ANC values. Liquid antacids generally have a higher ANC because they are already dissolved and can react with gastric acid immediately (</w:t>
      </w:r>
      <w:proofErr w:type="spellStart"/>
      <w:r w:rsidRPr="004A5A28">
        <w:rPr>
          <w:rFonts w:ascii="Times New Roman" w:hAnsi="Times New Roman" w:cs="Times New Roman"/>
          <w:sz w:val="24"/>
          <w:szCs w:val="24"/>
        </w:rPr>
        <w:t>Ogundipe</w:t>
      </w:r>
      <w:proofErr w:type="spellEnd"/>
      <w:r w:rsidRPr="004A5A28">
        <w:rPr>
          <w:rFonts w:ascii="Times New Roman" w:hAnsi="Times New Roman" w:cs="Times New Roman"/>
          <w:sz w:val="24"/>
          <w:szCs w:val="24"/>
        </w:rPr>
        <w:t xml:space="preserve"> &amp; Williams, 2022). Chewable tablets may have slightly lower ANC due to the time required for dissolution. Effervescent formulations dissolve quickly in water, providing rapid acid neutralization but sometimes leading to gas- related side effects such as bloating (</w:t>
      </w:r>
      <w:proofErr w:type="spellStart"/>
      <w:r w:rsidRPr="004A5A28">
        <w:rPr>
          <w:rFonts w:ascii="Times New Roman" w:hAnsi="Times New Roman" w:cs="Times New Roman"/>
          <w:sz w:val="24"/>
          <w:szCs w:val="24"/>
        </w:rPr>
        <w:t>Okon</w:t>
      </w:r>
      <w:proofErr w:type="spellEnd"/>
      <w:r w:rsidRPr="004A5A28">
        <w:rPr>
          <w:rFonts w:ascii="Times New Roman" w:hAnsi="Times New Roman" w:cs="Times New Roman"/>
          <w:sz w:val="24"/>
          <w:szCs w:val="24"/>
        </w:rPr>
        <w:t xml:space="preserve"> &amp; Bello, 2023).</w:t>
      </w:r>
    </w:p>
    <w:p w:rsidR="00C03B81" w:rsidRDefault="00C03B81" w:rsidP="009A5A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1.1: </w:t>
      </w:r>
      <w:proofErr w:type="spellStart"/>
      <w:r>
        <w:rPr>
          <w:rFonts w:ascii="Times New Roman" w:hAnsi="Times New Roman" w:cs="Times New Roman"/>
          <w:sz w:val="24"/>
          <w:szCs w:val="24"/>
        </w:rPr>
        <w:t>Comparation</w:t>
      </w:r>
      <w:proofErr w:type="spellEnd"/>
      <w:r>
        <w:rPr>
          <w:rFonts w:ascii="Times New Roman" w:hAnsi="Times New Roman" w:cs="Times New Roman"/>
          <w:sz w:val="24"/>
          <w:szCs w:val="24"/>
        </w:rPr>
        <w:t xml:space="preserve"> of Different forms of antacids available in Nigeria markets</w:t>
      </w:r>
    </w:p>
    <w:tbl>
      <w:tblPr>
        <w:tblStyle w:val="TableGrid"/>
        <w:tblW w:w="0" w:type="auto"/>
        <w:tblLook w:val="04A0" w:firstRow="1" w:lastRow="0" w:firstColumn="1" w:lastColumn="0" w:noHBand="0" w:noVBand="1"/>
      </w:tblPr>
      <w:tblGrid>
        <w:gridCol w:w="590"/>
        <w:gridCol w:w="1429"/>
        <w:gridCol w:w="2785"/>
        <w:gridCol w:w="3043"/>
        <w:gridCol w:w="1613"/>
      </w:tblGrid>
      <w:tr w:rsidR="007E33BA" w:rsidRPr="007E33BA" w:rsidTr="009A5A72">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S/N</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Antacids</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Advantage</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Disadvantage</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Reference</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1</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Liquid</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High ANC; already dissolved, acts quickly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Bulky to carry; may require refrigeration; may have unpleasant taste</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2</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Effervescent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Rapid dissolution in water; fast-acting; easy to ingest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May cause bloating due to gas release; not suitable for patients on low sodium diets</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Okon</w:t>
            </w:r>
            <w:proofErr w:type="spellEnd"/>
            <w:r w:rsidRPr="007E33BA">
              <w:rPr>
                <w:rFonts w:ascii="Times New Roman" w:eastAsia="Times New Roman" w:hAnsi="Times New Roman" w:cs="Times New Roman"/>
                <w:sz w:val="24"/>
                <w:szCs w:val="24"/>
              </w:rPr>
              <w:t xml:space="preserve"> &amp; Bello, 2023</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3</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Tablet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Convenient to use and store; longer shelf life</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Slower onset of action due to need for dissolution; may have lower ANC</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4</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Suspension</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Combines fast action with ease of swallowing; suitable for children and elderly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Requires shaking before use; may settle quickly; short shelf stability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Adebayo &amp; Yusuf, 2024</w:t>
            </w:r>
          </w:p>
        </w:tc>
      </w:tr>
    </w:tbl>
    <w:p w:rsidR="00954D10" w:rsidRDefault="00954D10" w:rsidP="009A5A72">
      <w:pPr>
        <w:spacing w:line="360" w:lineRule="auto"/>
      </w:pPr>
    </w:p>
    <w:p w:rsidR="00954D10" w:rsidRPr="00954D10" w:rsidRDefault="00954D10" w:rsidP="009A5A72">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ab/>
        <w:t xml:space="preserve"> </w:t>
      </w:r>
      <w:r w:rsidR="00B7318F" w:rsidRPr="00954D10">
        <w:rPr>
          <w:rStyle w:val="Strong"/>
          <w:rFonts w:ascii="Times New Roman" w:hAnsi="Times New Roman" w:cs="Times New Roman"/>
          <w:b/>
          <w:bCs/>
          <w:color w:val="auto"/>
          <w:sz w:val="24"/>
          <w:szCs w:val="24"/>
        </w:rPr>
        <w:t>STATEMENT OF THE PROBLEM</w:t>
      </w:r>
    </w:p>
    <w:p w:rsidR="00954D10" w:rsidRPr="00954D10" w:rsidRDefault="00954D10" w:rsidP="009A5A72">
      <w:pPr>
        <w:pStyle w:val="NormalWeb"/>
        <w:spacing w:before="0" w:beforeAutospacing="0" w:line="360" w:lineRule="auto"/>
        <w:jc w:val="both"/>
      </w:pPr>
      <w:r w:rsidRPr="00954D10">
        <w:t>Gastric acidity and related gastrointestinal disorders remain a prevalent global health concern, especially in developing countries like Nigeria, where over-the-counter (OTC) access to antacid and anti-ulcer medications is widespread. However, many of these medications vary in formulation, efficacy, and therapeutic outcomes, often without clear guidance for consumers or adequate regulatory evaluation. Inconsistent or substandard performance in pH stabilization and acid neutralization can lead to inadequate symptom relief, prolonged discomfort, or potential adverse effects. The lack of comparative analysis and empirical data on the quality and performance of these formulations presents a gap in both clinical knowledge and consumer safety. Therefore, a scientific evaluation of the acid neutralizing capacity and pH stability of these commonly used brands is necessary to ensure their efficacy and appropriate use.</w:t>
      </w:r>
    </w:p>
    <w:p w:rsidR="00954D10" w:rsidRPr="00954D10" w:rsidRDefault="00B7318F"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1.9</w:t>
      </w:r>
      <w:r>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SIGNIFICANCE OF THE STUDY</w:t>
      </w:r>
    </w:p>
    <w:p w:rsidR="00954D10" w:rsidRPr="00954D10" w:rsidRDefault="00954D10" w:rsidP="009A5A72">
      <w:pPr>
        <w:pStyle w:val="NormalWeb"/>
        <w:spacing w:before="0" w:beforeAutospacing="0" w:line="360" w:lineRule="auto"/>
        <w:jc w:val="both"/>
      </w:pPr>
      <w:r w:rsidRPr="00954D10">
        <w:t>This study provides valuable insight into the comparative effectiveness of popular antacid and anti-ulcer drug formulations available in the Nigerian pharmaceutical market. By analyzing their pH behavior and acid neutralizing capacities, the research offers evidence-based data to guide medical practitioners in prescribing appropriate therapies for acid-related disorders. Additionally, the findings help consumers make informed choices when purchasing over-the-counter remedies. On a broader scale, this research supports regulatory bodies in post-market surveillance and quality assurance efforts. It also serves as a reference for future pharmacological and pharmaceutical research on gastrointestinal medications.</w:t>
      </w:r>
    </w:p>
    <w:p w:rsidR="00954D10" w:rsidRPr="00954D10" w:rsidRDefault="009A5A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1.10</w:t>
      </w:r>
      <w:r>
        <w:rPr>
          <w:rStyle w:val="Strong"/>
          <w:rFonts w:ascii="Times New Roman" w:hAnsi="Times New Roman" w:cs="Times New Roman"/>
          <w:b/>
          <w:bCs/>
          <w:color w:val="auto"/>
          <w:sz w:val="24"/>
          <w:szCs w:val="24"/>
        </w:rPr>
        <w:tab/>
      </w:r>
      <w:r w:rsidR="00B7318F" w:rsidRPr="00954D10">
        <w:rPr>
          <w:rStyle w:val="Strong"/>
          <w:rFonts w:ascii="Times New Roman" w:hAnsi="Times New Roman" w:cs="Times New Roman"/>
          <w:b/>
          <w:bCs/>
          <w:color w:val="auto"/>
          <w:sz w:val="24"/>
          <w:szCs w:val="24"/>
        </w:rPr>
        <w:t xml:space="preserve"> AIMS AND OBJECTIVES</w:t>
      </w:r>
    </w:p>
    <w:p w:rsidR="00954D10" w:rsidRPr="00954D10" w:rsidRDefault="00954D10" w:rsidP="009A5A72">
      <w:pPr>
        <w:pStyle w:val="NormalWeb"/>
        <w:spacing w:before="0" w:beforeAutospacing="0" w:after="0" w:afterAutospacing="0" w:line="360" w:lineRule="auto"/>
        <w:jc w:val="both"/>
      </w:pPr>
      <w:r>
        <w:rPr>
          <w:rStyle w:val="Strong"/>
        </w:rPr>
        <w:t>1.10.1</w:t>
      </w:r>
      <w:r w:rsidR="009A5A72">
        <w:rPr>
          <w:rStyle w:val="Strong"/>
        </w:rPr>
        <w:tab/>
      </w:r>
      <w:r>
        <w:rPr>
          <w:rStyle w:val="Strong"/>
        </w:rPr>
        <w:t>Aim</w:t>
      </w:r>
      <w:proofErr w:type="gramStart"/>
      <w:r w:rsidR="00B7318F">
        <w:rPr>
          <w:rStyle w:val="Strong"/>
        </w:rPr>
        <w:t>:</w:t>
      </w:r>
      <w:proofErr w:type="gramEnd"/>
      <w:r w:rsidRPr="00954D10">
        <w:br/>
      </w:r>
      <w:r>
        <w:t>T</w:t>
      </w:r>
      <w:r w:rsidRPr="00954D10">
        <w:t>he aim of this study is to evaluate and compare the pH stability and acid neutralizing capacity (ANC) of selected commercially available antacid and anti-ulcer drugs to determine their relative effectiveness in neutralizing gastric acid.</w:t>
      </w:r>
    </w:p>
    <w:p w:rsidR="00954D10" w:rsidRPr="00954D10" w:rsidRDefault="00954D10" w:rsidP="009A5A72">
      <w:pPr>
        <w:pStyle w:val="NormalWeb"/>
        <w:spacing w:before="0" w:beforeAutospacing="0" w:after="0" w:afterAutospacing="0" w:line="360" w:lineRule="auto"/>
        <w:jc w:val="both"/>
      </w:pPr>
      <w:r>
        <w:rPr>
          <w:rStyle w:val="Strong"/>
        </w:rPr>
        <w:t>1.10.2</w:t>
      </w:r>
      <w:r>
        <w:rPr>
          <w:rStyle w:val="Strong"/>
        </w:rPr>
        <w:tab/>
      </w:r>
      <w:r w:rsidRPr="00954D10">
        <w:rPr>
          <w:rStyle w:val="Strong"/>
        </w:rPr>
        <w:t>Objectives:</w:t>
      </w:r>
    </w:p>
    <w:p w:rsidR="00954D10" w:rsidRPr="00954D10" w:rsidRDefault="00954D10" w:rsidP="009A5A72">
      <w:pPr>
        <w:pStyle w:val="NormalWeb"/>
        <w:numPr>
          <w:ilvl w:val="0"/>
          <w:numId w:val="13"/>
        </w:numPr>
        <w:spacing w:before="0" w:beforeAutospacing="0" w:line="360" w:lineRule="auto"/>
        <w:jc w:val="both"/>
      </w:pPr>
      <w:r w:rsidRPr="00954D10">
        <w:t>To measure the initial (0 minute) pH of each selected drug formulation.</w:t>
      </w:r>
    </w:p>
    <w:p w:rsidR="00954D10" w:rsidRPr="00954D10" w:rsidRDefault="00954D10" w:rsidP="009A5A72">
      <w:pPr>
        <w:pStyle w:val="NormalWeb"/>
        <w:numPr>
          <w:ilvl w:val="0"/>
          <w:numId w:val="13"/>
        </w:numPr>
        <w:spacing w:before="0" w:beforeAutospacing="0" w:line="360" w:lineRule="auto"/>
        <w:jc w:val="both"/>
      </w:pPr>
      <w:r w:rsidRPr="00954D10">
        <w:t>To determine the pH variation of each drug after 15 minutes of preparation.</w:t>
      </w:r>
    </w:p>
    <w:p w:rsidR="00954D10" w:rsidRPr="00954D10" w:rsidRDefault="00954D10" w:rsidP="009A5A72">
      <w:pPr>
        <w:pStyle w:val="NormalWeb"/>
        <w:numPr>
          <w:ilvl w:val="0"/>
          <w:numId w:val="13"/>
        </w:numPr>
        <w:spacing w:before="0" w:beforeAutospacing="0" w:line="360" w:lineRule="auto"/>
        <w:jc w:val="both"/>
      </w:pPr>
      <w:r w:rsidRPr="00954D10">
        <w:t>To calculate the acid neutralizing capacity (ANC) per standard dose of each formulation.</w:t>
      </w:r>
    </w:p>
    <w:p w:rsidR="00954D10" w:rsidRPr="00954D10" w:rsidRDefault="00954D10" w:rsidP="009A5A72">
      <w:pPr>
        <w:pStyle w:val="NormalWeb"/>
        <w:numPr>
          <w:ilvl w:val="0"/>
          <w:numId w:val="13"/>
        </w:numPr>
        <w:spacing w:before="0" w:beforeAutospacing="0" w:line="360" w:lineRule="auto"/>
        <w:jc w:val="both"/>
      </w:pPr>
      <w:r w:rsidRPr="00954D10">
        <w:t>To compare the buffering capacities and therapeutic implications of the tested brands.</w:t>
      </w:r>
    </w:p>
    <w:p w:rsidR="00A9662E" w:rsidRDefault="00954D10" w:rsidP="009A5A72">
      <w:pPr>
        <w:pStyle w:val="NormalWeb"/>
        <w:numPr>
          <w:ilvl w:val="0"/>
          <w:numId w:val="13"/>
        </w:numPr>
        <w:spacing w:before="0" w:beforeAutospacing="0" w:line="360" w:lineRule="auto"/>
        <w:jc w:val="both"/>
      </w:pPr>
      <w:r w:rsidRPr="00954D10">
        <w:t>To provide data that can guide healthcare professionals and consumers in the rational selection of antacid and anti-ulcer products.</w:t>
      </w:r>
    </w:p>
    <w:p w:rsidR="00B7318F" w:rsidRPr="00C35E98" w:rsidRDefault="00B7318F" w:rsidP="00B7318F">
      <w:pPr>
        <w:pStyle w:val="NormalWeb"/>
        <w:spacing w:before="0" w:beforeAutospacing="0" w:line="360" w:lineRule="auto"/>
        <w:jc w:val="both"/>
      </w:pPr>
    </w:p>
    <w:p w:rsidR="007E33BA" w:rsidRDefault="007E33BA" w:rsidP="009A5A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954D10" w:rsidRPr="007E33BA" w:rsidRDefault="00954D10" w:rsidP="00B7318F">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D659FE" w:rsidRPr="00B7318F" w:rsidRDefault="00B7318F" w:rsidP="00B7318F">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r>
      <w:r w:rsidR="00D659FE" w:rsidRPr="00B7318F">
        <w:rPr>
          <w:rFonts w:ascii="Times New Roman" w:hAnsi="Times New Roman" w:cs="Times New Roman"/>
          <w:b/>
          <w:bCs/>
          <w:sz w:val="24"/>
          <w:szCs w:val="24"/>
        </w:rPr>
        <w:t>MECHANISMS OF ANTACIDS</w:t>
      </w:r>
    </w:p>
    <w:p w:rsidR="00D659FE" w:rsidRPr="007E33BA" w:rsidRDefault="00D659FE" w:rsidP="009A5A72">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Antacids function primarily by neutralizing gastric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in the stomach, thereby increasing the pH and reducing acidity-related symptoms such as heartburn, indigestion, and acid reflux. These compounds are weak bases that react with hydrochloric acid to form salt and water, thereby lowering acidity (</w:t>
      </w:r>
      <w:proofErr w:type="spellStart"/>
      <w:r w:rsidRPr="007E33BA">
        <w:rPr>
          <w:rFonts w:ascii="Times New Roman" w:hAnsi="Times New Roman" w:cs="Times New Roman"/>
          <w:sz w:val="24"/>
          <w:szCs w:val="24"/>
        </w:rPr>
        <w:t>Okonkwo</w:t>
      </w:r>
      <w:proofErr w:type="spellEnd"/>
      <w:r w:rsidRPr="007E33BA">
        <w:rPr>
          <w:rFonts w:ascii="Times New Roman" w:hAnsi="Times New Roman" w:cs="Times New Roman"/>
          <w:sz w:val="24"/>
          <w:szCs w:val="24"/>
        </w:rPr>
        <w:t xml:space="preserve"> &amp; </w:t>
      </w:r>
      <w:proofErr w:type="spellStart"/>
      <w:r w:rsidRPr="007E33BA">
        <w:rPr>
          <w:rFonts w:ascii="Times New Roman" w:hAnsi="Times New Roman" w:cs="Times New Roman"/>
          <w:sz w:val="24"/>
          <w:szCs w:val="24"/>
        </w:rPr>
        <w:t>Adeyemi</w:t>
      </w:r>
      <w:proofErr w:type="spellEnd"/>
      <w:r w:rsidRPr="007E33BA">
        <w:rPr>
          <w:rFonts w:ascii="Times New Roman" w:hAnsi="Times New Roman" w:cs="Times New Roman"/>
          <w:sz w:val="24"/>
          <w:szCs w:val="24"/>
        </w:rPr>
        <w:t>, 2021). The efficiency of an antacid depends on its chemical composition, solubility, and rate of reaction with stomach acid.</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Neutralization Reaction</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fundamental mechanism of antacids is the direct chemical neutralization of</w:t>
      </w:r>
    </w:p>
    <w:p w:rsidR="00D659FE" w:rsidRPr="007E33BA" w:rsidRDefault="00D659FE" w:rsidP="009A5A72">
      <w:pPr>
        <w:spacing w:after="0" w:line="360" w:lineRule="auto"/>
        <w:jc w:val="both"/>
        <w:rPr>
          <w:rFonts w:ascii="Times New Roman" w:hAnsi="Times New Roman" w:cs="Times New Roman"/>
          <w:sz w:val="24"/>
          <w:szCs w:val="24"/>
        </w:rPr>
      </w:pPr>
      <w:proofErr w:type="gramStart"/>
      <w:r w:rsidRPr="007E33BA">
        <w:rPr>
          <w:rFonts w:ascii="Times New Roman" w:hAnsi="Times New Roman" w:cs="Times New Roman"/>
          <w:sz w:val="24"/>
          <w:szCs w:val="24"/>
        </w:rPr>
        <w:t>hydrochloric</w:t>
      </w:r>
      <w:proofErr w:type="gramEnd"/>
      <w:r w:rsidRPr="007E33BA">
        <w:rPr>
          <w:rFonts w:ascii="Times New Roman" w:hAnsi="Times New Roman" w:cs="Times New Roman"/>
          <w:sz w:val="24"/>
          <w:szCs w:val="24"/>
        </w:rPr>
        <w:t xml:space="preserve">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the stomach. Different antacids react with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various ways:</w:t>
      </w:r>
    </w:p>
    <w:p w:rsidR="00D659FE" w:rsidRPr="00C45905" w:rsidRDefault="00D659FE" w:rsidP="009A5A72">
      <w:pPr>
        <w:pStyle w:val="ListParagraph"/>
        <w:numPr>
          <w:ilvl w:val="3"/>
          <w:numId w:val="1"/>
        </w:numPr>
        <w:spacing w:line="360" w:lineRule="auto"/>
        <w:rPr>
          <w:bCs/>
          <w:sz w:val="24"/>
          <w:szCs w:val="24"/>
        </w:rPr>
      </w:pPr>
      <w:r w:rsidRPr="00C45905">
        <w:rPr>
          <w:b/>
          <w:bCs/>
          <w:sz w:val="24"/>
          <w:szCs w:val="24"/>
        </w:rPr>
        <w:t>Magnesium hydroxide (Mg(OH)</w:t>
      </w:r>
      <w:r w:rsidRPr="00C45905">
        <w:rPr>
          <w:rFonts w:ascii="Cambria Math" w:hAnsi="Cambria Math" w:cs="Cambria Math"/>
          <w:bCs/>
          <w:sz w:val="24"/>
          <w:szCs w:val="24"/>
        </w:rPr>
        <w:t>₂</w:t>
      </w:r>
      <w:r w:rsidRPr="00C45905">
        <w:rPr>
          <w:b/>
          <w:bCs/>
          <w:sz w:val="24"/>
          <w:szCs w:val="24"/>
        </w:rPr>
        <w:t>)</w:t>
      </w:r>
      <w:r w:rsidRPr="00C45905">
        <w:rPr>
          <w:bCs/>
          <w:sz w:val="24"/>
          <w:szCs w:val="24"/>
        </w:rPr>
        <w:t>:</w:t>
      </w:r>
    </w:p>
    <w:p w:rsidR="00D659FE" w:rsidRPr="00D659FE" w:rsidRDefault="001E0CE8" w:rsidP="009A5A72">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Mg(OH)</m:t>
            </m:r>
          </m:e>
          <m:sub>
            <m:r>
              <m:rPr>
                <m:sty m:val="p"/>
              </m:rPr>
              <w:rPr>
                <w:rFonts w:ascii="Cambria Math" w:hAnsi="Cambria Math" w:cs="Times New Roman"/>
                <w:sz w:val="24"/>
                <w:szCs w:val="24"/>
              </w:rPr>
              <m:t>2</m:t>
            </m:r>
          </m:sub>
        </m:sSub>
      </m:oMath>
      <w:r w:rsidR="00AA70DC">
        <w:rPr>
          <w:rFonts w:ascii="Times New Roman" w:eastAsiaTheme="minorEastAsia"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2HCl</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MgCl</m:t>
            </m:r>
          </m:e>
          <m:sub>
            <m:r>
              <m:rPr>
                <m:sty m:val="p"/>
              </m:rPr>
              <w:rPr>
                <w:rFonts w:ascii="Cambria Math" w:hAnsi="Cambria Math" w:cs="Times New Roman"/>
                <w:sz w:val="24"/>
                <w:szCs w:val="24"/>
              </w:rPr>
              <m:t>2</m:t>
            </m:r>
          </m:sub>
        </m:sSub>
      </m:oMath>
      <w:r w:rsidR="00D659FE" w:rsidRPr="00D659FE">
        <w:rPr>
          <w:rFonts w:ascii="Times New Roman"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2H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neutralizes acid effectively and ha</w:t>
      </w:r>
      <w:r w:rsidRPr="00C664FF">
        <w:rPr>
          <w:rFonts w:ascii="Times New Roman" w:hAnsi="Times New Roman" w:cs="Times New Roman"/>
          <w:sz w:val="24"/>
          <w:szCs w:val="24"/>
        </w:rPr>
        <w:t xml:space="preserve">s a fast onset of action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C664FF">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magnesium-based antacids can cause diarrhea when used in excess.</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Aluminum hydroxide (Al(OH)</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C664FF" w:rsidRPr="00C664FF" w:rsidRDefault="00C664FF"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Al</m:t>
        </m:r>
        <m:sSub>
          <m:sSubPr>
            <m:ctrlPr>
              <w:rPr>
                <w:rFonts w:ascii="Cambria Math" w:hAnsi="Cambria Math"/>
                <w:sz w:val="24"/>
                <w:szCs w:val="24"/>
              </w:rPr>
            </m:ctrlPr>
          </m:sSubPr>
          <m:e>
            <m:r>
              <m:rPr>
                <m:sty m:val="p"/>
              </m:rPr>
              <w:rPr>
                <w:rFonts w:ascii="Cambria Math" w:hAnsi="Cambria Math"/>
                <w:sz w:val="24"/>
                <w:szCs w:val="24"/>
              </w:rPr>
              <m:t>(OH)</m:t>
            </m:r>
          </m:e>
          <m:sub>
            <m:r>
              <m:rPr>
                <m:sty m:val="p"/>
              </m:rPr>
              <w:rPr>
                <w:rFonts w:ascii="Cambria Math" w:hAnsi="Cambria Math"/>
                <w:sz w:val="24"/>
                <w:szCs w:val="24"/>
              </w:rPr>
              <m:t>3</m:t>
            </m:r>
          </m:sub>
        </m:sSub>
      </m:oMath>
      <w:r w:rsidRPr="00C664FF">
        <w:rPr>
          <w:rFonts w:ascii="Times New Roman" w:eastAsiaTheme="minorEastAsia" w:hAnsi="Times New Roman"/>
          <w:sz w:val="24"/>
          <w:szCs w:val="24"/>
        </w:rPr>
        <w:t xml:space="preserve"> </w:t>
      </w:r>
      <w:r w:rsidRPr="00C664FF">
        <w:rPr>
          <w:rFonts w:ascii="Times New Roman" w:hAnsi="Times New Roman"/>
          <w:sz w:val="24"/>
          <w:szCs w:val="24"/>
        </w:rPr>
        <w:t xml:space="preserve">+ </w:t>
      </w:r>
      <w:r>
        <w:rPr>
          <w:rFonts w:ascii="Times New Roman" w:hAnsi="Times New Roman"/>
          <w:sz w:val="24"/>
          <w:szCs w:val="24"/>
        </w:rPr>
        <w:t>3</w:t>
      </w:r>
      <w:r w:rsidRPr="00C664FF">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AlCl</m:t>
            </m:r>
          </m:e>
          <m:sub>
            <m:r>
              <m:rPr>
                <m:sty m:val="p"/>
              </m:rPr>
              <w:rPr>
                <w:rFonts w:ascii="Cambria Math" w:hAnsi="Cambria Math"/>
                <w:sz w:val="24"/>
                <w:szCs w:val="24"/>
              </w:rPr>
              <m:t>3</m:t>
            </m:r>
          </m:sub>
        </m:sSub>
      </m:oMath>
      <w:r w:rsidRPr="00C664FF">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3H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occurs mor</w:t>
      </w:r>
      <w:r w:rsidRPr="00083D48">
        <w:rPr>
          <w:rFonts w:ascii="Times New Roman" w:hAnsi="Times New Roman" w:cs="Times New Roman"/>
          <w:sz w:val="24"/>
          <w:szCs w:val="24"/>
        </w:rPr>
        <w:t xml:space="preserve">e slowly, providing sustained acid suppression (Williams &amp; </w:t>
      </w:r>
      <w:proofErr w:type="spellStart"/>
      <w:r w:rsidRPr="00083D48">
        <w:rPr>
          <w:rFonts w:ascii="Times New Roman" w:hAnsi="Times New Roman" w:cs="Times New Roman"/>
          <w:sz w:val="24"/>
          <w:szCs w:val="24"/>
        </w:rPr>
        <w:t>Chukwudi</w:t>
      </w:r>
      <w:proofErr w:type="spellEnd"/>
      <w:r w:rsidRPr="00083D48">
        <w:rPr>
          <w:rFonts w:ascii="Times New Roman" w:hAnsi="Times New Roman" w:cs="Times New Roman"/>
          <w:sz w:val="24"/>
          <w:szCs w:val="24"/>
        </w:rPr>
        <w:t>, 2022). Alumin</w:t>
      </w:r>
      <w:r w:rsidRPr="00D659FE">
        <w:rPr>
          <w:rFonts w:ascii="Times New Roman" w:hAnsi="Times New Roman" w:cs="Times New Roman"/>
          <w:sz w:val="24"/>
          <w:szCs w:val="24"/>
        </w:rPr>
        <w:t>um hydroxide is often combined with magnesium hydroxide to balance their respective effects on bowel movements.</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Calcium carbonate (</w:t>
      </w:r>
      <w:proofErr w:type="spellStart"/>
      <w:r w:rsidRPr="00D659FE">
        <w:rPr>
          <w:rFonts w:ascii="Times New Roman" w:hAnsi="Times New Roman" w:cs="Times New Roman"/>
          <w:b/>
          <w:bCs/>
          <w:sz w:val="24"/>
          <w:szCs w:val="24"/>
        </w:rPr>
        <w:t>CaCO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D659FE"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Ca</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r>
        <w:rPr>
          <w:rFonts w:ascii="Times New Roman" w:hAnsi="Times New Roman"/>
          <w:sz w:val="24"/>
          <w:szCs w:val="24"/>
        </w:rPr>
        <w:t>2</w:t>
      </w:r>
      <w:r w:rsidRPr="00083D48">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CaCl</m:t>
            </m:r>
          </m:e>
          <m:sub>
            <m:r>
              <m:rPr>
                <m:sty m:val="p"/>
              </m:rPr>
              <w:rPr>
                <w:rFonts w:ascii="Cambria Math" w:hAnsi="Cambria Math"/>
                <w:sz w:val="24"/>
                <w:szCs w:val="24"/>
              </w:rPr>
              <m:t>3</m:t>
            </m:r>
          </m:sub>
        </m:sSub>
      </m:oMath>
      <w:r>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produces </w:t>
      </w:r>
      <w:r w:rsidRPr="00083D48">
        <w:rPr>
          <w:rFonts w:ascii="Times New Roman" w:hAnsi="Times New Roman" w:cs="Times New Roman"/>
          <w:sz w:val="24"/>
          <w:szCs w:val="24"/>
        </w:rPr>
        <w:t>carbon dioxide (CO</w:t>
      </w:r>
      <w:r w:rsidRPr="00083D48">
        <w:rPr>
          <w:rFonts w:ascii="Cambria Math" w:hAnsi="Cambria Math" w:cs="Cambria Math"/>
          <w:sz w:val="24"/>
          <w:szCs w:val="24"/>
        </w:rPr>
        <w:t>₂</w:t>
      </w:r>
      <w:r w:rsidRPr="00083D48">
        <w:rPr>
          <w:rFonts w:ascii="Times New Roman" w:hAnsi="Times New Roman" w:cs="Times New Roman"/>
          <w:sz w:val="24"/>
          <w:szCs w:val="24"/>
        </w:rPr>
        <w:t>), which may cause bloating and belching. However, calcium carbonate has a high acid-neutralizing capacity (ANC), making it effective for rapid relief (</w:t>
      </w:r>
      <w:proofErr w:type="spellStart"/>
      <w:r w:rsidRPr="00083D48">
        <w:rPr>
          <w:rFonts w:ascii="Times New Roman" w:hAnsi="Times New Roman" w:cs="Times New Roman"/>
          <w:sz w:val="24"/>
          <w:szCs w:val="24"/>
        </w:rPr>
        <w:t>Ogunleye</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Sodium bicarbonate (</w:t>
      </w:r>
      <w:proofErr w:type="spellStart"/>
      <w:r w:rsidRPr="00D659FE">
        <w:rPr>
          <w:rFonts w:ascii="Times New Roman" w:hAnsi="Times New Roman" w:cs="Times New Roman"/>
          <w:b/>
          <w:bCs/>
          <w:sz w:val="24"/>
          <w:szCs w:val="24"/>
        </w:rPr>
        <w:t>NaHCO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083D48"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NaH</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proofErr w:type="spellStart"/>
      <w:r w:rsidRPr="00083D48">
        <w:rPr>
          <w:rFonts w:ascii="Times New Roman" w:hAnsi="Times New Roman"/>
          <w:sz w:val="24"/>
          <w:szCs w:val="24"/>
        </w:rPr>
        <w:t>HCl</w:t>
      </w:r>
      <w:proofErr w:type="spellEnd"/>
      <w:r w:rsidRPr="00083D48">
        <w:rPr>
          <w:rFonts w:ascii="Times New Roman" w:hAnsi="Times New Roman"/>
          <w:sz w:val="24"/>
          <w:szCs w:val="24"/>
        </w:rPr>
        <w:t xml:space="preserve"> → </w:t>
      </w:r>
      <w:proofErr w:type="spellStart"/>
      <w:r>
        <w:rPr>
          <w:rFonts w:ascii="Times New Roman" w:hAnsi="Times New Roman"/>
          <w:sz w:val="24"/>
          <w:szCs w:val="24"/>
        </w:rPr>
        <w:t>NaCl</w:t>
      </w:r>
      <w:proofErr w:type="spellEnd"/>
      <w:r w:rsidRPr="00083D48">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083D48">
        <w:rPr>
          <w:rFonts w:ascii="Times New Roman" w:hAnsi="Times New Roman" w:cs="Times New Roman"/>
          <w:sz w:val="24"/>
          <w:szCs w:val="24"/>
        </w:rPr>
        <w:lastRenderedPageBreak/>
        <w:t xml:space="preserve">While sodium bicarbonate provides immediate relief, it can lead to systemic alkalosis and sodium retention, making it unsuitable for long-term use, especially in patients with </w:t>
      </w:r>
      <w:r w:rsidRPr="00D659FE">
        <w:rPr>
          <w:rFonts w:ascii="Times New Roman" w:hAnsi="Times New Roman" w:cs="Times New Roman"/>
          <w:sz w:val="24"/>
          <w:szCs w:val="24"/>
        </w:rPr>
        <w:t>hypertension (Adebayo &amp; Yusuf, 2024).</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Buffering and Mucosal Protection</w:t>
      </w:r>
    </w:p>
    <w:p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Apart from direct acid neutralization</w:t>
      </w:r>
      <w:r w:rsidRPr="00083D48">
        <w:rPr>
          <w:rFonts w:ascii="Times New Roman" w:hAnsi="Times New Roman" w:cs="Times New Roman"/>
          <w:sz w:val="24"/>
          <w:szCs w:val="24"/>
        </w:rPr>
        <w:t>, some antacids act as buffers that help maintain a stable gastric pH over time. This reduces rebound acid secretion, a phenomenon where the stomach produces more acid in response to sudden pH changes (</w:t>
      </w:r>
      <w:proofErr w:type="spellStart"/>
      <w:r w:rsidRPr="00083D48">
        <w:rPr>
          <w:rFonts w:ascii="Times New Roman" w:hAnsi="Times New Roman" w:cs="Times New Roman"/>
          <w:sz w:val="24"/>
          <w:szCs w:val="24"/>
        </w:rPr>
        <w:t>Chidiebere</w:t>
      </w:r>
      <w:proofErr w:type="spellEnd"/>
      <w:r w:rsidRPr="00083D48">
        <w:rPr>
          <w:rFonts w:ascii="Times New Roman" w:hAnsi="Times New Roman" w:cs="Times New Roman"/>
          <w:sz w:val="24"/>
          <w:szCs w:val="24"/>
        </w:rPr>
        <w:t xml:space="preserve"> &amp; </w:t>
      </w:r>
      <w:proofErr w:type="spellStart"/>
      <w:r w:rsidRPr="00083D48">
        <w:rPr>
          <w:rFonts w:ascii="Times New Roman" w:hAnsi="Times New Roman" w:cs="Times New Roman"/>
          <w:sz w:val="24"/>
          <w:szCs w:val="24"/>
        </w:rPr>
        <w:t>Okafor</w:t>
      </w:r>
      <w:proofErr w:type="spellEnd"/>
      <w:r w:rsidRPr="00083D48">
        <w:rPr>
          <w:rFonts w:ascii="Times New Roman" w:hAnsi="Times New Roman" w:cs="Times New Roman"/>
          <w:sz w:val="24"/>
          <w:szCs w:val="24"/>
        </w:rPr>
        <w:t xml:space="preserve">, 2023). Additionally, some formulations contain alginates, which form a gel-like barrier that prevents acid reflux, particularly in conditions such as </w:t>
      </w:r>
      <w:proofErr w:type="spellStart"/>
      <w:r w:rsidRPr="00083D48">
        <w:rPr>
          <w:rFonts w:ascii="Times New Roman" w:hAnsi="Times New Roman" w:cs="Times New Roman"/>
          <w:sz w:val="24"/>
          <w:szCs w:val="24"/>
        </w:rPr>
        <w:t>gastroesophageal</w:t>
      </w:r>
      <w:proofErr w:type="spellEnd"/>
      <w:r w:rsidRPr="00083D48">
        <w:rPr>
          <w:rFonts w:ascii="Times New Roman" w:hAnsi="Times New Roman" w:cs="Times New Roman"/>
          <w:sz w:val="24"/>
          <w:szCs w:val="24"/>
        </w:rPr>
        <w:t xml:space="preserve"> reflux disease (GERD) (</w:t>
      </w:r>
      <w:proofErr w:type="spellStart"/>
      <w:r w:rsidRPr="00083D48">
        <w:rPr>
          <w:rFonts w:ascii="Times New Roman" w:hAnsi="Times New Roman" w:cs="Times New Roman"/>
          <w:sz w:val="24"/>
          <w:szCs w:val="24"/>
        </w:rPr>
        <w:t>Oluwaseun</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083D48">
        <w:rPr>
          <w:rFonts w:ascii="Times New Roman" w:hAnsi="Times New Roman" w:cs="Times New Roman"/>
          <w:sz w:val="24"/>
          <w:szCs w:val="24"/>
        </w:rPr>
        <w:t xml:space="preserve"> 2022).</w:t>
      </w:r>
    </w:p>
    <w:p w:rsidR="00D659FE" w:rsidRPr="00C45905" w:rsidRDefault="00D659FE" w:rsidP="009A5A72">
      <w:pPr>
        <w:pStyle w:val="ListParagraph"/>
        <w:numPr>
          <w:ilvl w:val="2"/>
          <w:numId w:val="7"/>
        </w:numPr>
        <w:spacing w:line="360" w:lineRule="auto"/>
        <w:rPr>
          <w:b/>
          <w:bCs/>
          <w:sz w:val="24"/>
          <w:szCs w:val="24"/>
        </w:rPr>
      </w:pPr>
      <w:r w:rsidRPr="00C45905">
        <w:rPr>
          <w:b/>
          <w:bCs/>
          <w:sz w:val="24"/>
          <w:szCs w:val="24"/>
        </w:rPr>
        <w:t>Interaction with Pepsin and Bile 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w:t>
      </w:r>
      <w:r w:rsidRPr="00083D48">
        <w:rPr>
          <w:rFonts w:ascii="Times New Roman" w:hAnsi="Times New Roman" w:cs="Times New Roman"/>
          <w:sz w:val="24"/>
          <w:szCs w:val="24"/>
        </w:rPr>
        <w:t xml:space="preserve"> inactivate pepsin, a digestive enzyme that contributes to mucosal damage when gastric pH is too low. Aluminum hydroxide and magnesium hydroxide have been found to reduce pepsin activity, providing additional protective effects for the stomach lining (Emmanuel &amp; </w:t>
      </w:r>
      <w:proofErr w:type="spellStart"/>
      <w:r w:rsidRPr="00083D48">
        <w:rPr>
          <w:rFonts w:ascii="Times New Roman" w:hAnsi="Times New Roman" w:cs="Times New Roman"/>
          <w:sz w:val="24"/>
          <w:szCs w:val="24"/>
        </w:rPr>
        <w:t>Okechukwu</w:t>
      </w:r>
      <w:proofErr w:type="spellEnd"/>
      <w:r w:rsidRPr="00083D48">
        <w:rPr>
          <w:rFonts w:ascii="Times New Roman" w:hAnsi="Times New Roman" w:cs="Times New Roman"/>
          <w:sz w:val="24"/>
          <w:szCs w:val="24"/>
        </w:rPr>
        <w:t>, 2021). Moreover, certain antacids help neutralize bile acids, reducing irritat</w:t>
      </w:r>
      <w:r w:rsidRPr="00D659FE">
        <w:rPr>
          <w:rFonts w:ascii="Times New Roman" w:hAnsi="Times New Roman" w:cs="Times New Roman"/>
          <w:sz w:val="24"/>
          <w:szCs w:val="24"/>
        </w:rPr>
        <w:t>ion in patients with bile reflux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2"/>
          <w:numId w:val="7"/>
        </w:numPr>
        <w:spacing w:after="0" w:line="360" w:lineRule="auto"/>
        <w:rPr>
          <w:rFonts w:ascii="Times New Roman" w:hAnsi="Times New Roman" w:cs="Times New Roman"/>
          <w:b/>
          <w:bCs/>
          <w:sz w:val="24"/>
          <w:szCs w:val="24"/>
        </w:rPr>
      </w:pPr>
      <w:r w:rsidRPr="00D659FE">
        <w:rPr>
          <w:rFonts w:ascii="Times New Roman" w:hAnsi="Times New Roman" w:cs="Times New Roman"/>
          <w:b/>
          <w:bCs/>
          <w:sz w:val="24"/>
          <w:szCs w:val="24"/>
        </w:rPr>
        <w:t>Effect on Gastric Emptying and Gastrointestinal Motility</w:t>
      </w:r>
    </w:p>
    <w:p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Different antacids influence</w:t>
      </w:r>
      <w:r w:rsidRPr="00083D48">
        <w:rPr>
          <w:rFonts w:ascii="Times New Roman" w:hAnsi="Times New Roman" w:cs="Times New Roman"/>
          <w:sz w:val="24"/>
          <w:szCs w:val="24"/>
        </w:rPr>
        <w:t xml:space="preserve"> gastric emptying rates and gut motility. Magnesium-based antacids tend to promote faster bowel movements, potentially leading to diarrhea, while aluminum-based compounds slow gastric emptying, increasing the risk of constipation (</w:t>
      </w:r>
      <w:proofErr w:type="spellStart"/>
      <w:r w:rsidRPr="00083D48">
        <w:rPr>
          <w:rFonts w:ascii="Times New Roman" w:hAnsi="Times New Roman" w:cs="Times New Roman"/>
          <w:sz w:val="24"/>
          <w:szCs w:val="24"/>
        </w:rPr>
        <w:t>Ogundipe</w:t>
      </w:r>
      <w:proofErr w:type="spellEnd"/>
      <w:r w:rsidRPr="00083D48">
        <w:rPr>
          <w:rFonts w:ascii="Times New Roman" w:hAnsi="Times New Roman" w:cs="Times New Roman"/>
          <w:sz w:val="24"/>
          <w:szCs w:val="24"/>
        </w:rPr>
        <w:t xml:space="preserve"> &amp; Williams, 2022). Combination formulations, such as magnesium-aluminum mixtures, help balance these effects, minimizing gastrointestinal side effects (</w:t>
      </w:r>
      <w:proofErr w:type="spellStart"/>
      <w:r w:rsidRPr="00083D48">
        <w:rPr>
          <w:rFonts w:ascii="Times New Roman" w:hAnsi="Times New Roman" w:cs="Times New Roman"/>
          <w:sz w:val="24"/>
          <w:szCs w:val="24"/>
        </w:rPr>
        <w:t>Okon</w:t>
      </w:r>
      <w:proofErr w:type="spellEnd"/>
      <w:r w:rsidRPr="00083D48">
        <w:rPr>
          <w:rFonts w:ascii="Times New Roman" w:hAnsi="Times New Roman" w:cs="Times New Roman"/>
          <w:sz w:val="24"/>
          <w:szCs w:val="24"/>
        </w:rPr>
        <w:t xml:space="preserve"> &amp; Bello, 2023).</w:t>
      </w:r>
    </w:p>
    <w:p w:rsidR="00B7318F" w:rsidRDefault="00B7318F" w:rsidP="00B7318F">
      <w:pPr>
        <w:spacing w:before="240" w:after="0" w:line="360" w:lineRule="auto"/>
        <w:rPr>
          <w:rFonts w:ascii="Times New Roman" w:hAnsi="Times New Roman" w:cs="Times New Roman"/>
          <w:b/>
          <w:bCs/>
          <w:sz w:val="24"/>
          <w:szCs w:val="24"/>
        </w:rPr>
      </w:pPr>
    </w:p>
    <w:p w:rsidR="00B7318F" w:rsidRDefault="00B7318F" w:rsidP="00B7318F">
      <w:pPr>
        <w:spacing w:before="240" w:after="0" w:line="360" w:lineRule="auto"/>
        <w:rPr>
          <w:rFonts w:ascii="Times New Roman" w:hAnsi="Times New Roman" w:cs="Times New Roman"/>
          <w:b/>
          <w:bCs/>
          <w:sz w:val="24"/>
          <w:szCs w:val="24"/>
        </w:rPr>
      </w:pPr>
    </w:p>
    <w:p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CHEMICAL NEUTRALIZATION</w:t>
      </w:r>
    </w:p>
    <w:p w:rsidR="00A9662E" w:rsidRPr="00B7318F" w:rsidRDefault="00D659FE" w:rsidP="00B7318F">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pri</w:t>
      </w:r>
      <w:r w:rsidRPr="007D6963">
        <w:rPr>
          <w:rFonts w:ascii="Times New Roman" w:hAnsi="Times New Roman" w:cs="Times New Roman"/>
          <w:sz w:val="24"/>
          <w:szCs w:val="24"/>
        </w:rPr>
        <w:t>mary mechanism through which antacids relieve acid-related disorders is chemical neutralization, a process in which weakly basic compounds react with gastric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to form salt and water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w:t>
      </w:r>
      <w:r w:rsidR="007D6963">
        <w:rPr>
          <w:rFonts w:ascii="Times New Roman" w:hAnsi="Times New Roman" w:cs="Times New Roman"/>
          <w:sz w:val="24"/>
          <w:szCs w:val="24"/>
        </w:rPr>
        <w:t xml:space="preserve">). This neutralization reaction </w:t>
      </w:r>
      <w:r w:rsidRPr="007D6963">
        <w:rPr>
          <w:rFonts w:ascii="Times New Roman" w:hAnsi="Times New Roman" w:cs="Times New Roman"/>
          <w:sz w:val="24"/>
          <w:szCs w:val="24"/>
        </w:rPr>
        <w:t>reduces stomach acidity, increasing the pH and alleviating symptoms such as heartburn, indigestion, and acid reflux. The efficiency of an antacid’s acid-neutralizing capacity (ANC) is determined by its chemical composition, solubility, and rate of reaction with gastric acid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METHODS OF EVALUATING ACID NEUTRALIZING CAPACITY</w:t>
      </w:r>
    </w:p>
    <w:p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w:t>
      </w:r>
      <w:r w:rsidRPr="007D6963">
        <w:rPr>
          <w:rFonts w:ascii="Times New Roman" w:hAnsi="Times New Roman" w:cs="Times New Roman"/>
          <w:sz w:val="24"/>
          <w:szCs w:val="24"/>
        </w:rPr>
        <w:t>acid neutralizing capacity (ANC) of an antacid refers to its ability to neutralize gastric acid and maintain an optimal pH level in the stomach. Evaluating ANC is crucial for determining the effectiveness of different antacid formulations, ensuring proper dosage recommendations, and comparing various commercial products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 Several experimental methods have been developed to assess the ANC of antacids, with the most common techniques including titration methods, pH analysis, and in-vitro gastric acid simulation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00F03613" w:rsidRPr="00C45905">
        <w:rPr>
          <w:rFonts w:ascii="Times New Roman" w:hAnsi="Times New Roman" w:cs="Times New Roman"/>
          <w:b/>
          <w:bCs/>
          <w:sz w:val="24"/>
          <w:szCs w:val="24"/>
        </w:rPr>
        <w:t>Titration Methods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w:t>
      </w:r>
      <w:r w:rsidRPr="007D6963">
        <w:rPr>
          <w:rFonts w:ascii="Times New Roman" w:hAnsi="Times New Roman" w:cs="Times New Roman"/>
          <w:sz w:val="24"/>
          <w:szCs w:val="24"/>
        </w:rPr>
        <w:t>ost widely used techniques for evaluating ANC is acid-base titration, which determines the amount of acid required to neutralize an antacid formulation. In this method, a known concentration of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usually 0.1 M, is added to a suspension of the antacid under controlled conditions. The reaction continues until the pH reaches a pre-defined endpoint, typically around 3–4, which mimics the acidic environment of the stomach (Williams &amp; </w:t>
      </w:r>
      <w:proofErr w:type="spellStart"/>
      <w:r w:rsidRPr="007D6963">
        <w:rPr>
          <w:rFonts w:ascii="Times New Roman" w:hAnsi="Times New Roman" w:cs="Times New Roman"/>
          <w:sz w:val="24"/>
          <w:szCs w:val="24"/>
        </w:rPr>
        <w:t>C</w:t>
      </w:r>
      <w:r w:rsidRPr="00D659FE">
        <w:rPr>
          <w:rFonts w:ascii="Times New Roman" w:hAnsi="Times New Roman" w:cs="Times New Roman"/>
          <w:sz w:val="24"/>
          <w:szCs w:val="24"/>
        </w:rPr>
        <w:t>hukwudi</w:t>
      </w:r>
      <w:proofErr w:type="spellEnd"/>
      <w:r w:rsidRPr="00D659FE">
        <w:rPr>
          <w:rFonts w:ascii="Times New Roman" w:hAnsi="Times New Roman" w:cs="Times New Roman"/>
          <w:sz w:val="24"/>
          <w:szCs w:val="24"/>
        </w:rPr>
        <w:t>, 2022).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volume o</w:t>
      </w:r>
      <w:r w:rsidRPr="007D6963">
        <w:rPr>
          <w:rFonts w:ascii="Times New Roman" w:hAnsi="Times New Roman" w:cs="Times New Roman"/>
          <w:sz w:val="24"/>
          <w:szCs w:val="24"/>
        </w:rPr>
        <w:t xml:space="preserve">f acid required to reach the endpoint provides a measure of the neutralizing power of the antacid. More effective antacids require less volume of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to reach the desired pH level, indicating a higher ANC (</w:t>
      </w:r>
      <w:proofErr w:type="spellStart"/>
      <w:r w:rsidRPr="007D6963">
        <w:rPr>
          <w:rFonts w:ascii="Times New Roman" w:hAnsi="Times New Roman" w:cs="Times New Roman"/>
          <w:sz w:val="24"/>
          <w:szCs w:val="24"/>
        </w:rPr>
        <w:t>Ogunleye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 Back titration is also commonly used, where excess acid is added to the antacid, and the remaining unreacted acid is titrated with a strong base (</w:t>
      </w:r>
      <w:proofErr w:type="spellStart"/>
      <w:r w:rsidRPr="007D6963">
        <w:rPr>
          <w:rFonts w:ascii="Times New Roman" w:hAnsi="Times New Roman" w:cs="Times New Roman"/>
          <w:sz w:val="24"/>
          <w:szCs w:val="24"/>
        </w:rPr>
        <w:t>NaOH</w:t>
      </w:r>
      <w:proofErr w:type="spellEnd"/>
      <w:r w:rsidRPr="007D6963">
        <w:rPr>
          <w:rFonts w:ascii="Times New Roman" w:hAnsi="Times New Roman" w:cs="Times New Roman"/>
          <w:sz w:val="24"/>
          <w:szCs w:val="24"/>
        </w:rPr>
        <w:t>)</w:t>
      </w:r>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to determine ANC more precisely (Adebayo &amp; Yusuf, 2024).</w:t>
      </w:r>
    </w:p>
    <w:p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 xml:space="preserve">pH </w:t>
      </w:r>
      <w:r w:rsidR="00F03613">
        <w:rPr>
          <w:b/>
          <w:bCs/>
          <w:sz w:val="24"/>
          <w:szCs w:val="24"/>
        </w:rPr>
        <w:t>Analysis a</w:t>
      </w:r>
      <w:r w:rsidR="00F03613" w:rsidRPr="00C45905">
        <w:rPr>
          <w:b/>
          <w:bCs/>
          <w:sz w:val="24"/>
          <w:szCs w:val="24"/>
        </w:rPr>
        <w:t xml:space="preserve">nd </w:t>
      </w:r>
      <w:r w:rsidR="00F03613">
        <w:rPr>
          <w:b/>
          <w:bCs/>
          <w:sz w:val="24"/>
          <w:szCs w:val="24"/>
        </w:rPr>
        <w:t>pH</w:t>
      </w:r>
      <w:r w:rsidR="00F03613" w:rsidRPr="00C45905">
        <w:rPr>
          <w:b/>
          <w:bCs/>
          <w:sz w:val="24"/>
          <w:szCs w:val="24"/>
        </w:rPr>
        <w:t>-Stat Methods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Another widely used method for assessin</w:t>
      </w:r>
      <w:r w:rsidRPr="007D6963">
        <w:rPr>
          <w:rFonts w:ascii="Times New Roman" w:hAnsi="Times New Roman" w:cs="Times New Roman"/>
          <w:sz w:val="24"/>
          <w:szCs w:val="24"/>
        </w:rPr>
        <w:t>g ANC involves monitoring real-time pH changes when an antacid is introduced into an acidic solution. The pH-stat method involves continuously measuring the pH of a gastric acid solution as antacid is added, ensuring that the pH remains within the physiologically relev</w:t>
      </w:r>
      <w:r w:rsidRPr="00D659FE">
        <w:rPr>
          <w:rFonts w:ascii="Times New Roman" w:hAnsi="Times New Roman" w:cs="Times New Roman"/>
          <w:sz w:val="24"/>
          <w:szCs w:val="24"/>
        </w:rPr>
        <w:t>ant range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w:t>
      </w:r>
      <w:r w:rsidRPr="007D6963">
        <w:rPr>
          <w:rFonts w:ascii="Times New Roman" w:hAnsi="Times New Roman" w:cs="Times New Roman"/>
          <w:sz w:val="24"/>
          <w:szCs w:val="24"/>
        </w:rPr>
        <w:t xml:space="preserve"> pH maintenance time—how long the antacid keeps the solution within an optimal pH range—is a critical factor in determining the duration of antacid action. Antacids that provide a longer duration of pH stability are generally considered more effective in controlling hyperacidity and acid reflux symptoms (</w:t>
      </w:r>
      <w:proofErr w:type="spellStart"/>
      <w:r w:rsidRPr="007D6963">
        <w:rPr>
          <w:rFonts w:ascii="Times New Roman" w:hAnsi="Times New Roman" w:cs="Times New Roman"/>
          <w:sz w:val="24"/>
          <w:szCs w:val="24"/>
        </w:rPr>
        <w:t>Oluwaseun</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2022).</w:t>
      </w:r>
    </w:p>
    <w:p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In-Vitro Gastric Acid Simulation</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To more accurately simulate real gastric conditions, in-vitro gastric models have been developed to test antacid effectiveness. These models involve synthetic gastric fluid, which mimics the composition and acidity of human stomach secretions. Antacids are added to the system, and their impact on pH stability and acid neutralization is assessed over time (Emmanuel &amp; </w:t>
      </w:r>
      <w:proofErr w:type="spellStart"/>
      <w:r w:rsidRPr="0068456B">
        <w:rPr>
          <w:rFonts w:ascii="Times New Roman" w:hAnsi="Times New Roman" w:cs="Times New Roman"/>
          <w:sz w:val="24"/>
          <w:szCs w:val="24"/>
        </w:rPr>
        <w:t>Okechukwu</w:t>
      </w:r>
      <w:proofErr w:type="spellEnd"/>
      <w:r w:rsidRPr="0068456B">
        <w:rPr>
          <w:rFonts w:ascii="Times New Roman" w:hAnsi="Times New Roman" w:cs="Times New Roman"/>
          <w:sz w:val="24"/>
          <w:szCs w:val="24"/>
        </w:rPr>
        <w:t>, 2021).</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Some advanced gastric models include dynamic systems, which simulate gastric motility and food presence, providing a more realistic evaluation of how antacids function inside the stomach. These tests help predict how quickly an antacid dissolves, reacts, and provides symptom relief in real-world conditions (</w:t>
      </w:r>
      <w:proofErr w:type="spellStart"/>
      <w:r w:rsidRPr="0068456B">
        <w:rPr>
          <w:rFonts w:ascii="Times New Roman" w:hAnsi="Times New Roman" w:cs="Times New Roman"/>
          <w:sz w:val="24"/>
          <w:szCs w:val="24"/>
        </w:rPr>
        <w:t>Akinyemi</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2023).</w:t>
      </w:r>
    </w:p>
    <w:p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proofErr w:type="spellStart"/>
      <w:r w:rsidRPr="00D659FE">
        <w:rPr>
          <w:rFonts w:ascii="Times New Roman" w:hAnsi="Times New Roman" w:cs="Times New Roman"/>
          <w:b/>
          <w:bCs/>
          <w:sz w:val="24"/>
          <w:szCs w:val="24"/>
        </w:rPr>
        <w:t>Conductometric</w:t>
      </w:r>
      <w:proofErr w:type="spellEnd"/>
      <w:r w:rsidRPr="00D659FE">
        <w:rPr>
          <w:rFonts w:ascii="Times New Roman" w:hAnsi="Times New Roman" w:cs="Times New Roman"/>
          <w:b/>
          <w:bCs/>
          <w:sz w:val="24"/>
          <w:szCs w:val="24"/>
        </w:rPr>
        <w:t xml:space="preserve"> and Spectrophotometric Analysis</w:t>
      </w:r>
    </w:p>
    <w:p w:rsidR="00D659FE" w:rsidRPr="0068456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Modern techniques such a</w:t>
      </w:r>
      <w:r w:rsidRPr="0068456B">
        <w:rPr>
          <w:rFonts w:ascii="Times New Roman" w:hAnsi="Times New Roman" w:cs="Times New Roman"/>
          <w:sz w:val="24"/>
          <w:szCs w:val="24"/>
        </w:rPr>
        <w:t xml:space="preserve">s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and UV-visible spectrophotometry</w:t>
      </w:r>
    </w:p>
    <w:p w:rsidR="00D659FE" w:rsidRPr="0068456B" w:rsidRDefault="00D659FE" w:rsidP="009A5A72">
      <w:pPr>
        <w:spacing w:after="0" w:line="360" w:lineRule="auto"/>
        <w:jc w:val="both"/>
        <w:rPr>
          <w:rFonts w:ascii="Times New Roman" w:hAnsi="Times New Roman" w:cs="Times New Roman"/>
          <w:sz w:val="24"/>
          <w:szCs w:val="24"/>
        </w:rPr>
      </w:pPr>
      <w:proofErr w:type="gramStart"/>
      <w:r w:rsidRPr="0068456B">
        <w:rPr>
          <w:rFonts w:ascii="Times New Roman" w:hAnsi="Times New Roman" w:cs="Times New Roman"/>
          <w:sz w:val="24"/>
          <w:szCs w:val="24"/>
        </w:rPr>
        <w:t>have</w:t>
      </w:r>
      <w:proofErr w:type="gramEnd"/>
      <w:r w:rsidRPr="0068456B">
        <w:rPr>
          <w:rFonts w:ascii="Times New Roman" w:hAnsi="Times New Roman" w:cs="Times New Roman"/>
          <w:sz w:val="24"/>
          <w:szCs w:val="24"/>
        </w:rPr>
        <w:t xml:space="preserve"> also been employed in ANC evaluation.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measures the change in electrical conductivity of the solution as the antacid reacts with acid, providing insights into the rate and extent of neutralization (</w:t>
      </w:r>
      <w:proofErr w:type="spellStart"/>
      <w:r w:rsidRPr="0068456B">
        <w:rPr>
          <w:rFonts w:ascii="Times New Roman" w:hAnsi="Times New Roman" w:cs="Times New Roman"/>
          <w:sz w:val="24"/>
          <w:szCs w:val="24"/>
        </w:rPr>
        <w:t>Ogundipe</w:t>
      </w:r>
      <w:proofErr w:type="spellEnd"/>
      <w:r w:rsidRPr="0068456B">
        <w:rPr>
          <w:rFonts w:ascii="Times New Roman" w:hAnsi="Times New Roman" w:cs="Times New Roman"/>
          <w:sz w:val="24"/>
          <w:szCs w:val="24"/>
        </w:rPr>
        <w:t xml:space="preserve"> &amp; Williams, 2022).</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Similarly, UV-visible spectrophotometry helps determine active ingredient concentration and reaction completion, making it a valuable tool for quality control in pharmaceutical formulations (</w:t>
      </w:r>
      <w:proofErr w:type="spellStart"/>
      <w:r w:rsidRPr="0068456B">
        <w:rPr>
          <w:rFonts w:ascii="Times New Roman" w:hAnsi="Times New Roman" w:cs="Times New Roman"/>
          <w:sz w:val="24"/>
          <w:szCs w:val="24"/>
        </w:rPr>
        <w:t>Okon</w:t>
      </w:r>
      <w:proofErr w:type="spellEnd"/>
      <w:r w:rsidRPr="0068456B">
        <w:rPr>
          <w:rFonts w:ascii="Times New Roman" w:hAnsi="Times New Roman" w:cs="Times New Roman"/>
          <w:sz w:val="24"/>
          <w:szCs w:val="24"/>
        </w:rPr>
        <w:t xml:space="preserve"> &amp; Bello, 2023).</w:t>
      </w:r>
    </w:p>
    <w:p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Clinical and Pharmacokinetic Studies</w:t>
      </w:r>
    </w:p>
    <w:p w:rsidR="00A9662E" w:rsidRPr="00F0361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In addition to laboratory-based A</w:t>
      </w:r>
      <w:r w:rsidRPr="0068456B">
        <w:rPr>
          <w:rFonts w:ascii="Times New Roman" w:hAnsi="Times New Roman" w:cs="Times New Roman"/>
          <w:sz w:val="24"/>
          <w:szCs w:val="24"/>
        </w:rPr>
        <w:t>NC evaluation, clinical studies assess the real-world effectiveness of antacids in managing symptoms like acid reflux and heartburn. Pharmacokinetic studies analyze how antacids interact with gastric secretions and their onset and duration of action in human subjects (</w:t>
      </w:r>
      <w:proofErr w:type="spellStart"/>
      <w:r w:rsidRPr="0068456B">
        <w:rPr>
          <w:rFonts w:ascii="Times New Roman" w:hAnsi="Times New Roman" w:cs="Times New Roman"/>
          <w:sz w:val="24"/>
          <w:szCs w:val="24"/>
        </w:rPr>
        <w:t>Olawale</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2024). These studies help refine antacid formulations and improve treatment recommendations for acid-related disorders</w:t>
      </w:r>
      <w:r w:rsidR="0068681A">
        <w:rPr>
          <w:rFonts w:ascii="Times New Roman" w:hAnsi="Times New Roman" w:cs="Times New Roman"/>
          <w:sz w:val="24"/>
          <w:szCs w:val="24"/>
        </w:rPr>
        <w:t>.</w:t>
      </w:r>
    </w:p>
    <w:p w:rsidR="00D659FE" w:rsidRPr="00D659FE" w:rsidRDefault="0068681A" w:rsidP="00F03613">
      <w:pPr>
        <w:spacing w:before="240" w:after="0" w:line="360" w:lineRule="auto"/>
        <w:jc w:val="both"/>
        <w:rPr>
          <w:rFonts w:ascii="Times New Roman" w:hAnsi="Times New Roman" w:cs="Times New Roman"/>
          <w:b/>
          <w:bCs/>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D659FE" w:rsidRPr="00D659FE">
        <w:rPr>
          <w:rFonts w:ascii="Times New Roman" w:hAnsi="Times New Roman" w:cs="Times New Roman"/>
          <w:b/>
          <w:bCs/>
          <w:sz w:val="24"/>
          <w:szCs w:val="24"/>
        </w:rPr>
        <w:t>HEALTH IMPLICATIONS OF ANTACIDS</w:t>
      </w:r>
    </w:p>
    <w:p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68681A">
        <w:rPr>
          <w:rFonts w:ascii="Times New Roman" w:hAnsi="Times New Roman" w:cs="Times New Roman"/>
          <w:sz w:val="24"/>
          <w:szCs w:val="24"/>
        </w:rPr>
        <w:t xml:space="preserve">s play a crucial role in managing acid-related disorders, including </w:t>
      </w:r>
      <w:proofErr w:type="spellStart"/>
      <w:r w:rsidRPr="0068681A">
        <w:rPr>
          <w:rFonts w:ascii="Times New Roman" w:hAnsi="Times New Roman" w:cs="Times New Roman"/>
          <w:sz w:val="24"/>
          <w:szCs w:val="24"/>
        </w:rPr>
        <w:t>gastroesophageal</w:t>
      </w:r>
      <w:proofErr w:type="spellEnd"/>
      <w:r w:rsidRPr="0068681A">
        <w:rPr>
          <w:rFonts w:ascii="Times New Roman" w:hAnsi="Times New Roman" w:cs="Times New Roman"/>
          <w:sz w:val="24"/>
          <w:szCs w:val="24"/>
        </w:rPr>
        <w:t xml:space="preserve"> reflux disease (GERD), peptic ulcers, and dyspepsia. They provide rapid relief by neutralizing stomach acid, improving patient comfort and quality of life (</w:t>
      </w:r>
      <w:proofErr w:type="spellStart"/>
      <w:r w:rsidRPr="0068681A">
        <w:rPr>
          <w:rFonts w:ascii="Times New Roman" w:hAnsi="Times New Roman" w:cs="Times New Roman"/>
          <w:sz w:val="24"/>
          <w:szCs w:val="24"/>
        </w:rPr>
        <w:t>Okonkwo</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Adeyemi</w:t>
      </w:r>
      <w:proofErr w:type="spellEnd"/>
      <w:r w:rsidRPr="0068681A">
        <w:rPr>
          <w:rFonts w:ascii="Times New Roman" w:hAnsi="Times New Roman" w:cs="Times New Roman"/>
          <w:sz w:val="24"/>
          <w:szCs w:val="24"/>
        </w:rPr>
        <w:t xml:space="preserve">, 2021). However, their prolonged or excessive use can lead to various health implications, including metabolic imbalances, drug interactions, and gastrointestinal disturbances (Williams &amp; </w:t>
      </w:r>
      <w:proofErr w:type="spellStart"/>
      <w:r w:rsidRPr="0068681A">
        <w:rPr>
          <w:rFonts w:ascii="Times New Roman" w:hAnsi="Times New Roman" w:cs="Times New Roman"/>
          <w:sz w:val="24"/>
          <w:szCs w:val="24"/>
        </w:rPr>
        <w:t>Chukwudi</w:t>
      </w:r>
      <w:proofErr w:type="spellEnd"/>
      <w:r w:rsidRPr="0068681A">
        <w:rPr>
          <w:rFonts w:ascii="Times New Roman" w:hAnsi="Times New Roman" w:cs="Times New Roman"/>
          <w:sz w:val="24"/>
          <w:szCs w:val="24"/>
        </w:rPr>
        <w:t>, 2022).</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and Metabolic Imbalances</w:t>
      </w:r>
    </w:p>
    <w:p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w:t>
      </w:r>
      <w:r w:rsidRPr="0068681A">
        <w:rPr>
          <w:rFonts w:ascii="Times New Roman" w:hAnsi="Times New Roman" w:cs="Times New Roman"/>
          <w:sz w:val="24"/>
          <w:szCs w:val="24"/>
        </w:rPr>
        <w:t xml:space="preserve"> of calcium-based antacids, such as calcium carbonate, can result in </w:t>
      </w:r>
      <w:proofErr w:type="spellStart"/>
      <w:r w:rsidRPr="0068681A">
        <w:rPr>
          <w:rFonts w:ascii="Times New Roman" w:hAnsi="Times New Roman" w:cs="Times New Roman"/>
          <w:sz w:val="24"/>
          <w:szCs w:val="24"/>
        </w:rPr>
        <w:t>hypercalcemia</w:t>
      </w:r>
      <w:proofErr w:type="spellEnd"/>
      <w:r w:rsidRPr="0068681A">
        <w:rPr>
          <w:rFonts w:ascii="Times New Roman" w:hAnsi="Times New Roman" w:cs="Times New Roman"/>
          <w:sz w:val="24"/>
          <w:szCs w:val="24"/>
        </w:rPr>
        <w:t>, leading to kidney stone formation, altered heart rhythms, and muscle weakness (</w:t>
      </w:r>
      <w:proofErr w:type="spellStart"/>
      <w:r w:rsidRPr="0068681A">
        <w:rPr>
          <w:rFonts w:ascii="Times New Roman" w:hAnsi="Times New Roman" w:cs="Times New Roman"/>
          <w:sz w:val="24"/>
          <w:szCs w:val="24"/>
        </w:rPr>
        <w:t>Ogunleye</w:t>
      </w:r>
      <w:proofErr w:type="spellEnd"/>
      <w:r w:rsidRPr="0068681A">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68681A">
        <w:rPr>
          <w:rFonts w:ascii="Times New Roman" w:hAnsi="Times New Roman" w:cs="Times New Roman"/>
          <w:sz w:val="24"/>
          <w:szCs w:val="24"/>
        </w:rPr>
        <w:t xml:space="preserve"> 2023). Similarly, excessive consumption of magnesium-based antacids may cause </w:t>
      </w:r>
      <w:proofErr w:type="spellStart"/>
      <w:r w:rsidRPr="0068681A">
        <w:rPr>
          <w:rFonts w:ascii="Times New Roman" w:hAnsi="Times New Roman" w:cs="Times New Roman"/>
          <w:sz w:val="24"/>
          <w:szCs w:val="24"/>
        </w:rPr>
        <w:t>hypermagnesemia</w:t>
      </w:r>
      <w:proofErr w:type="spellEnd"/>
      <w:r w:rsidRPr="0068681A">
        <w:rPr>
          <w:rFonts w:ascii="Times New Roman" w:hAnsi="Times New Roman" w:cs="Times New Roman"/>
          <w:sz w:val="24"/>
          <w:szCs w:val="24"/>
        </w:rPr>
        <w:t>, characterized by symptoms such as hypotension, respiratory depression, and confusion (Adebayo &amp; Yusuf, 2024).</w:t>
      </w:r>
    </w:p>
    <w:p w:rsidR="00D659FE" w:rsidRPr="00D659FE" w:rsidRDefault="00D659FE" w:rsidP="009A5A72">
      <w:pPr>
        <w:spacing w:after="0" w:line="360" w:lineRule="auto"/>
        <w:jc w:val="both"/>
        <w:rPr>
          <w:rFonts w:ascii="Times New Roman" w:hAnsi="Times New Roman" w:cs="Times New Roman"/>
          <w:sz w:val="24"/>
          <w:szCs w:val="24"/>
        </w:rPr>
      </w:pPr>
      <w:r w:rsidRPr="0068681A">
        <w:rPr>
          <w:rFonts w:ascii="Times New Roman" w:hAnsi="Times New Roman" w:cs="Times New Roman"/>
          <w:sz w:val="24"/>
          <w:szCs w:val="24"/>
        </w:rPr>
        <w:t>Another common issue is metabolic alkalosis, which occurs due to the overconsumption of bicarbonate-containing antacids. This condition leads to symptoms such as nausea, muscle twitching, and electrolyte imbalances (</w:t>
      </w:r>
      <w:proofErr w:type="spellStart"/>
      <w:r w:rsidRPr="0068681A">
        <w:rPr>
          <w:rFonts w:ascii="Times New Roman" w:hAnsi="Times New Roman" w:cs="Times New Roman"/>
          <w:sz w:val="24"/>
          <w:szCs w:val="24"/>
        </w:rPr>
        <w:t>Chidiebere</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Okafor</w:t>
      </w:r>
      <w:proofErr w:type="spellEnd"/>
      <w:r w:rsidRPr="0068681A">
        <w:rPr>
          <w:rFonts w:ascii="Times New Roman" w:hAnsi="Times New Roman" w:cs="Times New Roman"/>
          <w:sz w:val="24"/>
          <w:szCs w:val="24"/>
        </w:rPr>
        <w:t>, 2023). Patients with renal insufficiency are particularly vulnerable, as their kidneys may struggle to excrete excess calcium, magnesium, or aluminum from pro</w:t>
      </w:r>
      <w:r w:rsidRPr="00D659FE">
        <w:rPr>
          <w:rFonts w:ascii="Times New Roman" w:hAnsi="Times New Roman" w:cs="Times New Roman"/>
          <w:sz w:val="24"/>
          <w:szCs w:val="24"/>
        </w:rPr>
        <w:t>longed antacid use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w:t>
      </w:r>
      <w:r w:rsidRPr="00866A7B">
        <w:rPr>
          <w:rFonts w:ascii="Times New Roman" w:hAnsi="Times New Roman" w:cs="Times New Roman"/>
          <w:sz w:val="24"/>
          <w:szCs w:val="24"/>
        </w:rPr>
        <w:t xml:space="preserve">aining magnesium hydroxide can have a laxative effect, leading to diarrhea, while those with aluminum hydroxide may cause constipation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xml:space="preserve">, 2021). This </w:t>
      </w:r>
      <w:r w:rsidRPr="00866A7B">
        <w:rPr>
          <w:rFonts w:ascii="Times New Roman" w:hAnsi="Times New Roman" w:cs="Times New Roman"/>
          <w:sz w:val="24"/>
          <w:szCs w:val="24"/>
        </w:rPr>
        <w:lastRenderedPageBreak/>
        <w:t>alternating effect is why some formulations combine magnesium and aluminum compounds to balance their effects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Long-term use of aluminum-based antacids has been associated with hypophosphatemia, a condition where phosphate absorption is reduced, leading to bone demineralization, muscle weakness, and osteoporosis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 This effect is particularly concerning for elderly patients and individuals with chronic kidney disease.</w:t>
      </w:r>
    </w:p>
    <w:p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Drug Interactions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 interfere with the</w:t>
      </w:r>
      <w:r w:rsidRPr="00866A7B">
        <w:rPr>
          <w:rFonts w:ascii="Times New Roman" w:hAnsi="Times New Roman" w:cs="Times New Roman"/>
          <w:sz w:val="24"/>
          <w:szCs w:val="24"/>
        </w:rPr>
        <w:t xml:space="preserve"> absorption and effectiveness of various medications, leading to potential therapeutic failures. Aluminum hydroxide and magnesium hydroxide </w:t>
      </w:r>
      <w:r w:rsidR="00866A7B">
        <w:rPr>
          <w:rFonts w:ascii="Times New Roman" w:hAnsi="Times New Roman" w:cs="Times New Roman"/>
          <w:sz w:val="24"/>
          <w:szCs w:val="24"/>
        </w:rPr>
        <w:t xml:space="preserve">can bind </w:t>
      </w:r>
      <w:r w:rsidRPr="00866A7B">
        <w:rPr>
          <w:rFonts w:ascii="Times New Roman" w:hAnsi="Times New Roman" w:cs="Times New Roman"/>
          <w:sz w:val="24"/>
          <w:szCs w:val="24"/>
        </w:rPr>
        <w:t xml:space="preserve">to certain antibiotics, such as </w:t>
      </w:r>
      <w:proofErr w:type="spellStart"/>
      <w:r w:rsidRPr="00866A7B">
        <w:rPr>
          <w:rFonts w:ascii="Times New Roman" w:hAnsi="Times New Roman" w:cs="Times New Roman"/>
          <w:sz w:val="24"/>
          <w:szCs w:val="24"/>
        </w:rPr>
        <w:t>tetracyclines</w:t>
      </w:r>
      <w:proofErr w:type="spellEnd"/>
      <w:r w:rsidRPr="00866A7B">
        <w:rPr>
          <w:rFonts w:ascii="Times New Roman" w:hAnsi="Times New Roman" w:cs="Times New Roman"/>
          <w:sz w:val="24"/>
          <w:szCs w:val="24"/>
        </w:rPr>
        <w:t xml:space="preserve"> and </w:t>
      </w:r>
      <w:proofErr w:type="spellStart"/>
      <w:r w:rsidRPr="00866A7B">
        <w:rPr>
          <w:rFonts w:ascii="Times New Roman" w:hAnsi="Times New Roman" w:cs="Times New Roman"/>
          <w:sz w:val="24"/>
          <w:szCs w:val="24"/>
        </w:rPr>
        <w:t>fluoroquinolones</w:t>
      </w:r>
      <w:proofErr w:type="spellEnd"/>
      <w:r w:rsidRPr="00866A7B">
        <w:rPr>
          <w:rFonts w:ascii="Times New Roman" w:hAnsi="Times New Roman" w:cs="Times New Roman"/>
          <w:sz w:val="24"/>
          <w:szCs w:val="24"/>
        </w:rPr>
        <w:t>, reducing their absorption and effectiveness (</w:t>
      </w:r>
      <w:proofErr w:type="spellStart"/>
      <w:r w:rsidRPr="00866A7B">
        <w:rPr>
          <w:rFonts w:ascii="Times New Roman" w:hAnsi="Times New Roman" w:cs="Times New Roman"/>
          <w:sz w:val="24"/>
          <w:szCs w:val="24"/>
        </w:rPr>
        <w:t>Okon</w:t>
      </w:r>
      <w:proofErr w:type="spellEnd"/>
      <w:r w:rsidRPr="00866A7B">
        <w:rPr>
          <w:rFonts w:ascii="Times New Roman" w:hAnsi="Times New Roman" w:cs="Times New Roman"/>
          <w:sz w:val="24"/>
          <w:szCs w:val="24"/>
        </w:rPr>
        <w:t xml:space="preserve"> &amp; Bello, 2023). Similarly, antacids may alter the bioavailability of medications such as levothyroxine, digoxin, and bisphosphonates, making dosage adjustments necessary (Adebayo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Additionally, antacids increase gastric pH, which can affect the dissolution and absorption of pH-dependent drugs, such as ketoconazole and </w:t>
      </w:r>
      <w:proofErr w:type="spellStart"/>
      <w:r w:rsidRPr="00866A7B">
        <w:rPr>
          <w:rFonts w:ascii="Times New Roman" w:hAnsi="Times New Roman" w:cs="Times New Roman"/>
          <w:sz w:val="24"/>
          <w:szCs w:val="24"/>
        </w:rPr>
        <w:t>atazanavir</w:t>
      </w:r>
      <w:proofErr w:type="spellEnd"/>
      <w:r w:rsidRPr="00866A7B">
        <w:rPr>
          <w:rFonts w:ascii="Times New Roman" w:hAnsi="Times New Roman" w:cs="Times New Roman"/>
          <w:sz w:val="24"/>
          <w:szCs w:val="24"/>
        </w:rPr>
        <w:t xml:space="preserve"> (</w:t>
      </w:r>
      <w:proofErr w:type="spellStart"/>
      <w:r w:rsidRPr="00866A7B">
        <w:rPr>
          <w:rFonts w:ascii="Times New Roman" w:hAnsi="Times New Roman" w:cs="Times New Roman"/>
          <w:sz w:val="24"/>
          <w:szCs w:val="24"/>
        </w:rPr>
        <w:t>Eze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Patients taking multiple medications should be advised to space antacid administration by at least two hours from other drugs to minimize in</w:t>
      </w:r>
      <w:r w:rsidRPr="00D659FE">
        <w:rPr>
          <w:rFonts w:ascii="Times New Roman" w:hAnsi="Times New Roman" w:cs="Times New Roman"/>
          <w:sz w:val="24"/>
          <w:szCs w:val="24"/>
        </w:rPr>
        <w:t>teractions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Risk of Acid Rebound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significant concern with prolonged antacid use i</w:t>
      </w:r>
      <w:r w:rsidRPr="00866A7B">
        <w:rPr>
          <w:rFonts w:ascii="Times New Roman" w:hAnsi="Times New Roman" w:cs="Times New Roman"/>
          <w:sz w:val="24"/>
          <w:szCs w:val="24"/>
        </w:rPr>
        <w:t>s acid rebound, where gastric acid secretion increases after the medication is discontinued. This is particularly notable with calcium carbonate-based antacids, which stimulate gastrin release, leading to increased acid production once the antacid wears off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Acid rebound can worsen GERD symptoms, making long-term management challenging for patients (Adebayo &amp; Yusuf, 2024).</w:t>
      </w:r>
    </w:p>
    <w:p w:rsidR="00D659FE" w:rsidRPr="00D659FE" w:rsidRDefault="00D659FE" w:rsidP="009A5A72">
      <w:pPr>
        <w:numPr>
          <w:ilvl w:val="2"/>
          <w:numId w:val="9"/>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Aluminum Toxicity and Neurological Effects</w:t>
      </w:r>
    </w:p>
    <w:p w:rsidR="00866A7B" w:rsidRPr="00C03B81"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use o</w:t>
      </w:r>
      <w:r w:rsidRPr="00866A7B">
        <w:rPr>
          <w:rFonts w:ascii="Times New Roman" w:hAnsi="Times New Roman" w:cs="Times New Roman"/>
          <w:sz w:val="24"/>
          <w:szCs w:val="24"/>
        </w:rPr>
        <w:t xml:space="preserve">f aluminum-containing antacids has been linked to aluminum accumulation in the body, particularly in patients with chronic kidney disease (CKD). Elevated aluminum levels have been associated with cognitive impairments, </w:t>
      </w:r>
      <w:proofErr w:type="spellStart"/>
      <w:r w:rsidRPr="00866A7B">
        <w:rPr>
          <w:rFonts w:ascii="Times New Roman" w:hAnsi="Times New Roman" w:cs="Times New Roman"/>
          <w:sz w:val="24"/>
          <w:szCs w:val="24"/>
        </w:rPr>
        <w:t>osteomalacia</w:t>
      </w:r>
      <w:proofErr w:type="spellEnd"/>
      <w:r w:rsidRPr="00866A7B">
        <w:rPr>
          <w:rFonts w:ascii="Times New Roman" w:hAnsi="Times New Roman" w:cs="Times New Roman"/>
          <w:sz w:val="24"/>
          <w:szCs w:val="24"/>
        </w:rPr>
        <w:t xml:space="preserve"> (soft bones), and anemia </w:t>
      </w:r>
      <w:r w:rsidRPr="00866A7B">
        <w:rPr>
          <w:rFonts w:ascii="Times New Roman" w:hAnsi="Times New Roman" w:cs="Times New Roman"/>
          <w:sz w:val="24"/>
          <w:szCs w:val="24"/>
        </w:rPr>
        <w:lastRenderedPageBreak/>
        <w:t>(</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2023). Some studies suggest that chronic exposure to aluminum may contribute to neurodegenerative disorders, including Alzheimer’s disease, though conclusive evide</w:t>
      </w:r>
      <w:r w:rsidRPr="00D659FE">
        <w:rPr>
          <w:rFonts w:ascii="Times New Roman" w:hAnsi="Times New Roman" w:cs="Times New Roman"/>
          <w:sz w:val="24"/>
          <w:szCs w:val="24"/>
        </w:rPr>
        <w:t>nce is still debated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D659FE"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866A7B">
        <w:rPr>
          <w:rFonts w:ascii="Times New Roman" w:hAnsi="Times New Roman" w:cs="Times New Roman"/>
          <w:b/>
          <w:bCs/>
          <w:sz w:val="24"/>
          <w:szCs w:val="24"/>
        </w:rPr>
        <w:tab/>
      </w:r>
      <w:r w:rsidR="00D659FE" w:rsidRPr="00D659FE">
        <w:rPr>
          <w:rFonts w:ascii="Times New Roman" w:hAnsi="Times New Roman" w:cs="Times New Roman"/>
          <w:b/>
          <w:bCs/>
          <w:sz w:val="24"/>
          <w:szCs w:val="24"/>
        </w:rPr>
        <w:t>POSITIVE EFFECTS OF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866A7B">
        <w:rPr>
          <w:rFonts w:ascii="Times New Roman" w:hAnsi="Times New Roman" w:cs="Times New Roman"/>
          <w:sz w:val="24"/>
          <w:szCs w:val="24"/>
        </w:rPr>
        <w:t xml:space="preserve">s are widely used for the management of acid-related gastrointestinal disorders, offering rapid relief from symptoms such as heartburn, indigestion, and </w:t>
      </w:r>
      <w:proofErr w:type="spellStart"/>
      <w:r w:rsidRPr="00866A7B">
        <w:rPr>
          <w:rFonts w:ascii="Times New Roman" w:hAnsi="Times New Roman" w:cs="Times New Roman"/>
          <w:sz w:val="24"/>
          <w:szCs w:val="24"/>
        </w:rPr>
        <w:t>gastroesophageal</w:t>
      </w:r>
      <w:proofErr w:type="spellEnd"/>
      <w:r w:rsidRPr="00866A7B">
        <w:rPr>
          <w:rFonts w:ascii="Times New Roman" w:hAnsi="Times New Roman" w:cs="Times New Roman"/>
          <w:sz w:val="24"/>
          <w:szCs w:val="24"/>
        </w:rPr>
        <w:t xml:space="preserve"> reflux disease (GERD). Their mechanism of action involves neutralizing excess stomach acid, which helps protect the esophageal and gastric lining from irritation and damage (</w:t>
      </w:r>
      <w:proofErr w:type="spellStart"/>
      <w:r w:rsidRPr="00866A7B">
        <w:rPr>
          <w:rFonts w:ascii="Times New Roman" w:hAnsi="Times New Roman" w:cs="Times New Roman"/>
          <w:sz w:val="24"/>
          <w:szCs w:val="24"/>
        </w:rPr>
        <w:t>Okonkwo</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Adeyemi</w:t>
      </w:r>
      <w:proofErr w:type="spellEnd"/>
      <w:r w:rsidRPr="00866A7B">
        <w:rPr>
          <w:rFonts w:ascii="Times New Roman" w:hAnsi="Times New Roman" w:cs="Times New Roman"/>
          <w:sz w:val="24"/>
          <w:szCs w:val="24"/>
        </w:rPr>
        <w:t>, 2021). Apart from their primary role in acid neutralization, antacids also have several additional health benefits that contribute to improved gastrointestinal functio</w:t>
      </w:r>
      <w:r w:rsidRPr="00D659FE">
        <w:rPr>
          <w:rFonts w:ascii="Times New Roman" w:hAnsi="Times New Roman" w:cs="Times New Roman"/>
          <w:sz w:val="24"/>
          <w:szCs w:val="24"/>
        </w:rPr>
        <w:t>n and overall well-being.</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Rapid Relief of Heartburn and Acid Reflux</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mo</w:t>
      </w:r>
      <w:r w:rsidRPr="00866A7B">
        <w:rPr>
          <w:rFonts w:ascii="Times New Roman" w:hAnsi="Times New Roman" w:cs="Times New Roman"/>
          <w:sz w:val="24"/>
          <w:szCs w:val="24"/>
        </w:rPr>
        <w:t xml:space="preserve">st significant benefits of antacids is their ability to quickly relieve heartburn and acid reflux symptoms by neutralizing gastric acid. Unlike proton pump inhibitors (PPIs) and H2-receptor antagonists, which take longer to act, antacids work within minutes, making them a preferred choice for individuals needing immediate relief (Williams &amp; </w:t>
      </w:r>
      <w:proofErr w:type="spellStart"/>
      <w:r w:rsidRPr="00866A7B">
        <w:rPr>
          <w:rFonts w:ascii="Times New Roman" w:hAnsi="Times New Roman" w:cs="Times New Roman"/>
          <w:sz w:val="24"/>
          <w:szCs w:val="24"/>
        </w:rPr>
        <w:t>Chukwudi</w:t>
      </w:r>
      <w:proofErr w:type="spellEnd"/>
      <w:r w:rsidRPr="00866A7B">
        <w:rPr>
          <w:rFonts w:ascii="Times New Roman" w:hAnsi="Times New Roman" w:cs="Times New Roman"/>
          <w:sz w:val="24"/>
          <w:szCs w:val="24"/>
        </w:rPr>
        <w:t xml:space="preserve">, 2022). This fast action is particularly beneficial for patients experiencing occasional acid reflux or those who consume acidic or spicy foods that </w:t>
      </w:r>
      <w:r w:rsidRPr="00D659FE">
        <w:rPr>
          <w:rFonts w:ascii="Times New Roman" w:hAnsi="Times New Roman" w:cs="Times New Roman"/>
          <w:sz w:val="24"/>
          <w:szCs w:val="24"/>
        </w:rPr>
        <w:t>trigger heartburn.</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Prevention of Peptic Ulcer Complications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Peptic ulcers r</w:t>
      </w:r>
      <w:r w:rsidRPr="00866A7B">
        <w:rPr>
          <w:rFonts w:ascii="Times New Roman" w:hAnsi="Times New Roman" w:cs="Times New Roman"/>
          <w:sz w:val="24"/>
          <w:szCs w:val="24"/>
        </w:rPr>
        <w:t xml:space="preserve">esult from excess gastric acid secretion, often exacerbated by Helicobacter pylori infection or prolonged </w:t>
      </w:r>
      <w:proofErr w:type="spellStart"/>
      <w:r w:rsidRPr="00866A7B">
        <w:rPr>
          <w:rFonts w:ascii="Times New Roman" w:hAnsi="Times New Roman" w:cs="Times New Roman"/>
          <w:sz w:val="24"/>
          <w:szCs w:val="24"/>
        </w:rPr>
        <w:t>nonsteroidal</w:t>
      </w:r>
      <w:proofErr w:type="spellEnd"/>
      <w:r w:rsidRPr="00866A7B">
        <w:rPr>
          <w:rFonts w:ascii="Times New Roman" w:hAnsi="Times New Roman" w:cs="Times New Roman"/>
          <w:sz w:val="24"/>
          <w:szCs w:val="24"/>
        </w:rPr>
        <w:t xml:space="preserve"> anti-inflammatory drug (NSAID) use. Antacids buffer the stomach environment, reducing acidic irritation and promoting ulcer healing. Some formulations, such as magnesium-aluminum combinations, form a protective coating over ulcerated areas, shielding them from further damage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Additionally, studies suggest that aluminum hydroxide-containing antacids can bind to bile acids, reducing their harmful effects on gastric mucosa, thus preventing ulcer aggravation (Adebayo &amp; Yusuf, 2024).</w:t>
      </w:r>
    </w:p>
    <w:p w:rsidR="00F03613" w:rsidRPr="00866A7B" w:rsidRDefault="00F03613" w:rsidP="009A5A72">
      <w:pPr>
        <w:spacing w:after="0" w:line="360" w:lineRule="auto"/>
        <w:jc w:val="both"/>
        <w:rPr>
          <w:rFonts w:ascii="Times New Roman" w:hAnsi="Times New Roman" w:cs="Times New Roman"/>
          <w:sz w:val="24"/>
          <w:szCs w:val="24"/>
        </w:rPr>
      </w:pP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2.5</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Enhancing Esophageal and Stomach Mucosal Protection</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Certain antacid</w:t>
      </w:r>
      <w:r w:rsidRPr="00866A7B">
        <w:rPr>
          <w:rFonts w:ascii="Times New Roman" w:hAnsi="Times New Roman" w:cs="Times New Roman"/>
          <w:sz w:val="24"/>
          <w:szCs w:val="24"/>
        </w:rPr>
        <w:t xml:space="preserve">s, such as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formulations, provide physical protection in addition to acid neutralization. When combined with sodium bicarbonate,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forms a viscous gel-like barrier that floats on top of stomach contents, preventing acid from refluxing into the esophagus (</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xml:space="preserve">, 2023). This effect is particularly useful for patients with GERD and </w:t>
      </w:r>
      <w:proofErr w:type="spellStart"/>
      <w:r w:rsidRPr="00866A7B">
        <w:rPr>
          <w:rFonts w:ascii="Times New Roman" w:hAnsi="Times New Roman" w:cs="Times New Roman"/>
          <w:sz w:val="24"/>
          <w:szCs w:val="24"/>
        </w:rPr>
        <w:t>laryngopharyngeal</w:t>
      </w:r>
      <w:proofErr w:type="spellEnd"/>
      <w:r w:rsidRPr="00866A7B">
        <w:rPr>
          <w:rFonts w:ascii="Times New Roman" w:hAnsi="Times New Roman" w:cs="Times New Roman"/>
          <w:sz w:val="24"/>
          <w:szCs w:val="24"/>
        </w:rPr>
        <w:t xml:space="preserve"> reflux (LPR).</w:t>
      </w:r>
    </w:p>
    <w:p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Moreover, antacids containing calcium carbonate stimulate mucosal protective factors, including the secretion of prostaglandins and bicarbonate, which further reinforce the stomach lining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Support for Bone Health (Calcium-Based Antacids)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conta</w:t>
      </w:r>
      <w:r w:rsidRPr="00866A7B">
        <w:rPr>
          <w:rFonts w:ascii="Times New Roman" w:hAnsi="Times New Roman" w:cs="Times New Roman"/>
          <w:sz w:val="24"/>
          <w:szCs w:val="24"/>
        </w:rPr>
        <w:t xml:space="preserve">ining calcium carbonate serve as a supplemental source of calcium, which is essential for bone health and the prevention of osteoporosis. Studies indicate that calcium supplementation through diet or antacids can help reduce the risk of fractures in postmenopausal women and elderly individuals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2021).</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However, excessive consumption should be monitored to avoid </w:t>
      </w:r>
      <w:proofErr w:type="spellStart"/>
      <w:r w:rsidRPr="00866A7B">
        <w:rPr>
          <w:rFonts w:ascii="Times New Roman" w:hAnsi="Times New Roman" w:cs="Times New Roman"/>
          <w:sz w:val="24"/>
          <w:szCs w:val="24"/>
        </w:rPr>
        <w:t>hypercalcemia</w:t>
      </w:r>
      <w:proofErr w:type="spellEnd"/>
      <w:r w:rsidRPr="00866A7B">
        <w:rPr>
          <w:rFonts w:ascii="Times New Roman" w:hAnsi="Times New Roman" w:cs="Times New Roman"/>
          <w:sz w:val="24"/>
          <w:szCs w:val="24"/>
        </w:rPr>
        <w:t xml:space="preserve"> and kidney stone formation.</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Reducing Phosphate Levels in Chronic Kidney Disease (CKD)</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For individual</w:t>
      </w:r>
      <w:r w:rsidRPr="00866A7B">
        <w:rPr>
          <w:rFonts w:ascii="Times New Roman" w:hAnsi="Times New Roman" w:cs="Times New Roman"/>
          <w:sz w:val="24"/>
          <w:szCs w:val="24"/>
        </w:rPr>
        <w:t>s with chronic kidney disease (CKD), controlling serum phosphate levels is crucial to prevent complications such as vascular calcification and secondary hyperparathyroidism. Aluminum hydroxide and calcium carbonate-based antacids are frequently used as phosphate binders, reducing phosphate absorption in the intestines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By lowering serum phosphate, these antacids help protect kidney function and bone metabolism, making them beneficial for patients undergoing dialysis or managing advanced CKD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w:t>
      </w:r>
    </w:p>
    <w:p w:rsidR="00F03613" w:rsidRDefault="00F03613" w:rsidP="009A5A72">
      <w:pPr>
        <w:spacing w:after="0" w:line="360" w:lineRule="auto"/>
        <w:rPr>
          <w:rFonts w:ascii="Times New Roman" w:hAnsi="Times New Roman" w:cs="Times New Roman"/>
          <w:b/>
          <w:bCs/>
          <w:sz w:val="24"/>
          <w:szCs w:val="24"/>
        </w:rPr>
      </w:pPr>
    </w:p>
    <w:p w:rsidR="00F03613" w:rsidRDefault="00F03613" w:rsidP="009A5A72">
      <w:pPr>
        <w:spacing w:after="0" w:line="360" w:lineRule="auto"/>
        <w:rPr>
          <w:rFonts w:ascii="Times New Roman" w:hAnsi="Times New Roman" w:cs="Times New Roman"/>
          <w:b/>
          <w:bCs/>
          <w:sz w:val="24"/>
          <w:szCs w:val="24"/>
        </w:rPr>
      </w:pPr>
    </w:p>
    <w:p w:rsidR="00D659FE" w:rsidRPr="00866A7B"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2.6</w:t>
      </w:r>
      <w:r w:rsidR="00866A7B">
        <w:rPr>
          <w:rFonts w:ascii="Times New Roman" w:hAnsi="Times New Roman" w:cs="Times New Roman"/>
          <w:b/>
          <w:bCs/>
          <w:sz w:val="24"/>
          <w:szCs w:val="24"/>
        </w:rPr>
        <w:tab/>
      </w:r>
      <w:r w:rsidR="00D659FE" w:rsidRPr="00866A7B">
        <w:rPr>
          <w:rFonts w:ascii="Times New Roman" w:hAnsi="Times New Roman" w:cs="Times New Roman"/>
          <w:b/>
          <w:bCs/>
          <w:sz w:val="24"/>
          <w:szCs w:val="24"/>
        </w:rPr>
        <w:t>NEGATIVE EFFECTS OF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While </w:t>
      </w:r>
      <w:r w:rsidRPr="00866A7B">
        <w:rPr>
          <w:rFonts w:ascii="Times New Roman" w:hAnsi="Times New Roman" w:cs="Times New Roman"/>
          <w:sz w:val="24"/>
          <w:szCs w:val="24"/>
        </w:rPr>
        <w:t>antacids provide rapid relief from acid-related disorders, their prolonged or excessive use can result in adverse health effects. These negative effects range from electrolyte imbalances and metabolic disorders to gastrointestinal disturbances and drug interactions. The long-term implications of antacid misuse highlight the importance of appropriate dosing and medical supervision (</w:t>
      </w:r>
      <w:proofErr w:type="spellStart"/>
      <w:r w:rsidRPr="00866A7B">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Imbalances and Metabolic Disorders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use of </w:t>
      </w:r>
      <w:r w:rsidRPr="008E21D3">
        <w:rPr>
          <w:rFonts w:ascii="Times New Roman" w:hAnsi="Times New Roman" w:cs="Times New Roman"/>
          <w:sz w:val="24"/>
          <w:szCs w:val="24"/>
        </w:rPr>
        <w:t xml:space="preserve">calcium-based antacids, such as calcium carbonate, has been associated with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xml:space="preserve"> (excess calcium in the blood). This condition can lead to kidney stone formation, muscle weakness, and cardiac abnormalities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Additionally, excessive consumption of bicarbonate-containing antacids may cause metabolic alkalosis, a condition characterized by symptoms such as nausea, muscle spasms, and confusion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Similarly, magnesium-based antacids can cause </w:t>
      </w:r>
      <w:proofErr w:type="spellStart"/>
      <w:r w:rsidRPr="008E21D3">
        <w:rPr>
          <w:rFonts w:ascii="Times New Roman" w:hAnsi="Times New Roman" w:cs="Times New Roman"/>
          <w:sz w:val="24"/>
          <w:szCs w:val="24"/>
        </w:rPr>
        <w:t>hypermagnesemia</w:t>
      </w:r>
      <w:proofErr w:type="spellEnd"/>
      <w:r w:rsidRPr="008E21D3">
        <w:rPr>
          <w:rFonts w:ascii="Times New Roman" w:hAnsi="Times New Roman" w:cs="Times New Roman"/>
          <w:sz w:val="24"/>
          <w:szCs w:val="24"/>
        </w:rPr>
        <w:t xml:space="preserve">, particularly in patients with kidney disease. Elevated magnesium levels can result in hypotension, drowsiness, and respiratory distress (Adebayo &amp; Yusuf, 2024). In contrast, aluminum- based antacids have been linked to hypophosphatemia, which can weaken bones and lead to </w:t>
      </w:r>
      <w:proofErr w:type="spellStart"/>
      <w:r w:rsidRPr="008E21D3">
        <w:rPr>
          <w:rFonts w:ascii="Times New Roman" w:hAnsi="Times New Roman" w:cs="Times New Roman"/>
          <w:sz w:val="24"/>
          <w:szCs w:val="24"/>
        </w:rPr>
        <w:t>osteomalacia</w:t>
      </w:r>
      <w:proofErr w:type="spellEnd"/>
      <w:r w:rsidRPr="008E21D3">
        <w:rPr>
          <w:rFonts w:ascii="Times New Roman" w:hAnsi="Times New Roman" w:cs="Times New Roman"/>
          <w:sz w:val="24"/>
          <w:szCs w:val="24"/>
        </w:rPr>
        <w:t xml:space="preserve">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w:t>
      </w:r>
      <w:r w:rsidRPr="00D659FE">
        <w:rPr>
          <w:rFonts w:ascii="Times New Roman" w:hAnsi="Times New Roman" w:cs="Times New Roman"/>
          <w:sz w:val="24"/>
          <w:szCs w:val="24"/>
        </w:rPr>
        <w:t xml:space="preserve">&amp;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w:t>
      </w:r>
      <w:r w:rsidRPr="008E21D3">
        <w:rPr>
          <w:rFonts w:ascii="Times New Roman" w:hAnsi="Times New Roman" w:cs="Times New Roman"/>
          <w:sz w:val="24"/>
          <w:szCs w:val="24"/>
        </w:rPr>
        <w:t>nt antacid formulations can have varying effects on gastrointestinal motility. For instance, magnesium-containing antacids are known to have a laxative effect, leading to diarrhea. On the other hand, aluminum hydroxide-based antacids tend to cause constipation due to their ability to slow down intestinal motility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Long-term use of aluminum-containing antacids has also been associated with bloating, nausea, and gastric discomfort. These effects can be particularly distressing for individuals with irritable bowel syndrome (IBS) or other functional gastrointestinal disorders (Emmanuel &amp; </w:t>
      </w:r>
      <w:proofErr w:type="spellStart"/>
      <w:r w:rsidRPr="008E21D3">
        <w:rPr>
          <w:rFonts w:ascii="Times New Roman" w:hAnsi="Times New Roman" w:cs="Times New Roman"/>
          <w:sz w:val="24"/>
          <w:szCs w:val="24"/>
        </w:rPr>
        <w:t>Okechukwu</w:t>
      </w:r>
      <w:proofErr w:type="spellEnd"/>
      <w:r w:rsidRPr="008E21D3">
        <w:rPr>
          <w:rFonts w:ascii="Times New Roman" w:hAnsi="Times New Roman" w:cs="Times New Roman"/>
          <w:sz w:val="24"/>
          <w:szCs w:val="24"/>
        </w:rPr>
        <w:t>, 2021).</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2.6</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Drug Interactions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w:t>
      </w:r>
      <w:r w:rsidRPr="008E21D3">
        <w:rPr>
          <w:rFonts w:ascii="Times New Roman" w:hAnsi="Times New Roman" w:cs="Times New Roman"/>
          <w:sz w:val="24"/>
          <w:szCs w:val="24"/>
        </w:rPr>
        <w:t xml:space="preserve"> interfere with the absorption and bioavailability of several medications, potentially reducing their effectiveness. Aluminum hydroxide and magnesium hydroxide can bind to antibiotics like </w:t>
      </w:r>
      <w:proofErr w:type="spellStart"/>
      <w:r w:rsidRPr="008E21D3">
        <w:rPr>
          <w:rFonts w:ascii="Times New Roman" w:hAnsi="Times New Roman" w:cs="Times New Roman"/>
          <w:sz w:val="24"/>
          <w:szCs w:val="24"/>
        </w:rPr>
        <w:t>tetracyclines</w:t>
      </w:r>
      <w:proofErr w:type="spellEnd"/>
      <w:r w:rsidRPr="008E21D3">
        <w:rPr>
          <w:rFonts w:ascii="Times New Roman" w:hAnsi="Times New Roman" w:cs="Times New Roman"/>
          <w:sz w:val="24"/>
          <w:szCs w:val="24"/>
        </w:rPr>
        <w:t xml:space="preserve"> and </w:t>
      </w:r>
      <w:proofErr w:type="spellStart"/>
      <w:r w:rsidRPr="008E21D3">
        <w:rPr>
          <w:rFonts w:ascii="Times New Roman" w:hAnsi="Times New Roman" w:cs="Times New Roman"/>
          <w:sz w:val="24"/>
          <w:szCs w:val="24"/>
        </w:rPr>
        <w:t>fluoroquinolones</w:t>
      </w:r>
      <w:proofErr w:type="spellEnd"/>
      <w:r w:rsidRPr="008E21D3">
        <w:rPr>
          <w:rFonts w:ascii="Times New Roman" w:hAnsi="Times New Roman" w:cs="Times New Roman"/>
          <w:sz w:val="24"/>
          <w:szCs w:val="24"/>
        </w:rPr>
        <w:t>, preventing their proper absorption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This interaction can lead to treatment failure in bacterial infections.</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Additionally, antacids may impair the absorption of iron, calcium, and vitamin B12, leading to nutritional deficiencies over time. Individuals on levothyroxine, digoxin, or bisphosphonates should avoid taking antacids simultaneously, as they can significantly reduce the efficacy of </w:t>
      </w:r>
      <w:r w:rsidRPr="00D659FE">
        <w:rPr>
          <w:rFonts w:ascii="Times New Roman" w:hAnsi="Times New Roman" w:cs="Times New Roman"/>
          <w:sz w:val="24"/>
          <w:szCs w:val="24"/>
        </w:rPr>
        <w:t>these medications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 xml:space="preserve">Rebound Acid </w:t>
      </w:r>
      <w:proofErr w:type="spellStart"/>
      <w:r w:rsidR="00D659FE" w:rsidRPr="00C45905">
        <w:rPr>
          <w:rFonts w:ascii="Times New Roman" w:hAnsi="Times New Roman" w:cs="Times New Roman"/>
          <w:b/>
          <w:bCs/>
          <w:sz w:val="24"/>
          <w:szCs w:val="24"/>
        </w:rPr>
        <w:t>Hypersecretion</w:t>
      </w:r>
      <w:proofErr w:type="spellEnd"/>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 o</w:t>
      </w:r>
      <w:r w:rsidRPr="008E21D3">
        <w:rPr>
          <w:rFonts w:ascii="Times New Roman" w:hAnsi="Times New Roman" w:cs="Times New Roman"/>
          <w:sz w:val="24"/>
          <w:szCs w:val="24"/>
        </w:rPr>
        <w:t>f calcium carbonate-based antacids can lead to acid rebound, where gastric acid production increases after the medication wears off. This is due to the stimulation of gastrin release, which causes the stomach to compensate by producing more acid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Bello, 2023). As a result, individuals may experience worsening acid reflux symptoms when they discontinue antacid use, creating a cycle of dependency (Adebayo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2024).</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Aluminum Toxicity and Neurological Concerns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w:t>
      </w:r>
      <w:r w:rsidRPr="008E21D3">
        <w:rPr>
          <w:rFonts w:ascii="Times New Roman" w:hAnsi="Times New Roman" w:cs="Times New Roman"/>
          <w:sz w:val="24"/>
          <w:szCs w:val="24"/>
        </w:rPr>
        <w:t>e of aluminum-containing antacids poses a risk of aluminum toxicity, particularly in individuals with chronic kidney disease (CKD). Because the kidneys play a crucial role in eliminating excess aluminum, patients with impaired renal fu</w:t>
      </w:r>
      <w:r w:rsidR="008E21D3">
        <w:rPr>
          <w:rFonts w:ascii="Times New Roman" w:hAnsi="Times New Roman" w:cs="Times New Roman"/>
          <w:sz w:val="24"/>
          <w:szCs w:val="24"/>
        </w:rPr>
        <w:t xml:space="preserve">nction may </w:t>
      </w:r>
      <w:r w:rsidRPr="008E21D3">
        <w:rPr>
          <w:rFonts w:ascii="Times New Roman" w:hAnsi="Times New Roman" w:cs="Times New Roman"/>
          <w:sz w:val="24"/>
          <w:szCs w:val="24"/>
        </w:rPr>
        <w:t>experience aluminum accumulation in the bloodstream, leading to cognitive impairments, muscle weakness, and bone disorders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Some studies have suggested a possible link between chronic aluminum exposure and neurodegenerative conditions, such as Alzheimer’s disease, although the evidence remains inconclusive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Nonetheless, individuals at risk should limit prolonged use of aluminum-based antacids t</w:t>
      </w:r>
      <w:r w:rsidRPr="00D659FE">
        <w:rPr>
          <w:rFonts w:ascii="Times New Roman" w:hAnsi="Times New Roman" w:cs="Times New Roman"/>
          <w:sz w:val="24"/>
          <w:szCs w:val="24"/>
        </w:rPr>
        <w:t>o prevent potential complications.</w:t>
      </w:r>
    </w:p>
    <w:p w:rsidR="00F03613" w:rsidRDefault="00F03613" w:rsidP="009A5A72">
      <w:pPr>
        <w:spacing w:after="0" w:line="360" w:lineRule="auto"/>
        <w:rPr>
          <w:rFonts w:ascii="Times New Roman" w:hAnsi="Times New Roman" w:cs="Times New Roman"/>
          <w:b/>
          <w:bCs/>
          <w:sz w:val="24"/>
          <w:szCs w:val="24"/>
        </w:rPr>
      </w:pPr>
    </w:p>
    <w:p w:rsidR="00F03613" w:rsidRDefault="00F03613" w:rsidP="009A5A72">
      <w:pPr>
        <w:spacing w:after="0" w:line="360" w:lineRule="auto"/>
        <w:rPr>
          <w:rFonts w:ascii="Times New Roman" w:hAnsi="Times New Roman" w:cs="Times New Roman"/>
          <w:b/>
          <w:bCs/>
          <w:sz w:val="24"/>
          <w:szCs w:val="24"/>
        </w:rPr>
      </w:pPr>
    </w:p>
    <w:p w:rsidR="00D659FE" w:rsidRPr="008E21D3"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2.7</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RELIEF OF ACID REFLUX AND HEARTBURN</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re</w:t>
      </w:r>
      <w:r w:rsidRPr="008E21D3">
        <w:rPr>
          <w:rFonts w:ascii="Times New Roman" w:hAnsi="Times New Roman" w:cs="Times New Roman"/>
          <w:sz w:val="24"/>
          <w:szCs w:val="24"/>
        </w:rPr>
        <w:t xml:space="preserve">flux and heartburn are common gastrointestinal disorders caused by the backflow of stomach acid into the esophagus, leading to irritation and discomfort. Antacids are widely used for rapid symptomatic relief by neutralizing excess gastric acid and reducing esophageal irritation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These over-the-counter (OTC) medications provide short-term relief, making them a first-line treatment for mild to moderate acid-related conditions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Mechanism of Antacids in Acid Reflux Relief</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work</w:t>
      </w:r>
      <w:r w:rsidRPr="008E21D3">
        <w:rPr>
          <w:rFonts w:ascii="Times New Roman" w:hAnsi="Times New Roman" w:cs="Times New Roman"/>
          <w:sz w:val="24"/>
          <w:szCs w:val="24"/>
        </w:rPr>
        <w:t xml:space="preserve"> by chemically neutralizing gastric acid, raising the pH of the stomach contents and reducing acidity. This action helps to relieve the burning sensation in the chest and throat that characterizes heartburn. Common ingredients in antacids, such as calcium carbonate, magnesium hydroxide, and aluminum hydroxide, react with hydrochloric acid (</w:t>
      </w:r>
      <w:proofErr w:type="spellStart"/>
      <w:r w:rsidRPr="008E21D3">
        <w:rPr>
          <w:rFonts w:ascii="Times New Roman" w:hAnsi="Times New Roman" w:cs="Times New Roman"/>
          <w:sz w:val="24"/>
          <w:szCs w:val="24"/>
        </w:rPr>
        <w:t>HCl</w:t>
      </w:r>
      <w:proofErr w:type="spellEnd"/>
      <w:r w:rsidRPr="008E21D3">
        <w:rPr>
          <w:rFonts w:ascii="Times New Roman" w:hAnsi="Times New Roman" w:cs="Times New Roman"/>
          <w:sz w:val="24"/>
          <w:szCs w:val="24"/>
        </w:rPr>
        <w:t>) in the stomach to form water and neutral salts, thereby reducing acidity (Adebayo &amp; Yusuf, 2024).</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For example, </w:t>
      </w:r>
      <w:r w:rsidRPr="008E21D3">
        <w:rPr>
          <w:rFonts w:ascii="Times New Roman" w:hAnsi="Times New Roman" w:cs="Times New Roman"/>
          <w:sz w:val="24"/>
          <w:szCs w:val="24"/>
        </w:rPr>
        <w:t>calcium carbonate (</w:t>
      </w:r>
      <w:proofErr w:type="spellStart"/>
      <w:r w:rsidRPr="008E21D3">
        <w:rPr>
          <w:rFonts w:ascii="Times New Roman" w:hAnsi="Times New Roman" w:cs="Times New Roman"/>
          <w:sz w:val="24"/>
          <w:szCs w:val="24"/>
        </w:rPr>
        <w:t>CaCO</w:t>
      </w:r>
      <w:proofErr w:type="spellEnd"/>
      <w:r w:rsidRPr="008E21D3">
        <w:rPr>
          <w:rFonts w:ascii="Cambria Math" w:hAnsi="Cambria Math" w:cs="Cambria Math"/>
          <w:sz w:val="24"/>
          <w:szCs w:val="24"/>
        </w:rPr>
        <w:t>₃</w:t>
      </w:r>
      <w:r w:rsidRPr="008E21D3">
        <w:rPr>
          <w:rFonts w:ascii="Times New Roman" w:hAnsi="Times New Roman" w:cs="Times New Roman"/>
          <w:sz w:val="24"/>
          <w:szCs w:val="24"/>
        </w:rPr>
        <w:t>) reacts with gastric acid as follows:</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CaCO</w:t>
      </w:r>
      <w:r w:rsidRPr="00C03B81">
        <w:rPr>
          <w:rFonts w:ascii="Times New Roman" w:hAnsi="Times New Roman" w:cs="Times New Roman"/>
          <w:sz w:val="24"/>
          <w:szCs w:val="24"/>
          <w:vertAlign w:val="subscript"/>
        </w:rPr>
        <w:t>3</w:t>
      </w:r>
      <w:r w:rsidRPr="008E21D3">
        <w:rPr>
          <w:rFonts w:ascii="Times New Roman" w:hAnsi="Times New Roman" w:cs="Times New Roman"/>
          <w:sz w:val="24"/>
          <w:szCs w:val="24"/>
        </w:rPr>
        <w:t>+2HC</w:t>
      </w:r>
      <w:r w:rsidR="00C03B81">
        <w:rPr>
          <w:rFonts w:ascii="Times New Roman" w:hAnsi="Times New Roman" w:cs="Times New Roman"/>
          <w:sz w:val="24"/>
          <w:szCs w:val="24"/>
        </w:rPr>
        <w:t>l</w:t>
      </w:r>
      <w:r w:rsidR="00C03B81">
        <w:rPr>
          <w:rFonts w:ascii="Times New Roman" w:hAnsi="Times New Roman" w:cs="Times New Roman"/>
          <w:sz w:val="24"/>
          <w:szCs w:val="24"/>
        </w:rPr>
        <w:tab/>
        <w:t xml:space="preserve">→   </w:t>
      </w:r>
      <w:proofErr w:type="gramStart"/>
      <w:r w:rsidR="00C03B81">
        <w:rPr>
          <w:rFonts w:ascii="Times New Roman" w:hAnsi="Times New Roman" w:cs="Times New Roman"/>
          <w:sz w:val="24"/>
          <w:szCs w:val="24"/>
        </w:rPr>
        <w:t>CaCl</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vertAlign w:val="subscript"/>
        </w:rPr>
        <w:t xml:space="preserve">  </w:t>
      </w:r>
      <w:r w:rsidR="00C03B81">
        <w:rPr>
          <w:rFonts w:ascii="Times New Roman" w:hAnsi="Times New Roman" w:cs="Times New Roman"/>
          <w:sz w:val="24"/>
          <w:szCs w:val="24"/>
        </w:rPr>
        <w:t>+</w:t>
      </w:r>
      <w:proofErr w:type="gramEnd"/>
      <w:r w:rsidR="00C03B81">
        <w:rPr>
          <w:rFonts w:ascii="Times New Roman" w:hAnsi="Times New Roman" w:cs="Times New Roman"/>
          <w:sz w:val="24"/>
          <w:szCs w:val="24"/>
        </w:rPr>
        <w:t xml:space="preserve">  H</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rPr>
        <w:t>O + CO</w:t>
      </w:r>
      <w:r w:rsidR="00C03B81" w:rsidRPr="00C03B81">
        <w:rPr>
          <w:rFonts w:ascii="Times New Roman" w:hAnsi="Times New Roman" w:cs="Times New Roman"/>
          <w:sz w:val="24"/>
          <w:szCs w:val="24"/>
          <w:vertAlign w:val="subscript"/>
        </w:rPr>
        <w:t>2</w:t>
      </w:r>
    </w:p>
    <w:p w:rsid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w:t>
      </w:r>
      <w:r w:rsidRPr="008E21D3">
        <w:rPr>
          <w:rFonts w:ascii="Times New Roman" w:hAnsi="Times New Roman" w:cs="Times New Roman"/>
          <w:sz w:val="24"/>
          <w:szCs w:val="24"/>
        </w:rPr>
        <w:t>neutralizes stomach acid and produces carbon dioxide gas, which may lead to belching or bloating in some individuals (</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Magnesium- based antacids tend to act more rapidly, while aluminum-containing antacids provide a longer- lasting effect but may cause constipation as a side effect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Comparing Antacids with Other Acid Suppressors</w:t>
      </w:r>
    </w:p>
    <w:p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Although </w:t>
      </w:r>
      <w:r w:rsidRPr="008E21D3">
        <w:rPr>
          <w:rFonts w:ascii="Times New Roman" w:hAnsi="Times New Roman" w:cs="Times New Roman"/>
          <w:sz w:val="24"/>
          <w:szCs w:val="24"/>
        </w:rPr>
        <w:t>antacids provide quick relief, they do not address the underlying causes of acid reflux, such as lower esophageal sphincter (LES) dysfunction. Other classes of medications, such as H2-receptor antagonists (H2RAs) and proton pump inhibitors (PPIs), are often prescribed for more persistent or severe acid reflux cases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Okafor</w:t>
      </w:r>
      <w:proofErr w:type="spellEnd"/>
      <w:r w:rsidRPr="008E21D3">
        <w:rPr>
          <w:rFonts w:ascii="Times New Roman" w:hAnsi="Times New Roman" w:cs="Times New Roman"/>
          <w:sz w:val="24"/>
          <w:szCs w:val="24"/>
        </w:rPr>
        <w:t>, 2023). However, antacids remain a preferred option for occasional heartburn due to their rapid onset of action and minimal systemic side effects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F03613" w:rsidRPr="008E21D3" w:rsidRDefault="00F03613" w:rsidP="009A5A72">
      <w:pPr>
        <w:spacing w:after="0" w:line="360" w:lineRule="auto"/>
        <w:jc w:val="both"/>
        <w:rPr>
          <w:rFonts w:ascii="Times New Roman" w:hAnsi="Times New Roman" w:cs="Times New Roman"/>
          <w:sz w:val="24"/>
          <w:szCs w:val="24"/>
        </w:rPr>
      </w:pPr>
    </w:p>
    <w:p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lastRenderedPageBreak/>
        <w:t>Combination Antacids for Enhanced Efficacy</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 formulations include </w:t>
      </w:r>
      <w:r w:rsidRPr="008E21D3">
        <w:rPr>
          <w:rFonts w:ascii="Times New Roman" w:hAnsi="Times New Roman" w:cs="Times New Roman"/>
          <w:sz w:val="24"/>
          <w:szCs w:val="24"/>
        </w:rPr>
        <w:t>alginates, which create a physical barrier against acid reflux by forming a gel-like raft that floats on top of stomach contents. These formulations, such as those containing sodium alginate and bicarbonates, are particularly effective for reducing nighttime reflux symptoms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Additionally, </w:t>
      </w:r>
      <w:proofErr w:type="spellStart"/>
      <w:r w:rsidRPr="008E21D3">
        <w:rPr>
          <w:rFonts w:ascii="Times New Roman" w:hAnsi="Times New Roman" w:cs="Times New Roman"/>
          <w:sz w:val="24"/>
          <w:szCs w:val="24"/>
        </w:rPr>
        <w:t>simethicone</w:t>
      </w:r>
      <w:proofErr w:type="spellEnd"/>
      <w:r w:rsidRPr="008E21D3">
        <w:rPr>
          <w:rFonts w:ascii="Times New Roman" w:hAnsi="Times New Roman" w:cs="Times New Roman"/>
          <w:sz w:val="24"/>
          <w:szCs w:val="24"/>
        </w:rPr>
        <w:t xml:space="preserve"> is sometimes added to reduce gas and bloating ass</w:t>
      </w:r>
      <w:r w:rsidRPr="00D659FE">
        <w:rPr>
          <w:rFonts w:ascii="Times New Roman" w:hAnsi="Times New Roman" w:cs="Times New Roman"/>
          <w:sz w:val="24"/>
          <w:szCs w:val="24"/>
        </w:rPr>
        <w:t>ociated with acid reflux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t>Considerations and Precautions in Antacid Use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While antacids are generally safe for</w:t>
      </w:r>
      <w:r w:rsidRPr="008E21D3">
        <w:rPr>
          <w:rFonts w:ascii="Times New Roman" w:hAnsi="Times New Roman" w:cs="Times New Roman"/>
          <w:sz w:val="24"/>
          <w:szCs w:val="24"/>
        </w:rPr>
        <w:t xml:space="preserve"> short-term use, excessive or prolonged consumption can lead to complications such as acid rebound, electrolyte imbalances, and drug interactions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For instance, calcium carbonate-based antacids may cause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while aluminum-based antacids can contribute to phosphate depletion and bone demineralization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w:t>
      </w:r>
      <w:r w:rsidRPr="00D659FE">
        <w:rPr>
          <w:rFonts w:ascii="Times New Roman" w:hAnsi="Times New Roman" w:cs="Times New Roman"/>
          <w:sz w:val="24"/>
          <w:szCs w:val="24"/>
        </w:rPr>
        <w:t>o, 2023).</w:t>
      </w:r>
    </w:p>
    <w:p w:rsidR="00A9662E" w:rsidRP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w:t>
      </w:r>
      <w:r w:rsidRPr="00F57C15">
        <w:rPr>
          <w:rFonts w:ascii="Times New Roman" w:hAnsi="Times New Roman" w:cs="Times New Roman"/>
          <w:sz w:val="24"/>
          <w:szCs w:val="24"/>
        </w:rPr>
        <w:t xml:space="preserve">nts with chronic acid reflux (GERD) should consult healthcare providers for long- term management options, as antacids alone may not provide adequate symptom control (Emmanuel &amp; </w:t>
      </w:r>
      <w:proofErr w:type="spellStart"/>
      <w:r w:rsidRPr="00F57C15">
        <w:rPr>
          <w:rFonts w:ascii="Times New Roman" w:hAnsi="Times New Roman" w:cs="Times New Roman"/>
          <w:sz w:val="24"/>
          <w:szCs w:val="24"/>
        </w:rPr>
        <w:t>Okechukwu</w:t>
      </w:r>
      <w:proofErr w:type="spellEnd"/>
      <w:r w:rsidRPr="00F57C15">
        <w:rPr>
          <w:rFonts w:ascii="Times New Roman" w:hAnsi="Times New Roman" w:cs="Times New Roman"/>
          <w:sz w:val="24"/>
          <w:szCs w:val="24"/>
        </w:rPr>
        <w:t xml:space="preserve">, 2021). Lifestyle modifications, including dietary adjustments, weight management, and avoiding trigger foods, are crucial for sustained relief from acid reflux and heartburn </w:t>
      </w:r>
      <w:r w:rsidRPr="00D659FE">
        <w:rPr>
          <w:rFonts w:ascii="Times New Roman" w:hAnsi="Times New Roman" w:cs="Times New Roman"/>
          <w:sz w:val="24"/>
          <w:szCs w:val="24"/>
        </w:rPr>
        <w:t xml:space="preserve">(Adebayo </w:t>
      </w:r>
      <w:r w:rsidRPr="00F57C1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8E21D3"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ANTACID USE IN SPECIAL POPULATIONS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use</w:t>
      </w:r>
      <w:r w:rsidRPr="008E21D3">
        <w:rPr>
          <w:rFonts w:ascii="Times New Roman" w:hAnsi="Times New Roman" w:cs="Times New Roman"/>
          <w:sz w:val="24"/>
          <w:szCs w:val="24"/>
        </w:rPr>
        <w:t xml:space="preserve"> of antacids varies across different population groups due to age, pre-existing medical conditions, pregnancy, and organ function. While antacids are generally considered safe, their effects can be altered in specific populations, necessitating caution and individualized medical advice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xml:space="preserve">, 2022). Special populations, including </w:t>
      </w:r>
      <w:r w:rsidR="008E21D3">
        <w:rPr>
          <w:rFonts w:ascii="Times New Roman" w:hAnsi="Times New Roman" w:cs="Times New Roman"/>
          <w:sz w:val="24"/>
          <w:szCs w:val="24"/>
        </w:rPr>
        <w:t xml:space="preserve">pregnant </w:t>
      </w:r>
      <w:r w:rsidRPr="008E21D3">
        <w:rPr>
          <w:rFonts w:ascii="Times New Roman" w:hAnsi="Times New Roman" w:cs="Times New Roman"/>
          <w:sz w:val="24"/>
          <w:szCs w:val="24"/>
        </w:rPr>
        <w:t>women, the elderly, children, and patients with chronic diseases, may require dose adjustments or alternative treatments to prevent adverse effects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020FAF"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020FAF">
        <w:rPr>
          <w:rFonts w:ascii="Times New Roman" w:hAnsi="Times New Roman" w:cs="Times New Roman"/>
          <w:b/>
          <w:bCs/>
          <w:sz w:val="24"/>
          <w:szCs w:val="24"/>
        </w:rPr>
        <w:t>Antacid Use in Pregnant Women</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Acid reflux and </w:t>
      </w:r>
      <w:proofErr w:type="spellStart"/>
      <w:r w:rsidRPr="008E21D3">
        <w:rPr>
          <w:rFonts w:ascii="Times New Roman" w:hAnsi="Times New Roman" w:cs="Times New Roman"/>
          <w:sz w:val="24"/>
          <w:szCs w:val="24"/>
        </w:rPr>
        <w:t>gastroesophageal</w:t>
      </w:r>
      <w:proofErr w:type="spellEnd"/>
      <w:r w:rsidRPr="008E21D3">
        <w:rPr>
          <w:rFonts w:ascii="Times New Roman" w:hAnsi="Times New Roman" w:cs="Times New Roman"/>
          <w:sz w:val="24"/>
          <w:szCs w:val="24"/>
        </w:rPr>
        <w:t xml:space="preserve"> reflux disease (GERD) are common during pregnancy due to hormonal changes and increased intra-abdominal pressure. Many pregnant women turn to OTC </w:t>
      </w:r>
      <w:r w:rsidRPr="008E21D3">
        <w:rPr>
          <w:rFonts w:ascii="Times New Roman" w:hAnsi="Times New Roman" w:cs="Times New Roman"/>
          <w:sz w:val="24"/>
          <w:szCs w:val="24"/>
        </w:rPr>
        <w:lastRenderedPageBreak/>
        <w:t>antacids for symptom relief. Calcium carbonate-based antacids are considered safe and beneficial because they provide both acid neutralization and calcium supplementation, which is essential during pregnancy (Adebayo &amp; Yusuf, 2024).</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However, aluminum-containing antacids should be used with caution as they can lead to phosphate depletion, potentially affecting fetal bone development. Sodium bicarbonate- based antacids should also be avoided due to the risk of fluid retention and metabolic alkalosis (</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Healthcare providers often recommend dietary and lifestyle modifications alongside safer antacid choices for managing acid reflux in pregnancy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Elderly Individuals</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Older adults o</w:t>
      </w:r>
      <w:r w:rsidRPr="00020FAF">
        <w:rPr>
          <w:rFonts w:ascii="Times New Roman" w:hAnsi="Times New Roman" w:cs="Times New Roman"/>
          <w:sz w:val="24"/>
          <w:szCs w:val="24"/>
        </w:rPr>
        <w:t>ften suffer from chronic acid-related disorders, requiring long-term antacid use. However, aging-related changes in renal function, bone density, and medication metabolism necessitate careful selection of antacids. Aluminum-based antacids can contribute to osteoporosis and cognitive decline, making them unsuitable for elderly patients, especially those at risk for Alzheimer’s disease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Similarly, elderly individuals with chronic kidney disease (CKD) should avoid magnesium- containing antacids, as impaired kidney function can lead to magnesium accumulation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resulting in cardiovascular and neuromuscular complications (</w:t>
      </w:r>
      <w:proofErr w:type="spellStart"/>
      <w:r w:rsidRPr="00020FAF">
        <w:rPr>
          <w:rFonts w:ascii="Times New Roman" w:hAnsi="Times New Roman" w:cs="Times New Roman"/>
          <w:sz w:val="24"/>
          <w:szCs w:val="24"/>
        </w:rPr>
        <w:t>Eze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Instead, calcium carbonate-based or low-dose aluminum hydroxide antacids may be considered under medical supervision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Children</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Children with </w:t>
      </w:r>
      <w:r w:rsidRPr="00020FAF">
        <w:rPr>
          <w:rFonts w:ascii="Times New Roman" w:hAnsi="Times New Roman" w:cs="Times New Roman"/>
          <w:sz w:val="24"/>
          <w:szCs w:val="24"/>
        </w:rPr>
        <w:t xml:space="preserve">acid reflux or peptic disorders may require antacid therapy, but dosing must be carefully adjusted. Pediatric guidelines recommend calcium carbonate-based antacids due to their safety profile and essential mineral benefits. However, excessive use can lead to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xml:space="preserve"> and milk-alkali syndrome (</w:t>
      </w:r>
      <w:proofErr w:type="spellStart"/>
      <w:r w:rsidRPr="00020FAF">
        <w:rPr>
          <w:rFonts w:ascii="Times New Roman" w:hAnsi="Times New Roman" w:cs="Times New Roman"/>
          <w:sz w:val="24"/>
          <w:szCs w:val="24"/>
        </w:rPr>
        <w:t>Ogundipe</w:t>
      </w:r>
      <w:proofErr w:type="spellEnd"/>
      <w:r w:rsidRPr="00020FAF">
        <w:rPr>
          <w:rFonts w:ascii="Times New Roman" w:hAnsi="Times New Roman" w:cs="Times New Roman"/>
          <w:sz w:val="24"/>
          <w:szCs w:val="24"/>
        </w:rPr>
        <w:t xml:space="preserve"> &amp; Williams, 2022).</w:t>
      </w:r>
    </w:p>
    <w:p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Prolonged use of aluminum-based antacids is discouraged in children due to the risk of neurotoxicity and bone mineralization issues. Instead, pediatricians may prescribe H2- receptor </w:t>
      </w:r>
      <w:r w:rsidRPr="00020FAF">
        <w:rPr>
          <w:rFonts w:ascii="Times New Roman" w:hAnsi="Times New Roman" w:cs="Times New Roman"/>
          <w:sz w:val="24"/>
          <w:szCs w:val="24"/>
        </w:rPr>
        <w:lastRenderedPageBreak/>
        <w:t>antagonists (H2RAs) or proton pump inhibitors (PPIs) for chronic reflux management (</w:t>
      </w:r>
      <w:proofErr w:type="spellStart"/>
      <w:r w:rsidRPr="00020FAF">
        <w:rPr>
          <w:rFonts w:ascii="Times New Roman" w:hAnsi="Times New Roman" w:cs="Times New Roman"/>
          <w:sz w:val="24"/>
          <w:szCs w:val="24"/>
        </w:rPr>
        <w:t>Akinyemi</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Additionally, dietary changes and postural adjustments are recommended to reduce acid reflux symptoms in infants and young children (</w:t>
      </w:r>
      <w:proofErr w:type="spellStart"/>
      <w:r w:rsidRPr="00020FAF">
        <w:rPr>
          <w:rFonts w:ascii="Times New Roman" w:hAnsi="Times New Roman" w:cs="Times New Roman"/>
          <w:sz w:val="24"/>
          <w:szCs w:val="24"/>
        </w:rPr>
        <w:t>Okon</w:t>
      </w:r>
      <w:proofErr w:type="spellEnd"/>
      <w:r w:rsidRPr="00020FAF">
        <w:rPr>
          <w:rFonts w:ascii="Times New Roman" w:hAnsi="Times New Roman" w:cs="Times New Roman"/>
          <w:sz w:val="24"/>
          <w:szCs w:val="24"/>
        </w:rPr>
        <w:t xml:space="preserve"> &amp; Bello,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Chronic Kidney Disease (CKD)</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Patients with</w:t>
      </w:r>
      <w:r w:rsidRPr="00020FAF">
        <w:rPr>
          <w:rFonts w:ascii="Times New Roman" w:hAnsi="Times New Roman" w:cs="Times New Roman"/>
          <w:sz w:val="24"/>
          <w:szCs w:val="24"/>
        </w:rPr>
        <w:t xml:space="preserve"> kidney dysfunction face challenges in eliminating excess minerals from their bodies. Magnesium- and aluminum-based antacids should be avoided in CKD patients due to the risk of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xml:space="preserve"> and aluminum toxicity, which can lead to neurological and skeletal complications (Emmanuel &amp; </w:t>
      </w:r>
      <w:proofErr w:type="spellStart"/>
      <w:r w:rsidRPr="00020FAF">
        <w:rPr>
          <w:rFonts w:ascii="Times New Roman" w:hAnsi="Times New Roman" w:cs="Times New Roman"/>
          <w:sz w:val="24"/>
          <w:szCs w:val="24"/>
        </w:rPr>
        <w:t>Okechukwu</w:t>
      </w:r>
      <w:proofErr w:type="spellEnd"/>
      <w:r w:rsidRPr="00020FAF">
        <w:rPr>
          <w:rFonts w:ascii="Times New Roman" w:hAnsi="Times New Roman" w:cs="Times New Roman"/>
          <w:sz w:val="24"/>
          <w:szCs w:val="24"/>
        </w:rPr>
        <w:t>, 2021).</w:t>
      </w:r>
    </w:p>
    <w:p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Instead, calcium-based antacids are often used, but excessive calcium intake can lead to vascular calcification, which worsens cardiovascular risks in CKD patients (Adebayo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2024). Therefore, phosphate binders such as </w:t>
      </w:r>
      <w:proofErr w:type="spellStart"/>
      <w:r w:rsidRPr="00020FAF">
        <w:rPr>
          <w:rFonts w:ascii="Times New Roman" w:hAnsi="Times New Roman" w:cs="Times New Roman"/>
          <w:sz w:val="24"/>
          <w:szCs w:val="24"/>
        </w:rPr>
        <w:t>sevelamer</w:t>
      </w:r>
      <w:proofErr w:type="spellEnd"/>
      <w:r w:rsidRPr="00020FAF">
        <w:rPr>
          <w:rFonts w:ascii="Times New Roman" w:hAnsi="Times New Roman" w:cs="Times New Roman"/>
          <w:sz w:val="24"/>
          <w:szCs w:val="24"/>
        </w:rPr>
        <w:t xml:space="preserve"> and lanthanum carbonate may be preferable alternatives for acid regulation in CKD patients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Osteoporosis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Since calcium </w:t>
      </w:r>
      <w:r w:rsidRPr="00020FAF">
        <w:rPr>
          <w:rFonts w:ascii="Times New Roman" w:hAnsi="Times New Roman" w:cs="Times New Roman"/>
          <w:sz w:val="24"/>
          <w:szCs w:val="24"/>
        </w:rPr>
        <w:t xml:space="preserve">plays a crucial role in bone health, some individuals with osteoporosis may benefit from calcium carbonate-based antacids. However, excessive calcium intake can lead to the milk-alkali syndrome, characterized by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kidney dysfunction, and metabolic alkalosis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Patients at risk of osteoporosis should balance calcium intake with vitamin D supplementation and consult a physician regarding the safest antacid options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et al., 2023).</w:t>
      </w:r>
    </w:p>
    <w:p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pgSz w:w="11808" w:h="15120"/>
          <w:pgMar w:top="1296" w:right="1282" w:bottom="2506" w:left="1282" w:header="0" w:footer="1440" w:gutter="0"/>
          <w:pgNumType w:start="1"/>
          <w:cols w:space="720"/>
          <w:docGrid w:linePitch="299"/>
        </w:sectPr>
      </w:pPr>
    </w:p>
    <w:p w:rsidR="00020FAF"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03B81"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w:t>
      </w:r>
    </w:p>
    <w:p w:rsidR="00D659FE" w:rsidRPr="00D659FE" w:rsidRDefault="00C03B81" w:rsidP="009A5A72">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w:t>
      </w:r>
      <w:r w:rsidR="00020FAF">
        <w:rPr>
          <w:rFonts w:ascii="Times New Roman" w:hAnsi="Times New Roman" w:cs="Times New Roman"/>
          <w:b/>
          <w:sz w:val="24"/>
          <w:szCs w:val="24"/>
        </w:rPr>
        <w:tab/>
      </w:r>
      <w:r w:rsidR="00D659FE" w:rsidRPr="00D659FE">
        <w:rPr>
          <w:rFonts w:ascii="Times New Roman" w:hAnsi="Times New Roman" w:cs="Times New Roman"/>
          <w:b/>
          <w:sz w:val="24"/>
          <w:szCs w:val="24"/>
        </w:rPr>
        <w:t>EQUIPMENT AND REAGENT</w:t>
      </w:r>
    </w:p>
    <w:p w:rsidR="00D659FE" w:rsidRPr="00D659FE" w:rsidRDefault="00F03613"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.1.1</w:t>
      </w:r>
      <w:r w:rsidR="00020FAF">
        <w:rPr>
          <w:rFonts w:ascii="Times New Roman" w:hAnsi="Times New Roman" w:cs="Times New Roman"/>
          <w:b/>
          <w:sz w:val="24"/>
          <w:szCs w:val="24"/>
        </w:rPr>
        <w:tab/>
      </w:r>
      <w:r w:rsidR="005E1AA2" w:rsidRPr="00D659FE">
        <w:rPr>
          <w:rFonts w:ascii="Times New Roman" w:hAnsi="Times New Roman" w:cs="Times New Roman"/>
          <w:b/>
          <w:sz w:val="24"/>
          <w:szCs w:val="24"/>
        </w:rPr>
        <w:t>Equipment</w:t>
      </w:r>
      <w:r w:rsidR="00D659FE" w:rsidRPr="00D659FE">
        <w:rPr>
          <w:rFonts w:ascii="Times New Roman" w:hAnsi="Times New Roman" w:cs="Times New Roman"/>
          <w:b/>
          <w:sz w:val="24"/>
          <w:szCs w:val="24"/>
        </w:rPr>
        <w:t>:</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1000ml Standard Flask, Filter Paper, Beaker, Pipette, Burette, Conical Flask, Funnel, PH Measurement, Magnetic Stir, Measuring Cylinder, Spatula, Weighing Balance.</w:t>
      </w:r>
    </w:p>
    <w:p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D659FE" w:rsidRPr="00F03613">
        <w:rPr>
          <w:rFonts w:ascii="Times New Roman" w:hAnsi="Times New Roman" w:cs="Times New Roman"/>
          <w:b/>
          <w:sz w:val="24"/>
          <w:szCs w:val="24"/>
        </w:rPr>
        <w:t xml:space="preserve"> </w:t>
      </w:r>
      <w:r w:rsidR="005E1AA2" w:rsidRPr="00F03613">
        <w:rPr>
          <w:rFonts w:ascii="Times New Roman" w:hAnsi="Times New Roman" w:cs="Times New Roman"/>
          <w:b/>
          <w:sz w:val="24"/>
          <w:szCs w:val="24"/>
        </w:rPr>
        <w:t>Reagent</w:t>
      </w:r>
      <w:r w:rsidR="00D659FE" w:rsidRPr="00F03613">
        <w:rPr>
          <w:rFonts w:ascii="Times New Roman" w:hAnsi="Times New Roman" w:cs="Times New Roman"/>
          <w:b/>
          <w:sz w:val="24"/>
          <w:szCs w:val="24"/>
        </w:rPr>
        <w:t>:</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Hydrochloric Acid (HCL), Distilled Water, Sodium Hydroxide (</w:t>
      </w:r>
      <w:proofErr w:type="spellStart"/>
      <w:r w:rsidRPr="00D659FE">
        <w:rPr>
          <w:rFonts w:ascii="Times New Roman" w:hAnsi="Times New Roman" w:cs="Times New Roman"/>
          <w:sz w:val="24"/>
          <w:szCs w:val="24"/>
        </w:rPr>
        <w:t>NaOH</w:t>
      </w:r>
      <w:proofErr w:type="spellEnd"/>
      <w:r w:rsidRPr="00D659FE">
        <w:rPr>
          <w:rFonts w:ascii="Times New Roman" w:hAnsi="Times New Roman" w:cs="Times New Roman"/>
          <w:sz w:val="24"/>
          <w:szCs w:val="24"/>
        </w:rPr>
        <w:t>), Indicator (</w:t>
      </w:r>
      <w:proofErr w:type="spellStart"/>
      <w:r w:rsidRPr="00D659FE">
        <w:rPr>
          <w:rFonts w:ascii="Times New Roman" w:hAnsi="Times New Roman" w:cs="Times New Roman"/>
          <w:sz w:val="24"/>
          <w:szCs w:val="24"/>
        </w:rPr>
        <w:t>Bromocresol</w:t>
      </w:r>
      <w:proofErr w:type="spellEnd"/>
      <w:r w:rsidRPr="00D659FE">
        <w:rPr>
          <w:rFonts w:ascii="Times New Roman" w:hAnsi="Times New Roman" w:cs="Times New Roman"/>
          <w:sz w:val="24"/>
          <w:szCs w:val="24"/>
        </w:rPr>
        <w:t xml:space="preserve"> Green), Benzoic Acid, Indicator (Phenolphthalein), </w:t>
      </w:r>
      <w:proofErr w:type="spellStart"/>
      <w:r w:rsidRPr="00D659FE">
        <w:rPr>
          <w:rFonts w:ascii="Times New Roman" w:hAnsi="Times New Roman" w:cs="Times New Roman"/>
          <w:sz w:val="24"/>
          <w:szCs w:val="24"/>
        </w:rPr>
        <w:t>Tromethamine</w:t>
      </w:r>
      <w:proofErr w:type="spellEnd"/>
      <w:r w:rsidRPr="00D659FE">
        <w:rPr>
          <w:rFonts w:ascii="Times New Roman" w:hAnsi="Times New Roman" w:cs="Times New Roman"/>
          <w:sz w:val="24"/>
          <w:szCs w:val="24"/>
        </w:rPr>
        <w:t>, Buffer Solution</w:t>
      </w:r>
    </w:p>
    <w:p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3.1.3</w:t>
      </w:r>
      <w:r>
        <w:rPr>
          <w:rFonts w:ascii="Times New Roman" w:hAnsi="Times New Roman" w:cs="Times New Roman"/>
          <w:b/>
          <w:sz w:val="24"/>
          <w:szCs w:val="24"/>
        </w:rPr>
        <w:tab/>
      </w:r>
      <w:r w:rsidR="005E1AA2" w:rsidRPr="00F03613">
        <w:rPr>
          <w:rFonts w:ascii="Times New Roman" w:hAnsi="Times New Roman" w:cs="Times New Roman"/>
          <w:b/>
          <w:sz w:val="24"/>
          <w:szCs w:val="24"/>
        </w:rPr>
        <w:t>Reagent 2</w:t>
      </w:r>
      <w:r w:rsidR="00D659FE" w:rsidRPr="00F03613">
        <w:rPr>
          <w:rFonts w:ascii="Times New Roman" w:hAnsi="Times New Roman" w:cs="Times New Roman"/>
          <w:b/>
          <w:sz w:val="24"/>
          <w:szCs w:val="24"/>
        </w:rPr>
        <w:t xml:space="preserve"> (Antacids):</w:t>
      </w:r>
    </w:p>
    <w:p w:rsidR="00D659FE" w:rsidRPr="00F03613" w:rsidRDefault="009E55DF" w:rsidP="009A5A72">
      <w:pPr>
        <w:spacing w:after="0" w:line="360" w:lineRule="auto"/>
        <w:jc w:val="both"/>
        <w:rPr>
          <w:rFonts w:ascii="Times New Roman" w:hAnsi="Times New Roman" w:cs="Times New Roman"/>
          <w:sz w:val="24"/>
          <w:szCs w:val="24"/>
        </w:rPr>
      </w:pPr>
      <w:r w:rsidRPr="00F03613">
        <w:rPr>
          <w:rFonts w:ascii="Times New Roman" w:hAnsi="Times New Roman" w:cs="Times New Roman"/>
          <w:sz w:val="24"/>
          <w:szCs w:val="24"/>
        </w:rPr>
        <w:t>4 Suspension, 5 Tablets, 2 Liquids</w:t>
      </w:r>
      <w:r w:rsidR="00D659FE" w:rsidRPr="00F03613">
        <w:rPr>
          <w:rFonts w:ascii="Times New Roman" w:hAnsi="Times New Roman" w:cs="Times New Roman"/>
          <w:sz w:val="24"/>
          <w:szCs w:val="24"/>
        </w:rPr>
        <w:t>.</w:t>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p>
    <w:p w:rsidR="00D659FE" w:rsidRPr="00D659FE"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SAMPLE PREPARATION</w:t>
      </w:r>
    </w:p>
    <w:p w:rsid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The experimental procedure commenced with the thorough cleaning and setup of all required apparatus. Each tablet sample was carefully ground into fine powder using a mortar and pestle and labeled appropriately as</w:t>
      </w:r>
      <w:r w:rsidR="009E55DF">
        <w:rPr>
          <w:rFonts w:ascii="Times New Roman" w:eastAsia="Times New Roman" w:hAnsi="Times New Roman" w:cs="Times New Roman"/>
          <w:sz w:val="24"/>
          <w:szCs w:val="24"/>
        </w:rPr>
        <w:t xml:space="preserve"> follows: Specimen A, Specimen B, Specimen C, Specimen D, and Specimen E</w:t>
      </w:r>
      <w:r w:rsidRPr="00C03B81">
        <w:rPr>
          <w:rFonts w:ascii="Times New Roman" w:eastAsia="Times New Roman" w:hAnsi="Times New Roman" w:cs="Times New Roman"/>
          <w:sz w:val="24"/>
          <w:szCs w:val="24"/>
        </w:rPr>
        <w:t>. After grinding, the powdered samples were wrapped in aluminum foil and properly labeled for identification. Precisely 2 g of each specimen was weighed using an analytical balance, and the weighing was performed in triplicates to ensure accuracy and repeatability (i.e., 2 g × 3 replicates). Subsequently, 400 mL of distilled water and 1000 mL of hydrochloric acid (</w:t>
      </w:r>
      <w:proofErr w:type="spellStart"/>
      <w:r w:rsidRPr="00C03B81">
        <w:rPr>
          <w:rFonts w:ascii="Times New Roman" w:eastAsia="Times New Roman" w:hAnsi="Times New Roman" w:cs="Times New Roman"/>
          <w:sz w:val="24"/>
          <w:szCs w:val="24"/>
        </w:rPr>
        <w:t>HCl</w:t>
      </w:r>
      <w:proofErr w:type="spellEnd"/>
      <w:r w:rsidRPr="00C03B81">
        <w:rPr>
          <w:rFonts w:ascii="Times New Roman" w:eastAsia="Times New Roman" w:hAnsi="Times New Roman" w:cs="Times New Roman"/>
          <w:sz w:val="24"/>
          <w:szCs w:val="24"/>
        </w:rPr>
        <w:t>) were measured using a measuring cylinder and combined in a 1000 mL standard flask, with the acid carefully added to the water to prevent splashing or hazardous reactions, following the standard acid-to-water mixing protocol.</w:t>
      </w:r>
    </w:p>
    <w:p w:rsidR="00C03B81" w:rsidRP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For the titration process,</w:t>
      </w:r>
      <w:r w:rsidR="009E55DF">
        <w:rPr>
          <w:rFonts w:ascii="Times New Roman" w:eastAsia="Times New Roman" w:hAnsi="Times New Roman" w:cs="Times New Roman"/>
          <w:sz w:val="24"/>
          <w:szCs w:val="24"/>
        </w:rPr>
        <w:t xml:space="preserve"> 2 g of Specimen A </w:t>
      </w:r>
      <w:r w:rsidRPr="00C03B81">
        <w:rPr>
          <w:rFonts w:ascii="Times New Roman" w:eastAsia="Times New Roman" w:hAnsi="Times New Roman" w:cs="Times New Roman"/>
          <w:sz w:val="24"/>
          <w:szCs w:val="24"/>
        </w:rPr>
        <w:t xml:space="preserve">was transferred into a clean conical flask, followed by the addition of 25 mL of distilled water. The mixture was vigorously shaken to ensure complete dissolution. A burette was mounted on a retort stand and filled with the acid </w:t>
      </w:r>
      <w:r w:rsidRPr="00C03B81">
        <w:rPr>
          <w:rFonts w:ascii="Times New Roman" w:eastAsia="Times New Roman" w:hAnsi="Times New Roman" w:cs="Times New Roman"/>
          <w:sz w:val="24"/>
          <w:szCs w:val="24"/>
        </w:rPr>
        <w:lastRenderedPageBreak/>
        <w:t xml:space="preserve">solution prepared earlier. Three drops of methyl orange indicator were then added to the conical flask containing the specimen solution. While continuously swirling the flask, the acid solution from the burette was added </w:t>
      </w:r>
      <w:proofErr w:type="spellStart"/>
      <w:r w:rsidRPr="00C03B81">
        <w:rPr>
          <w:rFonts w:ascii="Times New Roman" w:eastAsia="Times New Roman" w:hAnsi="Times New Roman" w:cs="Times New Roman"/>
          <w:sz w:val="24"/>
          <w:szCs w:val="24"/>
        </w:rPr>
        <w:t>dropwise</w:t>
      </w:r>
      <w:proofErr w:type="spellEnd"/>
      <w:r w:rsidRPr="00C03B81">
        <w:rPr>
          <w:rFonts w:ascii="Times New Roman" w:eastAsia="Times New Roman" w:hAnsi="Times New Roman" w:cs="Times New Roman"/>
          <w:sz w:val="24"/>
          <w:szCs w:val="24"/>
        </w:rPr>
        <w:t xml:space="preserve"> until a clear and stable color change was observed, indicating the titration endpoint. The volume of acid used was recorded. This titration procedure was repeated three times for each of the five specimens (A to E) to ensure consistency and reliability of results.</w:t>
      </w:r>
    </w:p>
    <w:p w:rsidR="001E66C2"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1E66C2">
        <w:rPr>
          <w:rFonts w:ascii="Times New Roman" w:hAnsi="Times New Roman" w:cs="Times New Roman"/>
          <w:b/>
          <w:sz w:val="24"/>
          <w:szCs w:val="24"/>
        </w:rPr>
        <w:t>.3</w:t>
      </w:r>
      <w:r w:rsidR="001E66C2">
        <w:rPr>
          <w:rFonts w:ascii="Times New Roman" w:hAnsi="Times New Roman" w:cs="Times New Roman"/>
          <w:b/>
          <w:sz w:val="24"/>
          <w:szCs w:val="24"/>
        </w:rPr>
        <w:tab/>
        <w:t>ORGANOLEPTIC PROPERTIES OF ANTACID FORMULATIONS</w:t>
      </w:r>
    </w:p>
    <w:p w:rsidR="00C03B81" w:rsidRPr="001E66C2" w:rsidRDefault="00C03B81"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3.1: organoleptic properties of antacid formulations </w:t>
      </w:r>
    </w:p>
    <w:tbl>
      <w:tblPr>
        <w:tblStyle w:val="TableGrid"/>
        <w:tblW w:w="9778" w:type="dxa"/>
        <w:jc w:val="center"/>
        <w:tblLayout w:type="fixed"/>
        <w:tblLook w:val="04A0" w:firstRow="1" w:lastRow="0" w:firstColumn="1" w:lastColumn="0" w:noHBand="0" w:noVBand="1"/>
      </w:tblPr>
      <w:tblGrid>
        <w:gridCol w:w="630"/>
        <w:gridCol w:w="971"/>
        <w:gridCol w:w="1170"/>
        <w:gridCol w:w="1260"/>
        <w:gridCol w:w="1639"/>
        <w:gridCol w:w="1781"/>
        <w:gridCol w:w="990"/>
        <w:gridCol w:w="1337"/>
      </w:tblGrid>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S/N</w:t>
            </w:r>
          </w:p>
        </w:tc>
        <w:tc>
          <w:tcPr>
            <w:tcW w:w="971"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Brand Name</w:t>
            </w:r>
          </w:p>
        </w:tc>
        <w:tc>
          <w:tcPr>
            <w:tcW w:w="1170"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Country</w:t>
            </w:r>
          </w:p>
        </w:tc>
        <w:tc>
          <w:tcPr>
            <w:tcW w:w="1260" w:type="dxa"/>
            <w:hideMark/>
          </w:tcPr>
          <w:p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Dosage Form</w:t>
            </w:r>
          </w:p>
        </w:tc>
        <w:tc>
          <w:tcPr>
            <w:tcW w:w="1639" w:type="dxa"/>
            <w:hideMark/>
          </w:tcPr>
          <w:p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Package</w:t>
            </w:r>
          </w:p>
        </w:tc>
        <w:tc>
          <w:tcPr>
            <w:tcW w:w="1781"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Composition</w:t>
            </w:r>
          </w:p>
        </w:tc>
        <w:tc>
          <w:tcPr>
            <w:tcW w:w="990" w:type="dxa"/>
            <w:hideMark/>
          </w:tcPr>
          <w:p w:rsidR="00D70544" w:rsidRPr="00D70544" w:rsidRDefault="00D70544" w:rsidP="009A5A7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Colour</w:t>
            </w:r>
            <w:proofErr w:type="spellEnd"/>
          </w:p>
        </w:tc>
        <w:tc>
          <w:tcPr>
            <w:tcW w:w="1337" w:type="dxa"/>
          </w:tcPr>
          <w:p w:rsidR="00D70544" w:rsidRDefault="00D70544" w:rsidP="009A5A7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Odour</w:t>
            </w:r>
            <w:proofErr w:type="spellEnd"/>
            <w:r>
              <w:rPr>
                <w:rFonts w:ascii="Times New Roman" w:hAnsi="Times New Roman" w:cs="Times New Roman"/>
                <w:b/>
                <w:bCs/>
                <w:sz w:val="24"/>
                <w:szCs w:val="24"/>
              </w:rPr>
              <w:t xml:space="preserve"> &amp; </w:t>
            </w:r>
            <w:proofErr w:type="spellStart"/>
            <w:r>
              <w:rPr>
                <w:rFonts w:ascii="Times New Roman" w:hAnsi="Times New Roman" w:cs="Times New Roman"/>
                <w:b/>
                <w:bCs/>
                <w:sz w:val="24"/>
                <w:szCs w:val="24"/>
              </w:rPr>
              <w:t>Flavour</w:t>
            </w:r>
            <w:proofErr w:type="spellEnd"/>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1</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Kriscet</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Pr>
                <w:rFonts w:ascii="Times New Roman" w:hAnsi="Times New Roman" w:cs="Times New Roman"/>
                <w:sz w:val="24"/>
                <w:szCs w:val="24"/>
              </w:rPr>
              <w:t>20</w:t>
            </w:r>
            <w:r w:rsidRPr="00D70544">
              <w:rPr>
                <w:rFonts w:ascii="Times New Roman" w:hAnsi="Times New Roman" w:cs="Times New Roman"/>
                <w:sz w:val="24"/>
                <w:szCs w:val="24"/>
              </w:rPr>
              <w:t>0 mg</w:t>
            </w:r>
            <w:r>
              <w:rPr>
                <w:rFonts w:ascii="Times New Roman" w:hAnsi="Times New Roman" w:cs="Times New Roman"/>
                <w:sz w:val="24"/>
                <w:szCs w:val="24"/>
              </w:rPr>
              <w:t xml:space="preserve"> Sachet</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 uncoated tablet contains Cimetidine BP 2</w:t>
            </w:r>
            <w:r>
              <w:rPr>
                <w:rFonts w:ascii="Times New Roman" w:hAnsi="Times New Roman" w:cs="Times New Roman"/>
                <w:sz w:val="24"/>
                <w:szCs w:val="24"/>
              </w:rPr>
              <w:t>0</w:t>
            </w:r>
            <w:r w:rsidRPr="00D70544">
              <w:rPr>
                <w:rFonts w:ascii="Times New Roman" w:hAnsi="Times New Roman" w:cs="Times New Roman"/>
                <w:sz w:val="24"/>
                <w:szCs w:val="24"/>
              </w:rPr>
              <w:t xml:space="preserve">0 mg. Excipients </w:t>
            </w:r>
            <w:r>
              <w:rPr>
                <w:rFonts w:ascii="Times New Roman" w:hAnsi="Times New Roman" w:cs="Times New Roman"/>
                <w:sz w:val="24"/>
                <w:szCs w:val="24"/>
              </w:rPr>
              <w:t>Q.S</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 W</w:t>
            </w:r>
            <w:r w:rsidR="00C44110">
              <w:rPr>
                <w:rFonts w:ascii="Times New Roman" w:hAnsi="Times New Roman" w:cs="Times New Roman"/>
                <w:sz w:val="24"/>
                <w:szCs w:val="24"/>
              </w:rPr>
              <w:t>hite</w:t>
            </w:r>
            <w:r w:rsidR="00C44110">
              <w:rPr>
                <w:rFonts w:ascii="Times New Roman" w:hAnsi="Times New Roman" w:cs="Times New Roman"/>
                <w:sz w:val="24"/>
                <w:szCs w:val="24"/>
              </w:rPr>
              <w:br/>
            </w:r>
          </w:p>
        </w:tc>
        <w:tc>
          <w:tcPr>
            <w:tcW w:w="1337" w:type="dxa"/>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Odorless and bitter</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2</w:t>
            </w:r>
          </w:p>
        </w:tc>
        <w:tc>
          <w:tcPr>
            <w:tcW w:w="971" w:type="dxa"/>
            <w:hideMark/>
          </w:tcPr>
          <w:p w:rsidR="00D70544" w:rsidRPr="00D70544" w:rsidRDefault="00C44110" w:rsidP="009A5A7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w:t>
            </w:r>
            <w:r w:rsidR="00D70544" w:rsidRPr="00D70544">
              <w:rPr>
                <w:rFonts w:ascii="Times New Roman" w:hAnsi="Times New Roman" w:cs="Times New Roman"/>
                <w:sz w:val="24"/>
                <w:szCs w:val="24"/>
              </w:rPr>
              <w:t>rix</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10m</w:t>
            </w:r>
            <w:r w:rsidR="00D70544" w:rsidRPr="00D70544">
              <w:rPr>
                <w:rFonts w:ascii="Times New Roman" w:hAnsi="Times New Roman" w:cs="Times New Roman"/>
                <w:sz w:val="24"/>
                <w:szCs w:val="24"/>
              </w:rPr>
              <w:t>g</w:t>
            </w:r>
          </w:p>
        </w:tc>
        <w:tc>
          <w:tcPr>
            <w:tcW w:w="1781" w:type="dxa"/>
            <w:hideMark/>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Each enteric c</w:t>
            </w:r>
            <w:r w:rsidR="00D70544" w:rsidRPr="00D70544">
              <w:rPr>
                <w:rFonts w:ascii="Times New Roman" w:hAnsi="Times New Roman" w:cs="Times New Roman"/>
                <w:sz w:val="24"/>
                <w:szCs w:val="24"/>
              </w:rPr>
              <w:t>o</w:t>
            </w:r>
            <w:r w:rsidR="00BA04F8">
              <w:rPr>
                <w:rFonts w:ascii="Times New Roman" w:hAnsi="Times New Roman" w:cs="Times New Roman"/>
                <w:sz w:val="24"/>
                <w:szCs w:val="24"/>
              </w:rPr>
              <w:t xml:space="preserve">ated tablet contains </w:t>
            </w:r>
            <w:proofErr w:type="spellStart"/>
            <w:r w:rsidR="00BA04F8">
              <w:rPr>
                <w:rFonts w:ascii="Times New Roman" w:hAnsi="Times New Roman" w:cs="Times New Roman"/>
                <w:sz w:val="24"/>
                <w:szCs w:val="24"/>
              </w:rPr>
              <w:t>Dexrabeprazole</w:t>
            </w:r>
            <w:proofErr w:type="spellEnd"/>
            <w:r w:rsidR="00BA04F8">
              <w:rPr>
                <w:rFonts w:ascii="Times New Roman" w:hAnsi="Times New Roman" w:cs="Times New Roman"/>
                <w:sz w:val="24"/>
                <w:szCs w:val="24"/>
              </w:rPr>
              <w:t xml:space="preserve"> Sodium</w:t>
            </w:r>
            <w:r w:rsidR="00D70544" w:rsidRPr="00D70544">
              <w:rPr>
                <w:rFonts w:ascii="Times New Roman" w:hAnsi="Times New Roman" w:cs="Times New Roman"/>
                <w:sz w:val="24"/>
                <w:szCs w:val="24"/>
              </w:rPr>
              <w:t xml:space="preserve"> </w:t>
            </w:r>
            <w:r w:rsidR="00BA04F8">
              <w:rPr>
                <w:rFonts w:ascii="Times New Roman" w:hAnsi="Times New Roman" w:cs="Times New Roman"/>
                <w:sz w:val="24"/>
                <w:szCs w:val="24"/>
              </w:rPr>
              <w:t>10</w:t>
            </w:r>
            <w:r w:rsidR="001E66C2">
              <w:rPr>
                <w:rFonts w:ascii="Times New Roman" w:hAnsi="Times New Roman" w:cs="Times New Roman"/>
                <w:sz w:val="24"/>
                <w:szCs w:val="24"/>
              </w:rPr>
              <w:t xml:space="preserve"> </w:t>
            </w:r>
            <w:r w:rsidR="00D70544" w:rsidRPr="00D70544">
              <w:rPr>
                <w:rFonts w:ascii="Times New Roman" w:hAnsi="Times New Roman" w:cs="Times New Roman"/>
                <w:sz w:val="24"/>
                <w:szCs w:val="24"/>
              </w:rPr>
              <w:t xml:space="preserve">mg. Excipients </w:t>
            </w:r>
            <w:r w:rsidR="00BA04F8">
              <w:rPr>
                <w:rFonts w:ascii="Times New Roman" w:hAnsi="Times New Roman" w:cs="Times New Roman"/>
                <w:sz w:val="24"/>
                <w:szCs w:val="24"/>
              </w:rPr>
              <w:t>Q.S</w:t>
            </w:r>
            <w:r w:rsidR="00D70544" w:rsidRPr="00D70544">
              <w:rPr>
                <w:rFonts w:ascii="Times New Roman" w:hAnsi="Times New Roman" w:cs="Times New Roman"/>
                <w:sz w:val="24"/>
                <w:szCs w:val="24"/>
              </w:rPr>
              <w:t>.</w:t>
            </w:r>
          </w:p>
        </w:tc>
        <w:tc>
          <w:tcPr>
            <w:tcW w:w="990" w:type="dxa"/>
            <w:hideMark/>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White</w:t>
            </w:r>
          </w:p>
        </w:tc>
        <w:tc>
          <w:tcPr>
            <w:tcW w:w="1337" w:type="dxa"/>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3</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Krisnat</w:t>
            </w:r>
            <w:proofErr w:type="spellEnd"/>
            <w:r w:rsidRPr="00D70544">
              <w:rPr>
                <w:rFonts w:ascii="Times New Roman" w:hAnsi="Times New Roman" w:cs="Times New Roman"/>
                <w:sz w:val="24"/>
                <w:szCs w:val="24"/>
              </w:rPr>
              <w:t xml:space="preserve"> Omeprazole</w:t>
            </w:r>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Omeprazole</w:t>
            </w:r>
            <w:r w:rsidR="00BA04F8">
              <w:rPr>
                <w:rFonts w:ascii="Times New Roman" w:hAnsi="Times New Roman" w:cs="Times New Roman"/>
                <w:sz w:val="24"/>
                <w:szCs w:val="24"/>
              </w:rPr>
              <w:t xml:space="preserve"> (as enteric coated pellets)</w:t>
            </w:r>
            <w:r w:rsidRPr="00D70544">
              <w:rPr>
                <w:rFonts w:ascii="Times New Roman" w:hAnsi="Times New Roman" w:cs="Times New Roman"/>
                <w:sz w:val="24"/>
                <w:szCs w:val="24"/>
              </w:rPr>
              <w:t xml:space="preserve"> 20 mg.</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4</w:t>
            </w:r>
          </w:p>
        </w:tc>
        <w:tc>
          <w:tcPr>
            <w:tcW w:w="971" w:type="dxa"/>
            <w:hideMark/>
          </w:tcPr>
          <w:p w:rsidR="00D70544" w:rsidRPr="00D70544" w:rsidRDefault="00BA04F8" w:rsidP="009A5A7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Gestid</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300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w:t>
            </w:r>
            <w:r w:rsidR="00BA04F8">
              <w:rPr>
                <w:rFonts w:ascii="Times New Roman" w:hAnsi="Times New Roman" w:cs="Times New Roman"/>
                <w:sz w:val="24"/>
                <w:szCs w:val="24"/>
              </w:rPr>
              <w:t xml:space="preserve"> chewable</w:t>
            </w:r>
            <w:r w:rsidRPr="00D70544">
              <w:rPr>
                <w:rFonts w:ascii="Times New Roman" w:hAnsi="Times New Roman" w:cs="Times New Roman"/>
                <w:sz w:val="24"/>
                <w:szCs w:val="24"/>
              </w:rPr>
              <w:t xml:space="preserve"> tablet contain</w:t>
            </w:r>
            <w:r w:rsidR="00BA04F8">
              <w:rPr>
                <w:rFonts w:ascii="Times New Roman" w:hAnsi="Times New Roman" w:cs="Times New Roman"/>
                <w:sz w:val="24"/>
                <w:szCs w:val="24"/>
              </w:rPr>
              <w:t xml:space="preserve">s: </w:t>
            </w:r>
            <w:r w:rsidR="00BA04F8">
              <w:rPr>
                <w:rFonts w:ascii="Times New Roman" w:hAnsi="Times New Roman" w:cs="Times New Roman"/>
                <w:sz w:val="24"/>
                <w:szCs w:val="24"/>
              </w:rPr>
              <w:lastRenderedPageBreak/>
              <w:t xml:space="preserve">Dried </w:t>
            </w:r>
            <w:proofErr w:type="spellStart"/>
            <w:r w:rsidR="00BA04F8">
              <w:rPr>
                <w:rFonts w:ascii="Times New Roman" w:hAnsi="Times New Roman" w:cs="Times New Roman"/>
                <w:sz w:val="24"/>
                <w:szCs w:val="24"/>
              </w:rPr>
              <w:t>Aluminium</w:t>
            </w:r>
            <w:proofErr w:type="spellEnd"/>
            <w:r w:rsidR="00BA04F8">
              <w:rPr>
                <w:rFonts w:ascii="Times New Roman" w:hAnsi="Times New Roman" w:cs="Times New Roman"/>
                <w:sz w:val="24"/>
                <w:szCs w:val="24"/>
              </w:rPr>
              <w:t xml:space="preserve"> Hydroxide</w:t>
            </w:r>
            <w:r w:rsidR="001E66C2">
              <w:rPr>
                <w:rFonts w:ascii="Times New Roman" w:hAnsi="Times New Roman" w:cs="Times New Roman"/>
                <w:sz w:val="24"/>
                <w:szCs w:val="24"/>
              </w:rPr>
              <w:t xml:space="preserve"> BP 300 mg </w:t>
            </w:r>
            <w:r w:rsidRPr="00D70544">
              <w:rPr>
                <w:rFonts w:ascii="Times New Roman" w:hAnsi="Times New Roman" w:cs="Times New Roman"/>
                <w:sz w:val="24"/>
                <w:szCs w:val="24"/>
              </w:rPr>
              <w:t xml:space="preserve">Magnesium </w:t>
            </w:r>
            <w:proofErr w:type="spellStart"/>
            <w:r w:rsidRPr="00D70544">
              <w:rPr>
                <w:rFonts w:ascii="Times New Roman" w:hAnsi="Times New Roman" w:cs="Times New Roman"/>
                <w:sz w:val="24"/>
                <w:szCs w:val="24"/>
              </w:rPr>
              <w:t>Trisilicate</w:t>
            </w:r>
            <w:proofErr w:type="spellEnd"/>
            <w:r w:rsidRPr="00D70544">
              <w:rPr>
                <w:rFonts w:ascii="Times New Roman" w:hAnsi="Times New Roman" w:cs="Times New Roman"/>
                <w:sz w:val="24"/>
                <w:szCs w:val="24"/>
              </w:rPr>
              <w:t xml:space="preserve"> </w:t>
            </w:r>
            <w:r w:rsidR="001E66C2">
              <w:rPr>
                <w:rFonts w:ascii="Times New Roman" w:hAnsi="Times New Roman" w:cs="Times New Roman"/>
                <w:sz w:val="24"/>
                <w:szCs w:val="24"/>
              </w:rPr>
              <w:t>B</w:t>
            </w:r>
            <w:r w:rsidRPr="00D70544">
              <w:rPr>
                <w:rFonts w:ascii="Times New Roman" w:hAnsi="Times New Roman" w:cs="Times New Roman"/>
                <w:sz w:val="24"/>
                <w:szCs w:val="24"/>
              </w:rPr>
              <w:t>P</w:t>
            </w:r>
            <w:r w:rsidR="001E66C2">
              <w:rPr>
                <w:rFonts w:ascii="Times New Roman" w:hAnsi="Times New Roman" w:cs="Times New Roman"/>
                <w:sz w:val="24"/>
                <w:szCs w:val="24"/>
              </w:rPr>
              <w:t xml:space="preserve"> 5</w:t>
            </w:r>
            <w:r w:rsidRPr="00D70544">
              <w:rPr>
                <w:rFonts w:ascii="Times New Roman" w:hAnsi="Times New Roman" w:cs="Times New Roman"/>
                <w:sz w:val="24"/>
                <w:szCs w:val="24"/>
              </w:rPr>
              <w:t>0 mg</w:t>
            </w:r>
            <w:r w:rsidR="001E66C2">
              <w:rPr>
                <w:rFonts w:ascii="Times New Roman" w:hAnsi="Times New Roman" w:cs="Times New Roman"/>
                <w:sz w:val="24"/>
                <w:szCs w:val="24"/>
              </w:rPr>
              <w:t xml:space="preserve"> Magnesium Hydroxide USP 25 mg </w:t>
            </w:r>
            <w:proofErr w:type="spellStart"/>
            <w:r w:rsidR="001E66C2">
              <w:rPr>
                <w:rFonts w:ascii="Times New Roman" w:hAnsi="Times New Roman" w:cs="Times New Roman"/>
                <w:sz w:val="24"/>
                <w:szCs w:val="24"/>
              </w:rPr>
              <w:t>Simetilicone</w:t>
            </w:r>
            <w:proofErr w:type="spellEnd"/>
            <w:r w:rsidR="001E66C2">
              <w:rPr>
                <w:rFonts w:ascii="Times New Roman" w:hAnsi="Times New Roman" w:cs="Times New Roman"/>
                <w:sz w:val="24"/>
                <w:szCs w:val="24"/>
              </w:rPr>
              <w:t xml:space="preserve"> USP 10 mg.</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lastRenderedPageBreak/>
              <w:t>Light yellow</w:t>
            </w:r>
            <w:r w:rsidRPr="00D70544">
              <w:rPr>
                <w:rFonts w:ascii="Times New Roman" w:hAnsi="Times New Roman" w:cs="Times New Roman"/>
                <w:sz w:val="24"/>
                <w:szCs w:val="24"/>
              </w:rPr>
              <w:br/>
            </w:r>
          </w:p>
        </w:tc>
        <w:tc>
          <w:tcPr>
            <w:tcW w:w="1337" w:type="dxa"/>
          </w:tcPr>
          <w:p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lastRenderedPageBreak/>
              <w:t>5</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Krisacid</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250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Each </w:t>
            </w:r>
            <w:r w:rsidR="001E66C2">
              <w:rPr>
                <w:rFonts w:ascii="Times New Roman" w:hAnsi="Times New Roman" w:cs="Times New Roman"/>
                <w:sz w:val="24"/>
                <w:szCs w:val="24"/>
              </w:rPr>
              <w:t xml:space="preserve">uncoated </w:t>
            </w:r>
            <w:r w:rsidRPr="00D70544">
              <w:rPr>
                <w:rFonts w:ascii="Times New Roman" w:hAnsi="Times New Roman" w:cs="Times New Roman"/>
                <w:sz w:val="24"/>
                <w:szCs w:val="24"/>
              </w:rPr>
              <w:t>tablet contains:</w:t>
            </w:r>
            <w:r w:rsidR="001E66C2">
              <w:rPr>
                <w:rFonts w:ascii="Times New Roman" w:hAnsi="Times New Roman" w:cs="Times New Roman"/>
                <w:sz w:val="24"/>
                <w:szCs w:val="24"/>
              </w:rPr>
              <w:t xml:space="preserve"> </w:t>
            </w:r>
            <w:r w:rsidRPr="00D70544">
              <w:rPr>
                <w:rFonts w:ascii="Times New Roman" w:hAnsi="Times New Roman" w:cs="Times New Roman"/>
                <w:sz w:val="24"/>
                <w:szCs w:val="24"/>
              </w:rPr>
              <w:t xml:space="preserve"> Magnesium </w:t>
            </w:r>
            <w:proofErr w:type="spellStart"/>
            <w:r w:rsidRPr="00D70544">
              <w:rPr>
                <w:rFonts w:ascii="Times New Roman" w:hAnsi="Times New Roman" w:cs="Times New Roman"/>
                <w:sz w:val="24"/>
                <w:szCs w:val="24"/>
              </w:rPr>
              <w:t>Trisilicate</w:t>
            </w:r>
            <w:proofErr w:type="spellEnd"/>
            <w:r w:rsidR="001E66C2">
              <w:rPr>
                <w:rFonts w:ascii="Times New Roman" w:hAnsi="Times New Roman" w:cs="Times New Roman"/>
                <w:sz w:val="24"/>
                <w:szCs w:val="24"/>
              </w:rPr>
              <w:t xml:space="preserve"> BP 250 mg</w:t>
            </w:r>
            <w:r w:rsidRPr="00D70544">
              <w:rPr>
                <w:rFonts w:ascii="Times New Roman" w:hAnsi="Times New Roman" w:cs="Times New Roman"/>
                <w:sz w:val="24"/>
                <w:szCs w:val="24"/>
              </w:rPr>
              <w:t>,</w:t>
            </w:r>
            <w:r w:rsidR="001E66C2">
              <w:rPr>
                <w:rFonts w:ascii="Times New Roman" w:hAnsi="Times New Roman" w:cs="Times New Roman"/>
                <w:sz w:val="24"/>
                <w:szCs w:val="24"/>
              </w:rPr>
              <w:t xml:space="preserve"> Dried </w:t>
            </w:r>
            <w:proofErr w:type="spellStart"/>
            <w:r w:rsidR="001E66C2">
              <w:rPr>
                <w:rFonts w:ascii="Times New Roman" w:hAnsi="Times New Roman" w:cs="Times New Roman"/>
                <w:sz w:val="24"/>
                <w:szCs w:val="24"/>
              </w:rPr>
              <w:t>Aluminium</w:t>
            </w:r>
            <w:proofErr w:type="spellEnd"/>
            <w:r w:rsidR="001E66C2">
              <w:rPr>
                <w:rFonts w:ascii="Times New Roman" w:hAnsi="Times New Roman" w:cs="Times New Roman"/>
                <w:sz w:val="24"/>
                <w:szCs w:val="24"/>
              </w:rPr>
              <w:t xml:space="preserve"> Hydroxide BP 120 mg, pepper mint flavor</w:t>
            </w:r>
            <w:r w:rsidRPr="00D70544">
              <w:rPr>
                <w:rFonts w:ascii="Times New Roman" w:hAnsi="Times New Roman" w:cs="Times New Roman"/>
                <w:sz w:val="24"/>
                <w:szCs w:val="24"/>
              </w:rPr>
              <w:t xml:space="preserve"> </w:t>
            </w:r>
            <w:r w:rsidR="001E66C2">
              <w:rPr>
                <w:rFonts w:ascii="Times New Roman" w:hAnsi="Times New Roman" w:cs="Times New Roman"/>
                <w:sz w:val="24"/>
                <w:szCs w:val="24"/>
              </w:rPr>
              <w:t>Q.S</w:t>
            </w:r>
            <w:r w:rsidRPr="00D70544">
              <w:rPr>
                <w:rFonts w:ascii="Times New Roman" w:hAnsi="Times New Roman" w:cs="Times New Roman"/>
                <w:sz w:val="24"/>
                <w:szCs w:val="24"/>
              </w:rPr>
              <w:t>.</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bl>
    <w:p w:rsidR="00D70544" w:rsidRPr="00D659FE" w:rsidRDefault="00D70544" w:rsidP="009A5A72">
      <w:pPr>
        <w:spacing w:after="0" w:line="360" w:lineRule="auto"/>
        <w:jc w:val="both"/>
        <w:rPr>
          <w:rFonts w:ascii="Times New Roman" w:hAnsi="Times New Roman" w:cs="Times New Roman"/>
          <w:sz w:val="24"/>
          <w:szCs w:val="24"/>
        </w:rPr>
      </w:pPr>
    </w:p>
    <w:p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footerReference w:type="default" r:id="rId9"/>
          <w:pgSz w:w="11808" w:h="15120"/>
          <w:pgMar w:top="1360" w:right="1417" w:bottom="2500" w:left="1417" w:header="0" w:footer="1440" w:gutter="0"/>
          <w:cols w:space="720"/>
          <w:docGrid w:linePitch="299"/>
        </w:sectPr>
      </w:pPr>
    </w:p>
    <w:p w:rsidR="00505174"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9E55DF"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RESULT </w:t>
      </w:r>
    </w:p>
    <w:p w:rsidR="009E55DF" w:rsidRPr="005F4524" w:rsidRDefault="009E55DF" w:rsidP="005F4524">
      <w:pPr>
        <w:pStyle w:val="NormalWeb"/>
        <w:spacing w:before="0" w:beforeAutospacing="0" w:after="0" w:afterAutospacing="0" w:line="360" w:lineRule="auto"/>
        <w:rPr>
          <w:b/>
        </w:rPr>
      </w:pPr>
      <w:r w:rsidRPr="005F4524">
        <w:rPr>
          <w:b/>
        </w:rPr>
        <w:t xml:space="preserve">Table 4.1: </w:t>
      </w:r>
      <w:r w:rsidRPr="005F4524">
        <w:rPr>
          <w:rStyle w:val="Strong"/>
          <w:b w:val="0"/>
        </w:rPr>
        <w:t>Comparative Analysis of pH Variation and Acid Neutralizing Capacity of Selected Antacid and Anti-Ulcer Drug Brands</w:t>
      </w:r>
    </w:p>
    <w:tbl>
      <w:tblPr>
        <w:tblStyle w:val="TableGrid"/>
        <w:tblW w:w="0" w:type="auto"/>
        <w:tblLook w:val="04A0" w:firstRow="1" w:lastRow="0" w:firstColumn="1" w:lastColumn="0" w:noHBand="0" w:noVBand="1"/>
      </w:tblPr>
      <w:tblGrid>
        <w:gridCol w:w="590"/>
        <w:gridCol w:w="2353"/>
        <w:gridCol w:w="1560"/>
        <w:gridCol w:w="1559"/>
        <w:gridCol w:w="2693"/>
      </w:tblGrid>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S/N</w:t>
            </w:r>
          </w:p>
        </w:tc>
        <w:tc>
          <w:tcPr>
            <w:tcW w:w="2353"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Brand Name</w:t>
            </w:r>
          </w:p>
        </w:tc>
        <w:tc>
          <w:tcPr>
            <w:tcW w:w="1560"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0 min (Mean ± SD)</w:t>
            </w:r>
          </w:p>
        </w:tc>
        <w:tc>
          <w:tcPr>
            <w:tcW w:w="1559"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15 min (Mean ± SD)</w:t>
            </w:r>
          </w:p>
        </w:tc>
        <w:tc>
          <w:tcPr>
            <w:tcW w:w="2693" w:type="dxa"/>
            <w:hideMark/>
          </w:tcPr>
          <w:p w:rsidR="009E55DF" w:rsidRPr="00FA245E" w:rsidRDefault="009E55DF"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ANC per Dose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/10ml</w:t>
            </w:r>
            <w:r w:rsidRPr="00FA245E">
              <w:rPr>
                <w:rFonts w:ascii="Times New Roman" w:hAnsi="Times New Roman" w:cs="Times New Roman"/>
                <w:b/>
                <w:bCs/>
                <w:sz w:val="24"/>
                <w:szCs w:val="24"/>
              </w:rPr>
              <w:t xml:space="preserve"> or 5gm/tab)</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w:t>
            </w:r>
          </w:p>
        </w:tc>
        <w:tc>
          <w:tcPr>
            <w:tcW w:w="2353" w:type="dxa"/>
            <w:hideMark/>
          </w:tcPr>
          <w:p w:rsidR="009E55DF" w:rsidRPr="00FA245E" w:rsidRDefault="009E55DF" w:rsidP="009A5A72">
            <w:pPr>
              <w:spacing w:line="360" w:lineRule="auto"/>
              <w:rPr>
                <w:rFonts w:ascii="Times New Roman" w:hAnsi="Times New Roman" w:cs="Times New Roman"/>
                <w:sz w:val="24"/>
                <w:szCs w:val="24"/>
              </w:rPr>
            </w:pPr>
            <w:r>
              <w:rPr>
                <w:rFonts w:ascii="Times New Roman" w:hAnsi="Times New Roman" w:cs="Times New Roman"/>
                <w:sz w:val="24"/>
                <w:szCs w:val="24"/>
              </w:rPr>
              <w:t xml:space="preserve">        Specimen A</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6.39 ± (0.09)</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1.42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12.15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2</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B</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.94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0.94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11.55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3</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C</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0.78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10.95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4</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D</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.89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1.31 ± </w:t>
            </w:r>
            <w:r>
              <w:rPr>
                <w:rFonts w:ascii="Times New Roman" w:hAnsi="Times New Roman" w:cs="Times New Roman"/>
                <w:sz w:val="24"/>
                <w:szCs w:val="24"/>
              </w:rPr>
              <w:t>(</w:t>
            </w:r>
            <w:r w:rsidRPr="00FA245E">
              <w:rPr>
                <w:rFonts w:ascii="Times New Roman" w:hAnsi="Times New Roman" w:cs="Times New Roman"/>
                <w:sz w:val="24"/>
                <w:szCs w:val="24"/>
              </w:rPr>
              <w:t>0.01</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13.80</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5</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E</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1.51 ± </w:t>
            </w:r>
            <w:r>
              <w:rPr>
                <w:rFonts w:ascii="Times New Roman" w:hAnsi="Times New Roman" w:cs="Times New Roman"/>
                <w:sz w:val="24"/>
                <w:szCs w:val="24"/>
              </w:rPr>
              <w:t>(</w:t>
            </w:r>
            <w:r w:rsidRPr="00FA245E">
              <w:rPr>
                <w:rFonts w:ascii="Times New Roman" w:hAnsi="Times New Roman" w:cs="Times New Roman"/>
                <w:sz w:val="24"/>
                <w:szCs w:val="24"/>
              </w:rPr>
              <w:t>0.08</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13.25</w:t>
            </w:r>
          </w:p>
        </w:tc>
      </w:tr>
    </w:tbl>
    <w:p w:rsidR="009E55DF" w:rsidRDefault="009E55DF" w:rsidP="009A5A72">
      <w:pPr>
        <w:spacing w:after="0" w:line="360" w:lineRule="auto"/>
        <w:rPr>
          <w:rFonts w:ascii="Times New Roman" w:hAnsi="Times New Roman" w:cs="Times New Roman"/>
          <w:b/>
          <w:bCs/>
          <w:sz w:val="24"/>
          <w:szCs w:val="24"/>
        </w:rPr>
      </w:pPr>
      <w:r w:rsidRPr="00FA245E">
        <w:rPr>
          <w:rFonts w:ascii="Times New Roman" w:hAnsi="Times New Roman" w:cs="Times New Roman"/>
          <w:b/>
          <w:bCs/>
          <w:sz w:val="24"/>
          <w:szCs w:val="24"/>
        </w:rPr>
        <w:t>Parameters Tested for the Antacids</w:t>
      </w:r>
      <w:r>
        <w:rPr>
          <w:rFonts w:ascii="Times New Roman" w:hAnsi="Times New Roman" w:cs="Times New Roman"/>
          <w:b/>
          <w:bCs/>
          <w:sz w:val="24"/>
          <w:szCs w:val="24"/>
        </w:rPr>
        <w:t xml:space="preserve"> </w:t>
      </w:r>
      <w:r w:rsidRPr="00FA245E">
        <w:rPr>
          <w:rFonts w:ascii="Times New Roman" w:hAnsi="Times New Roman" w:cs="Times New Roman"/>
          <w:b/>
          <w:bCs/>
          <w:sz w:val="24"/>
          <w:szCs w:val="24"/>
        </w:rPr>
        <w:t>(n = 3 ± SD)</w:t>
      </w:r>
    </w:p>
    <w:p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5F4524" w:rsidRPr="009E55DF">
        <w:rPr>
          <w:rFonts w:ascii="Times New Roman" w:eastAsia="Times New Roman" w:hAnsi="Times New Roman" w:cs="Times New Roman"/>
          <w:b/>
          <w:bCs/>
          <w:sz w:val="24"/>
          <w:szCs w:val="24"/>
        </w:rPr>
        <w:t>DISCUSSION</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The pH and Acid Neutralizing Capacity (ANC) of the five antacid and anti-ulcer drug samples evaluated in this study varied notably, reflecting differences in their chemical compositions and formulation efficiency. At baseline (0 minutes), all samples exhibited al</w:t>
      </w:r>
      <w:r>
        <w:rPr>
          <w:rFonts w:ascii="Times New Roman" w:eastAsia="Times New Roman" w:hAnsi="Times New Roman" w:cs="Times New Roman"/>
          <w:sz w:val="24"/>
          <w:szCs w:val="24"/>
        </w:rPr>
        <w:t>kaline pH values, ranging from 6.35 ± 0.02 Specimen E to 8.35 ± 0.02 Specimen C. Specimen C</w:t>
      </w:r>
      <w:r w:rsidRPr="009E55DF">
        <w:rPr>
          <w:rFonts w:ascii="Times New Roman" w:eastAsia="Times New Roman" w:hAnsi="Times New Roman" w:cs="Times New Roman"/>
          <w:sz w:val="24"/>
          <w:szCs w:val="24"/>
        </w:rPr>
        <w:t xml:space="preserve"> showed the highest initial pH, indicating a stronger alkaline nature among the samples, which may be attributed to its proton pump inhibitor mechanism that acts more systemically compared to conventional antacids.</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After 15 minutes of exposure, a significant drop in pH was observed in all samples, highlighting their interaction with acidic media. The extent of pH reduction serves as an indirect indicator of buffering action and acid resistance</w:t>
      </w:r>
      <w:r>
        <w:rPr>
          <w:rFonts w:ascii="Times New Roman" w:eastAsia="Times New Roman" w:hAnsi="Times New Roman" w:cs="Times New Roman"/>
          <w:sz w:val="24"/>
          <w:szCs w:val="24"/>
        </w:rPr>
        <w:t xml:space="preserve">. Specimen B &amp; C </w:t>
      </w:r>
      <w:r w:rsidRPr="009E55DF">
        <w:rPr>
          <w:rFonts w:ascii="Times New Roman" w:eastAsia="Times New Roman" w:hAnsi="Times New Roman" w:cs="Times New Roman"/>
          <w:sz w:val="24"/>
          <w:szCs w:val="24"/>
        </w:rPr>
        <w:t xml:space="preserve">exhibited the most pronounced reductions, with final pH values of 0.94 ± 0.03 and 0.78 ± 0.02, respectively. This sharp decline may reflect the limited duration of their surface-level neutralizing effects, </w:t>
      </w:r>
      <w:r w:rsidRPr="009E55DF">
        <w:rPr>
          <w:rFonts w:ascii="Times New Roman" w:eastAsia="Times New Roman" w:hAnsi="Times New Roman" w:cs="Times New Roman"/>
          <w:sz w:val="24"/>
          <w:szCs w:val="24"/>
        </w:rPr>
        <w:lastRenderedPageBreak/>
        <w:t>suggesting that their sustained acid suppression likely depends on systemic absorption and delayed pharmacodynamics.</w:t>
      </w:r>
    </w:p>
    <w:p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Specimen E</w:t>
      </w:r>
      <w:r w:rsidRPr="009E55DF">
        <w:rPr>
          <w:rFonts w:ascii="Times New Roman" w:eastAsia="Times New Roman" w:hAnsi="Times New Roman" w:cs="Times New Roman"/>
          <w:sz w:val="24"/>
          <w:szCs w:val="24"/>
        </w:rPr>
        <w:t xml:space="preserve"> maintained the highest pH at 15 minutes (1.51 ± 0.08), suggesting better short-term acid neutralization or slower dissolution, which could prolong its effectiveness in</w:t>
      </w:r>
      <w:r>
        <w:rPr>
          <w:rFonts w:ascii="Times New Roman" w:eastAsia="Times New Roman" w:hAnsi="Times New Roman" w:cs="Times New Roman"/>
          <w:sz w:val="24"/>
          <w:szCs w:val="24"/>
        </w:rPr>
        <w:t xml:space="preserve"> immediate symptom relief. Specimen E</w:t>
      </w:r>
      <w:r w:rsidRPr="009E55DF">
        <w:rPr>
          <w:rFonts w:ascii="Times New Roman" w:eastAsia="Times New Roman" w:hAnsi="Times New Roman" w:cs="Times New Roman"/>
          <w:sz w:val="24"/>
          <w:szCs w:val="24"/>
        </w:rPr>
        <w:t xml:space="preserve"> also maintained relatively stable pH (1.31 ± 0.01), indicating a favorable buffering effect over time.</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With regard to ANC, which quantifies the amount of a</w:t>
      </w:r>
      <w:r>
        <w:rPr>
          <w:rFonts w:ascii="Times New Roman" w:eastAsia="Times New Roman" w:hAnsi="Times New Roman" w:cs="Times New Roman"/>
          <w:sz w:val="24"/>
          <w:szCs w:val="24"/>
        </w:rPr>
        <w:t xml:space="preserve">cid neutralized per dose, Specimen D </w:t>
      </w:r>
      <w:r w:rsidRPr="009E55DF">
        <w:rPr>
          <w:rFonts w:ascii="Times New Roman" w:eastAsia="Times New Roman" w:hAnsi="Times New Roman" w:cs="Times New Roman"/>
          <w:sz w:val="24"/>
          <w:szCs w:val="24"/>
        </w:rPr>
        <w:t xml:space="preserve">demonstrated the highest acid-neutralizing capacity (13.80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/10 m</w:t>
      </w:r>
      <w:r>
        <w:rPr>
          <w:rFonts w:ascii="Times New Roman" w:eastAsia="Times New Roman" w:hAnsi="Times New Roman" w:cs="Times New Roman"/>
          <w:sz w:val="24"/>
          <w:szCs w:val="24"/>
        </w:rPr>
        <w:t xml:space="preserve">L), followed closely by </w:t>
      </w:r>
      <w:proofErr w:type="spellStart"/>
      <w:r>
        <w:rPr>
          <w:rFonts w:ascii="Times New Roman" w:eastAsia="Times New Roman" w:hAnsi="Times New Roman" w:cs="Times New Roman"/>
          <w:sz w:val="24"/>
          <w:szCs w:val="24"/>
        </w:rPr>
        <w:t>Specmen</w:t>
      </w:r>
      <w:proofErr w:type="spellEnd"/>
      <w:r>
        <w:rPr>
          <w:rFonts w:ascii="Times New Roman" w:eastAsia="Times New Roman" w:hAnsi="Times New Roman" w:cs="Times New Roman"/>
          <w:sz w:val="24"/>
          <w:szCs w:val="24"/>
        </w:rPr>
        <w:t xml:space="preserve"> E</w:t>
      </w:r>
      <w:r w:rsidRPr="009E55DF">
        <w:rPr>
          <w:rFonts w:ascii="Times New Roman" w:eastAsia="Times New Roman" w:hAnsi="Times New Roman" w:cs="Times New Roman"/>
          <w:sz w:val="24"/>
          <w:szCs w:val="24"/>
        </w:rPr>
        <w:t xml:space="preserve"> (13.25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w:t>
      </w:r>
      <w:r>
        <w:rPr>
          <w:rFonts w:ascii="Times New Roman" w:eastAsia="Times New Roman" w:hAnsi="Times New Roman" w:cs="Times New Roman"/>
          <w:sz w:val="24"/>
          <w:szCs w:val="24"/>
        </w:rPr>
        <w:t>10 mL), while Specimen C</w:t>
      </w:r>
      <w:r w:rsidRPr="009E55DF">
        <w:rPr>
          <w:rFonts w:ascii="Times New Roman" w:eastAsia="Times New Roman" w:hAnsi="Times New Roman" w:cs="Times New Roman"/>
          <w:sz w:val="24"/>
          <w:szCs w:val="24"/>
        </w:rPr>
        <w:t xml:space="preserve"> had the lowest (10.95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 xml:space="preserve">/10 mL). </w:t>
      </w:r>
      <w:r>
        <w:rPr>
          <w:rFonts w:ascii="Times New Roman" w:eastAsia="Times New Roman" w:hAnsi="Times New Roman" w:cs="Times New Roman"/>
          <w:sz w:val="24"/>
          <w:szCs w:val="24"/>
        </w:rPr>
        <w:t>The higher ANC values of Specimen D &amp; E</w:t>
      </w:r>
      <w:r w:rsidRPr="009E55DF">
        <w:rPr>
          <w:rFonts w:ascii="Times New Roman" w:eastAsia="Times New Roman" w:hAnsi="Times New Roman" w:cs="Times New Roman"/>
          <w:sz w:val="24"/>
          <w:szCs w:val="24"/>
        </w:rPr>
        <w:t xml:space="preserve"> align with their relatively stable pH at 15 minutes, implying a stronger neutralization poten</w:t>
      </w:r>
      <w:r>
        <w:rPr>
          <w:rFonts w:ascii="Times New Roman" w:eastAsia="Times New Roman" w:hAnsi="Times New Roman" w:cs="Times New Roman"/>
          <w:sz w:val="24"/>
          <w:szCs w:val="24"/>
        </w:rPr>
        <w:t>tial. Despite Specimen C</w:t>
      </w:r>
      <w:r w:rsidRPr="009E55DF">
        <w:rPr>
          <w:rFonts w:ascii="Times New Roman" w:eastAsia="Times New Roman" w:hAnsi="Times New Roman" w:cs="Times New Roman"/>
          <w:sz w:val="24"/>
          <w:szCs w:val="24"/>
        </w:rPr>
        <w:t>’s high initial pH, its low ANC suggests that its mechanism of action may not rely heavily on direct acid neutralization, but rather on inhibition of gastric acid secretion at the cellular level.</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Overall, the differences in pH stability and ANC among the tested brands emphasize the diverse pharmacological approaches and efficacy profiles of the formulation</w:t>
      </w:r>
      <w:r>
        <w:rPr>
          <w:rFonts w:ascii="Times New Roman" w:eastAsia="Times New Roman" w:hAnsi="Times New Roman" w:cs="Times New Roman"/>
          <w:sz w:val="24"/>
          <w:szCs w:val="24"/>
        </w:rPr>
        <w:t>s. Antacids like Specimen D &amp; E</w:t>
      </w:r>
      <w:r w:rsidRPr="009E55DF">
        <w:rPr>
          <w:rFonts w:ascii="Times New Roman" w:eastAsia="Times New Roman" w:hAnsi="Times New Roman" w:cs="Times New Roman"/>
          <w:sz w:val="24"/>
          <w:szCs w:val="24"/>
        </w:rPr>
        <w:t xml:space="preserve"> appear to be more effective in immediate acid neutralization, making them potentially more suitable for quick symptomatic relief. In contrast, agents such </w:t>
      </w:r>
      <w:r>
        <w:rPr>
          <w:rFonts w:ascii="Times New Roman" w:eastAsia="Times New Roman" w:hAnsi="Times New Roman" w:cs="Times New Roman"/>
          <w:sz w:val="24"/>
          <w:szCs w:val="24"/>
        </w:rPr>
        <w:t>as Specimen B &amp; C</w:t>
      </w:r>
      <w:r w:rsidRPr="009E55DF">
        <w:rPr>
          <w:rFonts w:ascii="Times New Roman" w:eastAsia="Times New Roman" w:hAnsi="Times New Roman" w:cs="Times New Roman"/>
          <w:sz w:val="24"/>
          <w:szCs w:val="24"/>
        </w:rPr>
        <w:t xml:space="preserve"> may offer prolonged acid suppression through systemic mechanisms, despite lower ANC values.</w:t>
      </w:r>
    </w:p>
    <w:p w:rsidR="009E55DF" w:rsidRP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87772" w:rsidRDefault="00F87772" w:rsidP="00F87772">
      <w:pPr>
        <w:pStyle w:val="Heading3"/>
        <w:spacing w:after="24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FIVE</w:t>
      </w:r>
    </w:p>
    <w:p w:rsidR="009E55DF" w:rsidRPr="009E55DF" w:rsidRDefault="009E55DF" w:rsidP="00F87772">
      <w:pPr>
        <w:pStyle w:val="Heading3"/>
        <w:spacing w:after="240" w:line="360" w:lineRule="auto"/>
        <w:jc w:val="center"/>
        <w:rPr>
          <w:rFonts w:ascii="Times New Roman" w:hAnsi="Times New Roman" w:cs="Times New Roman"/>
          <w:color w:val="auto"/>
          <w:sz w:val="24"/>
          <w:szCs w:val="24"/>
        </w:rPr>
      </w:pPr>
      <w:r w:rsidRPr="009E55DF">
        <w:rPr>
          <w:rStyle w:val="Strong"/>
          <w:rFonts w:ascii="Times New Roman" w:hAnsi="Times New Roman" w:cs="Times New Roman"/>
          <w:b/>
          <w:bCs/>
          <w:color w:val="auto"/>
          <w:sz w:val="24"/>
          <w:szCs w:val="24"/>
        </w:rPr>
        <w:t>CONCLUSION AND RECOMMENDATION</w:t>
      </w:r>
    </w:p>
    <w:p w:rsidR="00F87772" w:rsidRPr="00F87772" w:rsidRDefault="00F87772" w:rsidP="009A5A72">
      <w:pPr>
        <w:pStyle w:val="NormalWeb"/>
        <w:spacing w:before="0" w:beforeAutospacing="0" w:after="0" w:afterAutospacing="0" w:line="360" w:lineRule="auto"/>
        <w:jc w:val="both"/>
        <w:rPr>
          <w:b/>
        </w:rPr>
      </w:pPr>
      <w:r>
        <w:rPr>
          <w:b/>
        </w:rPr>
        <w:t>5.1</w:t>
      </w:r>
      <w:r>
        <w:rPr>
          <w:b/>
        </w:rPr>
        <w:tab/>
        <w:t>CONCLUSION</w:t>
      </w:r>
    </w:p>
    <w:p w:rsidR="009E55DF" w:rsidRDefault="009E55DF" w:rsidP="009A5A72">
      <w:pPr>
        <w:pStyle w:val="NormalWeb"/>
        <w:spacing w:before="0" w:beforeAutospacing="0" w:after="0" w:afterAutospacing="0" w:line="360" w:lineRule="auto"/>
        <w:jc w:val="both"/>
      </w:pPr>
      <w:r>
        <w:t xml:space="preserve">The findings of this study reveal marked differences in the acid neutralizing capacity and pH stability of the selected antacid and anti-ulcer drug brands. While all samples exhibited alkaline properties at the point of preparation, their ability to maintain pH stability varied significantly. </w:t>
      </w:r>
      <w:proofErr w:type="spellStart"/>
      <w:r>
        <w:t>Gerdt</w:t>
      </w:r>
      <w:proofErr w:type="spellEnd"/>
      <w:r>
        <w:t xml:space="preserve"> and </w:t>
      </w:r>
      <w:proofErr w:type="spellStart"/>
      <w:r>
        <w:t>Krisacid</w:t>
      </w:r>
      <w:proofErr w:type="spellEnd"/>
      <w:r>
        <w:t xml:space="preserve"> showed superior buffering and neutralization performance, suggesting their suitability for rapid relief of gastric acidity. In contrast, drugs like </w:t>
      </w:r>
      <w:proofErr w:type="spellStart"/>
      <w:r>
        <w:t>Krisnat</w:t>
      </w:r>
      <w:proofErr w:type="spellEnd"/>
      <w:r>
        <w:t xml:space="preserve"> Omeprazole and </w:t>
      </w:r>
      <w:proofErr w:type="spellStart"/>
      <w:r>
        <w:t>Pherix</w:t>
      </w:r>
      <w:proofErr w:type="spellEnd"/>
      <w:r>
        <w:t>, despite high initial alkalinity, demonstrated lower ANC values and greater pH reduction over time, reflecting systemic rather than immediate neutralizing effects. These results emphasize that the clinical effectiveness of antacid products is not solely dependent on pH but also on the extent and duration of acid neutralization, which varies with formulation type.</w:t>
      </w:r>
    </w:p>
    <w:p w:rsidR="009E55DF" w:rsidRPr="00F87772" w:rsidRDefault="00F877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009E55DF" w:rsidRPr="00F87772">
        <w:rPr>
          <w:rStyle w:val="Strong"/>
          <w:rFonts w:ascii="Times New Roman" w:hAnsi="Times New Roman" w:cs="Times New Roman"/>
          <w:b/>
          <w:bCs/>
          <w:color w:val="auto"/>
          <w:sz w:val="24"/>
          <w:szCs w:val="24"/>
        </w:rPr>
        <w:t>RECOMMENDATION</w:t>
      </w:r>
    </w:p>
    <w:p w:rsidR="009E55DF" w:rsidRDefault="009E55DF" w:rsidP="009A5A72">
      <w:pPr>
        <w:pStyle w:val="NormalWeb"/>
        <w:spacing w:before="0" w:beforeAutospacing="0" w:after="0" w:afterAutospacing="0" w:line="360" w:lineRule="auto"/>
        <w:jc w:val="both"/>
      </w:pPr>
      <w:r>
        <w:t>Based on the findings of this study, the following recommendations are proposed:</w:t>
      </w:r>
    </w:p>
    <w:p w:rsidR="009E55DF" w:rsidRDefault="009E55DF" w:rsidP="009A5A72">
      <w:pPr>
        <w:pStyle w:val="NormalWeb"/>
        <w:numPr>
          <w:ilvl w:val="0"/>
          <w:numId w:val="12"/>
        </w:numPr>
        <w:spacing w:before="0" w:beforeAutospacing="0" w:after="0" w:afterAutospacing="0" w:line="360" w:lineRule="auto"/>
        <w:jc w:val="both"/>
      </w:pPr>
      <w:r>
        <w:rPr>
          <w:rStyle w:val="Strong"/>
        </w:rPr>
        <w:t>Clinical Selection</w:t>
      </w:r>
      <w:r>
        <w:t>: Healthcare providers should consider both the acid neutralizing capacity and pH stability when prescribing antacids or anti-ulcer agents to ensure optimal therapeutic outcomes based on patient-specific needs.</w:t>
      </w:r>
    </w:p>
    <w:p w:rsidR="009E55DF" w:rsidRDefault="009E55DF" w:rsidP="009A5A72">
      <w:pPr>
        <w:pStyle w:val="NormalWeb"/>
        <w:numPr>
          <w:ilvl w:val="0"/>
          <w:numId w:val="12"/>
        </w:numPr>
        <w:spacing w:before="0" w:beforeAutospacing="0" w:after="0" w:afterAutospacing="0" w:line="360" w:lineRule="auto"/>
        <w:jc w:val="both"/>
      </w:pPr>
      <w:r>
        <w:rPr>
          <w:rStyle w:val="Strong"/>
        </w:rPr>
        <w:t>Public Awareness</w:t>
      </w:r>
      <w:r>
        <w:t>: Consumers should be educated on the pharmacological differences between rapid-acting antacids and delayed systemic agents to avoid misuse and ensure effective symptom management.</w:t>
      </w:r>
    </w:p>
    <w:p w:rsidR="009E55DF" w:rsidRDefault="009E55DF" w:rsidP="009A5A72">
      <w:pPr>
        <w:pStyle w:val="NormalWeb"/>
        <w:numPr>
          <w:ilvl w:val="0"/>
          <w:numId w:val="12"/>
        </w:numPr>
        <w:spacing w:before="0" w:beforeAutospacing="0" w:after="0" w:afterAutospacing="0" w:line="360" w:lineRule="auto"/>
        <w:jc w:val="both"/>
      </w:pPr>
      <w:r>
        <w:rPr>
          <w:rStyle w:val="Strong"/>
        </w:rPr>
        <w:t>Regulatory Oversight</w:t>
      </w:r>
      <w:r>
        <w:t>: Regulatory agencies such as NAFDAC should enforce routine testing of antacid formulations for quality assurance, ensuring that only products with proven efficacy are allowed into the market.</w:t>
      </w:r>
    </w:p>
    <w:p w:rsidR="009E55DF" w:rsidRDefault="009E55DF" w:rsidP="009A5A72">
      <w:pPr>
        <w:pStyle w:val="NormalWeb"/>
        <w:numPr>
          <w:ilvl w:val="0"/>
          <w:numId w:val="12"/>
        </w:numPr>
        <w:spacing w:before="0" w:beforeAutospacing="0" w:after="0" w:afterAutospacing="0" w:line="360" w:lineRule="auto"/>
        <w:jc w:val="both"/>
      </w:pPr>
      <w:r>
        <w:rPr>
          <w:rStyle w:val="Strong"/>
        </w:rPr>
        <w:lastRenderedPageBreak/>
        <w:t>Further Research</w:t>
      </w:r>
      <w:r>
        <w:t xml:space="preserve">: Additional studies involving in vivo testing and broader sample sizes are recommended to corroborate these findings and explore long-term </w:t>
      </w:r>
      <w:proofErr w:type="spellStart"/>
      <w:r>
        <w:t>pharmacodynamic</w:t>
      </w:r>
      <w:proofErr w:type="spellEnd"/>
      <w:r>
        <w:t xml:space="preserve"> effects of these formulations.</w:t>
      </w:r>
    </w:p>
    <w:p w:rsidR="009E55DF" w:rsidRDefault="009E55DF" w:rsidP="009A5A72">
      <w:pPr>
        <w:spacing w:after="0" w:line="360" w:lineRule="auto"/>
      </w:pPr>
    </w:p>
    <w:p w:rsidR="00A9662E" w:rsidRDefault="00A9662E" w:rsidP="009A5A72">
      <w:pPr>
        <w:spacing w:after="0" w:line="360" w:lineRule="auto"/>
        <w:jc w:val="both"/>
        <w:rPr>
          <w:rFonts w:ascii="Times New Roman" w:hAnsi="Times New Roman" w:cs="Times New Roman"/>
          <w:b/>
          <w:bCs/>
          <w:sz w:val="24"/>
          <w:szCs w:val="24"/>
        </w:rPr>
      </w:pPr>
    </w:p>
    <w:p w:rsidR="00A9662E" w:rsidRPr="00D659FE" w:rsidRDefault="00A9662E" w:rsidP="009A5A72">
      <w:pPr>
        <w:spacing w:after="0" w:line="360" w:lineRule="auto"/>
        <w:jc w:val="both"/>
        <w:rPr>
          <w:rFonts w:ascii="Times New Roman" w:hAnsi="Times New Roman" w:cs="Times New Roman"/>
          <w:b/>
          <w:bCs/>
          <w:sz w:val="24"/>
          <w:szCs w:val="24"/>
        </w:rPr>
      </w:pPr>
    </w:p>
    <w:p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659FE" w:rsidRPr="00D659FE" w:rsidRDefault="00D659FE" w:rsidP="009A5A72">
      <w:pPr>
        <w:spacing w:after="0" w:line="360" w:lineRule="auto"/>
        <w:jc w:val="center"/>
        <w:rPr>
          <w:rFonts w:ascii="Times New Roman" w:hAnsi="Times New Roman" w:cs="Times New Roman"/>
          <w:b/>
          <w:bCs/>
          <w:sz w:val="24"/>
          <w:szCs w:val="24"/>
        </w:rPr>
      </w:pPr>
      <w:r w:rsidRPr="00D659FE">
        <w:rPr>
          <w:rFonts w:ascii="Times New Roman" w:hAnsi="Times New Roman" w:cs="Times New Roman"/>
          <w:b/>
          <w:bCs/>
          <w:sz w:val="24"/>
          <w:szCs w:val="24"/>
        </w:rPr>
        <w:lastRenderedPageBreak/>
        <w:t>REFERENCES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Adebayo, T. O., &amp; Yusuf, M. A. (2024). Comparative analysis of antacid formulations: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Efficacy and safety considerations. International Journal of Pharmaceutical </w:t>
      </w:r>
      <w:r w:rsidR="00FD791B">
        <w:rPr>
          <w:rFonts w:ascii="Times New Roman" w:hAnsi="Times New Roman" w:cs="Times New Roman"/>
          <w:sz w:val="24"/>
          <w:szCs w:val="24"/>
        </w:rPr>
        <w:tab/>
      </w:r>
      <w:r w:rsidRPr="00D659FE">
        <w:rPr>
          <w:rFonts w:ascii="Times New Roman" w:hAnsi="Times New Roman" w:cs="Times New Roman"/>
          <w:sz w:val="24"/>
          <w:szCs w:val="24"/>
        </w:rPr>
        <w:t>Sciences, 15(1), 45-59.</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O. T., Williams, A. D.,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P. C. (2023).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disease (GERD) treatment and the role of antacids. Journal of Gastrointestinal </w:t>
      </w:r>
      <w:r w:rsidR="00FD791B">
        <w:rPr>
          <w:rFonts w:ascii="Times New Roman" w:hAnsi="Times New Roman" w:cs="Times New Roman"/>
          <w:sz w:val="24"/>
          <w:szCs w:val="24"/>
        </w:rPr>
        <w:tab/>
      </w:r>
      <w:r w:rsidRPr="00D659FE">
        <w:rPr>
          <w:rFonts w:ascii="Times New Roman" w:hAnsi="Times New Roman" w:cs="Times New Roman"/>
          <w:sz w:val="24"/>
          <w:szCs w:val="24"/>
        </w:rPr>
        <w:t>Research, 12(3), 78- 91.</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Bello, R. A., &amp;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E. M. (2023). Magnesium-based antacids: Benefits and risks for </w:t>
      </w:r>
      <w:r w:rsidR="00FD791B">
        <w:rPr>
          <w:rFonts w:ascii="Times New Roman" w:hAnsi="Times New Roman" w:cs="Times New Roman"/>
          <w:sz w:val="24"/>
          <w:szCs w:val="24"/>
        </w:rPr>
        <w:tab/>
      </w:r>
      <w:r w:rsidRPr="00D659FE">
        <w:rPr>
          <w:rFonts w:ascii="Times New Roman" w:hAnsi="Times New Roman" w:cs="Times New Roman"/>
          <w:sz w:val="24"/>
          <w:szCs w:val="24"/>
        </w:rPr>
        <w:t>renal patients. Kidney Health Journal, 8(4), 32-45.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N. 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O. (2023). Long-term effects of antacid use in elderly </w:t>
      </w:r>
      <w:r w:rsidR="00FD791B">
        <w:rPr>
          <w:rFonts w:ascii="Times New Roman" w:hAnsi="Times New Roman" w:cs="Times New Roman"/>
          <w:sz w:val="24"/>
          <w:szCs w:val="24"/>
        </w:rPr>
        <w:tab/>
      </w:r>
      <w:r w:rsidRPr="00D659FE">
        <w:rPr>
          <w:rFonts w:ascii="Times New Roman" w:hAnsi="Times New Roman" w:cs="Times New Roman"/>
          <w:sz w:val="24"/>
          <w:szCs w:val="24"/>
        </w:rPr>
        <w:t>populations: A systematic review. Aging &amp; Digestive Health, 11(2), 101-115.</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Emmanuel, K. U.,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V. T. (2021). Evaluation of calcium carbonate antacids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pregnant women with acid reflux. </w:t>
      </w:r>
      <w:proofErr w:type="gramStart"/>
      <w:r w:rsidRPr="00D659FE">
        <w:rPr>
          <w:rFonts w:ascii="Times New Roman" w:hAnsi="Times New Roman" w:cs="Times New Roman"/>
          <w:sz w:val="24"/>
          <w:szCs w:val="24"/>
        </w:rPr>
        <w:t xml:space="preserve">Obstetrics &amp; Gastroenterology Journal, 9(2), </w:t>
      </w:r>
      <w:r w:rsidR="00FD791B">
        <w:rPr>
          <w:rFonts w:ascii="Times New Roman" w:hAnsi="Times New Roman" w:cs="Times New Roman"/>
          <w:sz w:val="24"/>
          <w:szCs w:val="24"/>
        </w:rPr>
        <w:tab/>
      </w:r>
      <w:r w:rsidRPr="00D659FE">
        <w:rPr>
          <w:rFonts w:ascii="Times New Roman" w:hAnsi="Times New Roman" w:cs="Times New Roman"/>
          <w:sz w:val="24"/>
          <w:szCs w:val="24"/>
        </w:rPr>
        <w:t>87-</w:t>
      </w:r>
      <w:r w:rsidR="007B2833">
        <w:rPr>
          <w:rFonts w:ascii="Times New Roman" w:hAnsi="Times New Roman" w:cs="Times New Roman"/>
          <w:sz w:val="24"/>
          <w:szCs w:val="24"/>
        </w:rPr>
        <w:tab/>
      </w:r>
      <w:r w:rsidRPr="00D659FE">
        <w:rPr>
          <w:rFonts w:ascii="Times New Roman" w:hAnsi="Times New Roman" w:cs="Times New Roman"/>
          <w:sz w:val="24"/>
          <w:szCs w:val="24"/>
        </w:rPr>
        <w:t>99.</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J. P., </w:t>
      </w:r>
      <w:proofErr w:type="spellStart"/>
      <w:r w:rsidRPr="00D659FE">
        <w:rPr>
          <w:rFonts w:ascii="Times New Roman" w:hAnsi="Times New Roman" w:cs="Times New Roman"/>
          <w:sz w:val="24"/>
          <w:szCs w:val="24"/>
        </w:rPr>
        <w:t>Adesanya</w:t>
      </w:r>
      <w:proofErr w:type="spellEnd"/>
      <w:r w:rsidRPr="00D659FE">
        <w:rPr>
          <w:rFonts w:ascii="Times New Roman" w:hAnsi="Times New Roman" w:cs="Times New Roman"/>
          <w:sz w:val="24"/>
          <w:szCs w:val="24"/>
        </w:rPr>
        <w:t xml:space="preserve">, O. K., &amp; Martins, L. B. (2023). Aluminum-containing antacids and </w:t>
      </w:r>
      <w:r w:rsidR="00FD791B">
        <w:rPr>
          <w:rFonts w:ascii="Times New Roman" w:hAnsi="Times New Roman" w:cs="Times New Roman"/>
          <w:sz w:val="24"/>
          <w:szCs w:val="24"/>
        </w:rPr>
        <w:tab/>
      </w:r>
      <w:r w:rsidRPr="00D659FE">
        <w:rPr>
          <w:rFonts w:ascii="Times New Roman" w:hAnsi="Times New Roman" w:cs="Times New Roman"/>
          <w:sz w:val="24"/>
          <w:szCs w:val="24"/>
        </w:rPr>
        <w:t>their impact on bone health. Journal of Clinical Pharmacology, 14(1), 55-70.</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George, F. R.,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P. J. (2022). Assessing the acid-neutralizing capacity of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different antacid brands in Nigeria. Nigerian Journal of Pharmaceutical Research, </w:t>
      </w:r>
      <w:r w:rsidR="00FD791B">
        <w:rPr>
          <w:rFonts w:ascii="Times New Roman" w:hAnsi="Times New Roman" w:cs="Times New Roman"/>
          <w:sz w:val="24"/>
          <w:szCs w:val="24"/>
        </w:rPr>
        <w:tab/>
      </w:r>
      <w:r w:rsidRPr="00D659FE">
        <w:rPr>
          <w:rFonts w:ascii="Times New Roman" w:hAnsi="Times New Roman" w:cs="Times New Roman"/>
          <w:sz w:val="24"/>
          <w:szCs w:val="24"/>
        </w:rPr>
        <w:t>7(3), 123-138.</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Ibrahim, S. A., &amp; </w:t>
      </w:r>
      <w:proofErr w:type="spellStart"/>
      <w:r w:rsidRPr="00D659FE">
        <w:rPr>
          <w:rFonts w:ascii="Times New Roman" w:hAnsi="Times New Roman" w:cs="Times New Roman"/>
          <w:sz w:val="24"/>
          <w:szCs w:val="24"/>
        </w:rPr>
        <w:t>Chukwu</w:t>
      </w:r>
      <w:proofErr w:type="spellEnd"/>
      <w:r w:rsidRPr="00D659FE">
        <w:rPr>
          <w:rFonts w:ascii="Times New Roman" w:hAnsi="Times New Roman" w:cs="Times New Roman"/>
          <w:sz w:val="24"/>
          <w:szCs w:val="24"/>
        </w:rPr>
        <w:t xml:space="preserve">, D. N. (2022). A study on the pharmacokinetics of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components and their effectiveness in GERD patients. West African Journal of </w:t>
      </w:r>
      <w:r w:rsidR="00FD791B">
        <w:rPr>
          <w:rFonts w:ascii="Times New Roman" w:hAnsi="Times New Roman" w:cs="Times New Roman"/>
          <w:sz w:val="24"/>
          <w:szCs w:val="24"/>
        </w:rPr>
        <w:tab/>
      </w:r>
      <w:r w:rsidRPr="00D659FE">
        <w:rPr>
          <w:rFonts w:ascii="Times New Roman" w:hAnsi="Times New Roman" w:cs="Times New Roman"/>
          <w:sz w:val="24"/>
          <w:szCs w:val="24"/>
        </w:rPr>
        <w:t>Pharmacology, 10(4), 67-82.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Martins, L. B., &amp; </w:t>
      </w:r>
      <w:proofErr w:type="spellStart"/>
      <w:r w:rsidRPr="00D659FE">
        <w:rPr>
          <w:rFonts w:ascii="Times New Roman" w:hAnsi="Times New Roman" w:cs="Times New Roman"/>
          <w:sz w:val="24"/>
          <w:szCs w:val="24"/>
        </w:rPr>
        <w:t>Adegbite</w:t>
      </w:r>
      <w:proofErr w:type="spellEnd"/>
      <w:r w:rsidRPr="00D659FE">
        <w:rPr>
          <w:rFonts w:ascii="Times New Roman" w:hAnsi="Times New Roman" w:cs="Times New Roman"/>
          <w:sz w:val="24"/>
          <w:szCs w:val="24"/>
        </w:rPr>
        <w:t xml:space="preserve">, O. S. (2021). Calcium-based antacids and their role in </w:t>
      </w:r>
      <w:r w:rsidR="00FD791B">
        <w:rPr>
          <w:rFonts w:ascii="Times New Roman" w:hAnsi="Times New Roman" w:cs="Times New Roman"/>
          <w:sz w:val="24"/>
          <w:szCs w:val="24"/>
        </w:rPr>
        <w:tab/>
      </w:r>
      <w:r w:rsidRPr="00D659FE">
        <w:rPr>
          <w:rFonts w:ascii="Times New Roman" w:hAnsi="Times New Roman" w:cs="Times New Roman"/>
          <w:sz w:val="24"/>
          <w:szCs w:val="24"/>
        </w:rPr>
        <w:t>osteoporosis prevention. Bone Health &amp; Pharmacology Review, 9(1), 44-58.</w:t>
      </w:r>
    </w:p>
    <w:p w:rsidR="00FD791B"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&amp;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(2023). Antacid-drug interactions: Clinical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considerations in patients with </w:t>
      </w:r>
      <w:proofErr w:type="spellStart"/>
      <w:r w:rsidRPr="00D659FE">
        <w:rPr>
          <w:rFonts w:ascii="Times New Roman" w:hAnsi="Times New Roman" w:cs="Times New Roman"/>
          <w:sz w:val="24"/>
          <w:szCs w:val="24"/>
        </w:rPr>
        <w:t>polypharmacy</w:t>
      </w:r>
      <w:proofErr w:type="spellEnd"/>
      <w:r w:rsidRPr="00D659FE">
        <w:rPr>
          <w:rFonts w:ascii="Times New Roman" w:hAnsi="Times New Roman" w:cs="Times New Roman"/>
          <w:sz w:val="24"/>
          <w:szCs w:val="24"/>
        </w:rPr>
        <w:t xml:space="preserve">. African Journal of Pharmacy and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13(2), 89-104.</w:t>
      </w:r>
    </w:p>
    <w:p w:rsidR="00FD791B"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lastRenderedPageBreak/>
        <w:t>Ogunleye</w:t>
      </w:r>
      <w:proofErr w:type="spellEnd"/>
      <w:r w:rsidRPr="00D659FE">
        <w:rPr>
          <w:rFonts w:ascii="Times New Roman" w:hAnsi="Times New Roman" w:cs="Times New Roman"/>
          <w:sz w:val="24"/>
          <w:szCs w:val="24"/>
        </w:rPr>
        <w:t xml:space="preserve">, A. T., &amp; Williams, B. K. (2023). Efficacy of alginate-based antacids in </w:t>
      </w:r>
      <w:r w:rsidR="00FD791B">
        <w:rPr>
          <w:rFonts w:ascii="Times New Roman" w:hAnsi="Times New Roman" w:cs="Times New Roman"/>
          <w:sz w:val="24"/>
          <w:szCs w:val="24"/>
        </w:rPr>
        <w:tab/>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management. Journal of Digestive Medicine, </w:t>
      </w:r>
      <w:r w:rsidR="00FD791B">
        <w:rPr>
          <w:rFonts w:ascii="Times New Roman" w:hAnsi="Times New Roman" w:cs="Times New Roman"/>
          <w:sz w:val="24"/>
          <w:szCs w:val="24"/>
        </w:rPr>
        <w:tab/>
        <w:t>15(3), 120- 135.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&amp; Williams, C. L. (2022). Pediatric use of antacids: Safety and efficacy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w:t>
      </w:r>
      <w:r w:rsidR="007B2833">
        <w:rPr>
          <w:rFonts w:ascii="Times New Roman" w:hAnsi="Times New Roman" w:cs="Times New Roman"/>
          <w:sz w:val="24"/>
          <w:szCs w:val="24"/>
        </w:rPr>
        <w:tab/>
      </w:r>
      <w:r w:rsidRPr="00D659FE">
        <w:rPr>
          <w:rFonts w:ascii="Times New Roman" w:hAnsi="Times New Roman" w:cs="Times New Roman"/>
          <w:sz w:val="24"/>
          <w:szCs w:val="24"/>
        </w:rPr>
        <w:t>children with acid reflux. Journal of Pediatric Gastroenterology, 11(4), 150-165.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C.,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O. J. (2021). The role of antacids in acid-related disorders: </w:t>
      </w:r>
      <w:r w:rsidR="00FD791B">
        <w:rPr>
          <w:rFonts w:ascii="Times New Roman" w:hAnsi="Times New Roman" w:cs="Times New Roman"/>
          <w:sz w:val="24"/>
          <w:szCs w:val="24"/>
        </w:rPr>
        <w:tab/>
      </w:r>
      <w:r w:rsidRPr="00D659FE">
        <w:rPr>
          <w:rFonts w:ascii="Times New Roman" w:hAnsi="Times New Roman" w:cs="Times New Roman"/>
          <w:sz w:val="24"/>
          <w:szCs w:val="24"/>
        </w:rPr>
        <w:t>Mechanisms and clinical applications. Journal of Clinical Medicine, 8(3), 79-</w:t>
      </w:r>
      <w:r w:rsidR="00FD791B">
        <w:rPr>
          <w:rFonts w:ascii="Times New Roman" w:hAnsi="Times New Roman" w:cs="Times New Roman"/>
          <w:sz w:val="24"/>
          <w:szCs w:val="24"/>
        </w:rPr>
        <w:tab/>
      </w:r>
      <w:r w:rsidRPr="00D659FE">
        <w:rPr>
          <w:rFonts w:ascii="Times New Roman" w:hAnsi="Times New Roman" w:cs="Times New Roman"/>
          <w:sz w:val="24"/>
          <w:szCs w:val="24"/>
        </w:rPr>
        <w:t>94.Okonkwo,</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 B.,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P. K. (2021). Comparison of aluminum, magnesium, and calcium-</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based antacids in acid neutralization tests. West African Journal of Medicine, 9(2), </w:t>
      </w:r>
      <w:r w:rsidR="00FD791B">
        <w:rPr>
          <w:rFonts w:ascii="Times New Roman" w:hAnsi="Times New Roman" w:cs="Times New Roman"/>
          <w:sz w:val="24"/>
          <w:szCs w:val="24"/>
        </w:rPr>
        <w:tab/>
      </w:r>
      <w:r w:rsidRPr="00D659FE">
        <w:rPr>
          <w:rFonts w:ascii="Times New Roman" w:hAnsi="Times New Roman" w:cs="Times New Roman"/>
          <w:sz w:val="24"/>
          <w:szCs w:val="24"/>
        </w:rPr>
        <w:t>110-125.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B. F., &amp; Martins, L. O. (2022). Impact of chronic antacid use on gastric 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secretion and nutrient absorption. </w:t>
      </w:r>
      <w:proofErr w:type="gramStart"/>
      <w:r w:rsidRPr="00D659FE">
        <w:rPr>
          <w:rFonts w:ascii="Times New Roman" w:hAnsi="Times New Roman" w:cs="Times New Roman"/>
          <w:sz w:val="24"/>
          <w:szCs w:val="24"/>
        </w:rPr>
        <w:t xml:space="preserve">Gastrointestinal Pharmacology Journal, 10(3), </w:t>
      </w:r>
      <w:r w:rsidR="00FD791B">
        <w:rPr>
          <w:rFonts w:ascii="Times New Roman" w:hAnsi="Times New Roman" w:cs="Times New Roman"/>
          <w:sz w:val="24"/>
          <w:szCs w:val="24"/>
        </w:rPr>
        <w:tab/>
      </w:r>
      <w:r w:rsidRPr="00D659FE">
        <w:rPr>
          <w:rFonts w:ascii="Times New Roman" w:hAnsi="Times New Roman" w:cs="Times New Roman"/>
          <w:sz w:val="24"/>
          <w:szCs w:val="24"/>
        </w:rPr>
        <w:t>99-</w:t>
      </w:r>
      <w:r w:rsidR="007B2833">
        <w:rPr>
          <w:rFonts w:ascii="Times New Roman" w:hAnsi="Times New Roman" w:cs="Times New Roman"/>
          <w:sz w:val="24"/>
          <w:szCs w:val="24"/>
        </w:rPr>
        <w:tab/>
      </w:r>
      <w:r w:rsidRPr="00D659FE">
        <w:rPr>
          <w:rFonts w:ascii="Times New Roman" w:hAnsi="Times New Roman" w:cs="Times New Roman"/>
          <w:sz w:val="24"/>
          <w:szCs w:val="24"/>
        </w:rPr>
        <w:t>115.</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Omotayo</w:t>
      </w:r>
      <w:proofErr w:type="spellEnd"/>
      <w:r w:rsidRPr="00D659FE">
        <w:rPr>
          <w:rFonts w:ascii="Times New Roman" w:hAnsi="Times New Roman" w:cs="Times New Roman"/>
          <w:sz w:val="24"/>
          <w:szCs w:val="24"/>
        </w:rPr>
        <w:t xml:space="preserve">, S. D., &amp; Ibrahim, S. T. (2024). Advancements in antacid formulations: A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review of recent innovations. International Journal of Pharmaceutical Innovations, </w:t>
      </w:r>
      <w:r w:rsidR="00FD791B">
        <w:rPr>
          <w:rFonts w:ascii="Times New Roman" w:hAnsi="Times New Roman" w:cs="Times New Roman"/>
          <w:sz w:val="24"/>
          <w:szCs w:val="24"/>
        </w:rPr>
        <w:tab/>
      </w:r>
      <w:r w:rsidRPr="00D659FE">
        <w:rPr>
          <w:rFonts w:ascii="Times New Roman" w:hAnsi="Times New Roman" w:cs="Times New Roman"/>
          <w:sz w:val="24"/>
          <w:szCs w:val="24"/>
        </w:rPr>
        <w:t>16(1), 25- 40.</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Onwuegbuchulam</w:t>
      </w:r>
      <w:proofErr w:type="spellEnd"/>
      <w:r w:rsidRPr="00D659FE">
        <w:rPr>
          <w:rFonts w:ascii="Times New Roman" w:hAnsi="Times New Roman" w:cs="Times New Roman"/>
          <w:sz w:val="24"/>
          <w:szCs w:val="24"/>
        </w:rPr>
        <w:t xml:space="preserve">, R. N., &amp;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E. T. (2023). Role of diet and lifestyle in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effectiveness: A clinical review. Nutrition and Digestive Health Journal, 12(4), </w:t>
      </w:r>
      <w:r w:rsidR="00FD791B">
        <w:rPr>
          <w:rFonts w:ascii="Times New Roman" w:hAnsi="Times New Roman" w:cs="Times New Roman"/>
          <w:sz w:val="24"/>
          <w:szCs w:val="24"/>
        </w:rPr>
        <w:tab/>
      </w:r>
      <w:r w:rsidRPr="00D659FE">
        <w:rPr>
          <w:rFonts w:ascii="Times New Roman" w:hAnsi="Times New Roman" w:cs="Times New Roman"/>
          <w:sz w:val="24"/>
          <w:szCs w:val="24"/>
        </w:rPr>
        <w:t>115-130.</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Osho</w:t>
      </w:r>
      <w:proofErr w:type="spellEnd"/>
      <w:r w:rsidRPr="00D659FE">
        <w:rPr>
          <w:rFonts w:ascii="Times New Roman" w:hAnsi="Times New Roman" w:cs="Times New Roman"/>
          <w:sz w:val="24"/>
          <w:szCs w:val="24"/>
        </w:rPr>
        <w:t xml:space="preserve">, B. A., &amp; </w:t>
      </w:r>
      <w:proofErr w:type="spellStart"/>
      <w:r w:rsidRPr="00D659FE">
        <w:rPr>
          <w:rFonts w:ascii="Times New Roman" w:hAnsi="Times New Roman" w:cs="Times New Roman"/>
          <w:sz w:val="24"/>
          <w:szCs w:val="24"/>
        </w:rPr>
        <w:t>Ogundele</w:t>
      </w:r>
      <w:proofErr w:type="spellEnd"/>
      <w:r w:rsidRPr="00D659FE">
        <w:rPr>
          <w:rFonts w:ascii="Times New Roman" w:hAnsi="Times New Roman" w:cs="Times New Roman"/>
          <w:sz w:val="24"/>
          <w:szCs w:val="24"/>
        </w:rPr>
        <w:t xml:space="preserve">, K. J. (2022). Acid neutralizing capacity of antacids: An in-vitro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evaluation of commercial brands. Pharmaceutical Science &amp; Research Journal, </w:t>
      </w:r>
      <w:r w:rsidR="00FD791B">
        <w:rPr>
          <w:rFonts w:ascii="Times New Roman" w:hAnsi="Times New Roman" w:cs="Times New Roman"/>
          <w:sz w:val="24"/>
          <w:szCs w:val="24"/>
        </w:rPr>
        <w:tab/>
      </w:r>
      <w:proofErr w:type="gramStart"/>
      <w:r w:rsidR="00FD791B">
        <w:rPr>
          <w:rFonts w:ascii="Times New Roman" w:hAnsi="Times New Roman" w:cs="Times New Roman"/>
          <w:sz w:val="24"/>
          <w:szCs w:val="24"/>
        </w:rPr>
        <w:t>PPSC</w:t>
      </w:r>
      <w:r w:rsidRPr="00D659FE">
        <w:rPr>
          <w:rFonts w:ascii="Times New Roman" w:hAnsi="Times New Roman" w:cs="Times New Roman"/>
          <w:sz w:val="24"/>
          <w:szCs w:val="24"/>
        </w:rPr>
        <w:t>10(</w:t>
      </w:r>
      <w:proofErr w:type="gramEnd"/>
      <w:r w:rsidRPr="00D659FE">
        <w:rPr>
          <w:rFonts w:ascii="Times New Roman" w:hAnsi="Times New Roman" w:cs="Times New Roman"/>
          <w:sz w:val="24"/>
          <w:szCs w:val="24"/>
        </w:rPr>
        <w:t>2), 140- 155.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Oyedepo</w:t>
      </w:r>
      <w:proofErr w:type="spellEnd"/>
      <w:r w:rsidRPr="00D659FE">
        <w:rPr>
          <w:rFonts w:ascii="Times New Roman" w:hAnsi="Times New Roman" w:cs="Times New Roman"/>
          <w:sz w:val="24"/>
          <w:szCs w:val="24"/>
        </w:rPr>
        <w:t xml:space="preserve">, C. O., &amp; </w:t>
      </w: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(2023). Management of acid reflux in special </w:t>
      </w:r>
      <w:r w:rsidR="00FD791B">
        <w:rPr>
          <w:rFonts w:ascii="Times New Roman" w:hAnsi="Times New Roman" w:cs="Times New Roman"/>
          <w:sz w:val="24"/>
          <w:szCs w:val="24"/>
        </w:rPr>
        <w:tab/>
      </w:r>
      <w:r w:rsidRPr="00D659FE">
        <w:rPr>
          <w:rFonts w:ascii="Times New Roman" w:hAnsi="Times New Roman" w:cs="Times New Roman"/>
          <w:sz w:val="24"/>
          <w:szCs w:val="24"/>
        </w:rPr>
        <w:t>populations: A focus on antacids. Medical Review Journal, 14(3), 95-108.</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Williams, D. A.,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N. P. (2022). The efficacy and safety of antacid use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pregnant women and elderly patients. Journal of Clinical Pharmacy &amp;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13(1), 60-75.</w:t>
      </w:r>
    </w:p>
    <w:p w:rsidR="00FA245E" w:rsidRPr="009E55DF" w:rsidRDefault="00FA245E" w:rsidP="009A5A72">
      <w:pPr>
        <w:spacing w:after="0" w:line="360" w:lineRule="auto"/>
        <w:rPr>
          <w:rFonts w:ascii="Times New Roman" w:hAnsi="Times New Roman" w:cs="Times New Roman"/>
          <w:b/>
          <w:sz w:val="24"/>
          <w:szCs w:val="24"/>
        </w:rPr>
      </w:pPr>
    </w:p>
    <w:sectPr w:rsidR="00FA245E" w:rsidRPr="009E55DF" w:rsidSect="000B4B76">
      <w:footerReference w:type="default" r:id="rId10"/>
      <w:pgSz w:w="11808" w:h="15120"/>
      <w:pgMar w:top="1354" w:right="1411" w:bottom="2506" w:left="1411"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64C" w:rsidRDefault="00A2664C" w:rsidP="00D659FE">
      <w:pPr>
        <w:spacing w:after="0" w:line="240" w:lineRule="auto"/>
      </w:pPr>
      <w:r>
        <w:separator/>
      </w:r>
    </w:p>
  </w:endnote>
  <w:endnote w:type="continuationSeparator" w:id="0">
    <w:p w:rsidR="00A2664C" w:rsidRDefault="00A2664C" w:rsidP="00D6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721588"/>
      <w:docPartObj>
        <w:docPartGallery w:val="Page Numbers (Bottom of Page)"/>
        <w:docPartUnique/>
      </w:docPartObj>
    </w:sdtPr>
    <w:sdtEndPr>
      <w:rPr>
        <w:noProof/>
      </w:rPr>
    </w:sdtEndPr>
    <w:sdtContent>
      <w:p w:rsidR="001E0CE8" w:rsidRDefault="001E0CE8">
        <w:pPr>
          <w:pStyle w:val="Footer"/>
          <w:jc w:val="center"/>
        </w:pPr>
        <w:r>
          <w:fldChar w:fldCharType="begin"/>
        </w:r>
        <w:r>
          <w:instrText xml:space="preserve"> PAGE   \* MERGEFORMAT </w:instrText>
        </w:r>
        <w:r>
          <w:fldChar w:fldCharType="separate"/>
        </w:r>
        <w:r w:rsidR="00E331DA">
          <w:rPr>
            <w:noProof/>
          </w:rPr>
          <w:t>i</w:t>
        </w:r>
        <w:r>
          <w:rPr>
            <w:noProof/>
          </w:rPr>
          <w:fldChar w:fldCharType="end"/>
        </w:r>
      </w:p>
    </w:sdtContent>
  </w:sdt>
  <w:p w:rsidR="001E0CE8" w:rsidRDefault="001E0CE8">
    <w:pPr>
      <w:pStyle w:val="BodyText"/>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15605"/>
      <w:docPartObj>
        <w:docPartGallery w:val="Page Numbers (Bottom of Page)"/>
        <w:docPartUnique/>
      </w:docPartObj>
    </w:sdtPr>
    <w:sdtEndPr>
      <w:rPr>
        <w:noProof/>
      </w:rPr>
    </w:sdtEndPr>
    <w:sdtContent>
      <w:p w:rsidR="001E0CE8" w:rsidRDefault="001E0CE8">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1E0CE8" w:rsidRDefault="001E0CE8">
    <w:pPr>
      <w:pStyle w:val="BodyText"/>
      <w:spacing w:before="0"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621458"/>
      <w:docPartObj>
        <w:docPartGallery w:val="Page Numbers (Bottom of Page)"/>
        <w:docPartUnique/>
      </w:docPartObj>
    </w:sdtPr>
    <w:sdtEndPr>
      <w:rPr>
        <w:noProof/>
      </w:rPr>
    </w:sdtEndPr>
    <w:sdtContent>
      <w:p w:rsidR="001E0CE8" w:rsidRDefault="001E0CE8">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rsidR="001E0CE8" w:rsidRDefault="001E0CE8">
    <w:pPr>
      <w:pStyle w:val="BodyText"/>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64C" w:rsidRDefault="00A2664C" w:rsidP="00D659FE">
      <w:pPr>
        <w:spacing w:after="0" w:line="240" w:lineRule="auto"/>
      </w:pPr>
      <w:r>
        <w:separator/>
      </w:r>
    </w:p>
  </w:footnote>
  <w:footnote w:type="continuationSeparator" w:id="0">
    <w:p w:rsidR="00A2664C" w:rsidRDefault="00A2664C" w:rsidP="00D65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259"/>
    <w:multiLevelType w:val="multilevel"/>
    <w:tmpl w:val="190A0E50"/>
    <w:lvl w:ilvl="0">
      <w:start w:val="2"/>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25" w:hanging="54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2301" w:hanging="93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40" w:hanging="936"/>
      </w:pPr>
      <w:rPr>
        <w:rFonts w:hint="default"/>
        <w:lang w:val="en-US" w:eastAsia="en-US" w:bidi="ar-SA"/>
      </w:rPr>
    </w:lvl>
    <w:lvl w:ilvl="5">
      <w:numFmt w:val="bullet"/>
      <w:lvlText w:val="•"/>
      <w:lvlJc w:val="left"/>
      <w:pPr>
        <w:ind w:left="4910" w:hanging="936"/>
      </w:pPr>
      <w:rPr>
        <w:rFonts w:hint="default"/>
        <w:lang w:val="en-US" w:eastAsia="en-US" w:bidi="ar-SA"/>
      </w:rPr>
    </w:lvl>
    <w:lvl w:ilvl="6">
      <w:numFmt w:val="bullet"/>
      <w:lvlText w:val="•"/>
      <w:lvlJc w:val="left"/>
      <w:pPr>
        <w:ind w:left="5780" w:hanging="936"/>
      </w:pPr>
      <w:rPr>
        <w:rFonts w:hint="default"/>
        <w:lang w:val="en-US" w:eastAsia="en-US" w:bidi="ar-SA"/>
      </w:rPr>
    </w:lvl>
    <w:lvl w:ilvl="7">
      <w:numFmt w:val="bullet"/>
      <w:lvlText w:val="•"/>
      <w:lvlJc w:val="left"/>
      <w:pPr>
        <w:ind w:left="6650" w:hanging="936"/>
      </w:pPr>
      <w:rPr>
        <w:rFonts w:hint="default"/>
        <w:lang w:val="en-US" w:eastAsia="en-US" w:bidi="ar-SA"/>
      </w:rPr>
    </w:lvl>
    <w:lvl w:ilvl="8">
      <w:numFmt w:val="bullet"/>
      <w:lvlText w:val="•"/>
      <w:lvlJc w:val="left"/>
      <w:pPr>
        <w:ind w:left="7520" w:hanging="936"/>
      </w:pPr>
      <w:rPr>
        <w:rFonts w:hint="default"/>
        <w:lang w:val="en-US" w:eastAsia="en-US" w:bidi="ar-SA"/>
      </w:rPr>
    </w:lvl>
  </w:abstractNum>
  <w:abstractNum w:abstractNumId="1">
    <w:nsid w:val="1B4A2287"/>
    <w:multiLevelType w:val="multilevel"/>
    <w:tmpl w:val="74E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666E0"/>
    <w:multiLevelType w:val="multilevel"/>
    <w:tmpl w:val="E24C03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69148A"/>
    <w:multiLevelType w:val="multilevel"/>
    <w:tmpl w:val="3DBE01C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3A2EE7"/>
    <w:multiLevelType w:val="multilevel"/>
    <w:tmpl w:val="22EE4D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E958AF"/>
    <w:multiLevelType w:val="multilevel"/>
    <w:tmpl w:val="D03C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E37855"/>
    <w:multiLevelType w:val="multilevel"/>
    <w:tmpl w:val="6C9C0F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1A81475"/>
    <w:multiLevelType w:val="multilevel"/>
    <w:tmpl w:val="FCE6D02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DA02B5"/>
    <w:multiLevelType w:val="multilevel"/>
    <w:tmpl w:val="1DCECF9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9F2F32"/>
    <w:multiLevelType w:val="multilevel"/>
    <w:tmpl w:val="A29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C10828"/>
    <w:multiLevelType w:val="multilevel"/>
    <w:tmpl w:val="12A8063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FD78B3"/>
    <w:multiLevelType w:val="multilevel"/>
    <w:tmpl w:val="95A667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7267071"/>
    <w:multiLevelType w:val="multilevel"/>
    <w:tmpl w:val="B98A8E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FA3D31"/>
    <w:multiLevelType w:val="multilevel"/>
    <w:tmpl w:val="729AE0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0E7B3C"/>
    <w:multiLevelType w:val="multilevel"/>
    <w:tmpl w:val="F1A02D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3"/>
  </w:num>
  <w:num w:numId="4">
    <w:abstractNumId w:val="8"/>
  </w:num>
  <w:num w:numId="5">
    <w:abstractNumId w:val="11"/>
  </w:num>
  <w:num w:numId="6">
    <w:abstractNumId w:val="7"/>
  </w:num>
  <w:num w:numId="7">
    <w:abstractNumId w:val="4"/>
  </w:num>
  <w:num w:numId="8">
    <w:abstractNumId w:val="12"/>
  </w:num>
  <w:num w:numId="9">
    <w:abstractNumId w:val="2"/>
  </w:num>
  <w:num w:numId="10">
    <w:abstractNumId w:val="3"/>
  </w:num>
  <w:num w:numId="11">
    <w:abstractNumId w:val="10"/>
  </w:num>
  <w:num w:numId="12">
    <w:abstractNumId w:val="1"/>
  </w:num>
  <w:num w:numId="13">
    <w:abstractNumId w:val="9"/>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FE"/>
    <w:rsid w:val="00020FAF"/>
    <w:rsid w:val="00033D43"/>
    <w:rsid w:val="00044E0E"/>
    <w:rsid w:val="00083D48"/>
    <w:rsid w:val="000B4B76"/>
    <w:rsid w:val="000C50BB"/>
    <w:rsid w:val="000D150A"/>
    <w:rsid w:val="0013327B"/>
    <w:rsid w:val="001854CA"/>
    <w:rsid w:val="001C49F6"/>
    <w:rsid w:val="001E0CE8"/>
    <w:rsid w:val="001E66C2"/>
    <w:rsid w:val="001F41D3"/>
    <w:rsid w:val="002310AE"/>
    <w:rsid w:val="002F5AFB"/>
    <w:rsid w:val="00375EC0"/>
    <w:rsid w:val="003A3088"/>
    <w:rsid w:val="003C0190"/>
    <w:rsid w:val="00441909"/>
    <w:rsid w:val="00455718"/>
    <w:rsid w:val="004A5A28"/>
    <w:rsid w:val="004C068E"/>
    <w:rsid w:val="00505174"/>
    <w:rsid w:val="005116DC"/>
    <w:rsid w:val="00556125"/>
    <w:rsid w:val="00557FF6"/>
    <w:rsid w:val="005657DC"/>
    <w:rsid w:val="00572FEE"/>
    <w:rsid w:val="00584B9B"/>
    <w:rsid w:val="005853B2"/>
    <w:rsid w:val="005A11D9"/>
    <w:rsid w:val="005B6981"/>
    <w:rsid w:val="005E1AA2"/>
    <w:rsid w:val="005F4524"/>
    <w:rsid w:val="0068456B"/>
    <w:rsid w:val="0068681A"/>
    <w:rsid w:val="00742D94"/>
    <w:rsid w:val="007A05B7"/>
    <w:rsid w:val="007B2833"/>
    <w:rsid w:val="007B764E"/>
    <w:rsid w:val="007D6963"/>
    <w:rsid w:val="007E0770"/>
    <w:rsid w:val="007E33BA"/>
    <w:rsid w:val="007F3E35"/>
    <w:rsid w:val="007F7090"/>
    <w:rsid w:val="008069D7"/>
    <w:rsid w:val="00814E70"/>
    <w:rsid w:val="00866A7B"/>
    <w:rsid w:val="008A31B5"/>
    <w:rsid w:val="008E21D3"/>
    <w:rsid w:val="00923B2A"/>
    <w:rsid w:val="00954D10"/>
    <w:rsid w:val="00957AE2"/>
    <w:rsid w:val="00965BFC"/>
    <w:rsid w:val="009A5A72"/>
    <w:rsid w:val="009E55DF"/>
    <w:rsid w:val="00A2664C"/>
    <w:rsid w:val="00A32B4F"/>
    <w:rsid w:val="00A9662E"/>
    <w:rsid w:val="00AA70DC"/>
    <w:rsid w:val="00AC25C9"/>
    <w:rsid w:val="00B06891"/>
    <w:rsid w:val="00B31FFF"/>
    <w:rsid w:val="00B56C0D"/>
    <w:rsid w:val="00B7318F"/>
    <w:rsid w:val="00BA04F8"/>
    <w:rsid w:val="00BA3F78"/>
    <w:rsid w:val="00BC1219"/>
    <w:rsid w:val="00BC6E20"/>
    <w:rsid w:val="00C03B81"/>
    <w:rsid w:val="00C308F5"/>
    <w:rsid w:val="00C35E98"/>
    <w:rsid w:val="00C44110"/>
    <w:rsid w:val="00C45905"/>
    <w:rsid w:val="00C664FF"/>
    <w:rsid w:val="00C76F66"/>
    <w:rsid w:val="00C9015E"/>
    <w:rsid w:val="00CA7C88"/>
    <w:rsid w:val="00CB23A7"/>
    <w:rsid w:val="00CE2674"/>
    <w:rsid w:val="00CE6680"/>
    <w:rsid w:val="00D167D5"/>
    <w:rsid w:val="00D64514"/>
    <w:rsid w:val="00D659FE"/>
    <w:rsid w:val="00D70544"/>
    <w:rsid w:val="00D718B5"/>
    <w:rsid w:val="00D932B2"/>
    <w:rsid w:val="00E331DA"/>
    <w:rsid w:val="00E85599"/>
    <w:rsid w:val="00E93475"/>
    <w:rsid w:val="00EB0122"/>
    <w:rsid w:val="00EB0EA5"/>
    <w:rsid w:val="00EB567F"/>
    <w:rsid w:val="00F03613"/>
    <w:rsid w:val="00F57C15"/>
    <w:rsid w:val="00F65E53"/>
    <w:rsid w:val="00F87772"/>
    <w:rsid w:val="00FA245E"/>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229">
      <w:bodyDiv w:val="1"/>
      <w:marLeft w:val="0"/>
      <w:marRight w:val="0"/>
      <w:marTop w:val="0"/>
      <w:marBottom w:val="0"/>
      <w:divBdr>
        <w:top w:val="none" w:sz="0" w:space="0" w:color="auto"/>
        <w:left w:val="none" w:sz="0" w:space="0" w:color="auto"/>
        <w:bottom w:val="none" w:sz="0" w:space="0" w:color="auto"/>
        <w:right w:val="none" w:sz="0" w:space="0" w:color="auto"/>
      </w:divBdr>
    </w:div>
    <w:div w:id="73626487">
      <w:bodyDiv w:val="1"/>
      <w:marLeft w:val="0"/>
      <w:marRight w:val="0"/>
      <w:marTop w:val="0"/>
      <w:marBottom w:val="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sChild>
            <w:div w:id="526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19">
      <w:bodyDiv w:val="1"/>
      <w:marLeft w:val="0"/>
      <w:marRight w:val="0"/>
      <w:marTop w:val="0"/>
      <w:marBottom w:val="0"/>
      <w:divBdr>
        <w:top w:val="none" w:sz="0" w:space="0" w:color="auto"/>
        <w:left w:val="none" w:sz="0" w:space="0" w:color="auto"/>
        <w:bottom w:val="none" w:sz="0" w:space="0" w:color="auto"/>
        <w:right w:val="none" w:sz="0" w:space="0" w:color="auto"/>
      </w:divBdr>
    </w:div>
    <w:div w:id="447545881">
      <w:bodyDiv w:val="1"/>
      <w:marLeft w:val="0"/>
      <w:marRight w:val="0"/>
      <w:marTop w:val="0"/>
      <w:marBottom w:val="0"/>
      <w:divBdr>
        <w:top w:val="none" w:sz="0" w:space="0" w:color="auto"/>
        <w:left w:val="none" w:sz="0" w:space="0" w:color="auto"/>
        <w:bottom w:val="none" w:sz="0" w:space="0" w:color="auto"/>
        <w:right w:val="none" w:sz="0" w:space="0" w:color="auto"/>
      </w:divBdr>
    </w:div>
    <w:div w:id="608045404">
      <w:bodyDiv w:val="1"/>
      <w:marLeft w:val="0"/>
      <w:marRight w:val="0"/>
      <w:marTop w:val="0"/>
      <w:marBottom w:val="0"/>
      <w:divBdr>
        <w:top w:val="none" w:sz="0" w:space="0" w:color="auto"/>
        <w:left w:val="none" w:sz="0" w:space="0" w:color="auto"/>
        <w:bottom w:val="none" w:sz="0" w:space="0" w:color="auto"/>
        <w:right w:val="none" w:sz="0" w:space="0" w:color="auto"/>
      </w:divBdr>
    </w:div>
    <w:div w:id="831258865">
      <w:bodyDiv w:val="1"/>
      <w:marLeft w:val="0"/>
      <w:marRight w:val="0"/>
      <w:marTop w:val="0"/>
      <w:marBottom w:val="0"/>
      <w:divBdr>
        <w:top w:val="none" w:sz="0" w:space="0" w:color="auto"/>
        <w:left w:val="none" w:sz="0" w:space="0" w:color="auto"/>
        <w:bottom w:val="none" w:sz="0" w:space="0" w:color="auto"/>
        <w:right w:val="none" w:sz="0" w:space="0" w:color="auto"/>
      </w:divBdr>
    </w:div>
    <w:div w:id="902638988">
      <w:bodyDiv w:val="1"/>
      <w:marLeft w:val="0"/>
      <w:marRight w:val="0"/>
      <w:marTop w:val="0"/>
      <w:marBottom w:val="0"/>
      <w:divBdr>
        <w:top w:val="none" w:sz="0" w:space="0" w:color="auto"/>
        <w:left w:val="none" w:sz="0" w:space="0" w:color="auto"/>
        <w:bottom w:val="none" w:sz="0" w:space="0" w:color="auto"/>
        <w:right w:val="none" w:sz="0" w:space="0" w:color="auto"/>
      </w:divBdr>
    </w:div>
    <w:div w:id="967126619">
      <w:bodyDiv w:val="1"/>
      <w:marLeft w:val="0"/>
      <w:marRight w:val="0"/>
      <w:marTop w:val="0"/>
      <w:marBottom w:val="0"/>
      <w:divBdr>
        <w:top w:val="none" w:sz="0" w:space="0" w:color="auto"/>
        <w:left w:val="none" w:sz="0" w:space="0" w:color="auto"/>
        <w:bottom w:val="none" w:sz="0" w:space="0" w:color="auto"/>
        <w:right w:val="none" w:sz="0" w:space="0" w:color="auto"/>
      </w:divBdr>
    </w:div>
    <w:div w:id="1219710475">
      <w:bodyDiv w:val="1"/>
      <w:marLeft w:val="0"/>
      <w:marRight w:val="0"/>
      <w:marTop w:val="0"/>
      <w:marBottom w:val="0"/>
      <w:divBdr>
        <w:top w:val="none" w:sz="0" w:space="0" w:color="auto"/>
        <w:left w:val="none" w:sz="0" w:space="0" w:color="auto"/>
        <w:bottom w:val="none" w:sz="0" w:space="0" w:color="auto"/>
        <w:right w:val="none" w:sz="0" w:space="0" w:color="auto"/>
      </w:divBdr>
    </w:div>
    <w:div w:id="1484854912">
      <w:bodyDiv w:val="1"/>
      <w:marLeft w:val="0"/>
      <w:marRight w:val="0"/>
      <w:marTop w:val="0"/>
      <w:marBottom w:val="0"/>
      <w:divBdr>
        <w:top w:val="none" w:sz="0" w:space="0" w:color="auto"/>
        <w:left w:val="none" w:sz="0" w:space="0" w:color="auto"/>
        <w:bottom w:val="none" w:sz="0" w:space="0" w:color="auto"/>
        <w:right w:val="none" w:sz="0" w:space="0" w:color="auto"/>
      </w:divBdr>
    </w:div>
    <w:div w:id="1502087365">
      <w:bodyDiv w:val="1"/>
      <w:marLeft w:val="0"/>
      <w:marRight w:val="0"/>
      <w:marTop w:val="0"/>
      <w:marBottom w:val="0"/>
      <w:divBdr>
        <w:top w:val="none" w:sz="0" w:space="0" w:color="auto"/>
        <w:left w:val="none" w:sz="0" w:space="0" w:color="auto"/>
        <w:bottom w:val="none" w:sz="0" w:space="0" w:color="auto"/>
        <w:right w:val="none" w:sz="0" w:space="0" w:color="auto"/>
      </w:divBdr>
    </w:div>
    <w:div w:id="1579435004">
      <w:bodyDiv w:val="1"/>
      <w:marLeft w:val="0"/>
      <w:marRight w:val="0"/>
      <w:marTop w:val="0"/>
      <w:marBottom w:val="0"/>
      <w:divBdr>
        <w:top w:val="none" w:sz="0" w:space="0" w:color="auto"/>
        <w:left w:val="none" w:sz="0" w:space="0" w:color="auto"/>
        <w:bottom w:val="none" w:sz="0" w:space="0" w:color="auto"/>
        <w:right w:val="none" w:sz="0" w:space="0" w:color="auto"/>
      </w:divBdr>
    </w:div>
    <w:div w:id="1767337731">
      <w:bodyDiv w:val="1"/>
      <w:marLeft w:val="0"/>
      <w:marRight w:val="0"/>
      <w:marTop w:val="0"/>
      <w:marBottom w:val="0"/>
      <w:divBdr>
        <w:top w:val="none" w:sz="0" w:space="0" w:color="auto"/>
        <w:left w:val="none" w:sz="0" w:space="0" w:color="auto"/>
        <w:bottom w:val="none" w:sz="0" w:space="0" w:color="auto"/>
        <w:right w:val="none" w:sz="0" w:space="0" w:color="auto"/>
      </w:divBdr>
    </w:div>
    <w:div w:id="1847162311">
      <w:bodyDiv w:val="1"/>
      <w:marLeft w:val="0"/>
      <w:marRight w:val="0"/>
      <w:marTop w:val="0"/>
      <w:marBottom w:val="0"/>
      <w:divBdr>
        <w:top w:val="none" w:sz="0" w:space="0" w:color="auto"/>
        <w:left w:val="none" w:sz="0" w:space="0" w:color="auto"/>
        <w:bottom w:val="none" w:sz="0" w:space="0" w:color="auto"/>
        <w:right w:val="none" w:sz="0" w:space="0" w:color="auto"/>
      </w:divBdr>
      <w:divsChild>
        <w:div w:id="808009562">
          <w:marLeft w:val="0"/>
          <w:marRight w:val="0"/>
          <w:marTop w:val="0"/>
          <w:marBottom w:val="0"/>
          <w:divBdr>
            <w:top w:val="none" w:sz="0" w:space="0" w:color="auto"/>
            <w:left w:val="none" w:sz="0" w:space="0" w:color="auto"/>
            <w:bottom w:val="none" w:sz="0" w:space="0" w:color="auto"/>
            <w:right w:val="none" w:sz="0" w:space="0" w:color="auto"/>
          </w:divBdr>
          <w:divsChild>
            <w:div w:id="18633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8121">
      <w:bodyDiv w:val="1"/>
      <w:marLeft w:val="0"/>
      <w:marRight w:val="0"/>
      <w:marTop w:val="0"/>
      <w:marBottom w:val="0"/>
      <w:divBdr>
        <w:top w:val="none" w:sz="0" w:space="0" w:color="auto"/>
        <w:left w:val="none" w:sz="0" w:space="0" w:color="auto"/>
        <w:bottom w:val="none" w:sz="0" w:space="0" w:color="auto"/>
        <w:right w:val="none" w:sz="0" w:space="0" w:color="auto"/>
      </w:divBdr>
    </w:div>
    <w:div w:id="2082360575">
      <w:bodyDiv w:val="1"/>
      <w:marLeft w:val="0"/>
      <w:marRight w:val="0"/>
      <w:marTop w:val="0"/>
      <w:marBottom w:val="0"/>
      <w:divBdr>
        <w:top w:val="none" w:sz="0" w:space="0" w:color="auto"/>
        <w:left w:val="none" w:sz="0" w:space="0" w:color="auto"/>
        <w:bottom w:val="none" w:sz="0" w:space="0" w:color="auto"/>
        <w:right w:val="none" w:sz="0" w:space="0" w:color="auto"/>
      </w:divBdr>
    </w:div>
    <w:div w:id="21436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4316</TotalTime>
  <Pages>49</Pages>
  <Words>11676</Words>
  <Characters>66558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CON</dc:creator>
  <cp:lastModifiedBy>LAY CON</cp:lastModifiedBy>
  <cp:revision>15</cp:revision>
  <dcterms:created xsi:type="dcterms:W3CDTF">2025-07-01T09:30:00Z</dcterms:created>
  <dcterms:modified xsi:type="dcterms:W3CDTF">2025-07-09T15:12:00Z</dcterms:modified>
</cp:coreProperties>
</file>