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FE" w:rsidRDefault="007B3EFE">
      <w:pPr>
        <w:pStyle w:val="Footer"/>
        <w:jc w:val="center"/>
        <w:rPr>
          <w:rFonts w:ascii="Gill Sans Ultra Bold Condensed" w:hAnsi="Gill Sans Ultra Bold Condensed"/>
          <w:b/>
          <w:sz w:val="36"/>
          <w:szCs w:val="28"/>
        </w:rPr>
      </w:pPr>
    </w:p>
    <w:p w:rsidR="007B3EFE" w:rsidRDefault="007B3EFE">
      <w:pPr>
        <w:pStyle w:val="Footer"/>
        <w:jc w:val="center"/>
        <w:rPr>
          <w:rFonts w:ascii="Gill Sans Ultra Bold Condensed" w:hAnsi="Gill Sans Ultra Bold Condensed"/>
          <w:b/>
          <w:sz w:val="36"/>
          <w:szCs w:val="28"/>
        </w:rPr>
      </w:pPr>
    </w:p>
    <w:p w:rsidR="00995829" w:rsidRDefault="00C7064C">
      <w:pPr>
        <w:pStyle w:val="Footer"/>
        <w:jc w:val="center"/>
        <w:rPr>
          <w:rFonts w:ascii="Gill Sans Ultra Bold Condensed" w:hAnsi="Gill Sans Ultra Bold Condensed"/>
          <w:b/>
          <w:sz w:val="36"/>
          <w:szCs w:val="28"/>
        </w:rPr>
      </w:pPr>
      <w:r>
        <w:rPr>
          <w:noProof/>
        </w:rPr>
        <w:drawing>
          <wp:anchor distT="0" distB="0" distL="0" distR="0" simplePos="0" relativeHeight="251659264" behindDoc="1" locked="0" layoutInCell="1" allowOverlap="1">
            <wp:simplePos x="0" y="0"/>
            <wp:positionH relativeFrom="column">
              <wp:posOffset>2574925</wp:posOffset>
            </wp:positionH>
            <wp:positionV relativeFrom="paragraph">
              <wp:posOffset>-754380</wp:posOffset>
            </wp:positionV>
            <wp:extent cx="1371600" cy="1298575"/>
            <wp:effectExtent l="0" t="0" r="0" b="0"/>
            <wp:wrapNone/>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7" cstate="print"/>
                    <a:srcRect l="-9332" t="-10011" r="-7814" b="-8333"/>
                    <a:stretch>
                      <a:fillRect/>
                    </a:stretch>
                  </pic:blipFill>
                  <pic:spPr>
                    <a:xfrm>
                      <a:off x="0" y="0"/>
                      <a:ext cx="1371600" cy="1298575"/>
                    </a:xfrm>
                    <a:prstGeom prst="rect">
                      <a:avLst/>
                    </a:prstGeom>
                    <a:ln>
                      <a:noFill/>
                    </a:ln>
                  </pic:spPr>
                </pic:pic>
              </a:graphicData>
            </a:graphic>
          </wp:anchor>
        </w:drawing>
      </w:r>
    </w:p>
    <w:p w:rsidR="007B3EFE" w:rsidRDefault="007B3EFE" w:rsidP="007B3EFE">
      <w:pPr>
        <w:pStyle w:val="Footer"/>
        <w:ind w:firstLineChars="150" w:firstLine="542"/>
        <w:jc w:val="both"/>
        <w:rPr>
          <w:rFonts w:ascii="Gill Sans Ultra Bold Condensed" w:hAnsi="Gill Sans Ultra Bold Condensed"/>
          <w:b/>
          <w:sz w:val="36"/>
          <w:szCs w:val="28"/>
        </w:rPr>
      </w:pPr>
    </w:p>
    <w:p w:rsidR="00995829" w:rsidRDefault="00C7064C" w:rsidP="007B3EFE">
      <w:pPr>
        <w:pStyle w:val="Footer"/>
        <w:ind w:firstLineChars="150" w:firstLine="542"/>
        <w:jc w:val="both"/>
        <w:rPr>
          <w:rFonts w:ascii="Monotype Corsiva" w:hAnsi="Monotype Corsiva"/>
          <w:b/>
          <w:sz w:val="44"/>
          <w:szCs w:val="32"/>
        </w:rPr>
      </w:pPr>
      <w:r>
        <w:rPr>
          <w:rFonts w:ascii="Gill Sans Ultra Bold Condensed" w:hAnsi="Gill Sans Ultra Bold Condensed"/>
          <w:b/>
          <w:sz w:val="36"/>
          <w:szCs w:val="28"/>
        </w:rPr>
        <w:t xml:space="preserve">PROXIMATE COMPOSITION OF </w:t>
      </w:r>
      <w:r>
        <w:rPr>
          <w:rFonts w:ascii="Gill Sans Ultra Bold Condensed" w:hAnsi="Gill Sans Ultra Bold Condensed"/>
          <w:b/>
          <w:i/>
          <w:sz w:val="36"/>
          <w:szCs w:val="28"/>
        </w:rPr>
        <w:t>Sida</w:t>
      </w:r>
      <w:r>
        <w:rPr>
          <w:rFonts w:ascii="Gill Sans Ultra Bold Condensed" w:hAnsi="Gill Sans Ultra Bold Condensed"/>
          <w:b/>
          <w:i/>
          <w:sz w:val="36"/>
          <w:szCs w:val="28"/>
        </w:rPr>
        <w:t xml:space="preserve"> a</w:t>
      </w:r>
      <w:r>
        <w:rPr>
          <w:rFonts w:ascii="Gill Sans Ultra Bold Condensed" w:hAnsi="Gill Sans Ultra Bold Condensed"/>
          <w:b/>
          <w:i/>
          <w:sz w:val="36"/>
          <w:szCs w:val="28"/>
        </w:rPr>
        <w:t xml:space="preserve">cuta </w:t>
      </w:r>
      <w:r>
        <w:rPr>
          <w:rFonts w:ascii="Gill Sans Ultra Bold Condensed" w:hAnsi="Gill Sans Ultra Bold Condensed"/>
          <w:b/>
          <w:sz w:val="36"/>
          <w:szCs w:val="28"/>
        </w:rPr>
        <w:t>LEAF EXTRACT</w:t>
      </w:r>
    </w:p>
    <w:p w:rsidR="00995829" w:rsidRDefault="00995829">
      <w:pPr>
        <w:spacing w:after="0" w:line="240" w:lineRule="auto"/>
        <w:jc w:val="center"/>
        <w:rPr>
          <w:rFonts w:ascii="Monotype Corsiva" w:hAnsi="Monotype Corsiva"/>
          <w:b/>
          <w:sz w:val="44"/>
          <w:szCs w:val="32"/>
        </w:rPr>
      </w:pPr>
    </w:p>
    <w:p w:rsidR="00995829" w:rsidRPr="007B3EFE" w:rsidRDefault="00C7064C" w:rsidP="007B3EFE">
      <w:pPr>
        <w:spacing w:after="0" w:line="240" w:lineRule="auto"/>
        <w:jc w:val="center"/>
        <w:rPr>
          <w:rFonts w:ascii="Monotype Corsiva" w:hAnsi="Monotype Corsiva"/>
          <w:b/>
          <w:sz w:val="44"/>
          <w:szCs w:val="32"/>
        </w:rPr>
      </w:pPr>
      <w:r>
        <w:rPr>
          <w:rFonts w:ascii="Monotype Corsiva" w:hAnsi="Monotype Corsiva"/>
          <w:b/>
          <w:sz w:val="44"/>
          <w:szCs w:val="32"/>
        </w:rPr>
        <w:t>BY</w:t>
      </w:r>
    </w:p>
    <w:p w:rsidR="00995829" w:rsidRDefault="00995829">
      <w:pPr>
        <w:spacing w:after="0" w:line="240" w:lineRule="auto"/>
        <w:jc w:val="center"/>
        <w:rPr>
          <w:rFonts w:ascii="Arial Black" w:hAnsi="Arial Black"/>
          <w:sz w:val="36"/>
          <w:szCs w:val="28"/>
        </w:rPr>
      </w:pPr>
    </w:p>
    <w:p w:rsidR="00995829" w:rsidRDefault="00C7064C">
      <w:pPr>
        <w:spacing w:after="0" w:line="240" w:lineRule="auto"/>
        <w:jc w:val="center"/>
        <w:rPr>
          <w:rFonts w:ascii="Arial Black" w:hAnsi="Arial Black"/>
          <w:sz w:val="32"/>
          <w:szCs w:val="32"/>
        </w:rPr>
      </w:pPr>
      <w:r>
        <w:rPr>
          <w:rFonts w:ascii="Arial Black" w:hAnsi="Arial Black"/>
          <w:sz w:val="36"/>
          <w:szCs w:val="28"/>
        </w:rPr>
        <w:t>ABDULRAHEEM ZAINAB</w:t>
      </w:r>
    </w:p>
    <w:p w:rsidR="00995829" w:rsidRDefault="00C7064C">
      <w:pPr>
        <w:spacing w:after="0" w:line="240" w:lineRule="auto"/>
        <w:jc w:val="center"/>
        <w:rPr>
          <w:rFonts w:ascii="Arial Rounded MT Bold" w:hAnsi="Arial Rounded MT Bold"/>
          <w:sz w:val="36"/>
          <w:szCs w:val="32"/>
        </w:rPr>
      </w:pPr>
      <w:r>
        <w:rPr>
          <w:rFonts w:ascii="Arial Rounded MT Bold" w:hAnsi="Arial Rounded MT Bold"/>
          <w:sz w:val="36"/>
          <w:szCs w:val="32"/>
        </w:rPr>
        <w:t>HND/23/SLT/FT/0607</w:t>
      </w:r>
    </w:p>
    <w:p w:rsidR="00995829" w:rsidRDefault="00C7064C">
      <w:pPr>
        <w:spacing w:after="0" w:line="240" w:lineRule="auto"/>
        <w:rPr>
          <w:rFonts w:ascii="Bookman Old Style" w:hAnsi="Bookman Old Style"/>
          <w:b/>
          <w:sz w:val="32"/>
          <w:szCs w:val="32"/>
        </w:rPr>
      </w:pPr>
      <w:r>
        <w:rPr>
          <w:rFonts w:ascii="Arial Rounded MT Bold" w:hAnsi="Arial Rounded MT Bold"/>
          <w:szCs w:val="32"/>
        </w:rPr>
        <w:tab/>
      </w:r>
    </w:p>
    <w:p w:rsidR="00995829" w:rsidRDefault="00C7064C">
      <w:pPr>
        <w:spacing w:after="0" w:line="360" w:lineRule="auto"/>
        <w:jc w:val="center"/>
        <w:rPr>
          <w:rFonts w:ascii="Monotype Corsiva" w:hAnsi="Monotype Corsiva"/>
          <w:b/>
          <w:sz w:val="34"/>
          <w:szCs w:val="28"/>
        </w:rPr>
      </w:pPr>
      <w:r>
        <w:rPr>
          <w:rFonts w:ascii="Monotype Corsiva" w:hAnsi="Monotype Corsiva"/>
          <w:b/>
          <w:sz w:val="34"/>
          <w:szCs w:val="28"/>
        </w:rPr>
        <w:t>BEING A PROJECT WORK SUBMITTED TO THE</w:t>
      </w:r>
    </w:p>
    <w:p w:rsidR="00995829" w:rsidRDefault="00995829">
      <w:pPr>
        <w:spacing w:after="0" w:line="360" w:lineRule="auto"/>
        <w:jc w:val="center"/>
        <w:rPr>
          <w:szCs w:val="28"/>
        </w:rPr>
      </w:pPr>
    </w:p>
    <w:p w:rsidR="00995829" w:rsidRDefault="00C7064C">
      <w:pPr>
        <w:spacing w:after="0" w:line="360" w:lineRule="auto"/>
        <w:jc w:val="center"/>
        <w:rPr>
          <w:rFonts w:ascii="Impact" w:hAnsi="Impact"/>
          <w:szCs w:val="28"/>
        </w:rPr>
      </w:pPr>
      <w:r>
        <w:rPr>
          <w:rFonts w:ascii="Impact" w:hAnsi="Impact"/>
          <w:sz w:val="36"/>
          <w:szCs w:val="28"/>
        </w:rPr>
        <w:t>DEPARTMENT OF SCIENCE LABORATORY TECHNOLOGY</w:t>
      </w:r>
    </w:p>
    <w:p w:rsidR="00995829" w:rsidRDefault="00C7064C">
      <w:pPr>
        <w:spacing w:after="0" w:line="360" w:lineRule="auto"/>
        <w:jc w:val="center"/>
        <w:rPr>
          <w:rFonts w:ascii="Arial Rounded MT Bold" w:hAnsi="Arial Rounded MT Bold"/>
          <w:szCs w:val="28"/>
        </w:rPr>
      </w:pPr>
      <w:r>
        <w:rPr>
          <w:rFonts w:ascii="Arial Rounded MT Bold" w:hAnsi="Arial Rounded MT Bold"/>
          <w:sz w:val="30"/>
          <w:szCs w:val="28"/>
        </w:rPr>
        <w:t>(BIOCHEMISTRY UNIT)</w:t>
      </w:r>
    </w:p>
    <w:p w:rsidR="00995829" w:rsidRDefault="00C7064C">
      <w:pPr>
        <w:spacing w:after="0" w:line="360" w:lineRule="auto"/>
        <w:jc w:val="center"/>
        <w:rPr>
          <w:rFonts w:ascii="Berlin Sans FB Demi" w:hAnsi="Berlin Sans FB Demi"/>
          <w:sz w:val="32"/>
          <w:szCs w:val="28"/>
        </w:rPr>
      </w:pPr>
      <w:r>
        <w:rPr>
          <w:rFonts w:ascii="Berlin Sans FB Demi" w:hAnsi="Berlin Sans FB Demi"/>
          <w:sz w:val="32"/>
          <w:szCs w:val="28"/>
        </w:rPr>
        <w:t>INSTITUTE OF APPLIED SCIENCES (IAS),</w:t>
      </w:r>
    </w:p>
    <w:p w:rsidR="00995829" w:rsidRDefault="00C7064C">
      <w:pPr>
        <w:spacing w:after="0" w:line="360" w:lineRule="auto"/>
        <w:jc w:val="center"/>
        <w:rPr>
          <w:szCs w:val="28"/>
        </w:rPr>
      </w:pPr>
      <w:r>
        <w:rPr>
          <w:rFonts w:ascii="Berlin Sans FB Demi" w:hAnsi="Berlin Sans FB Demi"/>
          <w:sz w:val="32"/>
          <w:szCs w:val="28"/>
        </w:rPr>
        <w:t xml:space="preserve">KWARA STATE </w:t>
      </w:r>
      <w:r>
        <w:rPr>
          <w:rFonts w:ascii="Berlin Sans FB Demi" w:hAnsi="Berlin Sans FB Demi"/>
          <w:sz w:val="32"/>
          <w:szCs w:val="28"/>
        </w:rPr>
        <w:t>POLYTECHNIC, ILORIN</w:t>
      </w:r>
    </w:p>
    <w:p w:rsidR="00995829" w:rsidRDefault="00C7064C">
      <w:pPr>
        <w:spacing w:after="0" w:line="240" w:lineRule="auto"/>
        <w:jc w:val="center"/>
        <w:rPr>
          <w:rFonts w:ascii="Franklin Gothic Heavy" w:hAnsi="Franklin Gothic Heavy"/>
          <w:sz w:val="30"/>
          <w:szCs w:val="28"/>
        </w:rPr>
      </w:pPr>
      <w:r>
        <w:rPr>
          <w:rFonts w:ascii="Franklin Gothic Heavy" w:hAnsi="Franklin Gothic Heavy"/>
          <w:sz w:val="30"/>
          <w:szCs w:val="28"/>
        </w:rPr>
        <w:t>IN PARTIAL FULFILLMENT OF REQUIREMENTS FOR THE AWARD OF HIGHER NATIONAL DIPLOMA (HND) IN</w:t>
      </w:r>
    </w:p>
    <w:p w:rsidR="00995829" w:rsidRDefault="00C7064C">
      <w:pPr>
        <w:spacing w:after="0" w:line="240" w:lineRule="auto"/>
        <w:jc w:val="center"/>
        <w:rPr>
          <w:rFonts w:ascii="Franklin Gothic Heavy" w:hAnsi="Franklin Gothic Heavy"/>
          <w:sz w:val="30"/>
          <w:szCs w:val="28"/>
        </w:rPr>
      </w:pPr>
      <w:r>
        <w:rPr>
          <w:rFonts w:ascii="Franklin Gothic Heavy" w:hAnsi="Franklin Gothic Heavy"/>
          <w:sz w:val="30"/>
          <w:szCs w:val="28"/>
        </w:rPr>
        <w:t>SCIENCE LABORATORY TECHNOLOGY</w:t>
      </w:r>
    </w:p>
    <w:p w:rsidR="00995829" w:rsidRDefault="00C7064C">
      <w:pPr>
        <w:spacing w:after="0" w:line="240" w:lineRule="auto"/>
        <w:jc w:val="center"/>
        <w:rPr>
          <w:rFonts w:ascii="Franklin Gothic Heavy" w:hAnsi="Franklin Gothic Heavy"/>
          <w:sz w:val="30"/>
          <w:szCs w:val="28"/>
        </w:rPr>
      </w:pPr>
      <w:r>
        <w:rPr>
          <w:rFonts w:ascii="Franklin Gothic Heavy" w:hAnsi="Franklin Gothic Heavy"/>
          <w:sz w:val="30"/>
          <w:szCs w:val="28"/>
        </w:rPr>
        <w:t>(BIOCHEMISTRY OPTION)</w:t>
      </w:r>
    </w:p>
    <w:p w:rsidR="007B3EFE" w:rsidRDefault="007B3EFE">
      <w:pPr>
        <w:spacing w:after="0" w:line="240" w:lineRule="auto"/>
        <w:jc w:val="center"/>
        <w:rPr>
          <w:rFonts w:ascii="Arial Black" w:hAnsi="Arial Black"/>
          <w:sz w:val="32"/>
          <w:szCs w:val="28"/>
        </w:rPr>
      </w:pPr>
      <w:bookmarkStart w:id="0" w:name="_GoBack"/>
      <w:bookmarkEnd w:id="0"/>
    </w:p>
    <w:p w:rsidR="00995829" w:rsidRDefault="00C7064C">
      <w:pPr>
        <w:spacing w:after="0" w:line="240" w:lineRule="auto"/>
        <w:jc w:val="center"/>
        <w:rPr>
          <w:rFonts w:ascii="Palatino Linotype" w:hAnsi="Palatino Linotype"/>
          <w:b/>
          <w:szCs w:val="28"/>
        </w:rPr>
      </w:pPr>
      <w:r>
        <w:rPr>
          <w:rFonts w:ascii="Arial Black" w:hAnsi="Arial Black"/>
          <w:sz w:val="32"/>
          <w:szCs w:val="28"/>
        </w:rPr>
        <w:t>JULY, 2025</w:t>
      </w:r>
    </w:p>
    <w:p w:rsidR="00995829" w:rsidRDefault="00995829">
      <w:pPr>
        <w:spacing w:after="0" w:line="480" w:lineRule="auto"/>
        <w:jc w:val="center"/>
        <w:rPr>
          <w:b/>
          <w:szCs w:val="28"/>
        </w:rPr>
      </w:pPr>
    </w:p>
    <w:p w:rsidR="007B3EFE" w:rsidRDefault="007B3EFE">
      <w:pPr>
        <w:spacing w:after="0" w:line="480" w:lineRule="auto"/>
        <w:jc w:val="center"/>
        <w:rPr>
          <w:b/>
          <w:szCs w:val="28"/>
        </w:rPr>
      </w:pPr>
    </w:p>
    <w:p w:rsidR="00995829" w:rsidRDefault="00C7064C">
      <w:pPr>
        <w:spacing w:after="0" w:line="480" w:lineRule="auto"/>
        <w:jc w:val="center"/>
        <w:rPr>
          <w:b/>
          <w:szCs w:val="28"/>
        </w:rPr>
      </w:pPr>
      <w:r>
        <w:rPr>
          <w:b/>
          <w:szCs w:val="28"/>
        </w:rPr>
        <w:lastRenderedPageBreak/>
        <w:t>CERTIFICATION</w:t>
      </w:r>
    </w:p>
    <w:p w:rsidR="00995829" w:rsidRDefault="00C7064C">
      <w:pPr>
        <w:spacing w:after="0" w:line="360" w:lineRule="auto"/>
        <w:jc w:val="both"/>
        <w:rPr>
          <w:szCs w:val="28"/>
        </w:rPr>
      </w:pPr>
      <w:r>
        <w:rPr>
          <w:szCs w:val="28"/>
        </w:rPr>
        <w:tab/>
      </w:r>
      <w:r>
        <w:rPr>
          <w:rFonts w:eastAsia="Calibri"/>
          <w:szCs w:val="32"/>
        </w:rPr>
        <w:t xml:space="preserve">This is to certified that this work is the original work of </w:t>
      </w:r>
      <w:r>
        <w:rPr>
          <w:b/>
          <w:bCs/>
          <w:szCs w:val="28"/>
        </w:rPr>
        <w:t>HND/23/S</w:t>
      </w:r>
      <w:r>
        <w:rPr>
          <w:b/>
          <w:bCs/>
          <w:szCs w:val="28"/>
        </w:rPr>
        <w:t>LT/FT/0607</w:t>
      </w:r>
      <w:r>
        <w:rPr>
          <w:szCs w:val="28"/>
        </w:rPr>
        <w:t>,carried out and has been read and approved as meeting the requirement in Partial Fulfillment for the award of Higher National Diploma (HND) in Science Laboratory Technology (Biochemistry Option), and submitted to the Department of Science Labora</w:t>
      </w:r>
      <w:r>
        <w:rPr>
          <w:szCs w:val="28"/>
        </w:rPr>
        <w:t>tory Technology (SLT), Institute of Applied Sciences (IAS), Kwara State Polytechnic, Ilorin.</w:t>
      </w:r>
    </w:p>
    <w:p w:rsidR="00995829" w:rsidRDefault="00995829">
      <w:pPr>
        <w:spacing w:after="0" w:line="360" w:lineRule="auto"/>
        <w:jc w:val="center"/>
        <w:rPr>
          <w:szCs w:val="28"/>
        </w:rPr>
      </w:pPr>
    </w:p>
    <w:p w:rsidR="00995829" w:rsidRDefault="007B3EFE">
      <w:pPr>
        <w:spacing w:after="0" w:line="240" w:lineRule="auto"/>
        <w:jc w:val="both"/>
        <w:rPr>
          <w:b/>
          <w:i/>
          <w:sz w:val="24"/>
        </w:rPr>
      </w:pPr>
      <w:r>
        <w:rPr>
          <w:b/>
          <w:i/>
          <w:noProof/>
          <w:sz w:val="24"/>
        </w:rPr>
        <w:drawing>
          <wp:inline distT="0" distB="0" distL="0" distR="0">
            <wp:extent cx="6400224" cy="3514725"/>
            <wp:effectExtent l="19050" t="0" r="576" b="0"/>
            <wp:docPr id="1" name="Picture 1" descr="C:\Users\USER\Downloads\WhatsApp Image 2025-08-01 at 12.02.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1 at 12.02.04.jpeg"/>
                    <pic:cNvPicPr>
                      <a:picLocks noChangeAspect="1" noChangeArrowheads="1"/>
                    </pic:cNvPicPr>
                  </pic:nvPicPr>
                  <pic:blipFill>
                    <a:blip r:embed="rId8"/>
                    <a:srcRect/>
                    <a:stretch>
                      <a:fillRect/>
                    </a:stretch>
                  </pic:blipFill>
                  <pic:spPr bwMode="auto">
                    <a:xfrm>
                      <a:off x="0" y="0"/>
                      <a:ext cx="6400800" cy="3515041"/>
                    </a:xfrm>
                    <a:prstGeom prst="rect">
                      <a:avLst/>
                    </a:prstGeom>
                    <a:noFill/>
                    <a:ln w="9525">
                      <a:noFill/>
                      <a:miter lim="800000"/>
                      <a:headEnd/>
                      <a:tailEnd/>
                    </a:ln>
                  </pic:spPr>
                </pic:pic>
              </a:graphicData>
            </a:graphic>
          </wp:inline>
        </w:drawing>
      </w:r>
    </w:p>
    <w:p w:rsidR="00995829" w:rsidRDefault="00995829">
      <w:pPr>
        <w:spacing w:after="0" w:line="240" w:lineRule="auto"/>
        <w:rPr>
          <w:sz w:val="24"/>
          <w:u w:val="single"/>
        </w:rPr>
      </w:pPr>
    </w:p>
    <w:p w:rsidR="00995829" w:rsidRDefault="00995829">
      <w:pPr>
        <w:spacing w:after="0" w:line="240" w:lineRule="auto"/>
        <w:rPr>
          <w:sz w:val="24"/>
          <w:u w:val="single"/>
        </w:rPr>
      </w:pPr>
    </w:p>
    <w:p w:rsidR="00995829" w:rsidRDefault="00995829">
      <w:pPr>
        <w:spacing w:after="0" w:line="240" w:lineRule="auto"/>
        <w:rPr>
          <w:sz w:val="24"/>
          <w:u w:val="single"/>
        </w:rPr>
      </w:pPr>
    </w:p>
    <w:p w:rsidR="00995829" w:rsidRDefault="00C7064C">
      <w:pPr>
        <w:spacing w:after="0" w:line="240" w:lineRule="auto"/>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ab/>
      </w:r>
      <w:r>
        <w:rPr>
          <w:sz w:val="24"/>
          <w:u w:val="single"/>
        </w:rPr>
        <w:tab/>
      </w:r>
      <w:r>
        <w:rPr>
          <w:sz w:val="24"/>
          <w:u w:val="single"/>
        </w:rPr>
        <w:tab/>
      </w:r>
      <w:r>
        <w:rPr>
          <w:sz w:val="24"/>
          <w:u w:val="single"/>
        </w:rPr>
        <w:tab/>
        <w:t>_</w:t>
      </w:r>
    </w:p>
    <w:p w:rsidR="00995829" w:rsidRDefault="00C7064C">
      <w:pPr>
        <w:pStyle w:val="Heading2"/>
        <w:spacing w:before="0" w:beforeAutospacing="0" w:after="0" w:afterAutospacing="0"/>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995829" w:rsidRDefault="00995829">
      <w:pPr>
        <w:pStyle w:val="Heading2"/>
        <w:spacing w:before="0" w:beforeAutospacing="0" w:after="0" w:afterAutospacing="0" w:line="480" w:lineRule="auto"/>
        <w:rPr>
          <w:sz w:val="24"/>
          <w:szCs w:val="24"/>
        </w:rPr>
      </w:pPr>
    </w:p>
    <w:p w:rsidR="00995829" w:rsidRDefault="00C7064C">
      <w:pPr>
        <w:pStyle w:val="Heading1"/>
        <w:spacing w:before="0" w:after="0" w:line="480" w:lineRule="auto"/>
        <w:jc w:val="center"/>
        <w:rPr>
          <w:rFonts w:cs="Times New Roman"/>
          <w:sz w:val="24"/>
          <w:szCs w:val="24"/>
        </w:rPr>
      </w:pPr>
      <w:bookmarkStart w:id="1" w:name="_Toc199791354"/>
      <w:r>
        <w:rPr>
          <w:rFonts w:cs="Times New Roman"/>
          <w:sz w:val="24"/>
          <w:szCs w:val="24"/>
        </w:rPr>
        <w:lastRenderedPageBreak/>
        <w:t>DEDICATION</w:t>
      </w:r>
      <w:bookmarkEnd w:id="1"/>
    </w:p>
    <w:p w:rsidR="00995829" w:rsidRDefault="00C7064C">
      <w:pPr>
        <w:spacing w:after="0" w:line="480" w:lineRule="auto"/>
        <w:rPr>
          <w:sz w:val="24"/>
        </w:rPr>
      </w:pPr>
      <w:r>
        <w:rPr>
          <w:sz w:val="24"/>
        </w:rPr>
        <w:tab/>
      </w:r>
      <w:r>
        <w:rPr>
          <w:sz w:val="24"/>
        </w:rPr>
        <w:t xml:space="preserve">This project work is dedicated to Almighty God and to our parents. </w:t>
      </w:r>
    </w:p>
    <w:p w:rsidR="00995829" w:rsidRDefault="00C7064C">
      <w:pPr>
        <w:spacing w:after="0" w:line="480" w:lineRule="auto"/>
        <w:rPr>
          <w:sz w:val="24"/>
        </w:rPr>
      </w:pPr>
      <w:r>
        <w:rPr>
          <w:sz w:val="24"/>
        </w:rPr>
        <w:br w:type="page"/>
      </w:r>
    </w:p>
    <w:p w:rsidR="00995829" w:rsidRDefault="00C7064C">
      <w:pPr>
        <w:spacing w:after="0" w:line="444" w:lineRule="auto"/>
        <w:jc w:val="center"/>
        <w:rPr>
          <w:b/>
          <w:sz w:val="24"/>
        </w:rPr>
      </w:pPr>
      <w:r>
        <w:rPr>
          <w:b/>
          <w:sz w:val="24"/>
        </w:rPr>
        <w:lastRenderedPageBreak/>
        <w:t>ACKNOWLEDGEMENTS</w:t>
      </w:r>
    </w:p>
    <w:p w:rsidR="00995829" w:rsidRDefault="00C7064C">
      <w:pPr>
        <w:spacing w:after="0" w:line="444" w:lineRule="auto"/>
        <w:jc w:val="both"/>
        <w:rPr>
          <w:sz w:val="24"/>
        </w:rPr>
      </w:pPr>
      <w:r>
        <w:rPr>
          <w:b/>
          <w:sz w:val="24"/>
        </w:rPr>
        <w:tab/>
      </w:r>
      <w:r>
        <w:rPr>
          <w:sz w:val="24"/>
        </w:rPr>
        <w:t>All praise is due to Allah (SWT), the Lord of the worlds, who granted me the strength, knowledge, and patience to complete this project. I send peace and blessings upon</w:t>
      </w:r>
      <w:r>
        <w:rPr>
          <w:sz w:val="24"/>
        </w:rPr>
        <w:t xml:space="preserve"> our beloved Prophet Muhammad (S.A.W) his family, and his companions. I am deeply grateful to Allah (SWT) for guiding me throughout this journey and for making this accomplishment possible.</w:t>
      </w:r>
    </w:p>
    <w:p w:rsidR="00995829" w:rsidRDefault="00C7064C">
      <w:pPr>
        <w:spacing w:after="0" w:line="444" w:lineRule="auto"/>
        <w:jc w:val="both"/>
        <w:rPr>
          <w:sz w:val="24"/>
        </w:rPr>
      </w:pPr>
      <w:r>
        <w:rPr>
          <w:sz w:val="24"/>
        </w:rPr>
        <w:tab/>
        <w:t>I would like to express my heartfelt gratitude to our beloved sup</w:t>
      </w:r>
      <w:r>
        <w:rPr>
          <w:sz w:val="24"/>
        </w:rPr>
        <w:t>ervisor, Dr. (Mrs.) Hassan I.R, for her invaluable support and guidance throughout this project. Your encouragement and insightful feedback have greatly enhanced my understanding of the subject of the matter and motivated me to strive for excellence, May t</w:t>
      </w:r>
      <w:r>
        <w:rPr>
          <w:sz w:val="24"/>
        </w:rPr>
        <w:t>he Almighty bless you immensely.</w:t>
      </w:r>
    </w:p>
    <w:p w:rsidR="00995829" w:rsidRDefault="00C7064C">
      <w:pPr>
        <w:spacing w:after="0" w:line="444" w:lineRule="auto"/>
        <w:jc w:val="both"/>
        <w:rPr>
          <w:sz w:val="24"/>
        </w:rPr>
      </w:pPr>
      <w:r>
        <w:rPr>
          <w:sz w:val="24"/>
        </w:rPr>
        <w:tab/>
        <w:t>I would like to express my heartfelt gratitude to our H.O.D, the person of DR. Usman Abdulkareem, our H.O.U Mrs. Salaudeen K.A, and other lecturers that contributed greatly to my academic journey. Their dedication, knowled</w:t>
      </w:r>
      <w:r>
        <w:rPr>
          <w:sz w:val="24"/>
        </w:rPr>
        <w:t>ge and passion for teaching have greatly inspired me.</w:t>
      </w:r>
    </w:p>
    <w:p w:rsidR="00995829" w:rsidRDefault="00C7064C">
      <w:pPr>
        <w:spacing w:after="0" w:line="444" w:lineRule="auto"/>
        <w:jc w:val="both"/>
        <w:rPr>
          <w:sz w:val="24"/>
        </w:rPr>
      </w:pPr>
      <w:r>
        <w:rPr>
          <w:sz w:val="24"/>
        </w:rPr>
        <w:tab/>
        <w:t>Lastly, I am profoundly grateful to the Abdulraheems, my Dad, my mum and my siblings for their unwavering support and unshaken believe in me throughout my journey and also always showing support spirit</w:t>
      </w:r>
      <w:r>
        <w:rPr>
          <w:sz w:val="24"/>
        </w:rPr>
        <w:t>ually, physically, and financially. Without Allah and them I will definitely not be up to this level today.</w:t>
      </w:r>
    </w:p>
    <w:p w:rsidR="00995829" w:rsidRDefault="00C7064C">
      <w:pPr>
        <w:spacing w:after="0" w:line="444" w:lineRule="auto"/>
        <w:jc w:val="both"/>
        <w:rPr>
          <w:sz w:val="24"/>
        </w:rPr>
      </w:pPr>
      <w:r>
        <w:rPr>
          <w:sz w:val="24"/>
        </w:rPr>
        <w:tab/>
        <w:t>And to my friends, we started this journey with a lot of students but not all was privileged to complete this journey, thank you all for being part</w:t>
      </w:r>
      <w:r>
        <w:rPr>
          <w:sz w:val="24"/>
        </w:rPr>
        <w:t xml:space="preserve"> of my journey, may life after school Favour us. May Allah (SWT) accept this humble effort and make it beneficial to others. Aameen.</w:t>
      </w:r>
    </w:p>
    <w:p w:rsidR="00995829" w:rsidRDefault="00995829">
      <w:pPr>
        <w:pStyle w:val="Heading1"/>
        <w:spacing w:before="0" w:after="0" w:line="480" w:lineRule="auto"/>
        <w:jc w:val="center"/>
        <w:rPr>
          <w:rStyle w:val="Emphasis"/>
          <w:rFonts w:cs="Times New Roman"/>
          <w:i w:val="0"/>
          <w:iCs w:val="0"/>
          <w:sz w:val="24"/>
        </w:rPr>
      </w:pPr>
      <w:bookmarkStart w:id="2" w:name="_Toc199791356"/>
    </w:p>
    <w:p w:rsidR="00995829" w:rsidRDefault="00995829">
      <w:pPr>
        <w:pStyle w:val="Heading1"/>
        <w:spacing w:before="0" w:after="0" w:line="480" w:lineRule="auto"/>
        <w:jc w:val="center"/>
        <w:rPr>
          <w:rStyle w:val="Emphasis"/>
          <w:rFonts w:cs="Times New Roman"/>
          <w:i w:val="0"/>
          <w:iCs w:val="0"/>
          <w:sz w:val="24"/>
        </w:rPr>
      </w:pPr>
    </w:p>
    <w:p w:rsidR="00995829" w:rsidRDefault="00C7064C">
      <w:pPr>
        <w:pStyle w:val="Heading1"/>
        <w:spacing w:before="0" w:after="0" w:line="480" w:lineRule="auto"/>
        <w:jc w:val="center"/>
        <w:rPr>
          <w:rStyle w:val="Emphasis"/>
          <w:rFonts w:cs="Times New Roman"/>
          <w:i w:val="0"/>
          <w:iCs w:val="0"/>
          <w:sz w:val="24"/>
        </w:rPr>
      </w:pPr>
      <w:r>
        <w:rPr>
          <w:rStyle w:val="Emphasis"/>
          <w:rFonts w:cs="Times New Roman"/>
          <w:i w:val="0"/>
          <w:iCs w:val="0"/>
          <w:sz w:val="24"/>
        </w:rPr>
        <w:t>TABLE OF CONTENT</w:t>
      </w:r>
      <w:bookmarkEnd w:id="2"/>
      <w:r>
        <w:rPr>
          <w:rStyle w:val="Emphasis"/>
          <w:rFonts w:cs="Times New Roman"/>
          <w:i w:val="0"/>
          <w:iCs w:val="0"/>
          <w:sz w:val="24"/>
        </w:rPr>
        <w:t>S</w:t>
      </w:r>
    </w:p>
    <w:p w:rsidR="00995829" w:rsidRDefault="00C7064C">
      <w:pPr>
        <w:pStyle w:val="Heading1"/>
        <w:spacing w:before="0" w:after="0" w:line="480" w:lineRule="auto"/>
        <w:jc w:val="both"/>
        <w:rPr>
          <w:i/>
          <w:sz w:val="24"/>
          <w:szCs w:val="24"/>
        </w:rPr>
      </w:pPr>
      <w:r>
        <w:rPr>
          <w:i/>
          <w:sz w:val="24"/>
          <w:szCs w:val="24"/>
        </w:rPr>
        <w:t>TITLE PAGE</w:t>
      </w:r>
    </w:p>
    <w:p w:rsidR="00995829" w:rsidRDefault="00C7064C">
      <w:pPr>
        <w:spacing w:after="0" w:line="480" w:lineRule="auto"/>
        <w:rPr>
          <w:b/>
          <w:i/>
        </w:rPr>
      </w:pPr>
      <w:r>
        <w:rPr>
          <w:b/>
          <w:i/>
        </w:rPr>
        <w:t>CERTIFICATION</w:t>
      </w:r>
    </w:p>
    <w:p w:rsidR="00995829" w:rsidRDefault="00C7064C">
      <w:pPr>
        <w:spacing w:after="0" w:line="480" w:lineRule="auto"/>
        <w:rPr>
          <w:b/>
          <w:i/>
        </w:rPr>
      </w:pPr>
      <w:r>
        <w:rPr>
          <w:b/>
          <w:i/>
        </w:rPr>
        <w:t>DEDICATION</w:t>
      </w:r>
    </w:p>
    <w:p w:rsidR="00995829" w:rsidRDefault="00C7064C">
      <w:pPr>
        <w:spacing w:after="0" w:line="480" w:lineRule="auto"/>
        <w:rPr>
          <w:b/>
          <w:i/>
        </w:rPr>
      </w:pPr>
      <w:r>
        <w:rPr>
          <w:b/>
          <w:i/>
        </w:rPr>
        <w:t>ACKNOWLEDGEMENTS</w:t>
      </w:r>
    </w:p>
    <w:p w:rsidR="00995829" w:rsidRDefault="00C7064C">
      <w:pPr>
        <w:spacing w:after="0" w:line="480" w:lineRule="auto"/>
        <w:rPr>
          <w:b/>
          <w:i/>
        </w:rPr>
      </w:pPr>
      <w:r>
        <w:rPr>
          <w:b/>
          <w:i/>
        </w:rPr>
        <w:t>TABLE OF CONTENTS</w:t>
      </w:r>
    </w:p>
    <w:p w:rsidR="00995829" w:rsidRDefault="00C7064C">
      <w:pPr>
        <w:spacing w:after="0" w:line="480" w:lineRule="auto"/>
        <w:rPr>
          <w:b/>
          <w:i/>
        </w:rPr>
      </w:pPr>
      <w:r>
        <w:rPr>
          <w:b/>
          <w:i/>
        </w:rPr>
        <w:t>LIST OF TABLES</w:t>
      </w:r>
    </w:p>
    <w:p w:rsidR="00995829" w:rsidRDefault="00C7064C">
      <w:pPr>
        <w:spacing w:after="0" w:line="480" w:lineRule="auto"/>
        <w:rPr>
          <w:b/>
          <w:i/>
        </w:rPr>
      </w:pPr>
      <w:r>
        <w:rPr>
          <w:b/>
          <w:i/>
        </w:rPr>
        <w:t>LIST OF FIGURES</w:t>
      </w:r>
    </w:p>
    <w:p w:rsidR="00995829" w:rsidRDefault="00C7064C">
      <w:pPr>
        <w:spacing w:after="0" w:line="480" w:lineRule="auto"/>
        <w:rPr>
          <w:b/>
          <w:i/>
        </w:rPr>
      </w:pPr>
      <w:r>
        <w:rPr>
          <w:b/>
          <w:i/>
        </w:rPr>
        <w:t>ABSTRACT</w:t>
      </w:r>
    </w:p>
    <w:p w:rsidR="00995829" w:rsidRDefault="00C7064C">
      <w:pPr>
        <w:pStyle w:val="Heading1"/>
        <w:spacing w:before="0" w:after="0" w:line="480" w:lineRule="auto"/>
        <w:jc w:val="both"/>
        <w:rPr>
          <w:sz w:val="24"/>
          <w:szCs w:val="24"/>
        </w:rPr>
      </w:pPr>
      <w:r>
        <w:rPr>
          <w:sz w:val="24"/>
          <w:szCs w:val="24"/>
        </w:rPr>
        <w:t>CHAPTER ONE: INTRODUCTION</w:t>
      </w:r>
    </w:p>
    <w:p w:rsidR="00995829" w:rsidRDefault="00C7064C">
      <w:pPr>
        <w:pStyle w:val="ListParagraph"/>
        <w:numPr>
          <w:ilvl w:val="1"/>
          <w:numId w:val="2"/>
        </w:numPr>
        <w:spacing w:after="0" w:line="480" w:lineRule="auto"/>
        <w:jc w:val="both"/>
        <w:rPr>
          <w:rFonts w:eastAsia="Times New Roman"/>
          <w:sz w:val="24"/>
        </w:rPr>
      </w:pPr>
      <w:r>
        <w:rPr>
          <w:rFonts w:eastAsia="Times New Roman"/>
          <w:sz w:val="24"/>
        </w:rPr>
        <w:t>Background to the Study</w:t>
      </w:r>
    </w:p>
    <w:p w:rsidR="00995829" w:rsidRDefault="00C7064C">
      <w:pPr>
        <w:spacing w:after="0" w:line="480" w:lineRule="auto"/>
        <w:jc w:val="both"/>
        <w:rPr>
          <w:rFonts w:eastAsia="Times New Roman"/>
          <w:sz w:val="24"/>
        </w:rPr>
      </w:pPr>
      <w:r>
        <w:rPr>
          <w:rFonts w:eastAsia="Times New Roman"/>
          <w:sz w:val="24"/>
        </w:rPr>
        <w:t xml:space="preserve">1.2 </w:t>
      </w:r>
      <w:r>
        <w:rPr>
          <w:rFonts w:eastAsia="Times New Roman"/>
          <w:sz w:val="24"/>
        </w:rPr>
        <w:tab/>
        <w:t>Statement of the Problem</w:t>
      </w:r>
    </w:p>
    <w:p w:rsidR="00995829" w:rsidRDefault="00C7064C">
      <w:pPr>
        <w:spacing w:after="0" w:line="480" w:lineRule="auto"/>
        <w:jc w:val="both"/>
        <w:rPr>
          <w:rFonts w:eastAsia="Times New Roman"/>
          <w:sz w:val="24"/>
        </w:rPr>
      </w:pPr>
      <w:r>
        <w:rPr>
          <w:rFonts w:eastAsia="Times New Roman"/>
          <w:sz w:val="24"/>
        </w:rPr>
        <w:t xml:space="preserve">1.3 </w:t>
      </w:r>
      <w:r>
        <w:rPr>
          <w:rFonts w:eastAsia="Times New Roman"/>
          <w:sz w:val="24"/>
        </w:rPr>
        <w:tab/>
        <w:t>Justification for the Study</w:t>
      </w:r>
    </w:p>
    <w:p w:rsidR="00995829" w:rsidRDefault="00C7064C">
      <w:pPr>
        <w:pStyle w:val="Heading1"/>
        <w:spacing w:before="0" w:after="0" w:line="480" w:lineRule="auto"/>
        <w:jc w:val="both"/>
        <w:rPr>
          <w:rFonts w:eastAsia="Times New Roman"/>
          <w:b w:val="0"/>
          <w:sz w:val="24"/>
          <w:szCs w:val="24"/>
        </w:rPr>
      </w:pPr>
      <w:r>
        <w:rPr>
          <w:rFonts w:eastAsia="Times New Roman"/>
          <w:b w:val="0"/>
          <w:sz w:val="24"/>
          <w:szCs w:val="24"/>
        </w:rPr>
        <w:lastRenderedPageBreak/>
        <w:t xml:space="preserve">1.4 </w:t>
      </w:r>
      <w:r>
        <w:rPr>
          <w:rFonts w:eastAsia="Times New Roman"/>
          <w:b w:val="0"/>
          <w:sz w:val="24"/>
          <w:szCs w:val="24"/>
        </w:rPr>
        <w:tab/>
        <w:t>Aim and Objectives of the Study</w:t>
      </w:r>
    </w:p>
    <w:p w:rsidR="00995829" w:rsidRDefault="00C7064C">
      <w:pPr>
        <w:pStyle w:val="Heading1"/>
        <w:spacing w:before="0" w:after="0" w:line="480" w:lineRule="auto"/>
        <w:jc w:val="both"/>
        <w:rPr>
          <w:rFonts w:eastAsia="Times New Roman"/>
          <w:sz w:val="24"/>
          <w:szCs w:val="24"/>
        </w:rPr>
      </w:pPr>
      <w:r>
        <w:rPr>
          <w:rFonts w:eastAsia="Times New Roman"/>
          <w:sz w:val="24"/>
          <w:szCs w:val="24"/>
        </w:rPr>
        <w:t>CHAPTER TWO: LITERATURE REVIEW</w:t>
      </w:r>
    </w:p>
    <w:p w:rsidR="00995829" w:rsidRDefault="00C7064C">
      <w:pPr>
        <w:pStyle w:val="Heading1"/>
        <w:spacing w:before="0" w:after="0" w:line="480" w:lineRule="auto"/>
        <w:jc w:val="both"/>
        <w:rPr>
          <w:b w:val="0"/>
          <w:i/>
          <w:iCs/>
          <w:sz w:val="24"/>
          <w:szCs w:val="24"/>
        </w:rPr>
      </w:pPr>
      <w:r>
        <w:rPr>
          <w:b w:val="0"/>
          <w:sz w:val="24"/>
          <w:szCs w:val="24"/>
        </w:rPr>
        <w:t xml:space="preserve">2.1 </w:t>
      </w:r>
      <w:r>
        <w:rPr>
          <w:b w:val="0"/>
          <w:sz w:val="24"/>
          <w:szCs w:val="24"/>
        </w:rPr>
        <w:tab/>
      </w:r>
      <w:r>
        <w:rPr>
          <w:b w:val="0"/>
          <w:i/>
          <w:iCs/>
          <w:sz w:val="24"/>
          <w:szCs w:val="24"/>
        </w:rPr>
        <w:t>Sidaacuta</w:t>
      </w:r>
    </w:p>
    <w:p w:rsidR="00995829" w:rsidRDefault="00C7064C">
      <w:pPr>
        <w:pStyle w:val="Heading1"/>
        <w:spacing w:before="0" w:after="0" w:line="480" w:lineRule="auto"/>
        <w:jc w:val="both"/>
        <w:rPr>
          <w:b w:val="0"/>
          <w:sz w:val="24"/>
          <w:szCs w:val="24"/>
        </w:rPr>
      </w:pPr>
      <w:r>
        <w:rPr>
          <w:b w:val="0"/>
          <w:sz w:val="24"/>
          <w:szCs w:val="24"/>
        </w:rPr>
        <w:t xml:space="preserve">2.2 </w:t>
      </w:r>
      <w:r>
        <w:rPr>
          <w:b w:val="0"/>
          <w:sz w:val="24"/>
          <w:szCs w:val="24"/>
        </w:rPr>
        <w:tab/>
        <w:t>Proximate Composition</w:t>
      </w:r>
    </w:p>
    <w:p w:rsidR="00995829" w:rsidRDefault="00C7064C">
      <w:pPr>
        <w:pStyle w:val="Heading1"/>
        <w:spacing w:before="0" w:after="0" w:line="480" w:lineRule="auto"/>
        <w:jc w:val="both"/>
        <w:rPr>
          <w:sz w:val="24"/>
          <w:szCs w:val="24"/>
        </w:rPr>
      </w:pPr>
      <w:r>
        <w:rPr>
          <w:sz w:val="24"/>
          <w:szCs w:val="24"/>
        </w:rPr>
        <w:t>CHAPTER THREE: MATERIALS</w:t>
      </w:r>
      <w:r>
        <w:rPr>
          <w:sz w:val="24"/>
          <w:szCs w:val="24"/>
        </w:rPr>
        <w:t xml:space="preserve"> AND METHODS</w:t>
      </w:r>
    </w:p>
    <w:p w:rsidR="00995829" w:rsidRDefault="00C7064C">
      <w:pPr>
        <w:pStyle w:val="Heading2"/>
        <w:spacing w:before="0" w:beforeAutospacing="0" w:after="0" w:afterAutospacing="0" w:line="480" w:lineRule="auto"/>
        <w:jc w:val="both"/>
        <w:rPr>
          <w:b w:val="0"/>
          <w:sz w:val="24"/>
          <w:szCs w:val="24"/>
        </w:rPr>
      </w:pPr>
      <w:r>
        <w:rPr>
          <w:b w:val="0"/>
          <w:sz w:val="24"/>
          <w:szCs w:val="24"/>
        </w:rPr>
        <w:t xml:space="preserve">3.1 </w:t>
      </w:r>
      <w:r>
        <w:rPr>
          <w:b w:val="0"/>
          <w:sz w:val="24"/>
          <w:szCs w:val="24"/>
        </w:rPr>
        <w:tab/>
        <w:t>Materials</w:t>
      </w:r>
    </w:p>
    <w:p w:rsidR="00995829" w:rsidRDefault="00C7064C">
      <w:pPr>
        <w:pStyle w:val="Heading2"/>
        <w:spacing w:before="0" w:beforeAutospacing="0" w:after="0" w:afterAutospacing="0" w:line="480" w:lineRule="auto"/>
        <w:jc w:val="both"/>
        <w:rPr>
          <w:b w:val="0"/>
          <w:sz w:val="24"/>
          <w:szCs w:val="24"/>
        </w:rPr>
      </w:pPr>
      <w:r>
        <w:rPr>
          <w:b w:val="0"/>
          <w:sz w:val="24"/>
          <w:szCs w:val="24"/>
        </w:rPr>
        <w:t xml:space="preserve">3.2 </w:t>
      </w:r>
      <w:r>
        <w:rPr>
          <w:b w:val="0"/>
          <w:sz w:val="24"/>
          <w:szCs w:val="24"/>
        </w:rPr>
        <w:tab/>
        <w:t>Methods</w:t>
      </w:r>
    </w:p>
    <w:p w:rsidR="00995829" w:rsidRDefault="00C7064C">
      <w:pPr>
        <w:pStyle w:val="Heading1"/>
        <w:spacing w:before="0" w:after="0" w:line="480" w:lineRule="auto"/>
        <w:jc w:val="both"/>
        <w:rPr>
          <w:rFonts w:eastAsia="Times New Roman"/>
          <w:sz w:val="24"/>
          <w:szCs w:val="24"/>
        </w:rPr>
      </w:pPr>
      <w:r>
        <w:rPr>
          <w:rFonts w:eastAsia="Times New Roman"/>
          <w:sz w:val="24"/>
          <w:szCs w:val="24"/>
        </w:rPr>
        <w:t xml:space="preserve">CHAPTER FOUR: </w:t>
      </w:r>
      <w:r>
        <w:rPr>
          <w:sz w:val="24"/>
        </w:rPr>
        <w:t>RESULTS</w:t>
      </w:r>
    </w:p>
    <w:p w:rsidR="00995829" w:rsidRDefault="00C7064C">
      <w:pPr>
        <w:spacing w:after="0" w:line="480" w:lineRule="auto"/>
        <w:jc w:val="both"/>
        <w:rPr>
          <w:rFonts w:eastAsia="Times New Roman"/>
          <w:i/>
          <w:iCs/>
          <w:sz w:val="24"/>
        </w:rPr>
      </w:pPr>
      <w:r>
        <w:rPr>
          <w:rFonts w:eastAsia="Times New Roman"/>
          <w:sz w:val="24"/>
        </w:rPr>
        <w:t xml:space="preserve">4.1 </w:t>
      </w:r>
      <w:r>
        <w:rPr>
          <w:rFonts w:eastAsia="Times New Roman"/>
          <w:sz w:val="24"/>
        </w:rPr>
        <w:tab/>
        <w:t xml:space="preserve">Proximate Composition of </w:t>
      </w:r>
      <w:r>
        <w:rPr>
          <w:rFonts w:eastAsia="Times New Roman"/>
          <w:i/>
          <w:iCs/>
          <w:sz w:val="24"/>
        </w:rPr>
        <w:t>Sidaacuta</w:t>
      </w:r>
    </w:p>
    <w:p w:rsidR="00995829" w:rsidRDefault="00C7064C">
      <w:pPr>
        <w:spacing w:after="0" w:line="480" w:lineRule="auto"/>
        <w:jc w:val="both"/>
        <w:rPr>
          <w:rStyle w:val="Heading1Char"/>
          <w:b w:val="0"/>
          <w:szCs w:val="24"/>
        </w:rPr>
      </w:pPr>
      <w:r>
        <w:rPr>
          <w:rStyle w:val="Heading1Char"/>
          <w:b w:val="0"/>
          <w:szCs w:val="24"/>
        </w:rPr>
        <w:t xml:space="preserve">4.2 </w:t>
      </w:r>
      <w:r>
        <w:rPr>
          <w:rStyle w:val="Heading1Char"/>
          <w:b w:val="0"/>
          <w:szCs w:val="24"/>
        </w:rPr>
        <w:tab/>
        <w:t>Implications of Findings</w:t>
      </w:r>
    </w:p>
    <w:p w:rsidR="00995829" w:rsidRDefault="00C7064C">
      <w:pPr>
        <w:pStyle w:val="Heading1"/>
        <w:spacing w:before="0" w:after="0" w:line="480" w:lineRule="auto"/>
        <w:jc w:val="both"/>
        <w:rPr>
          <w:rFonts w:eastAsia="Times New Roman"/>
          <w:sz w:val="24"/>
          <w:szCs w:val="24"/>
        </w:rPr>
      </w:pPr>
      <w:r>
        <w:rPr>
          <w:rFonts w:eastAsia="Times New Roman"/>
          <w:sz w:val="24"/>
          <w:szCs w:val="24"/>
        </w:rPr>
        <w:t xml:space="preserve">CHAPTER FIVE: </w:t>
      </w:r>
      <w:r>
        <w:rPr>
          <w:sz w:val="24"/>
        </w:rPr>
        <w:t>DISCUSSION</w:t>
      </w:r>
    </w:p>
    <w:p w:rsidR="00995829" w:rsidRDefault="00C7064C">
      <w:pPr>
        <w:pStyle w:val="Heading1"/>
        <w:spacing w:before="0" w:after="0" w:line="480" w:lineRule="auto"/>
        <w:jc w:val="both"/>
        <w:rPr>
          <w:rFonts w:eastAsia="Times New Roman"/>
          <w:b w:val="0"/>
          <w:sz w:val="24"/>
          <w:szCs w:val="24"/>
        </w:rPr>
      </w:pPr>
      <w:r>
        <w:rPr>
          <w:rFonts w:eastAsia="Times New Roman"/>
          <w:b w:val="0"/>
          <w:sz w:val="24"/>
          <w:szCs w:val="24"/>
        </w:rPr>
        <w:t xml:space="preserve">5.1 </w:t>
      </w:r>
      <w:r>
        <w:rPr>
          <w:rFonts w:eastAsia="Times New Roman"/>
          <w:b w:val="0"/>
          <w:sz w:val="24"/>
          <w:szCs w:val="24"/>
        </w:rPr>
        <w:tab/>
        <w:t>Conclusion</w:t>
      </w:r>
    </w:p>
    <w:p w:rsidR="00995829" w:rsidRDefault="00C7064C">
      <w:pPr>
        <w:pStyle w:val="Heading1"/>
        <w:spacing w:before="0" w:after="0" w:line="480" w:lineRule="auto"/>
        <w:jc w:val="both"/>
        <w:rPr>
          <w:rFonts w:eastAsia="Times New Roman"/>
          <w:b w:val="0"/>
          <w:sz w:val="24"/>
          <w:szCs w:val="24"/>
        </w:rPr>
      </w:pPr>
      <w:r>
        <w:rPr>
          <w:rFonts w:eastAsia="Times New Roman"/>
          <w:b w:val="0"/>
          <w:sz w:val="24"/>
          <w:szCs w:val="24"/>
        </w:rPr>
        <w:t>5.2</w:t>
      </w:r>
      <w:r>
        <w:rPr>
          <w:rFonts w:eastAsia="Times New Roman"/>
          <w:b w:val="0"/>
          <w:sz w:val="24"/>
          <w:szCs w:val="24"/>
        </w:rPr>
        <w:tab/>
        <w:t>Recommendations</w:t>
      </w:r>
    </w:p>
    <w:p w:rsidR="00995829" w:rsidRDefault="00C7064C">
      <w:pPr>
        <w:jc w:val="both"/>
        <w:rPr>
          <w:rStyle w:val="Emphasis"/>
          <w:b/>
          <w:i w:val="0"/>
          <w:iCs w:val="0"/>
          <w:sz w:val="24"/>
        </w:rPr>
      </w:pPr>
      <w:r>
        <w:rPr>
          <w:rFonts w:eastAsia="Times New Roman"/>
          <w:sz w:val="24"/>
        </w:rPr>
        <w:tab/>
        <w:t>References</w:t>
      </w:r>
      <w:bookmarkStart w:id="3" w:name="_Toc199791357"/>
    </w:p>
    <w:p w:rsidR="00995829" w:rsidRDefault="00C7064C">
      <w:pPr>
        <w:rPr>
          <w:rStyle w:val="Emphasis"/>
          <w:b/>
          <w:i w:val="0"/>
          <w:iCs w:val="0"/>
          <w:sz w:val="24"/>
        </w:rPr>
      </w:pPr>
      <w:r>
        <w:rPr>
          <w:rStyle w:val="Emphasis"/>
          <w:i w:val="0"/>
          <w:iCs w:val="0"/>
          <w:sz w:val="24"/>
        </w:rPr>
        <w:br w:type="page"/>
      </w:r>
    </w:p>
    <w:p w:rsidR="00995829" w:rsidRDefault="00C7064C">
      <w:pPr>
        <w:pStyle w:val="Heading1"/>
        <w:spacing w:before="0" w:after="0" w:line="480" w:lineRule="auto"/>
        <w:jc w:val="center"/>
        <w:rPr>
          <w:rStyle w:val="Emphasis"/>
          <w:rFonts w:cs="Times New Roman"/>
          <w:i w:val="0"/>
          <w:iCs w:val="0"/>
          <w:sz w:val="24"/>
        </w:rPr>
      </w:pPr>
      <w:r>
        <w:rPr>
          <w:rStyle w:val="Emphasis"/>
          <w:rFonts w:cs="Times New Roman"/>
          <w:i w:val="0"/>
          <w:iCs w:val="0"/>
          <w:sz w:val="24"/>
        </w:rPr>
        <w:lastRenderedPageBreak/>
        <w:t>LIST OF TABLES</w:t>
      </w:r>
      <w:bookmarkEnd w:id="3"/>
    </w:p>
    <w:p w:rsidR="00995829" w:rsidRDefault="00C7064C">
      <w:pPr>
        <w:spacing w:after="0" w:line="480" w:lineRule="auto"/>
        <w:rPr>
          <w:sz w:val="24"/>
        </w:rPr>
      </w:pPr>
      <w:r>
        <w:rPr>
          <w:sz w:val="24"/>
        </w:rPr>
        <w:t xml:space="preserve">Table 2.1. Traditional usages of </w:t>
      </w:r>
      <w:r>
        <w:rPr>
          <w:i/>
          <w:iCs/>
          <w:sz w:val="24"/>
        </w:rPr>
        <w:t>Sidaacuta</w:t>
      </w:r>
      <w:r>
        <w:rPr>
          <w:sz w:val="24"/>
        </w:rPr>
        <w:t xml:space="preserve"> in several regions……………</w:t>
      </w:r>
    </w:p>
    <w:p w:rsidR="00995829" w:rsidRDefault="00C7064C">
      <w:pPr>
        <w:spacing w:after="0" w:line="480" w:lineRule="auto"/>
        <w:rPr>
          <w:rFonts w:eastAsia="Times New Roman"/>
          <w:b/>
          <w:bCs/>
          <w:sz w:val="24"/>
        </w:rPr>
      </w:pPr>
      <w:r>
        <w:rPr>
          <w:rFonts w:eastAsia="Times New Roman"/>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Sidaacuta</w:t>
      </w:r>
      <w:r>
        <w:rPr>
          <w:rFonts w:eastAsia="Times New Roman"/>
          <w:sz w:val="24"/>
        </w:rPr>
        <w:t>…………………………</w:t>
      </w:r>
    </w:p>
    <w:p w:rsidR="00995829" w:rsidRDefault="00995829">
      <w:pPr>
        <w:pStyle w:val="NormalWeb"/>
        <w:spacing w:before="0" w:beforeAutospacing="0" w:after="0" w:afterAutospacing="0" w:line="480" w:lineRule="auto"/>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C7064C">
      <w:pPr>
        <w:spacing w:after="0" w:line="480" w:lineRule="auto"/>
        <w:rPr>
          <w:rStyle w:val="Emphasis"/>
          <w:b/>
          <w:i w:val="0"/>
          <w:iCs w:val="0"/>
          <w:sz w:val="24"/>
        </w:rPr>
      </w:pPr>
      <w:bookmarkStart w:id="4" w:name="_Toc199791358"/>
      <w:r>
        <w:rPr>
          <w:rStyle w:val="Emphasis"/>
          <w:i w:val="0"/>
          <w:iCs w:val="0"/>
          <w:sz w:val="24"/>
        </w:rPr>
        <w:br w:type="page"/>
      </w:r>
    </w:p>
    <w:p w:rsidR="00995829" w:rsidRDefault="00C7064C">
      <w:pPr>
        <w:pStyle w:val="Heading1"/>
        <w:spacing w:before="0" w:after="0" w:line="480" w:lineRule="auto"/>
        <w:jc w:val="center"/>
        <w:rPr>
          <w:rStyle w:val="Emphasis"/>
          <w:rFonts w:cs="Times New Roman"/>
          <w:i w:val="0"/>
          <w:iCs w:val="0"/>
          <w:sz w:val="24"/>
        </w:rPr>
      </w:pPr>
      <w:r>
        <w:rPr>
          <w:rStyle w:val="Emphasis"/>
          <w:rFonts w:cs="Times New Roman"/>
          <w:i w:val="0"/>
          <w:iCs w:val="0"/>
          <w:sz w:val="24"/>
        </w:rPr>
        <w:lastRenderedPageBreak/>
        <w:t>LIST OF FIGURES</w:t>
      </w:r>
      <w:bookmarkEnd w:id="4"/>
    </w:p>
    <w:p w:rsidR="00995829" w:rsidRDefault="00C7064C">
      <w:pPr>
        <w:pStyle w:val="Caption"/>
        <w:spacing w:after="0" w:line="480" w:lineRule="auto"/>
        <w:rPr>
          <w:i w:val="0"/>
          <w:iCs w:val="0"/>
          <w:color w:val="auto"/>
          <w:sz w:val="24"/>
          <w:szCs w:val="24"/>
        </w:rPr>
      </w:pPr>
      <w:r>
        <w:rPr>
          <w:i w:val="0"/>
          <w:iCs w:val="0"/>
          <w:color w:val="auto"/>
          <w:sz w:val="24"/>
          <w:szCs w:val="24"/>
        </w:rPr>
        <w:t xml:space="preserve">Figure 1.1: </w:t>
      </w:r>
      <w:r>
        <w:rPr>
          <w:color w:val="auto"/>
          <w:sz w:val="24"/>
          <w:szCs w:val="24"/>
        </w:rPr>
        <w:t>Sidaacuta</w:t>
      </w:r>
      <w:r>
        <w:rPr>
          <w:i w:val="0"/>
          <w:iCs w:val="0"/>
          <w:color w:val="auto"/>
          <w:sz w:val="24"/>
          <w:szCs w:val="24"/>
        </w:rPr>
        <w:t xml:space="preserve"> plant………………………………………………….…</w:t>
      </w:r>
    </w:p>
    <w:p w:rsidR="00995829" w:rsidRDefault="00C7064C">
      <w:pPr>
        <w:pStyle w:val="Caption"/>
        <w:spacing w:after="0" w:line="480" w:lineRule="auto"/>
        <w:jc w:val="both"/>
        <w:rPr>
          <w:i w:val="0"/>
          <w:iCs w:val="0"/>
          <w:color w:val="auto"/>
          <w:sz w:val="24"/>
          <w:szCs w:val="24"/>
        </w:rPr>
      </w:pPr>
      <w:r>
        <w:rPr>
          <w:i w:val="0"/>
          <w:iCs w:val="0"/>
          <w:color w:val="auto"/>
          <w:sz w:val="24"/>
          <w:szCs w:val="24"/>
        </w:rPr>
        <w:t xml:space="preserve">Figure 2.1: Chemical structure of compounds isolated from </w:t>
      </w:r>
      <w:r>
        <w:rPr>
          <w:iCs w:val="0"/>
          <w:color w:val="auto"/>
          <w:sz w:val="24"/>
          <w:szCs w:val="24"/>
        </w:rPr>
        <w:t>S.acuta</w:t>
      </w:r>
      <w:r>
        <w:rPr>
          <w:i w:val="0"/>
          <w:iCs w:val="0"/>
          <w:color w:val="auto"/>
          <w:sz w:val="24"/>
          <w:szCs w:val="24"/>
        </w:rPr>
        <w:t>………</w:t>
      </w:r>
    </w:p>
    <w:p w:rsidR="00995829" w:rsidRDefault="00995829">
      <w:pPr>
        <w:pStyle w:val="NormalWeb"/>
        <w:spacing w:before="0" w:beforeAutospacing="0" w:after="0" w:afterAutospacing="0" w:line="480" w:lineRule="auto"/>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995829">
      <w:pPr>
        <w:pStyle w:val="NormalWeb"/>
        <w:spacing w:before="0" w:beforeAutospacing="0" w:after="0" w:afterAutospacing="0" w:line="480" w:lineRule="auto"/>
        <w:jc w:val="center"/>
        <w:rPr>
          <w:rStyle w:val="Emphasis"/>
          <w:rFonts w:eastAsiaTheme="majorEastAsia"/>
          <w:b/>
          <w:bCs/>
          <w:i w:val="0"/>
          <w:iCs w:val="0"/>
        </w:rPr>
      </w:pPr>
    </w:p>
    <w:p w:rsidR="00995829" w:rsidRDefault="00C7064C">
      <w:pPr>
        <w:rPr>
          <w:rStyle w:val="Emphasis"/>
          <w:b/>
          <w:i w:val="0"/>
          <w:iCs w:val="0"/>
          <w:sz w:val="24"/>
        </w:rPr>
      </w:pPr>
      <w:bookmarkStart w:id="5" w:name="_Toc199791359"/>
      <w:r>
        <w:rPr>
          <w:rStyle w:val="Emphasis"/>
          <w:i w:val="0"/>
          <w:iCs w:val="0"/>
          <w:sz w:val="24"/>
        </w:rPr>
        <w:br w:type="page"/>
      </w:r>
    </w:p>
    <w:p w:rsidR="00995829" w:rsidRDefault="00C7064C">
      <w:pPr>
        <w:pStyle w:val="Heading1"/>
        <w:spacing w:before="0" w:after="0" w:line="480" w:lineRule="auto"/>
        <w:jc w:val="center"/>
        <w:rPr>
          <w:rStyle w:val="Emphasis"/>
          <w:rFonts w:cs="Times New Roman"/>
          <w:i w:val="0"/>
          <w:iCs w:val="0"/>
          <w:sz w:val="24"/>
        </w:rPr>
      </w:pPr>
      <w:r>
        <w:rPr>
          <w:rStyle w:val="Emphasis"/>
          <w:rFonts w:cs="Times New Roman"/>
          <w:i w:val="0"/>
          <w:iCs w:val="0"/>
          <w:sz w:val="24"/>
        </w:rPr>
        <w:lastRenderedPageBreak/>
        <w:t>ABSTRACT</w:t>
      </w:r>
      <w:bookmarkEnd w:id="5"/>
    </w:p>
    <w:p w:rsidR="00995829" w:rsidRDefault="00C7064C">
      <w:pPr>
        <w:pStyle w:val="NormalWeb"/>
        <w:spacing w:before="0" w:beforeAutospacing="0" w:after="0" w:afterAutospacing="0"/>
        <w:jc w:val="both"/>
        <w:rPr>
          <w:i/>
        </w:rPr>
      </w:pPr>
      <w:r>
        <w:rPr>
          <w:rStyle w:val="Emphasis"/>
          <w:rFonts w:eastAsiaTheme="majorEastAsia"/>
        </w:rPr>
        <w:t>Sidaacuta</w:t>
      </w:r>
      <w:r>
        <w:rPr>
          <w:i/>
        </w:rPr>
        <w:t xml:space="preserve"> is a fast-growing, herbaceous shrub commonly found in tropical and subtropical regions. Traditionally used in African and Asian folk medicine for treating ailments such as fever, wounds, inflammation, and infections, the plant has attracted growi</w:t>
      </w:r>
      <w:r>
        <w:rPr>
          <w:i/>
        </w:rPr>
        <w:t>ng scientific interest due to its potential therapeutic and nutritional properties. Despite its widespread use, limited empirical data exist on its comprehensive nutritional profile, particularly its proximate composition, which is essential for validating</w:t>
      </w:r>
      <w:r>
        <w:rPr>
          <w:i/>
        </w:rPr>
        <w:t xml:space="preserve"> its value in food, herbal, and animal feed applications. This study addresses this knowledge gap by evaluating the proximate composition of </w:t>
      </w:r>
      <w:r>
        <w:rPr>
          <w:rStyle w:val="Emphasis"/>
          <w:rFonts w:eastAsiaTheme="majorEastAsia"/>
        </w:rPr>
        <w:t>Sidaacuta</w:t>
      </w:r>
      <w:r>
        <w:rPr>
          <w:i/>
        </w:rPr>
        <w:t xml:space="preserve"> to determine its nutritional significance and suitability for broader applications. Two dried leaf samples (A1 and A2) were analyzed for moisture, crude protein, crude lipid, ash, crude fibre, and carbohydrate contents using standard analytical procedures</w:t>
      </w:r>
      <w:r>
        <w:rPr>
          <w:i/>
        </w:rPr>
        <w:t>. The results revealed low moisture content (A1: 8.08%, A2: 8.40%), which supports good shelf stability and resistance to microbial spoilage. Crude protein values were moderate (13.56% and 13.78%), indicating the plant’s potential as a supplementary protei</w:t>
      </w:r>
      <w:r>
        <w:rPr>
          <w:i/>
        </w:rPr>
        <w:t xml:space="preserve">n source. Crude lipid levels (7.07% and 7.21%) were relatively high for a leafy plant, providing additional caloric and fat-soluble nutrient benefits. Ash content was significantly high (11.39% and 11.44%), suggesting a rich mineral composition, while the </w:t>
      </w:r>
      <w:r>
        <w:rPr>
          <w:i/>
        </w:rPr>
        <w:t xml:space="preserve">very high crude fibre content (29.22% and 27.52%) highlights its role in digestive health. Carbohydrates were the most abundant </w:t>
      </w:r>
      <w:r>
        <w:rPr>
          <w:i/>
        </w:rPr>
        <w:t>macro-nutrient</w:t>
      </w:r>
      <w:r>
        <w:rPr>
          <w:i/>
        </w:rPr>
        <w:t xml:space="preserve"> (30.68% and 31.64%), positioning </w:t>
      </w:r>
      <w:r>
        <w:rPr>
          <w:rStyle w:val="Emphasis"/>
          <w:rFonts w:eastAsiaTheme="majorEastAsia"/>
        </w:rPr>
        <w:t>Sidaacuta</w:t>
      </w:r>
      <w:r>
        <w:rPr>
          <w:i/>
        </w:rPr>
        <w:t xml:space="preserve"> as an energy-rich plant material. Overall, the findings demonstrate th</w:t>
      </w:r>
      <w:r>
        <w:rPr>
          <w:i/>
        </w:rPr>
        <w:t xml:space="preserve">at </w:t>
      </w:r>
      <w:r>
        <w:rPr>
          <w:rStyle w:val="Emphasis"/>
          <w:rFonts w:eastAsiaTheme="majorEastAsia"/>
        </w:rPr>
        <w:t>Sidaacuta</w:t>
      </w:r>
      <w:r>
        <w:rPr>
          <w:i/>
        </w:rPr>
        <w:t xml:space="preserve"> is not only medicinally important but also nutritionally valuable. It has the potential to be utilized in human diets, phytomedicinal preparations, and animal feed formulations. Further phytochemical and pharmacological studies are recommended</w:t>
      </w:r>
      <w:r>
        <w:rPr>
          <w:i/>
        </w:rPr>
        <w:t xml:space="preserve"> to explore and harness its full potential.</w:t>
      </w:r>
    </w:p>
    <w:p w:rsidR="00995829" w:rsidRDefault="00995829">
      <w:pPr>
        <w:pStyle w:val="NormalWeb"/>
        <w:spacing w:before="0" w:beforeAutospacing="0" w:after="0" w:afterAutospacing="0"/>
        <w:jc w:val="both"/>
        <w:rPr>
          <w:i/>
          <w:sz w:val="28"/>
          <w:szCs w:val="28"/>
        </w:rPr>
        <w:sectPr w:rsidR="00995829">
          <w:footerReference w:type="default" r:id="rId9"/>
          <w:pgSz w:w="12240" w:h="15840"/>
          <w:pgMar w:top="1160" w:right="1120" w:bottom="2880" w:left="1040" w:header="720" w:footer="2160" w:gutter="0"/>
          <w:pgNumType w:fmt="lowerRoman"/>
          <w:cols w:space="720"/>
          <w:titlePg/>
          <w:docGrid w:linePitch="381"/>
        </w:sectPr>
      </w:pPr>
    </w:p>
    <w:p w:rsidR="00995829" w:rsidRDefault="00C7064C">
      <w:pPr>
        <w:pStyle w:val="Heading1"/>
        <w:spacing w:before="0" w:after="0" w:line="480" w:lineRule="auto"/>
        <w:jc w:val="center"/>
        <w:rPr>
          <w:sz w:val="24"/>
          <w:szCs w:val="24"/>
        </w:rPr>
      </w:pPr>
      <w:bookmarkStart w:id="6" w:name="_Toc199791360"/>
      <w:r>
        <w:rPr>
          <w:sz w:val="24"/>
          <w:szCs w:val="24"/>
        </w:rPr>
        <w:lastRenderedPageBreak/>
        <w:t>CHAPTER ONE</w:t>
      </w:r>
      <w:bookmarkEnd w:id="6"/>
    </w:p>
    <w:p w:rsidR="00995829" w:rsidRDefault="00C7064C">
      <w:pPr>
        <w:pStyle w:val="Heading1"/>
        <w:spacing w:before="0" w:after="0" w:line="480" w:lineRule="auto"/>
        <w:jc w:val="center"/>
        <w:rPr>
          <w:sz w:val="24"/>
          <w:szCs w:val="24"/>
        </w:rPr>
      </w:pPr>
      <w:bookmarkStart w:id="7" w:name="_Toc199791361"/>
      <w:r>
        <w:rPr>
          <w:sz w:val="24"/>
          <w:szCs w:val="24"/>
        </w:rPr>
        <w:t>INTRODUCTION</w:t>
      </w:r>
      <w:bookmarkEnd w:id="7"/>
    </w:p>
    <w:p w:rsidR="00995829" w:rsidRDefault="00C7064C">
      <w:pPr>
        <w:pStyle w:val="Heading1"/>
        <w:spacing w:before="0" w:after="0" w:line="480" w:lineRule="auto"/>
        <w:jc w:val="both"/>
        <w:rPr>
          <w:rFonts w:eastAsia="Times New Roman"/>
          <w:sz w:val="24"/>
          <w:szCs w:val="24"/>
        </w:rPr>
      </w:pPr>
      <w:bookmarkStart w:id="8" w:name="_Toc199791362"/>
      <w:r>
        <w:rPr>
          <w:rFonts w:eastAsia="Times New Roman"/>
          <w:sz w:val="24"/>
          <w:szCs w:val="24"/>
        </w:rPr>
        <w:t xml:space="preserve">1.1 </w:t>
      </w:r>
      <w:r>
        <w:rPr>
          <w:rFonts w:eastAsia="Times New Roman"/>
          <w:sz w:val="24"/>
          <w:szCs w:val="24"/>
        </w:rPr>
        <w:tab/>
        <w:t>Background to the Study</w:t>
      </w:r>
      <w:bookmarkEnd w:id="8"/>
    </w:p>
    <w:p w:rsidR="00995829" w:rsidRDefault="00C7064C">
      <w:pPr>
        <w:spacing w:after="0" w:line="480" w:lineRule="auto"/>
        <w:ind w:firstLine="720"/>
        <w:jc w:val="both"/>
        <w:rPr>
          <w:rFonts w:eastAsia="Times New Roman"/>
          <w:sz w:val="24"/>
        </w:rPr>
      </w:pPr>
      <w:r>
        <w:rPr>
          <w:rFonts w:eastAsia="Times New Roman"/>
          <w:i/>
          <w:iCs/>
          <w:sz w:val="24"/>
        </w:rPr>
        <w:t>Sidaacuta</w:t>
      </w:r>
      <w:r>
        <w:rPr>
          <w:rFonts w:eastAsia="Times New Roman"/>
          <w:sz w:val="24"/>
        </w:rPr>
        <w:t xml:space="preserve">, a hardy shrub belonging to the </w:t>
      </w:r>
      <w:r>
        <w:rPr>
          <w:rFonts w:eastAsia="Times New Roman"/>
          <w:sz w:val="24"/>
        </w:rPr>
        <w:t>Malvaceae family, is one such plant under scientific scrutiny. Though traditionally regarded as a weed, its widespread presence and versatility suggest that it could be a viable option for nutritional and medicinal applications. The study of proximate comp</w:t>
      </w:r>
      <w:r>
        <w:rPr>
          <w:rFonts w:eastAsia="Times New Roman"/>
          <w:sz w:val="24"/>
        </w:rPr>
        <w:t>osition is a foundational method in nutritional science, providing essential data about the basic components of a food or plant material. It determines the content of water (moisture), ash (mineral residue), proteins, lipids (fats), crude fiber, and carboh</w:t>
      </w:r>
      <w:r>
        <w:rPr>
          <w:rFonts w:eastAsia="Times New Roman"/>
          <w:sz w:val="24"/>
        </w:rPr>
        <w:t xml:space="preserve">ydrates. These values are critical indicators of a plant’s dietary potential and its applicability in food technology, pharmacognosy, and feed formulation (Aremu </w:t>
      </w:r>
      <w:r>
        <w:rPr>
          <w:rFonts w:eastAsia="Times New Roman"/>
          <w:i/>
          <w:iCs/>
          <w:sz w:val="24"/>
        </w:rPr>
        <w:t>et al</w:t>
      </w:r>
      <w:r>
        <w:rPr>
          <w:rFonts w:eastAsia="Times New Roman"/>
          <w:sz w:val="24"/>
        </w:rPr>
        <w:t xml:space="preserve">., 2011). When applied to plants like </w:t>
      </w:r>
      <w:r>
        <w:rPr>
          <w:rFonts w:eastAsia="Times New Roman"/>
          <w:i/>
          <w:iCs/>
          <w:sz w:val="24"/>
        </w:rPr>
        <w:t>Sidaacuta</w:t>
      </w:r>
      <w:r>
        <w:rPr>
          <w:rFonts w:eastAsia="Times New Roman"/>
          <w:sz w:val="24"/>
        </w:rPr>
        <w:t>, proximate analysis not only helps quanti</w:t>
      </w:r>
      <w:r>
        <w:rPr>
          <w:rFonts w:eastAsia="Times New Roman"/>
          <w:sz w:val="24"/>
        </w:rPr>
        <w:t>fy its nutritional potential but also reveals its limitations and areas needing further processing or enrichment.</w:t>
      </w:r>
    </w:p>
    <w:p w:rsidR="00995829" w:rsidRDefault="00C7064C">
      <w:pPr>
        <w:spacing w:after="0" w:line="480" w:lineRule="auto"/>
        <w:ind w:firstLine="720"/>
        <w:jc w:val="both"/>
        <w:rPr>
          <w:rFonts w:eastAsia="Times New Roman"/>
          <w:sz w:val="24"/>
        </w:rPr>
      </w:pPr>
      <w:r>
        <w:rPr>
          <w:rFonts w:eastAsia="Times New Roman"/>
          <w:sz w:val="24"/>
        </w:rPr>
        <w:t xml:space="preserve">Historically, </w:t>
      </w:r>
      <w:r>
        <w:rPr>
          <w:rFonts w:eastAsia="Times New Roman"/>
          <w:i/>
          <w:iCs/>
          <w:sz w:val="24"/>
        </w:rPr>
        <w:t>Sidaacuta</w:t>
      </w:r>
      <w:r>
        <w:rPr>
          <w:rFonts w:eastAsia="Times New Roman"/>
          <w:sz w:val="24"/>
        </w:rPr>
        <w:t xml:space="preserve"> has been used in traditional medicine systems across Asia, Africa, and Latin America. Ethnobotanical studies have docu</w:t>
      </w:r>
      <w:r>
        <w:rPr>
          <w:rFonts w:eastAsia="Times New Roman"/>
          <w:sz w:val="24"/>
        </w:rPr>
        <w:t xml:space="preserve">mented its use in treating ailments such as wounds, ulcers, fever, and gastrointestinal disorders (Aliyu </w:t>
      </w:r>
      <w:r>
        <w:rPr>
          <w:rFonts w:eastAsia="Times New Roman"/>
          <w:i/>
          <w:iCs/>
          <w:sz w:val="24"/>
        </w:rPr>
        <w:t>et al</w:t>
      </w:r>
      <w:r>
        <w:rPr>
          <w:rFonts w:eastAsia="Times New Roman"/>
          <w:sz w:val="24"/>
        </w:rPr>
        <w:t>., 2007; Odugbemi, 2006). Phytochemical screenings confirm the presence of biologically active compounds, including alkaloids, flavonoids, and tan</w:t>
      </w:r>
      <w:r>
        <w:rPr>
          <w:rFonts w:eastAsia="Times New Roman"/>
          <w:sz w:val="24"/>
        </w:rPr>
        <w:t xml:space="preserve">nins, which provide therapeutic benefits. However, nutritional studies are less common, and those that exist often vary in methodology and scope. There remains a need for </w:t>
      </w:r>
      <w:r>
        <w:rPr>
          <w:rFonts w:eastAsia="Times New Roman"/>
          <w:sz w:val="24"/>
        </w:rPr>
        <w:lastRenderedPageBreak/>
        <w:t>standardized, comprehensive assessments of its proximate composition to support its w</w:t>
      </w:r>
      <w:r>
        <w:rPr>
          <w:rFonts w:eastAsia="Times New Roman"/>
          <w:sz w:val="24"/>
        </w:rPr>
        <w:t xml:space="preserve">ider application in diet and health. Early findings have shown that </w:t>
      </w:r>
      <w:r>
        <w:rPr>
          <w:rFonts w:eastAsia="Times New Roman"/>
          <w:i/>
          <w:iCs/>
          <w:sz w:val="24"/>
        </w:rPr>
        <w:t>Sidaacuta</w:t>
      </w:r>
      <w:r>
        <w:rPr>
          <w:rFonts w:eastAsia="Times New Roman"/>
          <w:sz w:val="24"/>
        </w:rPr>
        <w:t xml:space="preserve"> contains a respectable amount of crude protein, ranging from 12% to 20%, depending on environmental conditions and processing methods (Okoli </w:t>
      </w:r>
      <w:r>
        <w:rPr>
          <w:rFonts w:eastAsia="Times New Roman"/>
          <w:i/>
          <w:iCs/>
          <w:sz w:val="24"/>
        </w:rPr>
        <w:t>et al</w:t>
      </w:r>
      <w:r>
        <w:rPr>
          <w:rFonts w:eastAsia="Times New Roman"/>
          <w:sz w:val="24"/>
        </w:rPr>
        <w:t>., 2012). Its fiber content also</w:t>
      </w:r>
      <w:r>
        <w:rPr>
          <w:rFonts w:eastAsia="Times New Roman"/>
          <w:sz w:val="24"/>
        </w:rPr>
        <w:t xml:space="preserve"> appears relatively high, suggesting it could aid digestion and serve as roughage in animal feed. Furthermore, its low fat and moderate carbohydrate levels make it suitable for dietary plans targeting weight management or cardiovascular health. These findi</w:t>
      </w:r>
      <w:r>
        <w:rPr>
          <w:rFonts w:eastAsia="Times New Roman"/>
          <w:sz w:val="24"/>
        </w:rPr>
        <w:t xml:space="preserve">ngs hint at </w:t>
      </w:r>
      <w:r>
        <w:rPr>
          <w:rFonts w:eastAsia="Times New Roman"/>
          <w:i/>
          <w:iCs/>
          <w:sz w:val="24"/>
        </w:rPr>
        <w:t>Sidaacuta</w:t>
      </w:r>
      <w:r>
        <w:rPr>
          <w:rFonts w:eastAsia="Times New Roman"/>
          <w:sz w:val="24"/>
        </w:rPr>
        <w:t>’s potential role in developing countries as a supplementary food source or animal feed ingredient, especially during periods of feed scarcity.</w:t>
      </w:r>
    </w:p>
    <w:p w:rsidR="00995829" w:rsidRDefault="00C7064C">
      <w:pPr>
        <w:spacing w:after="0" w:line="480" w:lineRule="auto"/>
        <w:ind w:firstLine="720"/>
        <w:jc w:val="both"/>
        <w:rPr>
          <w:rFonts w:eastAsia="Times New Roman"/>
          <w:sz w:val="24"/>
        </w:rPr>
      </w:pPr>
      <w:r>
        <w:rPr>
          <w:rFonts w:eastAsia="Times New Roman"/>
          <w:sz w:val="24"/>
        </w:rPr>
        <w:t>This research seeks to build on existing knowledge by thoroughly analyzing the proximate co</w:t>
      </w:r>
      <w:r>
        <w:rPr>
          <w:rFonts w:eastAsia="Times New Roman"/>
          <w:sz w:val="24"/>
        </w:rPr>
        <w:t xml:space="preserve">mposition of </w:t>
      </w:r>
      <w:r>
        <w:rPr>
          <w:rFonts w:eastAsia="Times New Roman"/>
          <w:i/>
          <w:iCs/>
          <w:sz w:val="24"/>
        </w:rPr>
        <w:t>Sidaacuta</w:t>
      </w:r>
      <w:r>
        <w:rPr>
          <w:rFonts w:eastAsia="Times New Roman"/>
          <w:sz w:val="24"/>
        </w:rPr>
        <w:t>, offering a clear and scientifically grounded understanding of its nutritional profile. The outcomes could guide its integration into broader nutritional frameworks and encourage further studies on its safety, digestibility, and long</w:t>
      </w:r>
      <w:r>
        <w:rPr>
          <w:rFonts w:eastAsia="Times New Roman"/>
          <w:sz w:val="24"/>
        </w:rPr>
        <w:t>-term health effects in both humans and animals.</w:t>
      </w:r>
    </w:p>
    <w:p w:rsidR="00995829" w:rsidRDefault="00C7064C">
      <w:pPr>
        <w:spacing w:after="0" w:line="480" w:lineRule="auto"/>
        <w:ind w:firstLine="720"/>
        <w:jc w:val="both"/>
        <w:rPr>
          <w:sz w:val="24"/>
        </w:rPr>
      </w:pPr>
      <w:bookmarkStart w:id="9" w:name="_Toc199791363"/>
      <w:r>
        <w:rPr>
          <w:sz w:val="24"/>
        </w:rPr>
        <w:t>It is an inevitable fact that increasing research on medicinal plants could pave the way for the discovery of novel therapeutic agents against many diseases that are outstanding diseases (</w:t>
      </w:r>
      <w:r>
        <w:rPr>
          <w:rFonts w:eastAsia="MinionPro-Regular"/>
          <w:sz w:val="24"/>
        </w:rPr>
        <w:t xml:space="preserve">Perumalsam </w:t>
      </w:r>
      <w:r>
        <w:rPr>
          <w:rFonts w:eastAsia="MinionPro-Regular"/>
          <w:i/>
          <w:iCs/>
          <w:sz w:val="24"/>
        </w:rPr>
        <w:t>et al</w:t>
      </w:r>
      <w:r>
        <w:rPr>
          <w:rFonts w:eastAsia="MinionPro-Regular"/>
          <w:sz w:val="24"/>
        </w:rPr>
        <w:t xml:space="preserve">., </w:t>
      </w:r>
      <w:r>
        <w:rPr>
          <w:rFonts w:eastAsia="MinionPro-Regular"/>
          <w:sz w:val="24"/>
        </w:rPr>
        <w:t>2019)</w:t>
      </w:r>
      <w:r>
        <w:rPr>
          <w:sz w:val="24"/>
        </w:rPr>
        <w:t>, which threatened human existence. Interestingly, World Health Organization (WHO) has recognised the significance of traditional medicine in the health-care sector and has assessed that approximately eighty percent of the population living in the dev</w:t>
      </w:r>
      <w:r>
        <w:rPr>
          <w:sz w:val="24"/>
        </w:rPr>
        <w:t xml:space="preserve">eloping countries depend on herbal </w:t>
      </w:r>
      <w:r>
        <w:rPr>
          <w:sz w:val="24"/>
        </w:rPr>
        <w:lastRenderedPageBreak/>
        <w:t>medicines for their primary health care requirement. There are many plants in the tropical countries that have not been harnessed, knowing their Phyto-profile will help to enable many people to be attracted to their usefu</w:t>
      </w:r>
      <w:r>
        <w:rPr>
          <w:sz w:val="24"/>
        </w:rPr>
        <w:t>lness as a result of their Phyto-properties (</w:t>
      </w:r>
      <w:r>
        <w:rPr>
          <w:rFonts w:eastAsia="MinionPro-Regular"/>
          <w:sz w:val="24"/>
        </w:rPr>
        <w:t xml:space="preserve">Negash </w:t>
      </w:r>
      <w:r>
        <w:rPr>
          <w:rFonts w:eastAsia="MinionPro-Regular"/>
          <w:i/>
          <w:iCs/>
          <w:sz w:val="24"/>
        </w:rPr>
        <w:t>et al</w:t>
      </w:r>
      <w:r>
        <w:rPr>
          <w:rFonts w:eastAsia="MinionPro-Regular"/>
          <w:sz w:val="24"/>
        </w:rPr>
        <w:t>., 2017</w:t>
      </w:r>
      <w:r>
        <w:rPr>
          <w:sz w:val="24"/>
        </w:rPr>
        <w:t>).</w:t>
      </w:r>
    </w:p>
    <w:p w:rsidR="00995829" w:rsidRDefault="00C7064C">
      <w:pPr>
        <w:spacing w:after="0" w:line="480" w:lineRule="auto"/>
        <w:ind w:firstLine="720"/>
        <w:jc w:val="both"/>
        <w:rPr>
          <w:sz w:val="24"/>
        </w:rPr>
      </w:pPr>
      <w:r>
        <w:rPr>
          <w:i/>
          <w:sz w:val="24"/>
        </w:rPr>
        <w:t>Sidaacuta</w:t>
      </w:r>
      <w:r>
        <w:rPr>
          <w:sz w:val="24"/>
        </w:rPr>
        <w:t xml:space="preserve"> (broom weed) is one of the plants with medicinal potential qualities and present in abundance in the tropics. It is drought resistance tropical weeds that are common in almost eve</w:t>
      </w:r>
      <w:r>
        <w:rPr>
          <w:sz w:val="24"/>
        </w:rPr>
        <w:t>rywhere (</w:t>
      </w:r>
      <w:r>
        <w:rPr>
          <w:color w:val="222222"/>
          <w:sz w:val="24"/>
          <w:shd w:val="clear" w:color="auto" w:fill="FFFFFF"/>
        </w:rPr>
        <w:t>Asimi</w:t>
      </w:r>
      <w:r>
        <w:rPr>
          <w:i/>
          <w:iCs/>
          <w:color w:val="222222"/>
          <w:sz w:val="24"/>
          <w:shd w:val="clear" w:color="auto" w:fill="FFFFFF"/>
        </w:rPr>
        <w:t>et al</w:t>
      </w:r>
      <w:r>
        <w:rPr>
          <w:color w:val="222222"/>
          <w:sz w:val="24"/>
          <w:shd w:val="clear" w:color="auto" w:fill="FFFFFF"/>
        </w:rPr>
        <w:t>., 2016)</w:t>
      </w:r>
      <w:r>
        <w:rPr>
          <w:sz w:val="24"/>
        </w:rPr>
        <w:t xml:space="preserve">. </w:t>
      </w:r>
      <w:r>
        <w:rPr>
          <w:i/>
          <w:sz w:val="24"/>
        </w:rPr>
        <w:t>Sidaacuta</w:t>
      </w:r>
      <w:r>
        <w:rPr>
          <w:sz w:val="24"/>
        </w:rPr>
        <w:t xml:space="preserve"> is an erect, branched and perennial shrub with a woody tap root, hairy branded up to 1 m high and is reproduced from their seeds. The stem is woody, rounded and slender, and is fibrous and hairy especially when young.</w:t>
      </w:r>
      <w:r>
        <w:rPr>
          <w:sz w:val="24"/>
        </w:rPr>
        <w:t xml:space="preserve"> The leaves are simple and alternate while the inflorescence is solitary and axillary with stalks up to 1.3 cm long jointed about half of the length. The flowers are yellow with five petals and the fruit is capsuled with 5-6 carpels (</w:t>
      </w:r>
      <w:r>
        <w:rPr>
          <w:rFonts w:eastAsia="MinionPro-Regular"/>
          <w:sz w:val="24"/>
        </w:rPr>
        <w:t>Ekpo and Etim</w:t>
      </w:r>
      <w:r>
        <w:rPr>
          <w:sz w:val="24"/>
        </w:rPr>
        <w:t>, 2009).</w:t>
      </w:r>
    </w:p>
    <w:p w:rsidR="00995829" w:rsidRDefault="00C7064C">
      <w:pPr>
        <w:spacing w:after="0" w:line="480" w:lineRule="auto"/>
        <w:ind w:firstLine="720"/>
        <w:jc w:val="both"/>
        <w:rPr>
          <w:sz w:val="24"/>
        </w:rPr>
      </w:pPr>
      <w:r>
        <w:rPr>
          <w:i/>
          <w:sz w:val="24"/>
        </w:rPr>
        <w:t>Sidaacuta</w:t>
      </w:r>
      <w:r>
        <w:rPr>
          <w:sz w:val="24"/>
        </w:rPr>
        <w:t xml:space="preserve"> is found in the Southern Part of Nigeria where it is of highly medicinal importance where a poultice of the leaves is used as an anti – inflammatory agent in the treatment of boils. The leaves and stem are used for the treatment of many ailment i</w:t>
      </w:r>
      <w:r>
        <w:rPr>
          <w:sz w:val="24"/>
        </w:rPr>
        <w:t>ncluding fever, aches and pains, inflammation, worm infestation, ulcer and gastr</w:t>
      </w:r>
      <w:r>
        <w:rPr>
          <w:sz w:val="24"/>
        </w:rPr>
        <w:t>o</w:t>
      </w:r>
      <w:r>
        <w:rPr>
          <w:sz w:val="24"/>
        </w:rPr>
        <w:t>intestinal disorders. It is also used by traditional birth attendants (TBAS) to quicken delivery (</w:t>
      </w:r>
      <w:r>
        <w:rPr>
          <w:color w:val="222222"/>
          <w:sz w:val="24"/>
          <w:shd w:val="clear" w:color="auto" w:fill="FFFFFF"/>
        </w:rPr>
        <w:t xml:space="preserve">Asimi </w:t>
      </w:r>
      <w:r>
        <w:rPr>
          <w:i/>
          <w:iCs/>
          <w:color w:val="222222"/>
          <w:sz w:val="24"/>
          <w:shd w:val="clear" w:color="auto" w:fill="FFFFFF"/>
        </w:rPr>
        <w:t>et al</w:t>
      </w:r>
      <w:r>
        <w:rPr>
          <w:color w:val="222222"/>
          <w:sz w:val="24"/>
          <w:shd w:val="clear" w:color="auto" w:fill="FFFFFF"/>
        </w:rPr>
        <w:t xml:space="preserve">., 2016). </w:t>
      </w:r>
      <w:r>
        <w:rPr>
          <w:sz w:val="24"/>
        </w:rPr>
        <w:t xml:space="preserve">In southern part of Nigeria, </w:t>
      </w:r>
      <w:r>
        <w:rPr>
          <w:i/>
          <w:iCs/>
          <w:sz w:val="24"/>
        </w:rPr>
        <w:t xml:space="preserve">S. acuta </w:t>
      </w:r>
      <w:r>
        <w:rPr>
          <w:sz w:val="24"/>
        </w:rPr>
        <w:t xml:space="preserve"> is a commonly use</w:t>
      </w:r>
      <w:r>
        <w:rPr>
          <w:sz w:val="24"/>
        </w:rPr>
        <w:t xml:space="preserve">d weed in rural communities mainly for the treatment of liver disorders and skin infections (Ekpo and Etim, 2009). Local/indigenous names include Udo </w:t>
      </w:r>
      <w:r>
        <w:rPr>
          <w:sz w:val="24"/>
        </w:rPr>
        <w:lastRenderedPageBreak/>
        <w:t>(Igbo), Iyeye (Yoruba), Nsukerra (Efik) and Tsadarlamarudu (Hausa). It has also been used as anti- inflamm</w:t>
      </w:r>
      <w:r>
        <w:rPr>
          <w:sz w:val="24"/>
        </w:rPr>
        <w:t xml:space="preserve">atory and hypoglacaemic agent (Okwuosa </w:t>
      </w:r>
      <w:r>
        <w:rPr>
          <w:i/>
          <w:iCs/>
          <w:sz w:val="24"/>
        </w:rPr>
        <w:t>et al</w:t>
      </w:r>
      <w:r>
        <w:rPr>
          <w:sz w:val="24"/>
        </w:rPr>
        <w:t xml:space="preserve">., 2011). </w:t>
      </w:r>
    </w:p>
    <w:p w:rsidR="00995829" w:rsidRDefault="00C7064C">
      <w:pPr>
        <w:spacing w:after="0" w:line="480" w:lineRule="auto"/>
        <w:ind w:firstLine="720"/>
        <w:jc w:val="both"/>
        <w:rPr>
          <w:sz w:val="24"/>
        </w:rPr>
      </w:pPr>
      <w:r>
        <w:rPr>
          <w:sz w:val="24"/>
        </w:rPr>
        <w:t xml:space="preserve">Proximate composition can be described as the term used in the field of animal science or feed analysis to means the six components of feed for the animal that are of major or commonly important which </w:t>
      </w:r>
      <w:r>
        <w:rPr>
          <w:sz w:val="24"/>
        </w:rPr>
        <w:t xml:space="preserve">are moisture, crude protein, ether extract, crude fiber, crude ash and nitrogen free extracts and they are usually expressed in percentages. Proximate compositions are very important in the formulation of animal diet in other to estimate the value of what </w:t>
      </w:r>
      <w:r>
        <w:rPr>
          <w:sz w:val="24"/>
        </w:rPr>
        <w:t>the farmer is given to his or her animals. Also for any non-conventional ingredients to be used in animal feeding or as supplement, the proximate needs to be established (</w:t>
      </w:r>
      <w:r>
        <w:rPr>
          <w:color w:val="222222"/>
          <w:sz w:val="24"/>
          <w:shd w:val="clear" w:color="auto" w:fill="FFFFFF"/>
        </w:rPr>
        <w:t>Shittu and Alagbe, 2020)</w:t>
      </w:r>
      <w:r>
        <w:rPr>
          <w:sz w:val="24"/>
        </w:rPr>
        <w:t xml:space="preserve">. According to Raimi </w:t>
      </w:r>
      <w:r>
        <w:rPr>
          <w:i/>
          <w:iCs/>
          <w:sz w:val="24"/>
        </w:rPr>
        <w:t>et al</w:t>
      </w:r>
      <w:r>
        <w:rPr>
          <w:sz w:val="24"/>
        </w:rPr>
        <w:t>., (2014) plants are basic source o</w:t>
      </w:r>
      <w:r>
        <w:rPr>
          <w:sz w:val="24"/>
        </w:rPr>
        <w:t>f knowledge in our today medicine. Most of the feed given to animal are from plant kingdom, this make it so important to know the profile of all the plant around to harnessed their importance. They reported proximate, phytochemical and micronutrient compos</w:t>
      </w:r>
      <w:r>
        <w:rPr>
          <w:sz w:val="24"/>
        </w:rPr>
        <w:t xml:space="preserve">ition of </w:t>
      </w:r>
      <w:r>
        <w:rPr>
          <w:i/>
          <w:iCs/>
          <w:sz w:val="24"/>
        </w:rPr>
        <w:t>S. acuta</w:t>
      </w:r>
      <w:r>
        <w:rPr>
          <w:sz w:val="24"/>
        </w:rPr>
        <w:t xml:space="preserve">. With increasing health challenges, the traditional use of herbal medicine has been brought to the fore. The use of </w:t>
      </w:r>
      <w:r>
        <w:rPr>
          <w:i/>
          <w:iCs/>
          <w:sz w:val="24"/>
        </w:rPr>
        <w:t xml:space="preserve">S. acuta </w:t>
      </w:r>
      <w:r>
        <w:rPr>
          <w:sz w:val="24"/>
        </w:rPr>
        <w:t xml:space="preserve">has been attributed to the presence of biological active compounds in the plants. </w:t>
      </w:r>
    </w:p>
    <w:p w:rsidR="00995829" w:rsidRDefault="00C7064C">
      <w:pPr>
        <w:spacing w:after="0" w:line="480" w:lineRule="auto"/>
        <w:ind w:firstLine="720"/>
        <w:jc w:val="both"/>
        <w:rPr>
          <w:rFonts w:eastAsia="Times New Roman"/>
          <w:sz w:val="24"/>
        </w:rPr>
      </w:pPr>
      <w:r>
        <w:rPr>
          <w:rFonts w:eastAsia="Times New Roman"/>
          <w:sz w:val="24"/>
        </w:rPr>
        <w:t xml:space="preserve">Understanding the nutritional </w:t>
      </w:r>
      <w:r>
        <w:rPr>
          <w:rFonts w:eastAsia="Times New Roman"/>
          <w:sz w:val="24"/>
        </w:rPr>
        <w:t xml:space="preserve">potential of underexplored plants like </w:t>
      </w:r>
      <w:r>
        <w:rPr>
          <w:rFonts w:eastAsia="Times New Roman"/>
          <w:i/>
          <w:iCs/>
          <w:sz w:val="24"/>
        </w:rPr>
        <w:t>Sidaacuta</w:t>
      </w:r>
      <w:r>
        <w:rPr>
          <w:rFonts w:eastAsia="Times New Roman"/>
          <w:sz w:val="24"/>
        </w:rPr>
        <w:t xml:space="preserve"> begins with evaluating their proximate composition. This type of analysis involves determining the basic nutritional content of a substance, including its moisture, ash, crude protein, lipid, fiber, and carb</w:t>
      </w:r>
      <w:r>
        <w:rPr>
          <w:rFonts w:eastAsia="Times New Roman"/>
          <w:sz w:val="24"/>
        </w:rPr>
        <w:t xml:space="preserve">ohydrate levels. These parameters are essential not </w:t>
      </w:r>
      <w:r>
        <w:rPr>
          <w:rFonts w:eastAsia="Times New Roman"/>
          <w:sz w:val="24"/>
        </w:rPr>
        <w:lastRenderedPageBreak/>
        <w:t xml:space="preserve">only in food and feed formulation but also in assessing the health benefits and industrial utility of plant materials (Aremu </w:t>
      </w:r>
      <w:r>
        <w:rPr>
          <w:rFonts w:eastAsia="Times New Roman"/>
          <w:i/>
          <w:iCs/>
          <w:sz w:val="24"/>
        </w:rPr>
        <w:t>et al</w:t>
      </w:r>
      <w:r>
        <w:rPr>
          <w:rFonts w:eastAsia="Times New Roman"/>
          <w:sz w:val="24"/>
        </w:rPr>
        <w:t>., 2011).</w:t>
      </w:r>
    </w:p>
    <w:p w:rsidR="00995829" w:rsidRDefault="00C7064C">
      <w:pPr>
        <w:spacing w:after="0" w:line="480" w:lineRule="auto"/>
        <w:ind w:firstLine="720"/>
        <w:jc w:val="both"/>
        <w:rPr>
          <w:rFonts w:eastAsia="Times New Roman"/>
          <w:sz w:val="24"/>
        </w:rPr>
      </w:pPr>
      <w:r>
        <w:rPr>
          <w:rFonts w:eastAsia="Times New Roman"/>
          <w:sz w:val="24"/>
        </w:rPr>
        <w:t xml:space="preserve">The growing body of research into </w:t>
      </w:r>
      <w:r>
        <w:rPr>
          <w:rFonts w:eastAsia="Times New Roman"/>
          <w:i/>
          <w:iCs/>
          <w:sz w:val="24"/>
        </w:rPr>
        <w:t>Sidaacuta</w:t>
      </w:r>
      <w:r>
        <w:rPr>
          <w:rFonts w:eastAsia="Times New Roman"/>
          <w:sz w:val="24"/>
        </w:rPr>
        <w:t xml:space="preserve"> suggests that it pos</w:t>
      </w:r>
      <w:r>
        <w:rPr>
          <w:rFonts w:eastAsia="Times New Roman"/>
          <w:sz w:val="24"/>
        </w:rPr>
        <w:t xml:space="preserve">sesses a wide range of bioactive compounds, including flavonoids, alkaloids, tannins, and phenolics, many of which contribute to its antioxidant, antimicrobial, and anti-inflammatory properties (Nworu </w:t>
      </w:r>
      <w:r>
        <w:rPr>
          <w:rFonts w:eastAsia="Times New Roman"/>
          <w:i/>
          <w:iCs/>
          <w:sz w:val="24"/>
        </w:rPr>
        <w:t>et al</w:t>
      </w:r>
      <w:r>
        <w:rPr>
          <w:rFonts w:eastAsia="Times New Roman"/>
          <w:sz w:val="24"/>
        </w:rPr>
        <w:t>., 2010). However, beyond its pharmacological prof</w:t>
      </w:r>
      <w:r>
        <w:rPr>
          <w:rFonts w:eastAsia="Times New Roman"/>
          <w:sz w:val="24"/>
        </w:rPr>
        <w:t xml:space="preserve">ile, the plant's nutritional content has also begun to attract attention. Several studies have reported that various parts of </w:t>
      </w:r>
      <w:r>
        <w:rPr>
          <w:rFonts w:eastAsia="Times New Roman"/>
          <w:i/>
          <w:iCs/>
          <w:sz w:val="24"/>
        </w:rPr>
        <w:t>Sidaacuta</w:t>
      </w:r>
      <w:r>
        <w:rPr>
          <w:rFonts w:eastAsia="Times New Roman"/>
          <w:sz w:val="24"/>
        </w:rPr>
        <w:t>, particularly the leaves and stems, contain appreciable levels of protein and fiber, which are crucial for human and ani</w:t>
      </w:r>
      <w:r>
        <w:rPr>
          <w:rFonts w:eastAsia="Times New Roman"/>
          <w:sz w:val="24"/>
        </w:rPr>
        <w:t xml:space="preserve">mal health (Okoli </w:t>
      </w:r>
      <w:r>
        <w:rPr>
          <w:rFonts w:eastAsia="Times New Roman"/>
          <w:i/>
          <w:iCs/>
          <w:sz w:val="24"/>
        </w:rPr>
        <w:t>et al</w:t>
      </w:r>
      <w:r>
        <w:rPr>
          <w:rFonts w:eastAsia="Times New Roman"/>
          <w:sz w:val="24"/>
        </w:rPr>
        <w:t>., 2012).</w:t>
      </w:r>
    </w:p>
    <w:p w:rsidR="00995829" w:rsidRDefault="00C7064C">
      <w:pPr>
        <w:spacing w:after="0" w:line="480" w:lineRule="auto"/>
        <w:ind w:firstLine="720"/>
        <w:jc w:val="both"/>
        <w:rPr>
          <w:rFonts w:eastAsia="Times New Roman"/>
          <w:sz w:val="24"/>
        </w:rPr>
      </w:pPr>
      <w:r>
        <w:rPr>
          <w:rFonts w:eastAsia="Times New Roman"/>
          <w:sz w:val="24"/>
        </w:rPr>
        <w:t xml:space="preserve">Moreover, in resource-constrained settings, especially across Sub-Saharan Africa and parts of Asia, plants like </w:t>
      </w:r>
      <w:r>
        <w:rPr>
          <w:rFonts w:eastAsia="Times New Roman"/>
          <w:i/>
          <w:iCs/>
          <w:sz w:val="24"/>
        </w:rPr>
        <w:t>Sidaacuta</w:t>
      </w:r>
      <w:r>
        <w:rPr>
          <w:rFonts w:eastAsia="Times New Roman"/>
          <w:sz w:val="24"/>
        </w:rPr>
        <w:t xml:space="preserve"> offer a low-cost, locally available source of nutrients. Their inclusion in diets or as supplements i</w:t>
      </w:r>
      <w:r>
        <w:rPr>
          <w:rFonts w:eastAsia="Times New Roman"/>
          <w:sz w:val="24"/>
        </w:rPr>
        <w:t>n livestock feed could significantly enhance nutritional intake without the high costs associated with commercial feed and imported foods. However, before such plants can be safely and effectively incorporated into food systems, their nutritional content m</w:t>
      </w:r>
      <w:r>
        <w:rPr>
          <w:rFonts w:eastAsia="Times New Roman"/>
          <w:sz w:val="24"/>
        </w:rPr>
        <w:t xml:space="preserve">ust be scientifically validated through comprehensive proximate analysis (Edeoga </w:t>
      </w:r>
      <w:r>
        <w:rPr>
          <w:rFonts w:eastAsia="Times New Roman"/>
          <w:i/>
          <w:iCs/>
          <w:sz w:val="24"/>
        </w:rPr>
        <w:t>et al</w:t>
      </w:r>
      <w:r>
        <w:rPr>
          <w:rFonts w:eastAsia="Times New Roman"/>
          <w:sz w:val="24"/>
        </w:rPr>
        <w:t>., 2006).</w:t>
      </w:r>
    </w:p>
    <w:p w:rsidR="00995829" w:rsidRDefault="00C7064C">
      <w:pPr>
        <w:keepNext/>
        <w:spacing w:after="0" w:line="480" w:lineRule="auto"/>
        <w:jc w:val="both"/>
        <w:rPr>
          <w:sz w:val="24"/>
        </w:rPr>
      </w:pPr>
      <w:r>
        <w:rPr>
          <w:noProof/>
          <w:color w:val="000000" w:themeColor="text1"/>
          <w:sz w:val="24"/>
        </w:rPr>
        <w:lastRenderedPageBreak/>
        <w:drawing>
          <wp:inline distT="0" distB="0" distL="0" distR="0">
            <wp:extent cx="2493010" cy="2309495"/>
            <wp:effectExtent l="0" t="0" r="254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10"/>
                    <a:stretch>
                      <a:fillRect/>
                    </a:stretch>
                  </pic:blipFill>
                  <pic:spPr>
                    <a:xfrm>
                      <a:off x="0" y="0"/>
                      <a:ext cx="2515808" cy="2330738"/>
                    </a:xfrm>
                    <a:prstGeom prst="rect">
                      <a:avLst/>
                    </a:prstGeom>
                  </pic:spPr>
                </pic:pic>
              </a:graphicData>
            </a:graphic>
          </wp:inline>
        </w:drawing>
      </w:r>
    </w:p>
    <w:p w:rsidR="00995829" w:rsidRDefault="00C7064C">
      <w:pPr>
        <w:pStyle w:val="Caption"/>
        <w:spacing w:after="0" w:line="480" w:lineRule="auto"/>
        <w:jc w:val="both"/>
        <w:rPr>
          <w:b/>
          <w:i w:val="0"/>
          <w:iCs w:val="0"/>
          <w:color w:val="auto"/>
          <w:sz w:val="24"/>
          <w:szCs w:val="24"/>
        </w:rPr>
      </w:pPr>
      <w:r>
        <w:rPr>
          <w:b/>
          <w:i w:val="0"/>
          <w:iCs w:val="0"/>
          <w:color w:val="auto"/>
          <w:sz w:val="24"/>
          <w:szCs w:val="24"/>
        </w:rPr>
        <w:t xml:space="preserve">Fig. 1.1: </w:t>
      </w:r>
      <w:r>
        <w:rPr>
          <w:b/>
          <w:iCs w:val="0"/>
          <w:color w:val="auto"/>
          <w:sz w:val="24"/>
          <w:szCs w:val="24"/>
        </w:rPr>
        <w:t>Sidaacuta</w:t>
      </w:r>
      <w:r>
        <w:rPr>
          <w:b/>
          <w:i w:val="0"/>
          <w:iCs w:val="0"/>
          <w:color w:val="auto"/>
          <w:sz w:val="24"/>
          <w:szCs w:val="24"/>
        </w:rPr>
        <w:t xml:space="preserve"> Plant </w:t>
      </w:r>
    </w:p>
    <w:p w:rsidR="00995829" w:rsidRDefault="00C7064C">
      <w:pPr>
        <w:pStyle w:val="Caption"/>
        <w:spacing w:after="0" w:line="480" w:lineRule="auto"/>
        <w:jc w:val="both"/>
        <w:rPr>
          <w:rFonts w:eastAsia="Times New Roman"/>
          <w:b/>
          <w:i w:val="0"/>
          <w:iCs w:val="0"/>
          <w:color w:val="auto"/>
          <w:sz w:val="24"/>
          <w:szCs w:val="24"/>
        </w:rPr>
      </w:pPr>
      <w:r>
        <w:rPr>
          <w:b/>
          <w:i w:val="0"/>
          <w:iCs w:val="0"/>
          <w:color w:val="auto"/>
          <w:sz w:val="24"/>
          <w:szCs w:val="24"/>
        </w:rPr>
        <w:t xml:space="preserve">Source: </w:t>
      </w:r>
      <w:r>
        <w:rPr>
          <w:i w:val="0"/>
          <w:iCs w:val="0"/>
          <w:color w:val="auto"/>
          <w:sz w:val="24"/>
          <w:szCs w:val="24"/>
        </w:rPr>
        <w:t>Srinivasan and Murali, (2022)</w:t>
      </w:r>
    </w:p>
    <w:p w:rsidR="00995829" w:rsidRDefault="00C7064C">
      <w:pPr>
        <w:pStyle w:val="Heading1"/>
        <w:spacing w:before="0" w:after="0" w:line="480" w:lineRule="auto"/>
        <w:jc w:val="both"/>
        <w:rPr>
          <w:rFonts w:eastAsia="Times New Roman"/>
          <w:sz w:val="24"/>
          <w:szCs w:val="24"/>
        </w:rPr>
      </w:pPr>
      <w:r>
        <w:rPr>
          <w:rFonts w:eastAsia="Times New Roman"/>
          <w:sz w:val="24"/>
          <w:szCs w:val="24"/>
        </w:rPr>
        <w:t xml:space="preserve">1.2 </w:t>
      </w:r>
      <w:r>
        <w:rPr>
          <w:rFonts w:eastAsia="Times New Roman"/>
          <w:sz w:val="24"/>
          <w:szCs w:val="24"/>
        </w:rPr>
        <w:tab/>
        <w:t>Statement of the Problem</w:t>
      </w:r>
      <w:bookmarkEnd w:id="9"/>
    </w:p>
    <w:p w:rsidR="00995829" w:rsidRDefault="00C7064C">
      <w:pPr>
        <w:spacing w:after="0" w:line="480" w:lineRule="auto"/>
        <w:ind w:firstLine="720"/>
        <w:jc w:val="both"/>
        <w:rPr>
          <w:rFonts w:eastAsia="Times New Roman"/>
          <w:sz w:val="24"/>
        </w:rPr>
      </w:pPr>
      <w:r>
        <w:rPr>
          <w:rFonts w:eastAsia="Times New Roman"/>
          <w:sz w:val="24"/>
        </w:rPr>
        <w:t xml:space="preserve">Despite the abundance and wide geographical distribution of </w:t>
      </w:r>
      <w:r>
        <w:rPr>
          <w:rFonts w:eastAsia="Times New Roman"/>
          <w:i/>
          <w:iCs/>
          <w:sz w:val="24"/>
        </w:rPr>
        <w:t>Sidaacuta</w:t>
      </w:r>
      <w:r>
        <w:rPr>
          <w:rFonts w:eastAsia="Times New Roman"/>
          <w:sz w:val="24"/>
        </w:rPr>
        <w:t>, it remains largely underutilized, often dismissed as an invasive weed with little to no economic or nutritional value. This perception persists even in communities where the plant grows profusely and where malnutrition, food insecurity, and limi</w:t>
      </w:r>
      <w:r>
        <w:rPr>
          <w:rFonts w:eastAsia="Times New Roman"/>
          <w:sz w:val="24"/>
        </w:rPr>
        <w:t xml:space="preserve">ted access to animal feed persist as pressing issues. While </w:t>
      </w:r>
      <w:r>
        <w:rPr>
          <w:rFonts w:eastAsia="Times New Roman"/>
          <w:i/>
          <w:iCs/>
          <w:sz w:val="24"/>
        </w:rPr>
        <w:t>Sidaacuta</w:t>
      </w:r>
      <w:r>
        <w:rPr>
          <w:rFonts w:eastAsia="Times New Roman"/>
          <w:sz w:val="24"/>
        </w:rPr>
        <w:t xml:space="preserve"> has been recognized for its ethnomedicinal properties, its nutritional potential has not been fully explored or documented in a standardized, scientific manner.</w:t>
      </w:r>
    </w:p>
    <w:p w:rsidR="00995829" w:rsidRDefault="00C7064C">
      <w:pPr>
        <w:spacing w:after="0" w:line="456" w:lineRule="auto"/>
        <w:ind w:firstLine="720"/>
        <w:jc w:val="both"/>
        <w:rPr>
          <w:rFonts w:eastAsia="Times New Roman"/>
          <w:sz w:val="24"/>
        </w:rPr>
      </w:pPr>
      <w:r>
        <w:rPr>
          <w:rFonts w:eastAsia="Times New Roman"/>
          <w:sz w:val="24"/>
        </w:rPr>
        <w:t>The lack of comprehensive</w:t>
      </w:r>
      <w:r>
        <w:rPr>
          <w:rFonts w:eastAsia="Times New Roman"/>
          <w:sz w:val="24"/>
        </w:rPr>
        <w:t xml:space="preserve"> data on the proximate composition of </w:t>
      </w:r>
      <w:r>
        <w:rPr>
          <w:rFonts w:eastAsia="Times New Roman"/>
          <w:i/>
          <w:iCs/>
          <w:sz w:val="24"/>
        </w:rPr>
        <w:t>Sidaacuta</w:t>
      </w:r>
      <w:r>
        <w:rPr>
          <w:rFonts w:eastAsia="Times New Roman"/>
          <w:sz w:val="24"/>
        </w:rPr>
        <w:t xml:space="preserve"> presents a gap in knowledge that limits its integration into local food systems or animal feed formulations. Without detailed information on its nutritional components, such as protein, fiber, fat, ash, and c</w:t>
      </w:r>
      <w:r>
        <w:rPr>
          <w:rFonts w:eastAsia="Times New Roman"/>
          <w:sz w:val="24"/>
        </w:rPr>
        <w:t xml:space="preserve">arbohydrate contents, it is difficult to assess its </w:t>
      </w:r>
      <w:r>
        <w:rPr>
          <w:rFonts w:eastAsia="Times New Roman"/>
          <w:sz w:val="24"/>
        </w:rPr>
        <w:lastRenderedPageBreak/>
        <w:t>true value as a dietary supplement or sustainable resource. Additionally, the absence of such data impedes further research on how environmental factors, maturity stages, or processing methods might influ</w:t>
      </w:r>
      <w:r>
        <w:rPr>
          <w:rFonts w:eastAsia="Times New Roman"/>
          <w:sz w:val="24"/>
        </w:rPr>
        <w:t>ence its nutritional profile.</w:t>
      </w:r>
    </w:p>
    <w:p w:rsidR="00995829" w:rsidRDefault="00C7064C">
      <w:pPr>
        <w:spacing w:after="0" w:line="456" w:lineRule="auto"/>
        <w:ind w:firstLine="720"/>
        <w:jc w:val="both"/>
        <w:rPr>
          <w:rFonts w:eastAsia="Times New Roman"/>
          <w:sz w:val="24"/>
        </w:rPr>
      </w:pPr>
      <w:r>
        <w:rPr>
          <w:rFonts w:eastAsia="Times New Roman"/>
          <w:sz w:val="24"/>
        </w:rPr>
        <w:t xml:space="preserve">As food insecurity and the search for cost-effective, local food and feed alternatives continue to challenge many developing regions, it becomes imperative to assess and validate underutilised plants like </w:t>
      </w:r>
      <w:r>
        <w:rPr>
          <w:rFonts w:eastAsia="Times New Roman"/>
          <w:i/>
          <w:iCs/>
          <w:sz w:val="24"/>
        </w:rPr>
        <w:t>Sidaacuta</w:t>
      </w:r>
      <w:r>
        <w:rPr>
          <w:rFonts w:eastAsia="Times New Roman"/>
          <w:sz w:val="24"/>
        </w:rPr>
        <w:t xml:space="preserve"> for potenti</w:t>
      </w:r>
      <w:r>
        <w:rPr>
          <w:rFonts w:eastAsia="Times New Roman"/>
          <w:sz w:val="24"/>
        </w:rPr>
        <w:t>al inclusion in nutritional programs. Ignoring the scientific evaluation of such plants may result in the continued underutilisation of valuable natural resources that could support human and animal health.</w:t>
      </w:r>
    </w:p>
    <w:p w:rsidR="00995829" w:rsidRDefault="00C7064C">
      <w:pPr>
        <w:pStyle w:val="Heading1"/>
        <w:spacing w:before="0" w:after="0" w:line="456" w:lineRule="auto"/>
        <w:jc w:val="both"/>
        <w:rPr>
          <w:rFonts w:eastAsia="Times New Roman"/>
          <w:sz w:val="24"/>
          <w:szCs w:val="24"/>
        </w:rPr>
      </w:pPr>
      <w:bookmarkStart w:id="10" w:name="_Toc199791364"/>
      <w:r>
        <w:rPr>
          <w:rFonts w:eastAsia="Times New Roman"/>
          <w:sz w:val="24"/>
          <w:szCs w:val="24"/>
        </w:rPr>
        <w:t xml:space="preserve">1.3 </w:t>
      </w:r>
      <w:r>
        <w:rPr>
          <w:rFonts w:eastAsia="Times New Roman"/>
          <w:sz w:val="24"/>
          <w:szCs w:val="24"/>
        </w:rPr>
        <w:tab/>
        <w:t>Justification for the Study</w:t>
      </w:r>
      <w:bookmarkEnd w:id="10"/>
    </w:p>
    <w:p w:rsidR="00995829" w:rsidRDefault="00C7064C">
      <w:pPr>
        <w:spacing w:after="0" w:line="456" w:lineRule="auto"/>
        <w:ind w:firstLine="720"/>
        <w:jc w:val="both"/>
        <w:rPr>
          <w:rFonts w:eastAsia="Times New Roman"/>
          <w:sz w:val="24"/>
        </w:rPr>
      </w:pPr>
      <w:r>
        <w:rPr>
          <w:rFonts w:eastAsia="Times New Roman"/>
          <w:sz w:val="24"/>
        </w:rPr>
        <w:t>This study is ju</w:t>
      </w:r>
      <w:r>
        <w:rPr>
          <w:rFonts w:eastAsia="Times New Roman"/>
          <w:sz w:val="24"/>
        </w:rPr>
        <w:t xml:space="preserve">stified by the urgent need to diversify the sources of nutrition available to vulnerable populations, particularly in regions grappling with poverty, malnutrition, and poor agricultural productivity. </w:t>
      </w:r>
      <w:r>
        <w:rPr>
          <w:rFonts w:eastAsia="Times New Roman"/>
          <w:i/>
          <w:iCs/>
          <w:sz w:val="24"/>
        </w:rPr>
        <w:t>Sidaacuta</w:t>
      </w:r>
      <w:r>
        <w:rPr>
          <w:rFonts w:eastAsia="Times New Roman"/>
          <w:sz w:val="24"/>
        </w:rPr>
        <w:t>, being a widely available and fast-growing pla</w:t>
      </w:r>
      <w:r>
        <w:rPr>
          <w:rFonts w:eastAsia="Times New Roman"/>
          <w:sz w:val="24"/>
        </w:rPr>
        <w:t>nt, represents a potentially sustainable and low-cost alternative source of nutrients. By scientifically evaluating its proximate composition, this research aims to offer a credible basis for its inclusion in food, feed, or even pharmaceutical applications</w:t>
      </w:r>
      <w:r>
        <w:rPr>
          <w:rFonts w:eastAsia="Times New Roman"/>
          <w:sz w:val="24"/>
        </w:rPr>
        <w:t>.</w:t>
      </w:r>
    </w:p>
    <w:p w:rsidR="00995829" w:rsidRDefault="00C7064C">
      <w:pPr>
        <w:spacing w:after="0" w:line="456" w:lineRule="auto"/>
        <w:ind w:firstLine="720"/>
        <w:jc w:val="both"/>
        <w:rPr>
          <w:rFonts w:eastAsia="Times New Roman"/>
          <w:sz w:val="24"/>
        </w:rPr>
      </w:pPr>
      <w:r>
        <w:rPr>
          <w:rFonts w:eastAsia="Times New Roman"/>
          <w:sz w:val="24"/>
        </w:rPr>
        <w:t xml:space="preserve">Several previous studies have hinted at the pharmacological potential of </w:t>
      </w:r>
      <w:r>
        <w:rPr>
          <w:rFonts w:eastAsia="Times New Roman"/>
          <w:i/>
          <w:iCs/>
          <w:sz w:val="24"/>
        </w:rPr>
        <w:t>Sidaacuta</w:t>
      </w:r>
      <w:r>
        <w:rPr>
          <w:rFonts w:eastAsia="Times New Roman"/>
          <w:sz w:val="24"/>
        </w:rPr>
        <w:t xml:space="preserve">, yet few have offered detailed insights into its nutritional composition using rigorous proximate analysis. Unlocking this data could support its application in livestock </w:t>
      </w:r>
      <w:r>
        <w:rPr>
          <w:rFonts w:eastAsia="Times New Roman"/>
          <w:sz w:val="24"/>
        </w:rPr>
        <w:t xml:space="preserve">feeding, where there is a growing demand for locally sourced and affordable feed ingredients. Moreover, with the rising interest in plant-based diets and functional </w:t>
      </w:r>
      <w:r>
        <w:rPr>
          <w:rFonts w:eastAsia="Times New Roman"/>
          <w:sz w:val="24"/>
        </w:rPr>
        <w:lastRenderedPageBreak/>
        <w:t xml:space="preserve">foods, understanding the nutritional profile of </w:t>
      </w:r>
      <w:r>
        <w:rPr>
          <w:rFonts w:eastAsia="Times New Roman"/>
          <w:i/>
          <w:iCs/>
          <w:sz w:val="24"/>
        </w:rPr>
        <w:t>Sidaacuta</w:t>
      </w:r>
      <w:r>
        <w:rPr>
          <w:rFonts w:eastAsia="Times New Roman"/>
          <w:sz w:val="24"/>
        </w:rPr>
        <w:t xml:space="preserve"> could reveal its utility in promo</w:t>
      </w:r>
      <w:r>
        <w:rPr>
          <w:rFonts w:eastAsia="Times New Roman"/>
          <w:sz w:val="24"/>
        </w:rPr>
        <w:t>ting health and wellness.The study is also justified by its potential to contribute to the scientific body of knowledge on wild and underutilised plants, promoting biodiversity conservation and encouraging sustainable use of natural resources. If validated</w:t>
      </w:r>
      <w:r>
        <w:rPr>
          <w:rFonts w:eastAsia="Times New Roman"/>
          <w:sz w:val="24"/>
        </w:rPr>
        <w:t xml:space="preserve"> as nutritionally rich, </w:t>
      </w:r>
      <w:r>
        <w:rPr>
          <w:rFonts w:eastAsia="Times New Roman"/>
          <w:i/>
          <w:iCs/>
          <w:sz w:val="24"/>
        </w:rPr>
        <w:t>Sidaacuta</w:t>
      </w:r>
      <w:r>
        <w:rPr>
          <w:rFonts w:eastAsia="Times New Roman"/>
          <w:sz w:val="24"/>
        </w:rPr>
        <w:t xml:space="preserve"> could shift from being a neglected species to a strategic crop in local agriculture, especially in resource-limited settings.</w:t>
      </w:r>
    </w:p>
    <w:p w:rsidR="00995829" w:rsidRDefault="00C7064C">
      <w:pPr>
        <w:pStyle w:val="Heading1"/>
        <w:spacing w:before="0" w:after="0" w:line="456" w:lineRule="auto"/>
        <w:jc w:val="both"/>
        <w:rPr>
          <w:rFonts w:eastAsia="Times New Roman"/>
          <w:sz w:val="24"/>
          <w:szCs w:val="24"/>
        </w:rPr>
      </w:pPr>
      <w:bookmarkStart w:id="11" w:name="_Toc199791365"/>
      <w:r>
        <w:rPr>
          <w:rFonts w:eastAsia="Times New Roman"/>
          <w:sz w:val="24"/>
          <w:szCs w:val="24"/>
        </w:rPr>
        <w:t xml:space="preserve">1.4 </w:t>
      </w:r>
      <w:r>
        <w:rPr>
          <w:rFonts w:eastAsia="Times New Roman"/>
          <w:sz w:val="24"/>
          <w:szCs w:val="24"/>
        </w:rPr>
        <w:tab/>
        <w:t>Aim and Objectives of the Study</w:t>
      </w:r>
      <w:bookmarkEnd w:id="11"/>
    </w:p>
    <w:p w:rsidR="00995829" w:rsidRDefault="00C7064C">
      <w:pPr>
        <w:spacing w:after="0" w:line="456" w:lineRule="auto"/>
        <w:ind w:firstLine="720"/>
        <w:jc w:val="both"/>
        <w:rPr>
          <w:rFonts w:eastAsia="Times New Roman"/>
          <w:sz w:val="24"/>
        </w:rPr>
      </w:pPr>
      <w:r>
        <w:rPr>
          <w:rFonts w:eastAsia="Times New Roman"/>
          <w:sz w:val="24"/>
        </w:rPr>
        <w:t>The main aim of this study is to evaluate the proximate com</w:t>
      </w:r>
      <w:r>
        <w:rPr>
          <w:rFonts w:eastAsia="Times New Roman"/>
          <w:sz w:val="24"/>
        </w:rPr>
        <w:t xml:space="preserve">position of </w:t>
      </w:r>
      <w:r>
        <w:rPr>
          <w:rFonts w:eastAsia="Times New Roman"/>
          <w:i/>
          <w:iCs/>
          <w:sz w:val="24"/>
        </w:rPr>
        <w:t>Sidaacuta</w:t>
      </w:r>
      <w:r>
        <w:rPr>
          <w:rFonts w:eastAsia="Times New Roman"/>
          <w:sz w:val="24"/>
        </w:rPr>
        <w:t xml:space="preserve"> to determine its nutritional potential and assess its suitability for use in human nutrition and animal feed.</w:t>
      </w:r>
    </w:p>
    <w:p w:rsidR="00995829" w:rsidRDefault="00C7064C">
      <w:pPr>
        <w:spacing w:after="0" w:line="456" w:lineRule="auto"/>
        <w:jc w:val="both"/>
        <w:rPr>
          <w:sz w:val="24"/>
        </w:rPr>
      </w:pPr>
      <w:r>
        <w:rPr>
          <w:sz w:val="24"/>
        </w:rPr>
        <w:t>Objectives of the Study:</w:t>
      </w:r>
    </w:p>
    <w:p w:rsidR="00995829" w:rsidRDefault="00C7064C">
      <w:pPr>
        <w:pStyle w:val="ListParagraph"/>
        <w:numPr>
          <w:ilvl w:val="0"/>
          <w:numId w:val="3"/>
        </w:numPr>
        <w:spacing w:after="0" w:line="456" w:lineRule="auto"/>
        <w:ind w:left="540"/>
        <w:jc w:val="both"/>
        <w:rPr>
          <w:rFonts w:eastAsia="Times New Roman"/>
          <w:sz w:val="24"/>
        </w:rPr>
      </w:pPr>
      <w:r>
        <w:rPr>
          <w:rFonts w:eastAsia="Times New Roman"/>
          <w:sz w:val="24"/>
        </w:rPr>
        <w:t xml:space="preserve">To determine the moisture content of </w:t>
      </w:r>
      <w:r>
        <w:rPr>
          <w:rFonts w:eastAsia="Times New Roman"/>
          <w:i/>
          <w:iCs/>
          <w:sz w:val="24"/>
        </w:rPr>
        <w:t>Sidaacuta</w:t>
      </w:r>
      <w:r>
        <w:rPr>
          <w:rFonts w:eastAsia="Times New Roman"/>
          <w:sz w:val="24"/>
        </w:rPr>
        <w:t xml:space="preserve"> in order to assess its freshness, shelf life, and suitability for storage and processing.</w:t>
      </w:r>
    </w:p>
    <w:p w:rsidR="00995829" w:rsidRDefault="00C7064C">
      <w:pPr>
        <w:pStyle w:val="ListParagraph"/>
        <w:numPr>
          <w:ilvl w:val="0"/>
          <w:numId w:val="3"/>
        </w:numPr>
        <w:spacing w:after="0" w:line="456" w:lineRule="auto"/>
        <w:ind w:left="540"/>
        <w:jc w:val="both"/>
        <w:rPr>
          <w:rFonts w:eastAsia="Times New Roman"/>
          <w:sz w:val="24"/>
        </w:rPr>
      </w:pPr>
      <w:r>
        <w:rPr>
          <w:rFonts w:eastAsia="Times New Roman"/>
          <w:sz w:val="24"/>
        </w:rPr>
        <w:t xml:space="preserve">To analyse the crude protein contents of </w:t>
      </w:r>
      <w:r>
        <w:rPr>
          <w:rFonts w:eastAsia="Times New Roman"/>
          <w:i/>
          <w:iCs/>
          <w:sz w:val="24"/>
        </w:rPr>
        <w:t>Sidaacuta</w:t>
      </w:r>
      <w:r>
        <w:rPr>
          <w:rFonts w:eastAsia="Times New Roman"/>
          <w:sz w:val="24"/>
        </w:rPr>
        <w:t>, which is essential for evaluating its potential as a source of dietary protein.</w:t>
      </w:r>
    </w:p>
    <w:p w:rsidR="00995829" w:rsidRDefault="00C7064C">
      <w:pPr>
        <w:pStyle w:val="ListParagraph"/>
        <w:numPr>
          <w:ilvl w:val="0"/>
          <w:numId w:val="3"/>
        </w:numPr>
        <w:spacing w:after="0" w:line="456" w:lineRule="auto"/>
        <w:ind w:left="540"/>
        <w:jc w:val="both"/>
        <w:rPr>
          <w:rFonts w:eastAsia="Times New Roman"/>
          <w:sz w:val="24"/>
        </w:rPr>
      </w:pPr>
      <w:r>
        <w:rPr>
          <w:rFonts w:eastAsia="Times New Roman"/>
          <w:sz w:val="24"/>
        </w:rPr>
        <w:t>To estimate the crude fat content</w:t>
      </w:r>
      <w:r>
        <w:rPr>
          <w:rFonts w:eastAsia="Times New Roman"/>
          <w:sz w:val="24"/>
        </w:rPr>
        <w:t xml:space="preserve"> of the plant, which contributes to energy value and nutritional balance.</w:t>
      </w:r>
    </w:p>
    <w:p w:rsidR="00995829" w:rsidRDefault="00C7064C">
      <w:pPr>
        <w:pStyle w:val="ListParagraph"/>
        <w:numPr>
          <w:ilvl w:val="0"/>
          <w:numId w:val="3"/>
        </w:numPr>
        <w:spacing w:after="0" w:line="456" w:lineRule="auto"/>
        <w:ind w:left="540"/>
        <w:jc w:val="both"/>
        <w:rPr>
          <w:rFonts w:eastAsia="Times New Roman"/>
          <w:sz w:val="24"/>
        </w:rPr>
      </w:pPr>
      <w:r>
        <w:rPr>
          <w:rFonts w:eastAsia="Times New Roman"/>
          <w:sz w:val="24"/>
        </w:rPr>
        <w:t>To quantify the crude fiber content, which has implications for digestive health and feed formulation.</w:t>
      </w:r>
    </w:p>
    <w:p w:rsidR="00995829" w:rsidRDefault="00C7064C">
      <w:pPr>
        <w:pStyle w:val="ListParagraph"/>
        <w:numPr>
          <w:ilvl w:val="0"/>
          <w:numId w:val="3"/>
        </w:numPr>
        <w:spacing w:after="0" w:line="456" w:lineRule="auto"/>
        <w:ind w:left="540"/>
        <w:jc w:val="both"/>
        <w:rPr>
          <w:rFonts w:eastAsia="Times New Roman"/>
          <w:sz w:val="24"/>
        </w:rPr>
      </w:pPr>
      <w:r>
        <w:rPr>
          <w:rFonts w:eastAsia="Times New Roman"/>
          <w:sz w:val="24"/>
        </w:rPr>
        <w:t>To determine the ash contents, representing the total mineral contents and cont</w:t>
      </w:r>
      <w:r>
        <w:rPr>
          <w:rFonts w:eastAsia="Times New Roman"/>
          <w:sz w:val="24"/>
        </w:rPr>
        <w:t>ributing to the assessment of its micronutrient value.</w:t>
      </w:r>
    </w:p>
    <w:p w:rsidR="00995829" w:rsidRDefault="00995829">
      <w:pPr>
        <w:spacing w:after="0" w:line="480" w:lineRule="auto"/>
        <w:jc w:val="both"/>
        <w:rPr>
          <w:rFonts w:eastAsia="Times New Roman"/>
          <w:sz w:val="24"/>
        </w:rPr>
      </w:pPr>
    </w:p>
    <w:p w:rsidR="00995829" w:rsidRDefault="00C7064C">
      <w:pPr>
        <w:pStyle w:val="Heading1"/>
        <w:spacing w:before="0" w:after="0" w:line="444" w:lineRule="auto"/>
        <w:jc w:val="center"/>
        <w:rPr>
          <w:rFonts w:eastAsia="Times New Roman"/>
          <w:sz w:val="24"/>
          <w:szCs w:val="24"/>
        </w:rPr>
      </w:pPr>
      <w:bookmarkStart w:id="12" w:name="_Toc199791366"/>
      <w:r>
        <w:rPr>
          <w:rFonts w:eastAsia="Times New Roman"/>
          <w:sz w:val="24"/>
          <w:szCs w:val="24"/>
        </w:rPr>
        <w:lastRenderedPageBreak/>
        <w:t>CHAPTER TWO</w:t>
      </w:r>
      <w:bookmarkEnd w:id="12"/>
    </w:p>
    <w:p w:rsidR="00995829" w:rsidRDefault="00C7064C">
      <w:pPr>
        <w:pStyle w:val="Heading1"/>
        <w:spacing w:before="0" w:after="0" w:line="444" w:lineRule="auto"/>
        <w:jc w:val="center"/>
        <w:rPr>
          <w:rFonts w:eastAsia="Times New Roman"/>
          <w:sz w:val="24"/>
          <w:szCs w:val="24"/>
        </w:rPr>
      </w:pPr>
      <w:bookmarkStart w:id="13" w:name="_Toc199791367"/>
      <w:r>
        <w:rPr>
          <w:rFonts w:eastAsia="Times New Roman"/>
          <w:sz w:val="24"/>
          <w:szCs w:val="24"/>
        </w:rPr>
        <w:t>LITERATURE REVIEW</w:t>
      </w:r>
      <w:bookmarkEnd w:id="13"/>
    </w:p>
    <w:p w:rsidR="00995829" w:rsidRDefault="00C7064C">
      <w:pPr>
        <w:pStyle w:val="Heading1"/>
        <w:spacing w:before="0" w:after="0" w:line="444" w:lineRule="auto"/>
        <w:jc w:val="both"/>
        <w:rPr>
          <w:i/>
          <w:iCs/>
          <w:sz w:val="24"/>
          <w:szCs w:val="24"/>
        </w:rPr>
      </w:pPr>
      <w:bookmarkStart w:id="14" w:name="_Toc199791368"/>
      <w:r>
        <w:rPr>
          <w:sz w:val="24"/>
          <w:szCs w:val="24"/>
        </w:rPr>
        <w:t xml:space="preserve">2.1 </w:t>
      </w:r>
      <w:r>
        <w:rPr>
          <w:sz w:val="24"/>
          <w:szCs w:val="24"/>
        </w:rPr>
        <w:tab/>
      </w:r>
      <w:r>
        <w:rPr>
          <w:i/>
          <w:iCs/>
          <w:sz w:val="24"/>
          <w:szCs w:val="24"/>
        </w:rPr>
        <w:t>Sidaacuta</w:t>
      </w:r>
      <w:bookmarkEnd w:id="14"/>
    </w:p>
    <w:p w:rsidR="00995829" w:rsidRDefault="00C7064C">
      <w:pPr>
        <w:spacing w:after="0" w:line="444" w:lineRule="auto"/>
        <w:ind w:firstLine="720"/>
        <w:jc w:val="both"/>
        <w:rPr>
          <w:rFonts w:eastAsia="Times New Roman"/>
          <w:sz w:val="24"/>
        </w:rPr>
      </w:pPr>
      <w:r>
        <w:rPr>
          <w:rFonts w:eastAsia="Times New Roman"/>
          <w:sz w:val="24"/>
        </w:rPr>
        <w:t>, commonly referred to as broomweed, is a fast-growing shrub belonging to the Malvaceae family and is widely distributed across tropical and subtropical re</w:t>
      </w:r>
      <w:r>
        <w:rPr>
          <w:rFonts w:eastAsia="Times New Roman"/>
          <w:sz w:val="24"/>
        </w:rPr>
        <w:t xml:space="preserve">gions. Traditionally, it has been employed in various indigenous medicinal practices to treat ailments such as fever, wounds, and inflammation. However, beyond its ethnomedicinal uses, </w:t>
      </w:r>
      <w:r>
        <w:rPr>
          <w:rFonts w:eastAsia="Times New Roman"/>
          <w:i/>
          <w:iCs/>
          <w:sz w:val="24"/>
        </w:rPr>
        <w:t>Sidaacuta</w:t>
      </w:r>
      <w:r>
        <w:rPr>
          <w:rFonts w:eastAsia="Times New Roman"/>
          <w:sz w:val="24"/>
        </w:rPr>
        <w:t xml:space="preserve"> is gaining attention in scientific communities for its nutrit</w:t>
      </w:r>
      <w:r>
        <w:rPr>
          <w:rFonts w:eastAsia="Times New Roman"/>
          <w:sz w:val="24"/>
        </w:rPr>
        <w:t>ional potential. Several studies have been conducted to evaluate the plant's proximate composition, with findings suggesting it could serve as an important source of essential nutrients and minerals, particularly in regions where food insecurity and malnut</w:t>
      </w:r>
      <w:r>
        <w:rPr>
          <w:rFonts w:eastAsia="Times New Roman"/>
          <w:sz w:val="24"/>
        </w:rPr>
        <w:t>rition are prevalent (Shittu and Alagbe, 2020).</w:t>
      </w:r>
    </w:p>
    <w:p w:rsidR="00995829" w:rsidRDefault="00C7064C">
      <w:pPr>
        <w:spacing w:after="0" w:line="444" w:lineRule="auto"/>
        <w:ind w:firstLine="720"/>
        <w:jc w:val="both"/>
        <w:rPr>
          <w:rFonts w:eastAsia="Times New Roman"/>
          <w:sz w:val="24"/>
        </w:rPr>
      </w:pPr>
      <w:r>
        <w:rPr>
          <w:rFonts w:eastAsia="Times New Roman"/>
          <w:sz w:val="24"/>
        </w:rPr>
        <w:t xml:space="preserve">Moisture contents is a vital component in determining the shelf-life and storage capacity of plant materials. Low moisture content in plant matter generally implies extended preservation potential. According </w:t>
      </w:r>
      <w:r>
        <w:rPr>
          <w:rFonts w:eastAsia="Times New Roman"/>
          <w:sz w:val="24"/>
        </w:rPr>
        <w:t xml:space="preserve">to Adegoke </w:t>
      </w:r>
      <w:r>
        <w:rPr>
          <w:rFonts w:eastAsia="Times New Roman"/>
          <w:i/>
          <w:iCs/>
          <w:sz w:val="24"/>
        </w:rPr>
        <w:t>et al</w:t>
      </w:r>
      <w:r>
        <w:rPr>
          <w:rFonts w:eastAsia="Times New Roman"/>
          <w:sz w:val="24"/>
        </w:rPr>
        <w:t xml:space="preserve">., (2013), the moisture contents of </w:t>
      </w:r>
      <w:r>
        <w:rPr>
          <w:rFonts w:eastAsia="Times New Roman"/>
          <w:i/>
          <w:iCs/>
          <w:sz w:val="24"/>
        </w:rPr>
        <w:t>Sidaacuta</w:t>
      </w:r>
      <w:r>
        <w:rPr>
          <w:rFonts w:eastAsia="Times New Roman"/>
          <w:sz w:val="24"/>
        </w:rPr>
        <w:t xml:space="preserve"> leaves was found to be 9.03%, indicating low water activity and high stability against microbial spoilage. Conversely, Enin </w:t>
      </w:r>
      <w:r>
        <w:rPr>
          <w:rFonts w:eastAsia="Times New Roman"/>
          <w:i/>
          <w:sz w:val="24"/>
        </w:rPr>
        <w:t>et al.,</w:t>
      </w:r>
      <w:r>
        <w:rPr>
          <w:rFonts w:eastAsia="Times New Roman"/>
          <w:sz w:val="24"/>
        </w:rPr>
        <w:t xml:space="preserve"> (2014) reported a much higher moisture content of 54.82% in th</w:t>
      </w:r>
      <w:r>
        <w:rPr>
          <w:rFonts w:eastAsia="Times New Roman"/>
          <w:sz w:val="24"/>
        </w:rPr>
        <w:t>eir analysis, suggesting that the plant’s moisture levels may vary significantly depending on environmental factors, harvesting time, or processing methods. Such discrepancies highlight the need for standardised procedures in analysing and storing the plan</w:t>
      </w:r>
      <w:r>
        <w:rPr>
          <w:rFonts w:eastAsia="Times New Roman"/>
          <w:sz w:val="24"/>
        </w:rPr>
        <w:t>t for food or medicinal use.</w:t>
      </w:r>
    </w:p>
    <w:p w:rsidR="00995829" w:rsidRDefault="00C7064C">
      <w:pPr>
        <w:spacing w:after="0" w:line="480" w:lineRule="auto"/>
        <w:ind w:firstLine="720"/>
        <w:jc w:val="both"/>
        <w:rPr>
          <w:rFonts w:eastAsia="Times New Roman"/>
          <w:sz w:val="24"/>
        </w:rPr>
      </w:pPr>
      <w:r>
        <w:rPr>
          <w:rFonts w:eastAsia="Times New Roman"/>
          <w:sz w:val="24"/>
        </w:rPr>
        <w:lastRenderedPageBreak/>
        <w:t xml:space="preserve">The protein content of </w:t>
      </w:r>
      <w:r>
        <w:rPr>
          <w:rFonts w:eastAsia="Times New Roman"/>
          <w:i/>
          <w:iCs/>
          <w:sz w:val="24"/>
        </w:rPr>
        <w:t>Sidaacuta</w:t>
      </w:r>
      <w:r>
        <w:rPr>
          <w:rFonts w:eastAsia="Times New Roman"/>
          <w:sz w:val="24"/>
        </w:rPr>
        <w:t xml:space="preserve"> positions it as a potential supplementary protein source, especially in regions where animal-based proteins are expensive or inaccessible. Adegoke </w:t>
      </w:r>
      <w:r>
        <w:rPr>
          <w:rFonts w:eastAsia="Times New Roman"/>
          <w:i/>
          <w:iCs/>
          <w:sz w:val="24"/>
        </w:rPr>
        <w:t>et al</w:t>
      </w:r>
      <w:r>
        <w:rPr>
          <w:rFonts w:eastAsia="Times New Roman"/>
          <w:sz w:val="24"/>
        </w:rPr>
        <w:t>. (2013) reported a crude protein value of</w:t>
      </w:r>
      <w:r>
        <w:rPr>
          <w:rFonts w:eastAsia="Times New Roman"/>
          <w:sz w:val="24"/>
        </w:rPr>
        <w:t xml:space="preserve"> 19.13%, while Shittu and Alagbe, (2020) found a similar protein concentration of 18.01% in their study. These values are comparable to those found in conventional leafy vegetables like amaranth and spinach. Given the high demand for affordable plant-based</w:t>
      </w:r>
      <w:r>
        <w:rPr>
          <w:rFonts w:eastAsia="Times New Roman"/>
          <w:sz w:val="24"/>
        </w:rPr>
        <w:t xml:space="preserve"> proteins, </w:t>
      </w:r>
      <w:r>
        <w:rPr>
          <w:rFonts w:eastAsia="Times New Roman"/>
          <w:i/>
          <w:iCs/>
          <w:sz w:val="24"/>
        </w:rPr>
        <w:t>Sidaacuta</w:t>
      </w:r>
      <w:r>
        <w:rPr>
          <w:rFonts w:eastAsia="Times New Roman"/>
          <w:sz w:val="24"/>
        </w:rPr>
        <w:t xml:space="preserve"> could contribute significantly to dietary protein intake, supporting muscle development, tissue repair, and overall metabolic function.</w:t>
      </w:r>
    </w:p>
    <w:p w:rsidR="00995829" w:rsidRDefault="00C7064C">
      <w:pPr>
        <w:spacing w:after="0" w:line="480" w:lineRule="auto"/>
        <w:ind w:firstLine="720"/>
        <w:jc w:val="both"/>
        <w:rPr>
          <w:rFonts w:eastAsia="Times New Roman"/>
          <w:sz w:val="24"/>
        </w:rPr>
      </w:pPr>
      <w:r>
        <w:rPr>
          <w:rFonts w:eastAsia="Times New Roman"/>
          <w:sz w:val="24"/>
        </w:rPr>
        <w:t xml:space="preserve">Crude fat content in </w:t>
      </w:r>
      <w:r>
        <w:rPr>
          <w:rFonts w:eastAsia="Times New Roman"/>
          <w:i/>
          <w:iCs/>
          <w:sz w:val="24"/>
        </w:rPr>
        <w:t>Sidaacuta</w:t>
      </w:r>
      <w:r>
        <w:rPr>
          <w:rFonts w:eastAsia="Times New Roman"/>
          <w:sz w:val="24"/>
        </w:rPr>
        <w:t xml:space="preserve"> has been observed to be relatively low, which is advantageous for in</w:t>
      </w:r>
      <w:r>
        <w:rPr>
          <w:rFonts w:eastAsia="Times New Roman"/>
          <w:sz w:val="24"/>
        </w:rPr>
        <w:t xml:space="preserve">dividuals adhering to low-fat diets. Adegoke </w:t>
      </w:r>
      <w:r>
        <w:rPr>
          <w:rFonts w:eastAsia="Times New Roman"/>
          <w:i/>
          <w:iCs/>
          <w:sz w:val="24"/>
        </w:rPr>
        <w:t>et al</w:t>
      </w:r>
      <w:r>
        <w:rPr>
          <w:rFonts w:eastAsia="Times New Roman"/>
          <w:sz w:val="24"/>
        </w:rPr>
        <w:t>., (2013) recorded a fat content of 0.67%, while Shittu and Alagbe, (2020) reported 1.77%. Such low levels are beneficial in preventing diet-related chronic conditions such as obesity, cardiovascular diseas</w:t>
      </w:r>
      <w:r>
        <w:rPr>
          <w:rFonts w:eastAsia="Times New Roman"/>
          <w:sz w:val="24"/>
        </w:rPr>
        <w:t>es, and hyperlipidemia. The presence of fat, though minimal, also plays a role in the absorption of fat-soluble vitamins and the maintenance of cellular structures.</w:t>
      </w:r>
    </w:p>
    <w:p w:rsidR="00995829" w:rsidRDefault="00C7064C">
      <w:pPr>
        <w:spacing w:after="0" w:line="480" w:lineRule="auto"/>
        <w:ind w:firstLine="720"/>
        <w:jc w:val="both"/>
        <w:rPr>
          <w:rFonts w:eastAsia="Times New Roman"/>
          <w:sz w:val="24"/>
        </w:rPr>
      </w:pPr>
      <w:r>
        <w:rPr>
          <w:rFonts w:eastAsia="Times New Roman"/>
          <w:sz w:val="24"/>
        </w:rPr>
        <w:t>Fiber is another key nutritional component that plays a vital role in digestion and maintai</w:t>
      </w:r>
      <w:r>
        <w:rPr>
          <w:rFonts w:eastAsia="Times New Roman"/>
          <w:sz w:val="24"/>
        </w:rPr>
        <w:t xml:space="preserve">ning gut health. Crude fiber content in </w:t>
      </w:r>
      <w:r>
        <w:rPr>
          <w:rFonts w:eastAsia="Times New Roman"/>
          <w:i/>
          <w:iCs/>
          <w:sz w:val="24"/>
        </w:rPr>
        <w:t>Sidaacuta</w:t>
      </w:r>
      <w:r>
        <w:rPr>
          <w:rFonts w:eastAsia="Times New Roman"/>
          <w:sz w:val="24"/>
        </w:rPr>
        <w:t xml:space="preserve"> was found to be 9.50% by Adegoke </w:t>
      </w:r>
      <w:r>
        <w:rPr>
          <w:rFonts w:eastAsia="Times New Roman"/>
          <w:i/>
          <w:iCs/>
          <w:sz w:val="24"/>
        </w:rPr>
        <w:t>et al</w:t>
      </w:r>
      <w:r>
        <w:rPr>
          <w:rFonts w:eastAsia="Times New Roman"/>
          <w:sz w:val="24"/>
        </w:rPr>
        <w:t xml:space="preserve">., (2013) and 6.24% by Shittu and Alagbe (2020). These values suggest that </w:t>
      </w:r>
      <w:r>
        <w:rPr>
          <w:rFonts w:eastAsia="Times New Roman"/>
          <w:i/>
          <w:iCs/>
          <w:sz w:val="24"/>
        </w:rPr>
        <w:t>Sidaacuta</w:t>
      </w:r>
      <w:r>
        <w:rPr>
          <w:rFonts w:eastAsia="Times New Roman"/>
          <w:sz w:val="24"/>
        </w:rPr>
        <w:t xml:space="preserve"> can aid in enhancing bowel movements, regulating blood sugar levels, and reducing c</w:t>
      </w:r>
      <w:r>
        <w:rPr>
          <w:rFonts w:eastAsia="Times New Roman"/>
          <w:sz w:val="24"/>
        </w:rPr>
        <w:t>holesterol levels. Including such fiber-rich plants in daily meals could help mitigate the risks of constipation, type 2 diabetes, and heart disease.</w:t>
      </w:r>
    </w:p>
    <w:p w:rsidR="00995829" w:rsidRDefault="00C7064C">
      <w:pPr>
        <w:spacing w:after="0" w:line="444" w:lineRule="auto"/>
        <w:ind w:firstLine="720"/>
        <w:jc w:val="both"/>
        <w:rPr>
          <w:rFonts w:eastAsia="Times New Roman"/>
          <w:sz w:val="24"/>
        </w:rPr>
      </w:pPr>
      <w:r>
        <w:rPr>
          <w:rFonts w:eastAsia="Times New Roman"/>
          <w:sz w:val="24"/>
        </w:rPr>
        <w:lastRenderedPageBreak/>
        <w:t xml:space="preserve">The ash contents, which indicates the total mineral content, also reflects the nutritional quality of </w:t>
      </w:r>
      <w:r>
        <w:rPr>
          <w:rFonts w:eastAsia="Times New Roman"/>
          <w:i/>
          <w:iCs/>
          <w:sz w:val="24"/>
        </w:rPr>
        <w:t>Sida</w:t>
      </w:r>
      <w:r>
        <w:rPr>
          <w:rFonts w:eastAsia="Times New Roman"/>
          <w:i/>
          <w:iCs/>
          <w:sz w:val="24"/>
        </w:rPr>
        <w:t>acuta</w:t>
      </w:r>
      <w:r>
        <w:rPr>
          <w:rFonts w:eastAsia="Times New Roman"/>
          <w:sz w:val="24"/>
        </w:rPr>
        <w:t xml:space="preserve">. Adegoke </w:t>
      </w:r>
      <w:r>
        <w:rPr>
          <w:rFonts w:eastAsia="Times New Roman"/>
          <w:i/>
          <w:iCs/>
          <w:sz w:val="24"/>
        </w:rPr>
        <w:t>et al</w:t>
      </w:r>
      <w:r>
        <w:rPr>
          <w:rFonts w:eastAsia="Times New Roman"/>
          <w:sz w:val="24"/>
        </w:rPr>
        <w:t>., (2013) reported an ash content of 6.33%, implying that the plant is moderately rich in essential minerals such as calcium, magnesium, and potassium. These minerals are crucial for bone development, nerve function, and enzymatic activ</w:t>
      </w:r>
      <w:r>
        <w:rPr>
          <w:rFonts w:eastAsia="Times New Roman"/>
          <w:sz w:val="24"/>
        </w:rPr>
        <w:t xml:space="preserve">ities. Therefore, </w:t>
      </w:r>
      <w:r>
        <w:rPr>
          <w:rFonts w:eastAsia="Times New Roman"/>
          <w:i/>
          <w:iCs/>
          <w:sz w:val="24"/>
        </w:rPr>
        <w:t>Sidaacuta</w:t>
      </w:r>
      <w:r>
        <w:rPr>
          <w:rFonts w:eastAsia="Times New Roman"/>
          <w:sz w:val="24"/>
        </w:rPr>
        <w:t xml:space="preserve"> may help supplement mineral deficiencies, especially in malnourished populations.</w:t>
      </w:r>
    </w:p>
    <w:p w:rsidR="00995829" w:rsidRDefault="00C7064C">
      <w:pPr>
        <w:spacing w:after="0" w:line="444" w:lineRule="auto"/>
        <w:ind w:firstLine="720"/>
        <w:jc w:val="both"/>
        <w:rPr>
          <w:rFonts w:eastAsia="Times New Roman"/>
          <w:sz w:val="24"/>
        </w:rPr>
      </w:pPr>
      <w:r>
        <w:rPr>
          <w:rFonts w:eastAsia="Times New Roman"/>
          <w:sz w:val="24"/>
        </w:rPr>
        <w:t xml:space="preserve">In terms of carbohydrates, </w:t>
      </w:r>
      <w:r>
        <w:rPr>
          <w:rFonts w:eastAsia="Times New Roman"/>
          <w:i/>
          <w:iCs/>
          <w:sz w:val="24"/>
        </w:rPr>
        <w:t>Sidaacuta</w:t>
      </w:r>
      <w:r>
        <w:rPr>
          <w:rFonts w:eastAsia="Times New Roman"/>
          <w:sz w:val="24"/>
        </w:rPr>
        <w:t xml:space="preserve"> contains a significant amount. Adegoke </w:t>
      </w:r>
      <w:r>
        <w:rPr>
          <w:rFonts w:eastAsia="Times New Roman"/>
          <w:i/>
          <w:iCs/>
          <w:sz w:val="24"/>
        </w:rPr>
        <w:t>et al</w:t>
      </w:r>
      <w:r>
        <w:rPr>
          <w:rFonts w:eastAsia="Times New Roman"/>
          <w:sz w:val="24"/>
        </w:rPr>
        <w:t xml:space="preserve">. (2013) recorded a carbohydrate concentration of 55.30%, making </w:t>
      </w:r>
      <w:r>
        <w:rPr>
          <w:rFonts w:eastAsia="Times New Roman"/>
          <w:sz w:val="24"/>
        </w:rPr>
        <w:t xml:space="preserve">the plant a potentially good source of energy. Carbohydrates serve as the body's primary fuel, and energy-dense plants like </w:t>
      </w:r>
      <w:r>
        <w:rPr>
          <w:rFonts w:eastAsia="Times New Roman"/>
          <w:i/>
          <w:iCs/>
          <w:sz w:val="24"/>
        </w:rPr>
        <w:t>Sidaacuta</w:t>
      </w:r>
      <w:r>
        <w:rPr>
          <w:rFonts w:eastAsia="Times New Roman"/>
          <w:sz w:val="24"/>
        </w:rPr>
        <w:t xml:space="preserve"> could be of great value in food programs aimed at combating hunger. Furthermore, Shittu and Alagbe, (2020) calculated an e</w:t>
      </w:r>
      <w:r>
        <w:rPr>
          <w:rFonts w:eastAsia="Times New Roman"/>
          <w:sz w:val="24"/>
        </w:rPr>
        <w:t>nergy value of 2760 Kcal/kg for the plant, emphasizing its potential as a high-calorie dietary component, particularly in regions experiencing food scarcity.</w:t>
      </w:r>
    </w:p>
    <w:p w:rsidR="00995829" w:rsidRDefault="00C7064C">
      <w:pPr>
        <w:spacing w:after="0" w:line="444" w:lineRule="auto"/>
        <w:ind w:firstLine="720"/>
        <w:jc w:val="both"/>
        <w:rPr>
          <w:sz w:val="24"/>
        </w:rPr>
      </w:pPr>
      <w:r>
        <w:rPr>
          <w:sz w:val="24"/>
        </w:rPr>
        <w:t xml:space="preserve">The important of plants of various types cannot be over </w:t>
      </w:r>
      <w:r>
        <w:rPr>
          <w:sz w:val="24"/>
        </w:rPr>
        <w:t>emphasized</w:t>
      </w:r>
      <w:r>
        <w:rPr>
          <w:sz w:val="24"/>
        </w:rPr>
        <w:t xml:space="preserve">. Since the time immemorial, </w:t>
      </w:r>
      <w:r>
        <w:rPr>
          <w:sz w:val="24"/>
        </w:rPr>
        <w:t>plant has been taking so important in various approaches. Several plant leaves are delicacy in the preparation of stew in some tribes, which when its number and types is not complete the stew look awkward and unacceptable to them. The belief is that differ</w:t>
      </w:r>
      <w:r>
        <w:rPr>
          <w:sz w:val="24"/>
        </w:rPr>
        <w:t>ent plant contributes different nutrient to the stew which make it delicious and nutritional. Therefore, plenty plants of proven nutritional/ medicinal quality are of important to many pharmaceutical companies manufacturing a wide range of allopathic medic</w:t>
      </w:r>
      <w:r>
        <w:rPr>
          <w:sz w:val="24"/>
        </w:rPr>
        <w:t>ines, due to their phytochemical properties. This has caused increasing consideration of natural drug to an individual and most companies producing most synthetic drug (Shittu and Alagbe, 2020).</w:t>
      </w:r>
    </w:p>
    <w:p w:rsidR="00995829" w:rsidRDefault="00C7064C">
      <w:pPr>
        <w:spacing w:after="0" w:line="480" w:lineRule="auto"/>
        <w:ind w:firstLine="720"/>
        <w:jc w:val="both"/>
        <w:rPr>
          <w:sz w:val="24"/>
        </w:rPr>
      </w:pPr>
      <w:r>
        <w:rPr>
          <w:i/>
          <w:sz w:val="24"/>
        </w:rPr>
        <w:lastRenderedPageBreak/>
        <w:t>Sidaacuta</w:t>
      </w:r>
      <w:r>
        <w:rPr>
          <w:sz w:val="24"/>
        </w:rPr>
        <w:t xml:space="preserve"> (broom weed) is one of the plants with medicinal po</w:t>
      </w:r>
      <w:r>
        <w:rPr>
          <w:sz w:val="24"/>
        </w:rPr>
        <w:t xml:space="preserve">tential qualities and present in abundance in the tropics. It is drought resistance tropical weeds that are common in almost everywhere. </w:t>
      </w:r>
      <w:r>
        <w:rPr>
          <w:i/>
          <w:sz w:val="24"/>
        </w:rPr>
        <w:t>Sidaacuta</w:t>
      </w:r>
      <w:r>
        <w:rPr>
          <w:sz w:val="24"/>
        </w:rPr>
        <w:t xml:space="preserve"> is an erect, branched and perennial shrub with a woody tap root, hairy branded up to 1 m high and is reproduc</w:t>
      </w:r>
      <w:r>
        <w:rPr>
          <w:sz w:val="24"/>
        </w:rPr>
        <w:t>ed from their seeds. The stem is woody, rounded and slender, and is fibrous and hairy especially when young. The leaves are simple and alternate while the inflorescence is solitary and axillary with stalks up to 1.3 cm long jointed about half of the length</w:t>
      </w:r>
      <w:r>
        <w:rPr>
          <w:sz w:val="24"/>
        </w:rPr>
        <w:t>. The flowers are yellow with five petals and the fruit is capsuled with 5-6 carpels (Ekpo and Etim, 2009).</w:t>
      </w:r>
    </w:p>
    <w:p w:rsidR="00995829" w:rsidRDefault="00C7064C">
      <w:pPr>
        <w:spacing w:after="0" w:line="480" w:lineRule="auto"/>
        <w:ind w:firstLine="720"/>
        <w:jc w:val="both"/>
        <w:rPr>
          <w:color w:val="000000"/>
          <w:sz w:val="24"/>
          <w:shd w:val="clear" w:color="auto" w:fill="FFFFFF"/>
        </w:rPr>
      </w:pPr>
      <w:r>
        <w:rPr>
          <w:i/>
          <w:sz w:val="24"/>
        </w:rPr>
        <w:t>Sidaacuta</w:t>
      </w:r>
      <w:r>
        <w:rPr>
          <w:sz w:val="24"/>
        </w:rPr>
        <w:t xml:space="preserve"> is a malvaceous weed that frequently dominates improved pastures, waste and disturbed places roadsides (Mann </w:t>
      </w:r>
      <w:r>
        <w:rPr>
          <w:i/>
          <w:iCs/>
          <w:sz w:val="24"/>
        </w:rPr>
        <w:t>et al</w:t>
      </w:r>
      <w:r>
        <w:rPr>
          <w:sz w:val="24"/>
        </w:rPr>
        <w:t>., 2003). The plant is n</w:t>
      </w:r>
      <w:r>
        <w:rPr>
          <w:sz w:val="24"/>
        </w:rPr>
        <w:t>ative to Mexico and Central America but has spread throughout the tropics and subtropics. In traditional medicine, the plant is often assumed to treat diseases such as fever, headache, skin diseases, diarrhea, and dysentery. Referring to the traditional kn</w:t>
      </w:r>
      <w:r>
        <w:rPr>
          <w:sz w:val="24"/>
        </w:rPr>
        <w:t xml:space="preserve">owledge, studies have been carried out to confirm the activities the plant is assumed to exert </w:t>
      </w:r>
      <w:r>
        <w:rPr>
          <w:i/>
          <w:sz w:val="24"/>
        </w:rPr>
        <w:t>in vivo</w:t>
      </w:r>
      <w:r>
        <w:rPr>
          <w:sz w:val="24"/>
        </w:rPr>
        <w:t>. The described pharmacological properties of the plants involve the antiplasmodial, antimicrobial, antioxidant, cytotoxic activities and many other prope</w:t>
      </w:r>
      <w:r>
        <w:rPr>
          <w:sz w:val="24"/>
        </w:rPr>
        <w:t>rties. Some studies resulted in the isolation of single compounds while the others just demonstrated the activity of the crude extracts (</w:t>
      </w:r>
      <w:r>
        <w:rPr>
          <w:color w:val="000000"/>
          <w:sz w:val="24"/>
          <w:shd w:val="clear" w:color="auto" w:fill="FFFFFF"/>
        </w:rPr>
        <w:t xml:space="preserve">Simplice </w:t>
      </w:r>
      <w:r>
        <w:rPr>
          <w:i/>
          <w:iCs/>
          <w:color w:val="000000"/>
          <w:sz w:val="24"/>
          <w:shd w:val="clear" w:color="auto" w:fill="FFFFFF"/>
        </w:rPr>
        <w:t>et al</w:t>
      </w:r>
      <w:r>
        <w:rPr>
          <w:color w:val="000000"/>
          <w:sz w:val="24"/>
          <w:shd w:val="clear" w:color="auto" w:fill="FFFFFF"/>
        </w:rPr>
        <w:t>., 2007).</w:t>
      </w:r>
    </w:p>
    <w:p w:rsidR="00995829" w:rsidRDefault="00C7064C">
      <w:pPr>
        <w:pStyle w:val="Heading1"/>
        <w:spacing w:before="0" w:after="0" w:line="480" w:lineRule="auto"/>
        <w:jc w:val="both"/>
        <w:rPr>
          <w:sz w:val="24"/>
          <w:szCs w:val="24"/>
        </w:rPr>
      </w:pPr>
      <w:bookmarkStart w:id="15" w:name="_Toc199791369"/>
      <w:r>
        <w:rPr>
          <w:sz w:val="24"/>
          <w:szCs w:val="24"/>
        </w:rPr>
        <w:lastRenderedPageBreak/>
        <w:t xml:space="preserve">2.1.1 Medicinal Properties of </w:t>
      </w:r>
      <w:r>
        <w:rPr>
          <w:rStyle w:val="Emphasis"/>
          <w:bCs/>
          <w:sz w:val="24"/>
        </w:rPr>
        <w:t>Sidaacuta</w:t>
      </w:r>
      <w:bookmarkEnd w:id="15"/>
    </w:p>
    <w:p w:rsidR="00995829" w:rsidRDefault="00C7064C">
      <w:pPr>
        <w:spacing w:after="0" w:line="480" w:lineRule="auto"/>
        <w:ind w:firstLine="720"/>
        <w:jc w:val="both"/>
        <w:rPr>
          <w:color w:val="000000"/>
          <w:sz w:val="24"/>
          <w:shd w:val="clear" w:color="auto" w:fill="FFFFFF"/>
        </w:rPr>
      </w:pPr>
      <w:r>
        <w:rPr>
          <w:sz w:val="24"/>
        </w:rPr>
        <w:t xml:space="preserve">The bark is smooth, greenish, the root is thin, long, cylindrical and very rough; leaves are lanceolate, the flowers are yellow, solitary or in pairs; seeds are smooth and black. In Indian traditional medicine, the root of </w:t>
      </w:r>
      <w:r>
        <w:rPr>
          <w:i/>
          <w:sz w:val="24"/>
        </w:rPr>
        <w:t>Sidaacuta</w:t>
      </w:r>
      <w:r>
        <w:rPr>
          <w:sz w:val="24"/>
        </w:rPr>
        <w:t xml:space="preserve"> is extensively used as </w:t>
      </w:r>
      <w:r>
        <w:rPr>
          <w:sz w:val="24"/>
        </w:rPr>
        <w:t xml:space="preserve">a stomachic, diaphoretic and antipyretic. It is regarded as cooling, astringent, tonic and useful in treating nervous and urinary diseases and also disorders of the blood, bile and liver (Khare </w:t>
      </w:r>
      <w:r>
        <w:rPr>
          <w:i/>
          <w:iCs/>
          <w:sz w:val="24"/>
        </w:rPr>
        <w:t>et al</w:t>
      </w:r>
      <w:r>
        <w:rPr>
          <w:sz w:val="24"/>
        </w:rPr>
        <w:t>., 2002). It is also used to treat gonorrhoea, elephantia</w:t>
      </w:r>
      <w:r>
        <w:rPr>
          <w:sz w:val="24"/>
        </w:rPr>
        <w:t>sis and ulcers and is claimed to have aphrodisiac properties. The juice of the root is applied to wound. The whole plant is used to treat snake bite and it lessened the haemorrhagic effect of Bothropsatrox venom (</w:t>
      </w:r>
      <w:r>
        <w:rPr>
          <w:color w:val="000000"/>
          <w:sz w:val="24"/>
          <w:shd w:val="clear" w:color="auto" w:fill="FFFFFF"/>
        </w:rPr>
        <w:t xml:space="preserve">Sreedevi </w:t>
      </w:r>
      <w:r>
        <w:rPr>
          <w:i/>
          <w:iCs/>
          <w:color w:val="000000"/>
          <w:sz w:val="24"/>
          <w:shd w:val="clear" w:color="auto" w:fill="FFFFFF"/>
        </w:rPr>
        <w:t>et al</w:t>
      </w:r>
      <w:r>
        <w:rPr>
          <w:color w:val="000000"/>
          <w:sz w:val="24"/>
          <w:shd w:val="clear" w:color="auto" w:fill="FFFFFF"/>
        </w:rPr>
        <w:t xml:space="preserve">., 2009). </w:t>
      </w:r>
      <w:r>
        <w:rPr>
          <w:sz w:val="24"/>
        </w:rPr>
        <w:t>The ethanol extract</w:t>
      </w:r>
      <w:r>
        <w:rPr>
          <w:sz w:val="24"/>
        </w:rPr>
        <w:t xml:space="preserve"> of S. acuta whole plant exhibited moderate anti-ulcer activity in ulcer models in rats (Malairajan </w:t>
      </w:r>
      <w:r>
        <w:rPr>
          <w:i/>
          <w:iCs/>
          <w:sz w:val="24"/>
        </w:rPr>
        <w:t>et al</w:t>
      </w:r>
      <w:r>
        <w:rPr>
          <w:sz w:val="24"/>
        </w:rPr>
        <w:t xml:space="preserve">., 2006). The ethanol extract of S. acuta leaf also exhibited antiulcer activity in ulcer models in rats (Akilandeswari </w:t>
      </w:r>
      <w:r>
        <w:rPr>
          <w:i/>
          <w:iCs/>
          <w:sz w:val="24"/>
        </w:rPr>
        <w:t>et al</w:t>
      </w:r>
      <w:r>
        <w:rPr>
          <w:sz w:val="24"/>
        </w:rPr>
        <w:t>., 2010). The methanol (Me</w:t>
      </w:r>
      <w:r>
        <w:rPr>
          <w:sz w:val="24"/>
        </w:rPr>
        <w:t xml:space="preserve">OH) extract of </w:t>
      </w:r>
      <w:r>
        <w:rPr>
          <w:rStyle w:val="Emphasis"/>
          <w:sz w:val="24"/>
        </w:rPr>
        <w:t>Sida cordifolia</w:t>
      </w:r>
      <w:r>
        <w:rPr>
          <w:sz w:val="24"/>
        </w:rPr>
        <w:t xml:space="preserve"> aerial parts demonstrated significant antiulcer activity in an aspirin plus ethanol-induced ulcer model in rats, as reported by Philip </w:t>
      </w:r>
      <w:r>
        <w:rPr>
          <w:i/>
          <w:sz w:val="24"/>
        </w:rPr>
        <w:t>et al.,</w:t>
      </w:r>
      <w:r>
        <w:rPr>
          <w:sz w:val="24"/>
        </w:rPr>
        <w:t xml:space="preserve"> (2008). Antiulcer activity of S acuta leaf extract advocates the traditional use o</w:t>
      </w:r>
      <w:r>
        <w:rPr>
          <w:sz w:val="24"/>
        </w:rPr>
        <w:t>f the plant leaf in gastric disorders and ulcers (</w:t>
      </w:r>
      <w:r>
        <w:rPr>
          <w:color w:val="000000"/>
          <w:sz w:val="24"/>
          <w:shd w:val="clear" w:color="auto" w:fill="FFFFFF"/>
        </w:rPr>
        <w:t xml:space="preserve">Dinda </w:t>
      </w:r>
      <w:r>
        <w:rPr>
          <w:i/>
          <w:iCs/>
          <w:color w:val="000000"/>
          <w:sz w:val="24"/>
          <w:shd w:val="clear" w:color="auto" w:fill="FFFFFF"/>
        </w:rPr>
        <w:t>et al</w:t>
      </w:r>
      <w:r>
        <w:rPr>
          <w:color w:val="000000"/>
          <w:sz w:val="24"/>
          <w:shd w:val="clear" w:color="auto" w:fill="FFFFFF"/>
        </w:rPr>
        <w:t>., 2015).</w:t>
      </w:r>
    </w:p>
    <w:p w:rsidR="00995829" w:rsidRDefault="00C7064C">
      <w:pPr>
        <w:spacing w:after="0" w:line="480" w:lineRule="auto"/>
        <w:ind w:firstLine="720"/>
        <w:jc w:val="both"/>
        <w:rPr>
          <w:sz w:val="24"/>
        </w:rPr>
      </w:pPr>
      <w:r>
        <w:rPr>
          <w:i/>
          <w:sz w:val="24"/>
          <w:shd w:val="clear" w:color="auto" w:fill="FFFFFF"/>
        </w:rPr>
        <w:t>Sidaacuta</w:t>
      </w:r>
      <w:r>
        <w:rPr>
          <w:sz w:val="24"/>
          <w:shd w:val="clear" w:color="auto" w:fill="FFFFFF"/>
        </w:rPr>
        <w:t xml:space="preserve"> has wide applications, in Nigeria in folk medicine.  Some  herbalists  have  claimed  the use  of  this  plant  traditionally  to  cure  infections and  ailments  such   as   </w:t>
      </w:r>
      <w:r>
        <w:rPr>
          <w:sz w:val="24"/>
          <w:shd w:val="clear" w:color="auto" w:fill="FFFFFF"/>
        </w:rPr>
        <w:t xml:space="preserve">fever,  ulcer,   gonorrhea, malaria, and breast cancer following inflammations and    wound    infections.    The described  pharmacological  attribute  </w:t>
      </w:r>
      <w:r>
        <w:rPr>
          <w:sz w:val="24"/>
          <w:shd w:val="clear" w:color="auto" w:fill="FFFFFF"/>
        </w:rPr>
        <w:lastRenderedPageBreak/>
        <w:t xml:space="preserve">of  the  plant includes antioxidant, antimicrobial, anti-inflammatory and several others (Mbajiuka </w:t>
      </w:r>
      <w:r>
        <w:rPr>
          <w:i/>
          <w:iCs/>
          <w:sz w:val="24"/>
          <w:shd w:val="clear" w:color="auto" w:fill="FFFFFF"/>
        </w:rPr>
        <w:t>et a</w:t>
      </w:r>
      <w:r>
        <w:rPr>
          <w:i/>
          <w:iCs/>
          <w:sz w:val="24"/>
          <w:shd w:val="clear" w:color="auto" w:fill="FFFFFF"/>
        </w:rPr>
        <w:t>l</w:t>
      </w:r>
      <w:r>
        <w:rPr>
          <w:sz w:val="24"/>
          <w:shd w:val="clear" w:color="auto" w:fill="FFFFFF"/>
        </w:rPr>
        <w:t>., 2014).  The  leaf  part  of  the  plant  is  the  most commonly  and  frequently  used  against  various diseases (Shittu and Alagbe, 2020).</w:t>
      </w:r>
    </w:p>
    <w:p w:rsidR="00995829" w:rsidRDefault="00C7064C">
      <w:pPr>
        <w:spacing w:after="0" w:line="480" w:lineRule="auto"/>
        <w:ind w:firstLine="720"/>
        <w:jc w:val="both"/>
        <w:rPr>
          <w:color w:val="000000"/>
          <w:sz w:val="24"/>
          <w:shd w:val="clear" w:color="auto" w:fill="FFFFFF"/>
        </w:rPr>
      </w:pPr>
      <w:r>
        <w:rPr>
          <w:i/>
          <w:sz w:val="24"/>
        </w:rPr>
        <w:t>S. acuta</w:t>
      </w:r>
      <w:r>
        <w:rPr>
          <w:sz w:val="24"/>
        </w:rPr>
        <w:t xml:space="preserve"> is widely distributed in pantropical areas and is widely used as traditional medicine in many cases. The plant is also used for spiritual practices. Table 1 displays the traditional usages of the plant in some regions where it grows. Among illnesses the p</w:t>
      </w:r>
      <w:r>
        <w:rPr>
          <w:sz w:val="24"/>
        </w:rPr>
        <w:t>lant is used to cure, fever is the most cited. The administration may be by oral route for example in the case of fever or by external application of the paste directly on the skin for skin diseases or snake bites. The plant may be used alone or in combina</w:t>
      </w:r>
      <w:r>
        <w:rPr>
          <w:sz w:val="24"/>
        </w:rPr>
        <w:t>tion with other plants according to the diseases or to the healers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rsidR="00995829" w:rsidRDefault="00C7064C">
      <w:pPr>
        <w:rPr>
          <w:b/>
          <w:sz w:val="24"/>
        </w:rPr>
      </w:pPr>
      <w:r>
        <w:rPr>
          <w:b/>
          <w:sz w:val="24"/>
        </w:rPr>
        <w:br w:type="page"/>
      </w:r>
    </w:p>
    <w:p w:rsidR="00995829" w:rsidRDefault="00C7064C">
      <w:pPr>
        <w:spacing w:after="0" w:line="360" w:lineRule="auto"/>
        <w:jc w:val="both"/>
        <w:rPr>
          <w:b/>
          <w:sz w:val="24"/>
        </w:rPr>
      </w:pPr>
      <w:r>
        <w:rPr>
          <w:b/>
          <w:sz w:val="24"/>
        </w:rPr>
        <w:lastRenderedPageBreak/>
        <w:t xml:space="preserve">Table 1: Traditional Usages of </w:t>
      </w:r>
      <w:r>
        <w:rPr>
          <w:b/>
          <w:i/>
          <w:iCs/>
          <w:sz w:val="24"/>
        </w:rPr>
        <w:t>Sidaacuta</w:t>
      </w:r>
      <w:r>
        <w:rPr>
          <w:b/>
          <w:sz w:val="24"/>
        </w:rPr>
        <w:t xml:space="preserve"> in Several Regions</w:t>
      </w:r>
    </w:p>
    <w:tbl>
      <w:tblPr>
        <w:tblStyle w:val="TableGrid"/>
        <w:tblW w:w="8568" w:type="dxa"/>
        <w:tblLook w:val="04A0"/>
      </w:tblPr>
      <w:tblGrid>
        <w:gridCol w:w="1620"/>
        <w:gridCol w:w="1818"/>
        <w:gridCol w:w="1281"/>
        <w:gridCol w:w="3849"/>
      </w:tblGrid>
      <w:tr w:rsidR="00995829">
        <w:tc>
          <w:tcPr>
            <w:tcW w:w="1620" w:type="dxa"/>
          </w:tcPr>
          <w:p w:rsidR="00995829" w:rsidRDefault="00C7064C">
            <w:pPr>
              <w:spacing w:line="360" w:lineRule="auto"/>
              <w:jc w:val="both"/>
              <w:rPr>
                <w:sz w:val="24"/>
              </w:rPr>
            </w:pPr>
            <w:r>
              <w:rPr>
                <w:sz w:val="24"/>
              </w:rPr>
              <w:t xml:space="preserve">Locality </w:t>
            </w:r>
          </w:p>
        </w:tc>
        <w:tc>
          <w:tcPr>
            <w:tcW w:w="1818" w:type="dxa"/>
          </w:tcPr>
          <w:p w:rsidR="00995829" w:rsidRDefault="00C7064C">
            <w:pPr>
              <w:spacing w:line="360" w:lineRule="auto"/>
              <w:jc w:val="both"/>
              <w:rPr>
                <w:sz w:val="24"/>
              </w:rPr>
            </w:pPr>
            <w:r>
              <w:rPr>
                <w:sz w:val="24"/>
              </w:rPr>
              <w:t xml:space="preserve">Local name </w:t>
            </w:r>
          </w:p>
        </w:tc>
        <w:tc>
          <w:tcPr>
            <w:tcW w:w="1281" w:type="dxa"/>
          </w:tcPr>
          <w:p w:rsidR="00995829" w:rsidRDefault="00C7064C">
            <w:pPr>
              <w:spacing w:line="360" w:lineRule="auto"/>
              <w:jc w:val="both"/>
              <w:rPr>
                <w:sz w:val="24"/>
              </w:rPr>
            </w:pPr>
            <w:r>
              <w:rPr>
                <w:sz w:val="24"/>
              </w:rPr>
              <w:t xml:space="preserve">Used part </w:t>
            </w:r>
          </w:p>
        </w:tc>
        <w:tc>
          <w:tcPr>
            <w:tcW w:w="3849" w:type="dxa"/>
          </w:tcPr>
          <w:p w:rsidR="00995829" w:rsidRDefault="00C7064C">
            <w:pPr>
              <w:spacing w:line="360" w:lineRule="auto"/>
              <w:jc w:val="both"/>
              <w:rPr>
                <w:sz w:val="24"/>
              </w:rPr>
            </w:pPr>
            <w:r>
              <w:rPr>
                <w:sz w:val="24"/>
              </w:rPr>
              <w:t>Traditional usages</w:t>
            </w:r>
          </w:p>
        </w:tc>
      </w:tr>
      <w:tr w:rsidR="00995829">
        <w:tc>
          <w:tcPr>
            <w:tcW w:w="1620" w:type="dxa"/>
          </w:tcPr>
          <w:p w:rsidR="00995829" w:rsidRDefault="00C7064C">
            <w:pPr>
              <w:spacing w:line="360" w:lineRule="auto"/>
              <w:jc w:val="both"/>
              <w:rPr>
                <w:sz w:val="24"/>
              </w:rPr>
            </w:pPr>
            <w:r>
              <w:rPr>
                <w:sz w:val="24"/>
              </w:rPr>
              <w:t xml:space="preserve">Guatemala, Nicaragua </w:t>
            </w:r>
          </w:p>
        </w:tc>
        <w:tc>
          <w:tcPr>
            <w:tcW w:w="1818" w:type="dxa"/>
          </w:tcPr>
          <w:p w:rsidR="00995829" w:rsidRDefault="00C7064C">
            <w:pPr>
              <w:spacing w:line="360" w:lineRule="auto"/>
              <w:jc w:val="both"/>
              <w:rPr>
                <w:sz w:val="24"/>
              </w:rPr>
            </w:pPr>
            <w:r>
              <w:rPr>
                <w:sz w:val="24"/>
              </w:rPr>
              <w:t>-</w:t>
            </w:r>
          </w:p>
        </w:tc>
        <w:tc>
          <w:tcPr>
            <w:tcW w:w="1281" w:type="dxa"/>
          </w:tcPr>
          <w:p w:rsidR="00995829" w:rsidRDefault="00C7064C">
            <w:pPr>
              <w:spacing w:line="360" w:lineRule="auto"/>
              <w:jc w:val="both"/>
              <w:rPr>
                <w:sz w:val="24"/>
              </w:rPr>
            </w:pPr>
            <w:r>
              <w:rPr>
                <w:sz w:val="24"/>
              </w:rPr>
              <w:t>WP</w:t>
            </w:r>
          </w:p>
        </w:tc>
        <w:tc>
          <w:tcPr>
            <w:tcW w:w="3849" w:type="dxa"/>
          </w:tcPr>
          <w:p w:rsidR="00995829" w:rsidRDefault="00C7064C">
            <w:pPr>
              <w:spacing w:line="360" w:lineRule="auto"/>
              <w:jc w:val="both"/>
              <w:rPr>
                <w:sz w:val="24"/>
              </w:rPr>
            </w:pPr>
            <w:r>
              <w:rPr>
                <w:sz w:val="24"/>
              </w:rPr>
              <w:t>Asthma, renal inflammation</w:t>
            </w:r>
            <w:r>
              <w:rPr>
                <w:sz w:val="24"/>
              </w:rPr>
              <w:t>, colds, fever, headache, ulcers and worms</w:t>
            </w:r>
          </w:p>
        </w:tc>
      </w:tr>
      <w:tr w:rsidR="00995829">
        <w:tc>
          <w:tcPr>
            <w:tcW w:w="1620" w:type="dxa"/>
          </w:tcPr>
          <w:p w:rsidR="00995829" w:rsidRDefault="00C7064C">
            <w:pPr>
              <w:spacing w:line="360" w:lineRule="auto"/>
              <w:jc w:val="both"/>
              <w:rPr>
                <w:sz w:val="24"/>
              </w:rPr>
            </w:pPr>
            <w:r>
              <w:rPr>
                <w:sz w:val="24"/>
              </w:rPr>
              <w:t xml:space="preserve">ndia (Ghats) </w:t>
            </w:r>
          </w:p>
        </w:tc>
        <w:tc>
          <w:tcPr>
            <w:tcW w:w="1818" w:type="dxa"/>
          </w:tcPr>
          <w:p w:rsidR="00995829" w:rsidRDefault="00C7064C">
            <w:pPr>
              <w:spacing w:line="360" w:lineRule="auto"/>
              <w:jc w:val="both"/>
              <w:rPr>
                <w:sz w:val="24"/>
              </w:rPr>
            </w:pPr>
            <w:r>
              <w:rPr>
                <w:sz w:val="24"/>
              </w:rPr>
              <w:t>Pillavalattichedi</w:t>
            </w:r>
          </w:p>
        </w:tc>
        <w:tc>
          <w:tcPr>
            <w:tcW w:w="1281" w:type="dxa"/>
          </w:tcPr>
          <w:p w:rsidR="00995829" w:rsidRDefault="00C7064C">
            <w:pPr>
              <w:spacing w:line="360" w:lineRule="auto"/>
              <w:jc w:val="both"/>
              <w:rPr>
                <w:sz w:val="24"/>
              </w:rPr>
            </w:pPr>
            <w:r>
              <w:rPr>
                <w:sz w:val="24"/>
              </w:rPr>
              <w:t>WP</w:t>
            </w:r>
          </w:p>
        </w:tc>
        <w:tc>
          <w:tcPr>
            <w:tcW w:w="3849" w:type="dxa"/>
          </w:tcPr>
          <w:p w:rsidR="00995829" w:rsidRDefault="00C7064C">
            <w:pPr>
              <w:spacing w:line="360" w:lineRule="auto"/>
              <w:jc w:val="both"/>
              <w:rPr>
                <w:sz w:val="24"/>
              </w:rPr>
            </w:pPr>
            <w:r>
              <w:rPr>
                <w:sz w:val="24"/>
              </w:rPr>
              <w:t xml:space="preserve">Fever, bronchitis, ulcer, diarrhea, dysentery, skin diseases. The paste of leaves is mixed with coconut oil and applied on head regularly for killing dandruffs and also for </w:t>
            </w:r>
            <w:r>
              <w:rPr>
                <w:sz w:val="24"/>
              </w:rPr>
              <w:t>strengthening hair</w:t>
            </w:r>
          </w:p>
        </w:tc>
      </w:tr>
      <w:tr w:rsidR="00995829">
        <w:tc>
          <w:tcPr>
            <w:tcW w:w="1620" w:type="dxa"/>
          </w:tcPr>
          <w:p w:rsidR="00995829" w:rsidRDefault="00C7064C">
            <w:pPr>
              <w:spacing w:line="360" w:lineRule="auto"/>
              <w:jc w:val="both"/>
              <w:rPr>
                <w:sz w:val="24"/>
              </w:rPr>
            </w:pPr>
            <w:r>
              <w:rPr>
                <w:sz w:val="24"/>
              </w:rPr>
              <w:t xml:space="preserve">Kenya (Digo) </w:t>
            </w:r>
          </w:p>
        </w:tc>
        <w:tc>
          <w:tcPr>
            <w:tcW w:w="1818" w:type="dxa"/>
          </w:tcPr>
          <w:p w:rsidR="00995829" w:rsidRDefault="00C7064C">
            <w:pPr>
              <w:spacing w:line="360" w:lineRule="auto"/>
              <w:jc w:val="both"/>
              <w:rPr>
                <w:sz w:val="24"/>
              </w:rPr>
            </w:pPr>
            <w:r>
              <w:rPr>
                <w:sz w:val="24"/>
              </w:rPr>
              <w:t>Mbundugo</w:t>
            </w:r>
          </w:p>
        </w:tc>
        <w:tc>
          <w:tcPr>
            <w:tcW w:w="1281" w:type="dxa"/>
          </w:tcPr>
          <w:p w:rsidR="00995829" w:rsidRDefault="00C7064C">
            <w:pPr>
              <w:spacing w:line="360" w:lineRule="auto"/>
              <w:jc w:val="both"/>
              <w:rPr>
                <w:sz w:val="24"/>
              </w:rPr>
            </w:pPr>
            <w:r>
              <w:rPr>
                <w:sz w:val="24"/>
              </w:rPr>
              <w:t>WP</w:t>
            </w:r>
          </w:p>
        </w:tc>
        <w:tc>
          <w:tcPr>
            <w:tcW w:w="3849" w:type="dxa"/>
          </w:tcPr>
          <w:p w:rsidR="00995829" w:rsidRDefault="00C7064C">
            <w:pPr>
              <w:spacing w:line="360" w:lineRule="auto"/>
              <w:jc w:val="both"/>
              <w:rPr>
                <w:sz w:val="24"/>
              </w:rPr>
            </w:pPr>
            <w:r>
              <w:rPr>
                <w:sz w:val="24"/>
              </w:rPr>
              <w:t>The plant is used to prepare "Bundugo", a supplementary strength magically added to a person</w:t>
            </w:r>
          </w:p>
        </w:tc>
      </w:tr>
      <w:tr w:rsidR="00995829">
        <w:tc>
          <w:tcPr>
            <w:tcW w:w="1620" w:type="dxa"/>
          </w:tcPr>
          <w:p w:rsidR="00995829" w:rsidRDefault="00C7064C">
            <w:pPr>
              <w:spacing w:line="360" w:lineRule="auto"/>
              <w:jc w:val="both"/>
              <w:rPr>
                <w:sz w:val="24"/>
              </w:rPr>
            </w:pPr>
            <w:r>
              <w:rPr>
                <w:sz w:val="24"/>
              </w:rPr>
              <w:t xml:space="preserve">Nigeria malaria, </w:t>
            </w:r>
          </w:p>
        </w:tc>
        <w:tc>
          <w:tcPr>
            <w:tcW w:w="1818" w:type="dxa"/>
          </w:tcPr>
          <w:p w:rsidR="00995829" w:rsidRDefault="00C7064C">
            <w:pPr>
              <w:spacing w:line="360" w:lineRule="auto"/>
              <w:jc w:val="both"/>
              <w:rPr>
                <w:sz w:val="24"/>
              </w:rPr>
            </w:pPr>
            <w:r>
              <w:rPr>
                <w:sz w:val="24"/>
              </w:rPr>
              <w:t>Iseketu</w:t>
            </w:r>
          </w:p>
        </w:tc>
        <w:tc>
          <w:tcPr>
            <w:tcW w:w="1281" w:type="dxa"/>
          </w:tcPr>
          <w:p w:rsidR="00995829" w:rsidRDefault="00C7064C">
            <w:pPr>
              <w:spacing w:line="360" w:lineRule="auto"/>
              <w:jc w:val="both"/>
              <w:rPr>
                <w:sz w:val="24"/>
              </w:rPr>
            </w:pPr>
            <w:r>
              <w:rPr>
                <w:sz w:val="24"/>
              </w:rPr>
              <w:t>WP, L</w:t>
            </w:r>
          </w:p>
        </w:tc>
        <w:tc>
          <w:tcPr>
            <w:tcW w:w="3849" w:type="dxa"/>
          </w:tcPr>
          <w:p w:rsidR="00995829" w:rsidRDefault="00C7064C">
            <w:pPr>
              <w:spacing w:line="360" w:lineRule="auto"/>
              <w:jc w:val="both"/>
              <w:rPr>
                <w:sz w:val="24"/>
              </w:rPr>
            </w:pPr>
            <w:r>
              <w:rPr>
                <w:sz w:val="24"/>
              </w:rPr>
              <w:t xml:space="preserve">ulcer, fever, gonorrhea, abortion, breast cancer, poisoning, inflammation, feed for </w:t>
            </w:r>
            <w:r>
              <w:rPr>
                <w:sz w:val="24"/>
              </w:rPr>
              <w:t>livestock, stops bleeding, treatment of sores wounds antipyretic</w:t>
            </w:r>
          </w:p>
        </w:tc>
      </w:tr>
      <w:tr w:rsidR="00995829">
        <w:tc>
          <w:tcPr>
            <w:tcW w:w="1620" w:type="dxa"/>
          </w:tcPr>
          <w:p w:rsidR="00995829" w:rsidRDefault="00C7064C">
            <w:pPr>
              <w:spacing w:line="360" w:lineRule="auto"/>
              <w:jc w:val="both"/>
              <w:rPr>
                <w:sz w:val="24"/>
              </w:rPr>
            </w:pPr>
            <w:r>
              <w:rPr>
                <w:sz w:val="24"/>
              </w:rPr>
              <w:t>Togo</w:t>
            </w:r>
          </w:p>
        </w:tc>
        <w:tc>
          <w:tcPr>
            <w:tcW w:w="1818" w:type="dxa"/>
          </w:tcPr>
          <w:p w:rsidR="00995829" w:rsidRDefault="00C7064C">
            <w:pPr>
              <w:spacing w:line="360" w:lineRule="auto"/>
              <w:jc w:val="both"/>
              <w:rPr>
                <w:sz w:val="24"/>
              </w:rPr>
            </w:pPr>
            <w:r>
              <w:rPr>
                <w:sz w:val="24"/>
              </w:rPr>
              <w:t>-</w:t>
            </w:r>
          </w:p>
        </w:tc>
        <w:tc>
          <w:tcPr>
            <w:tcW w:w="1281" w:type="dxa"/>
          </w:tcPr>
          <w:p w:rsidR="00995829" w:rsidRDefault="00C7064C">
            <w:pPr>
              <w:spacing w:line="360" w:lineRule="auto"/>
              <w:jc w:val="both"/>
              <w:rPr>
                <w:sz w:val="24"/>
              </w:rPr>
            </w:pPr>
            <w:r>
              <w:rPr>
                <w:sz w:val="24"/>
              </w:rPr>
              <w:t>L</w:t>
            </w:r>
          </w:p>
        </w:tc>
        <w:tc>
          <w:tcPr>
            <w:tcW w:w="3849" w:type="dxa"/>
          </w:tcPr>
          <w:p w:rsidR="00995829" w:rsidRDefault="00C7064C">
            <w:pPr>
              <w:spacing w:line="360" w:lineRule="auto"/>
              <w:jc w:val="both"/>
              <w:rPr>
                <w:sz w:val="24"/>
              </w:rPr>
            </w:pPr>
            <w:r>
              <w:rPr>
                <w:sz w:val="24"/>
              </w:rPr>
              <w:t>Eczema, kidney stone, headache</w:t>
            </w:r>
          </w:p>
        </w:tc>
      </w:tr>
      <w:tr w:rsidR="00995829">
        <w:tc>
          <w:tcPr>
            <w:tcW w:w="1620" w:type="dxa"/>
          </w:tcPr>
          <w:p w:rsidR="00995829" w:rsidRDefault="00C7064C">
            <w:pPr>
              <w:spacing w:line="360" w:lineRule="auto"/>
              <w:jc w:val="both"/>
              <w:rPr>
                <w:sz w:val="24"/>
              </w:rPr>
            </w:pPr>
            <w:r>
              <w:rPr>
                <w:sz w:val="24"/>
              </w:rPr>
              <w:t xml:space="preserve">Western Colombia </w:t>
            </w:r>
          </w:p>
        </w:tc>
        <w:tc>
          <w:tcPr>
            <w:tcW w:w="1818" w:type="dxa"/>
          </w:tcPr>
          <w:p w:rsidR="00995829" w:rsidRDefault="00C7064C">
            <w:pPr>
              <w:spacing w:line="360" w:lineRule="auto"/>
              <w:jc w:val="both"/>
              <w:rPr>
                <w:sz w:val="24"/>
              </w:rPr>
            </w:pPr>
            <w:r>
              <w:rPr>
                <w:sz w:val="24"/>
              </w:rPr>
              <w:t>-</w:t>
            </w:r>
          </w:p>
        </w:tc>
        <w:tc>
          <w:tcPr>
            <w:tcW w:w="1281" w:type="dxa"/>
          </w:tcPr>
          <w:p w:rsidR="00995829" w:rsidRDefault="00C7064C">
            <w:pPr>
              <w:spacing w:line="360" w:lineRule="auto"/>
              <w:jc w:val="both"/>
              <w:rPr>
                <w:sz w:val="24"/>
              </w:rPr>
            </w:pPr>
            <w:r>
              <w:rPr>
                <w:sz w:val="24"/>
              </w:rPr>
              <w:t>WP</w:t>
            </w:r>
          </w:p>
        </w:tc>
        <w:tc>
          <w:tcPr>
            <w:tcW w:w="3849" w:type="dxa"/>
          </w:tcPr>
          <w:p w:rsidR="00995829" w:rsidRDefault="00C7064C">
            <w:pPr>
              <w:spacing w:line="360" w:lineRule="auto"/>
              <w:jc w:val="both"/>
              <w:rPr>
                <w:sz w:val="24"/>
              </w:rPr>
            </w:pPr>
            <w:r>
              <w:rPr>
                <w:sz w:val="24"/>
              </w:rPr>
              <w:t>Snakebites</w:t>
            </w:r>
          </w:p>
        </w:tc>
      </w:tr>
      <w:tr w:rsidR="00995829">
        <w:tc>
          <w:tcPr>
            <w:tcW w:w="1620" w:type="dxa"/>
          </w:tcPr>
          <w:p w:rsidR="00995829" w:rsidRDefault="00C7064C">
            <w:pPr>
              <w:spacing w:line="360" w:lineRule="auto"/>
              <w:jc w:val="both"/>
              <w:rPr>
                <w:sz w:val="24"/>
              </w:rPr>
            </w:pPr>
            <w:r>
              <w:rPr>
                <w:sz w:val="24"/>
              </w:rPr>
              <w:t xml:space="preserve">Burkina Faso (Mossi Central Plate) </w:t>
            </w:r>
          </w:p>
        </w:tc>
        <w:tc>
          <w:tcPr>
            <w:tcW w:w="1818" w:type="dxa"/>
          </w:tcPr>
          <w:p w:rsidR="00995829" w:rsidRDefault="00C7064C">
            <w:pPr>
              <w:spacing w:line="360" w:lineRule="auto"/>
              <w:jc w:val="both"/>
              <w:rPr>
                <w:sz w:val="24"/>
              </w:rPr>
            </w:pPr>
            <w:r>
              <w:rPr>
                <w:sz w:val="24"/>
              </w:rPr>
              <w:t>Zon-Raaga</w:t>
            </w:r>
          </w:p>
        </w:tc>
        <w:tc>
          <w:tcPr>
            <w:tcW w:w="1281" w:type="dxa"/>
          </w:tcPr>
          <w:p w:rsidR="00995829" w:rsidRDefault="00C7064C">
            <w:pPr>
              <w:spacing w:line="360" w:lineRule="auto"/>
              <w:jc w:val="both"/>
              <w:rPr>
                <w:sz w:val="24"/>
              </w:rPr>
            </w:pPr>
            <w:r>
              <w:rPr>
                <w:sz w:val="24"/>
              </w:rPr>
              <w:t>WP</w:t>
            </w:r>
          </w:p>
        </w:tc>
        <w:tc>
          <w:tcPr>
            <w:tcW w:w="3849" w:type="dxa"/>
          </w:tcPr>
          <w:p w:rsidR="00995829" w:rsidRDefault="00C7064C">
            <w:pPr>
              <w:spacing w:line="360" w:lineRule="auto"/>
              <w:jc w:val="both"/>
              <w:rPr>
                <w:sz w:val="24"/>
              </w:rPr>
            </w:pPr>
            <w:r>
              <w:rPr>
                <w:sz w:val="24"/>
              </w:rPr>
              <w:t>Fever, diarrhea, pulmonary affection, snakebites, insects' bites.</w:t>
            </w:r>
            <w:r>
              <w:rPr>
                <w:sz w:val="24"/>
              </w:rPr>
              <w:t xml:space="preserve"> Paste of leaves mixed with salt is applied on </w:t>
            </w:r>
            <w:r>
              <w:rPr>
                <w:sz w:val="24"/>
              </w:rPr>
              <w:lastRenderedPageBreak/>
              <w:t>skin to cure panaris</w:t>
            </w:r>
          </w:p>
        </w:tc>
      </w:tr>
    </w:tbl>
    <w:p w:rsidR="00995829" w:rsidRDefault="00C7064C">
      <w:pPr>
        <w:spacing w:after="0" w:line="480" w:lineRule="auto"/>
        <w:jc w:val="both"/>
        <w:rPr>
          <w:sz w:val="24"/>
        </w:rPr>
      </w:pPr>
      <w:r>
        <w:rPr>
          <w:sz w:val="24"/>
        </w:rPr>
        <w:lastRenderedPageBreak/>
        <w:t>-: non available data, L: leaves, R: roots, WP: whole plant</w:t>
      </w:r>
    </w:p>
    <w:p w:rsidR="00995829" w:rsidRDefault="00C7064C">
      <w:pPr>
        <w:spacing w:after="0" w:line="480" w:lineRule="auto"/>
        <w:jc w:val="both"/>
        <w:rPr>
          <w:sz w:val="24"/>
        </w:rPr>
      </w:pPr>
      <w:r>
        <w:rPr>
          <w:sz w:val="24"/>
        </w:rPr>
        <w:t xml:space="preserve">Source: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rsidR="00995829" w:rsidRDefault="00C7064C">
      <w:pPr>
        <w:spacing w:after="0" w:line="480" w:lineRule="auto"/>
        <w:ind w:firstLine="720"/>
        <w:jc w:val="both"/>
        <w:rPr>
          <w:sz w:val="24"/>
        </w:rPr>
      </w:pPr>
      <w:r>
        <w:rPr>
          <w:sz w:val="24"/>
        </w:rPr>
        <w:t xml:space="preserve">Since </w:t>
      </w:r>
      <w:r>
        <w:rPr>
          <w:i/>
          <w:iCs/>
          <w:sz w:val="24"/>
        </w:rPr>
        <w:t>S.acuta</w:t>
      </w:r>
      <w:r>
        <w:rPr>
          <w:sz w:val="24"/>
        </w:rPr>
        <w:t xml:space="preserve"> has several usages in folk medicine it has been involved in many other pharmacologic</w:t>
      </w:r>
      <w:r>
        <w:rPr>
          <w:sz w:val="24"/>
        </w:rPr>
        <w:t xml:space="preserve">al screenings. The plant has been screened for its cancer chemopreventive properties by Jang </w:t>
      </w:r>
      <w:r>
        <w:rPr>
          <w:i/>
          <w:iCs/>
          <w:sz w:val="24"/>
        </w:rPr>
        <w:t>et al</w:t>
      </w:r>
      <w:r>
        <w:rPr>
          <w:sz w:val="24"/>
        </w:rPr>
        <w:t>., (2003). The study resulted in the isolation of several compounds, among them quindolinone, cryptolepinone and 11- methoxyquindoline was found to induce qui</w:t>
      </w:r>
      <w:r>
        <w:rPr>
          <w:sz w:val="24"/>
        </w:rPr>
        <w:t>none reductase activity, while cryptolepinone, ntransferuloyltyramine exhibited a significant inhibition of 7, 12-dimethylbenz-[a]anthracene-induce preneoplastic lesions in mouse mammary organ culture model. These observations suggested that cryptolepinone</w:t>
      </w:r>
      <w:r>
        <w:rPr>
          <w:sz w:val="24"/>
        </w:rPr>
        <w:t xml:space="preserve"> was a potential chemopreventive agent. </w:t>
      </w:r>
    </w:p>
    <w:p w:rsidR="00995829" w:rsidRDefault="00C7064C">
      <w:pPr>
        <w:spacing w:after="0" w:line="480" w:lineRule="auto"/>
        <w:ind w:firstLine="720"/>
        <w:jc w:val="both"/>
        <w:rPr>
          <w:sz w:val="24"/>
        </w:rPr>
      </w:pPr>
      <w:r>
        <w:rPr>
          <w:sz w:val="24"/>
        </w:rPr>
        <w:t>The polyphenol extract of the plant was tested together with polyphenol extract of other medicinal plants for antioxidant activity through free radical scavenging. The tests were performed using the phosphomolybdenu</w:t>
      </w:r>
      <w:r>
        <w:rPr>
          <w:sz w:val="24"/>
        </w:rPr>
        <w:t>m reduction and the ABTS radical cation decolorization assays with trolox as standard antioxidant. The results showed that there was a good correlation between the two methods (r = 0.9) and S. acuta had a weak free radical scavenging according to values re</w:t>
      </w:r>
      <w:r>
        <w:rPr>
          <w:sz w:val="24"/>
        </w:rPr>
        <w:t xml:space="preserve">corded with bark extracts of K. Senegalensis, P. erinaceus and C. micranthum in the same study. The activities were highly correlated with the total phenolic content determined </w:t>
      </w:r>
      <w:r>
        <w:rPr>
          <w:sz w:val="24"/>
        </w:rPr>
        <w:lastRenderedPageBreak/>
        <w:t xml:space="preserve">by the Folin-Ciocalteu reagent, with gallic acid as standard (r = 0.94 and r = </w:t>
      </w:r>
      <w:r>
        <w:rPr>
          <w:sz w:val="24"/>
        </w:rPr>
        <w:t>0.91 with the two assays respectively)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rsidR="00995829" w:rsidRDefault="00C7064C">
      <w:pPr>
        <w:spacing w:after="0" w:line="480" w:lineRule="auto"/>
        <w:ind w:firstLine="720"/>
        <w:jc w:val="both"/>
        <w:rPr>
          <w:sz w:val="24"/>
        </w:rPr>
      </w:pPr>
      <w:r>
        <w:rPr>
          <w:sz w:val="24"/>
        </w:rPr>
        <w:t xml:space="preserve">In another study, Otero </w:t>
      </w:r>
      <w:r>
        <w:rPr>
          <w:i/>
          <w:iCs/>
          <w:sz w:val="24"/>
        </w:rPr>
        <w:t>et al</w:t>
      </w:r>
      <w:r>
        <w:rPr>
          <w:sz w:val="24"/>
        </w:rPr>
        <w:t>., (2000) showed that the ethanolic extract of the plant had a moderate activity against the lethal effect of Bothropsatrox venom. In Western Kenya where the plant is</w:t>
      </w:r>
      <w:r>
        <w:rPr>
          <w:sz w:val="24"/>
        </w:rPr>
        <w:t xml:space="preserve"> consumed as legume, a study using Brine shrimp lethality tests revealed that the plant was toxic. The author concluded that the plant can cause acute or chronic toxicities when consumed in large quantities or over a long period of time (Orech </w:t>
      </w:r>
      <w:r>
        <w:rPr>
          <w:i/>
          <w:iCs/>
          <w:sz w:val="24"/>
        </w:rPr>
        <w:t>et al</w:t>
      </w:r>
      <w:r>
        <w:rPr>
          <w:sz w:val="24"/>
        </w:rPr>
        <w:t>., 2005</w:t>
      </w:r>
      <w:r>
        <w:rPr>
          <w:sz w:val="24"/>
        </w:rPr>
        <w:t xml:space="preserve">). Malairajan </w:t>
      </w:r>
      <w:r>
        <w:rPr>
          <w:i/>
          <w:iCs/>
          <w:sz w:val="24"/>
        </w:rPr>
        <w:t>et al</w:t>
      </w:r>
      <w:r>
        <w:rPr>
          <w:sz w:val="24"/>
        </w:rPr>
        <w:t>., (2006) had demonstrated the analgesic properties of the whole plant extract in animal model. The authors conducted the tests using two methods the hot plate method described by Woolfe and Mac Donalds (1944) and the tail immersion meth</w:t>
      </w:r>
      <w:r>
        <w:rPr>
          <w:sz w:val="24"/>
        </w:rPr>
        <w:t>od described by Dykstra and Woods (1986). The screening did not result in the isolation of single compounds but the authors suggested that the observed analgesic activity may be due to steroidal compounds the plant contains (Figure 2.1).</w:t>
      </w:r>
    </w:p>
    <w:p w:rsidR="00995829" w:rsidRDefault="00995829">
      <w:pPr>
        <w:spacing w:after="0" w:line="480" w:lineRule="auto"/>
        <w:ind w:firstLine="720"/>
        <w:jc w:val="both"/>
        <w:rPr>
          <w:sz w:val="24"/>
        </w:rPr>
      </w:pPr>
    </w:p>
    <w:p w:rsidR="00995829" w:rsidRDefault="00995829">
      <w:pPr>
        <w:spacing w:after="0" w:line="480" w:lineRule="auto"/>
        <w:ind w:firstLine="720"/>
        <w:jc w:val="both"/>
        <w:rPr>
          <w:sz w:val="24"/>
        </w:rPr>
      </w:pPr>
    </w:p>
    <w:p w:rsidR="00995829" w:rsidRDefault="00995829">
      <w:pPr>
        <w:spacing w:after="0" w:line="480" w:lineRule="auto"/>
        <w:ind w:firstLine="720"/>
        <w:jc w:val="both"/>
        <w:rPr>
          <w:sz w:val="24"/>
        </w:rPr>
      </w:pPr>
    </w:p>
    <w:p w:rsidR="00995829" w:rsidRDefault="00C7064C">
      <w:pPr>
        <w:spacing w:after="0" w:line="480" w:lineRule="auto"/>
        <w:jc w:val="both"/>
        <w:rPr>
          <w:sz w:val="24"/>
        </w:rPr>
      </w:pPr>
      <w:r>
        <w:rPr>
          <w:noProof/>
          <w:sz w:val="24"/>
        </w:rPr>
        <w:lastRenderedPageBreak/>
        <w:drawing>
          <wp:inline distT="0" distB="0" distL="0" distR="0">
            <wp:extent cx="4606925" cy="3050540"/>
            <wp:effectExtent l="19050" t="0" r="2964"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pic:cNvPicPr>
                  </pic:nvPicPr>
                  <pic:blipFill>
                    <a:blip r:embed="rId11">
                      <a:extLst>
                        <a:ext uri="{BEBA8EAE-BF5A-486C-A8C5-ECC9F3942E4B}">
                          <a14:imgProps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harpenSoften amount="50000"/>
                              </a14:imgEffect>
                            </a14:imgLayer>
                          </a14:imgProps>
                        </a:ext>
                      </a:extLst>
                    </a:blip>
                    <a:srcRect l="10892" r="6529" b="49108"/>
                    <a:stretch>
                      <a:fillRect/>
                    </a:stretch>
                  </pic:blipFill>
                  <pic:spPr>
                    <a:xfrm>
                      <a:off x="0" y="0"/>
                      <a:ext cx="4613742" cy="3055523"/>
                    </a:xfrm>
                    <a:prstGeom prst="rect">
                      <a:avLst/>
                    </a:prstGeom>
                    <a:ln>
                      <a:noFill/>
                    </a:ln>
                  </pic:spPr>
                </pic:pic>
              </a:graphicData>
            </a:graphic>
          </wp:inline>
        </w:drawing>
      </w:r>
    </w:p>
    <w:p w:rsidR="00995829" w:rsidRDefault="00C7064C">
      <w:pPr>
        <w:pStyle w:val="Caption"/>
        <w:spacing w:after="0" w:line="480" w:lineRule="auto"/>
        <w:jc w:val="both"/>
        <w:rPr>
          <w:b/>
          <w:i w:val="0"/>
          <w:iCs w:val="0"/>
          <w:color w:val="auto"/>
          <w:sz w:val="24"/>
          <w:szCs w:val="24"/>
        </w:rPr>
      </w:pPr>
      <w:r>
        <w:rPr>
          <w:noProof/>
          <w:sz w:val="24"/>
          <w:szCs w:val="24"/>
        </w:rPr>
        <w:drawing>
          <wp:inline distT="0" distB="0" distL="0" distR="0">
            <wp:extent cx="4708525" cy="2628900"/>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pic:cNvPicPr>
                  </pic:nvPicPr>
                  <pic:blipFill>
                    <a:blip r:embed="rId11">
                      <a:extLst>
                        <a:ext uri="{BEBA8EAE-BF5A-486C-A8C5-ECC9F3942E4B}">
                          <a14:imgProps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harpenSoften amount="50000"/>
                              </a14:imgEffect>
                            </a14:imgLayer>
                          </a14:imgProps>
                        </a:ext>
                      </a:extLst>
                    </a:blip>
                    <a:srcRect l="7628" t="52006"/>
                    <a:stretch>
                      <a:fillRect/>
                    </a:stretch>
                  </pic:blipFill>
                  <pic:spPr>
                    <a:xfrm>
                      <a:off x="0" y="0"/>
                      <a:ext cx="4729105" cy="2640385"/>
                    </a:xfrm>
                    <a:prstGeom prst="rect">
                      <a:avLst/>
                    </a:prstGeom>
                    <a:ln>
                      <a:noFill/>
                    </a:ln>
                  </pic:spPr>
                </pic:pic>
              </a:graphicData>
            </a:graphic>
          </wp:inline>
        </w:drawing>
      </w:r>
    </w:p>
    <w:p w:rsidR="00995829" w:rsidRDefault="00C7064C">
      <w:pPr>
        <w:pStyle w:val="Caption"/>
        <w:spacing w:after="0" w:line="480" w:lineRule="auto"/>
        <w:jc w:val="both"/>
        <w:rPr>
          <w:b/>
          <w:i w:val="0"/>
          <w:iCs w:val="0"/>
          <w:color w:val="auto"/>
          <w:sz w:val="24"/>
          <w:szCs w:val="24"/>
        </w:rPr>
      </w:pPr>
      <w:r>
        <w:rPr>
          <w:b/>
          <w:i w:val="0"/>
          <w:iCs w:val="0"/>
          <w:color w:val="auto"/>
          <w:sz w:val="24"/>
          <w:szCs w:val="24"/>
        </w:rPr>
        <w:t xml:space="preserve">Fig. 2.1: Chemical Structure of Compounds Isolated from </w:t>
      </w:r>
      <w:r>
        <w:rPr>
          <w:b/>
          <w:iCs w:val="0"/>
          <w:color w:val="auto"/>
          <w:sz w:val="24"/>
          <w:szCs w:val="24"/>
        </w:rPr>
        <w:t xml:space="preserve">S.acuta </w:t>
      </w:r>
    </w:p>
    <w:p w:rsidR="00995829" w:rsidRDefault="00C7064C">
      <w:pPr>
        <w:pStyle w:val="Caption"/>
        <w:spacing w:after="0" w:line="480" w:lineRule="auto"/>
        <w:jc w:val="both"/>
        <w:rPr>
          <w:i w:val="0"/>
          <w:iCs w:val="0"/>
          <w:color w:val="auto"/>
          <w:sz w:val="24"/>
          <w:szCs w:val="24"/>
        </w:rPr>
      </w:pPr>
      <w:r>
        <w:rPr>
          <w:b/>
          <w:i w:val="0"/>
          <w:iCs w:val="0"/>
          <w:color w:val="auto"/>
          <w:sz w:val="24"/>
          <w:szCs w:val="24"/>
        </w:rPr>
        <w:t xml:space="preserve">Source: </w:t>
      </w:r>
      <w:r>
        <w:rPr>
          <w:i w:val="0"/>
          <w:iCs w:val="0"/>
          <w:color w:val="auto"/>
          <w:sz w:val="24"/>
          <w:szCs w:val="24"/>
        </w:rPr>
        <w:t xml:space="preserve">Karou </w:t>
      </w:r>
      <w:r>
        <w:rPr>
          <w:iCs w:val="0"/>
          <w:color w:val="auto"/>
          <w:sz w:val="24"/>
          <w:szCs w:val="24"/>
        </w:rPr>
        <w:t>et al.,</w:t>
      </w:r>
      <w:r>
        <w:rPr>
          <w:i w:val="0"/>
          <w:iCs w:val="0"/>
          <w:color w:val="auto"/>
          <w:sz w:val="24"/>
          <w:szCs w:val="24"/>
        </w:rPr>
        <w:t xml:space="preserve"> (2007)</w:t>
      </w:r>
    </w:p>
    <w:p w:rsidR="00995829" w:rsidRDefault="00C7064C">
      <w:pPr>
        <w:pStyle w:val="Heading1"/>
        <w:spacing w:before="0" w:after="0" w:line="444" w:lineRule="auto"/>
        <w:jc w:val="both"/>
        <w:rPr>
          <w:rFonts w:eastAsia="Times New Roman"/>
          <w:i/>
          <w:iCs/>
          <w:sz w:val="24"/>
          <w:szCs w:val="24"/>
        </w:rPr>
      </w:pPr>
      <w:bookmarkStart w:id="16" w:name="_Toc199791370"/>
      <w:r>
        <w:rPr>
          <w:rFonts w:eastAsia="Times New Roman"/>
          <w:sz w:val="24"/>
          <w:szCs w:val="24"/>
        </w:rPr>
        <w:lastRenderedPageBreak/>
        <w:t xml:space="preserve">2.1.2 </w:t>
      </w:r>
      <w:r>
        <w:rPr>
          <w:rFonts w:eastAsia="Times New Roman"/>
          <w:sz w:val="24"/>
          <w:szCs w:val="24"/>
        </w:rPr>
        <w:tab/>
        <w:t xml:space="preserve">Other Ethnomedicinal and Therapeutic Uses of </w:t>
      </w:r>
      <w:r>
        <w:rPr>
          <w:rFonts w:eastAsia="Times New Roman"/>
          <w:i/>
          <w:iCs/>
          <w:sz w:val="24"/>
          <w:szCs w:val="24"/>
        </w:rPr>
        <w:t>Sidaacuta</w:t>
      </w:r>
      <w:bookmarkEnd w:id="16"/>
    </w:p>
    <w:p w:rsidR="00995829" w:rsidRDefault="00C7064C">
      <w:pPr>
        <w:spacing w:after="0" w:line="444" w:lineRule="auto"/>
        <w:ind w:firstLine="720"/>
        <w:jc w:val="both"/>
        <w:rPr>
          <w:rFonts w:eastAsia="Times New Roman"/>
          <w:sz w:val="24"/>
        </w:rPr>
      </w:pPr>
      <w:r>
        <w:rPr>
          <w:rFonts w:eastAsia="Times New Roman"/>
          <w:sz w:val="24"/>
        </w:rPr>
        <w:t xml:space="preserve">Beyond its nutritional profile, </w:t>
      </w:r>
      <w:r>
        <w:rPr>
          <w:rFonts w:eastAsia="Times New Roman"/>
          <w:i/>
          <w:iCs/>
          <w:sz w:val="24"/>
        </w:rPr>
        <w:t>Sidaacuta</w:t>
      </w:r>
      <w:r>
        <w:rPr>
          <w:rFonts w:eastAsia="Times New Roman"/>
          <w:sz w:val="24"/>
        </w:rPr>
        <w:t xml:space="preserve"> has a rich history of use in traditional medicine across various cultures. The plant is employed in the treatment of a wide range of ailments, attributed to its broad-spectrum pharmacological activity. In West African ethnomedicine, the plant is commonly </w:t>
      </w:r>
      <w:r>
        <w:rPr>
          <w:rFonts w:eastAsia="Times New Roman"/>
          <w:sz w:val="24"/>
        </w:rPr>
        <w:t xml:space="preserve">used for treating fevers, wounds, and gastrointestinal disturbances. Its anti-inflammatory and antimicrobial effects are well documented, with extracts from the leaves and roots showing activity against </w:t>
      </w:r>
      <w:r>
        <w:rPr>
          <w:rFonts w:eastAsia="Times New Roman"/>
          <w:i/>
          <w:iCs/>
          <w:sz w:val="24"/>
        </w:rPr>
        <w:t>Staphylococcus aureus</w:t>
      </w:r>
      <w:r>
        <w:rPr>
          <w:rFonts w:eastAsia="Times New Roman"/>
          <w:sz w:val="24"/>
        </w:rPr>
        <w:t xml:space="preserve">, </w:t>
      </w:r>
      <w:r>
        <w:rPr>
          <w:rFonts w:eastAsia="Times New Roman"/>
          <w:i/>
          <w:iCs/>
          <w:sz w:val="24"/>
        </w:rPr>
        <w:t>Escherichia coli</w:t>
      </w:r>
      <w:r>
        <w:rPr>
          <w:rFonts w:eastAsia="Times New Roman"/>
          <w:sz w:val="24"/>
        </w:rPr>
        <w:t xml:space="preserve">, and </w:t>
      </w:r>
      <w:r>
        <w:rPr>
          <w:rFonts w:eastAsia="Times New Roman"/>
          <w:i/>
          <w:iCs/>
          <w:sz w:val="24"/>
        </w:rPr>
        <w:t>Salmonel</w:t>
      </w:r>
      <w:r>
        <w:rPr>
          <w:rFonts w:eastAsia="Times New Roman"/>
          <w:i/>
          <w:iCs/>
          <w:sz w:val="24"/>
        </w:rPr>
        <w:t>la typhi</w:t>
      </w:r>
      <w:r>
        <w:rPr>
          <w:rFonts w:eastAsia="Times New Roman"/>
          <w:sz w:val="24"/>
        </w:rPr>
        <w:t xml:space="preserve">. This supports its traditional use in managing bacterial infections and skin conditions (Idu </w:t>
      </w:r>
      <w:r>
        <w:rPr>
          <w:rFonts w:eastAsia="Times New Roman"/>
          <w:i/>
          <w:iCs/>
          <w:sz w:val="24"/>
        </w:rPr>
        <w:t>et al</w:t>
      </w:r>
      <w:r>
        <w:rPr>
          <w:rFonts w:eastAsia="Times New Roman"/>
          <w:sz w:val="24"/>
        </w:rPr>
        <w:t>., 2010).</w:t>
      </w:r>
    </w:p>
    <w:p w:rsidR="00995829" w:rsidRDefault="00C7064C">
      <w:pPr>
        <w:spacing w:after="0" w:line="444" w:lineRule="auto"/>
        <w:ind w:firstLine="720"/>
        <w:jc w:val="both"/>
        <w:rPr>
          <w:rFonts w:eastAsia="Times New Roman"/>
          <w:sz w:val="24"/>
        </w:rPr>
      </w:pPr>
      <w:r>
        <w:rPr>
          <w:rFonts w:eastAsia="Times New Roman"/>
          <w:sz w:val="24"/>
        </w:rPr>
        <w:t>The plant also exhibits notable anti-malarial activity. In traditional settings, decoctions from the leaves are administered to manage mala</w:t>
      </w:r>
      <w:r>
        <w:rPr>
          <w:rFonts w:eastAsia="Times New Roman"/>
          <w:sz w:val="24"/>
        </w:rPr>
        <w:t xml:space="preserve">ria symptoms, an application supported by studies showing that alkaloids and flavonoids in the plant interfere with </w:t>
      </w:r>
      <w:r>
        <w:rPr>
          <w:rFonts w:eastAsia="Times New Roman"/>
          <w:i/>
          <w:iCs/>
          <w:sz w:val="24"/>
        </w:rPr>
        <w:t>Plasmodium</w:t>
      </w:r>
      <w:r>
        <w:rPr>
          <w:rFonts w:eastAsia="Times New Roman"/>
          <w:sz w:val="24"/>
        </w:rPr>
        <w:t xml:space="preserve"> parasites (Asase </w:t>
      </w:r>
      <w:r>
        <w:rPr>
          <w:rFonts w:eastAsia="Times New Roman"/>
          <w:i/>
          <w:iCs/>
          <w:sz w:val="24"/>
        </w:rPr>
        <w:t>et al</w:t>
      </w:r>
      <w:r>
        <w:rPr>
          <w:rFonts w:eastAsia="Times New Roman"/>
          <w:sz w:val="24"/>
        </w:rPr>
        <w:t>., 2005). Its analgesic and antipyretic properties further validate its role in fever management. In Ayurve</w:t>
      </w:r>
      <w:r>
        <w:rPr>
          <w:rFonts w:eastAsia="Times New Roman"/>
          <w:sz w:val="24"/>
        </w:rPr>
        <w:t xml:space="preserve">dic and Indian folk medicine, </w:t>
      </w:r>
      <w:r>
        <w:rPr>
          <w:rFonts w:eastAsia="Times New Roman"/>
          <w:i/>
          <w:iCs/>
          <w:sz w:val="24"/>
        </w:rPr>
        <w:t>Sidaacuta</w:t>
      </w:r>
      <w:r>
        <w:rPr>
          <w:rFonts w:eastAsia="Times New Roman"/>
          <w:sz w:val="24"/>
        </w:rPr>
        <w:t xml:space="preserve"> is used as a cardiotonic, diuretic, and nervine tonic. It is believed to strengthen the body, improve circulation, and calm the nervous system (Kirtikar and Basu, 2006). Additionally, the plant is employed for treati</w:t>
      </w:r>
      <w:r>
        <w:rPr>
          <w:rFonts w:eastAsia="Times New Roman"/>
          <w:sz w:val="24"/>
        </w:rPr>
        <w:t>ng dysentery, toothache, rheumatism, and urinary tract infections. Recent pharmacological investigations have also shown its hepatoprotective, antidiabetic, and antioxidant activities, suggesting potential applications in managing chronic metabolic disease</w:t>
      </w:r>
      <w:r>
        <w:rPr>
          <w:rFonts w:eastAsia="Times New Roman"/>
          <w:sz w:val="24"/>
        </w:rPr>
        <w:t xml:space="preserve">s. This positions </w:t>
      </w:r>
      <w:r>
        <w:rPr>
          <w:rFonts w:eastAsia="Times New Roman"/>
          <w:i/>
          <w:iCs/>
          <w:sz w:val="24"/>
        </w:rPr>
        <w:t>Sidaacuta</w:t>
      </w:r>
      <w:r>
        <w:rPr>
          <w:rFonts w:eastAsia="Times New Roman"/>
          <w:sz w:val="24"/>
        </w:rPr>
        <w:t xml:space="preserve"> as a valuable candidate for drug discovery and development in herbal medicine (Pimple </w:t>
      </w:r>
      <w:r>
        <w:rPr>
          <w:rFonts w:eastAsia="Times New Roman"/>
          <w:i/>
          <w:iCs/>
          <w:sz w:val="24"/>
        </w:rPr>
        <w:t>et al</w:t>
      </w:r>
      <w:r>
        <w:rPr>
          <w:rFonts w:eastAsia="Times New Roman"/>
          <w:sz w:val="24"/>
        </w:rPr>
        <w:t>., 2007).</w:t>
      </w:r>
    </w:p>
    <w:p w:rsidR="00995829" w:rsidRDefault="00C7064C">
      <w:pPr>
        <w:pStyle w:val="Heading1"/>
        <w:spacing w:before="0" w:after="0" w:line="480" w:lineRule="auto"/>
        <w:jc w:val="both"/>
        <w:rPr>
          <w:rFonts w:eastAsia="Times New Roman"/>
          <w:sz w:val="24"/>
          <w:szCs w:val="24"/>
        </w:rPr>
      </w:pPr>
      <w:bookmarkStart w:id="17" w:name="_Toc199791371"/>
      <w:r>
        <w:rPr>
          <w:rFonts w:eastAsia="Times New Roman"/>
          <w:sz w:val="24"/>
          <w:szCs w:val="24"/>
        </w:rPr>
        <w:lastRenderedPageBreak/>
        <w:t xml:space="preserve">2.1.3 </w:t>
      </w:r>
      <w:r>
        <w:rPr>
          <w:rFonts w:eastAsia="Times New Roman"/>
          <w:sz w:val="24"/>
          <w:szCs w:val="24"/>
        </w:rPr>
        <w:tab/>
        <w:t xml:space="preserve">Nutritional Implications of </w:t>
      </w:r>
      <w:r>
        <w:rPr>
          <w:rFonts w:eastAsia="Times New Roman"/>
          <w:i/>
          <w:iCs/>
          <w:sz w:val="24"/>
          <w:szCs w:val="24"/>
        </w:rPr>
        <w:t>Sidaacuta</w:t>
      </w:r>
      <w:r>
        <w:rPr>
          <w:rFonts w:eastAsia="Times New Roman"/>
          <w:sz w:val="24"/>
          <w:szCs w:val="24"/>
        </w:rPr>
        <w:t xml:space="preserve"> and Relevance to Pharmacology </w:t>
      </w:r>
      <w:r>
        <w:rPr>
          <w:rFonts w:eastAsia="Times New Roman"/>
          <w:sz w:val="24"/>
          <w:szCs w:val="24"/>
        </w:rPr>
        <w:tab/>
        <w:t>and Dietary Use</w:t>
      </w:r>
      <w:bookmarkEnd w:id="17"/>
    </w:p>
    <w:p w:rsidR="00995829" w:rsidRDefault="00C7064C">
      <w:pPr>
        <w:spacing w:after="0" w:line="480" w:lineRule="auto"/>
        <w:ind w:firstLine="720"/>
        <w:jc w:val="both"/>
        <w:rPr>
          <w:rFonts w:eastAsia="Times New Roman"/>
          <w:sz w:val="24"/>
        </w:rPr>
      </w:pPr>
      <w:r>
        <w:rPr>
          <w:rFonts w:eastAsia="Times New Roman"/>
          <w:i/>
          <w:iCs/>
          <w:sz w:val="24"/>
        </w:rPr>
        <w:t>Sidaacuta</w:t>
      </w:r>
      <w:r>
        <w:rPr>
          <w:rFonts w:eastAsia="Times New Roman"/>
          <w:sz w:val="24"/>
        </w:rPr>
        <w:t>, a fast-growing shrub wid</w:t>
      </w:r>
      <w:r>
        <w:rPr>
          <w:rFonts w:eastAsia="Times New Roman"/>
          <w:sz w:val="24"/>
        </w:rPr>
        <w:t>ely distributed in tropical and subtropical regions, is not only utilized for its ethnomedicinal properties but also holds significant nutritional potential. As a leafy vegetable and herbal remedy, it contains a variety of macronutrients and phytochemicals</w:t>
      </w:r>
      <w:r>
        <w:rPr>
          <w:rFonts w:eastAsia="Times New Roman"/>
          <w:sz w:val="24"/>
        </w:rPr>
        <w:t xml:space="preserve"> that support both dietary and therapeutic applications. From a nutritional standpoint, </w:t>
      </w:r>
      <w:r>
        <w:rPr>
          <w:rFonts w:eastAsia="Times New Roman"/>
          <w:i/>
          <w:iCs/>
          <w:sz w:val="24"/>
        </w:rPr>
        <w:t>Sidaacuta</w:t>
      </w:r>
      <w:r>
        <w:rPr>
          <w:rFonts w:eastAsia="Times New Roman"/>
          <w:sz w:val="24"/>
        </w:rPr>
        <w:t xml:space="preserve"> is known to contain moderate to high levels of carbohydrates, crude protein, and essential minerals, including calcium, iron, and potassium, making it a viabl</w:t>
      </w:r>
      <w:r>
        <w:rPr>
          <w:rFonts w:eastAsia="Times New Roman"/>
          <w:sz w:val="24"/>
        </w:rPr>
        <w:t xml:space="preserve">e supplementary food source, particularly in resource-limited settings (Akinmoladun </w:t>
      </w:r>
      <w:r>
        <w:rPr>
          <w:rFonts w:eastAsia="Times New Roman"/>
          <w:i/>
          <w:iCs/>
          <w:sz w:val="24"/>
        </w:rPr>
        <w:t>et al</w:t>
      </w:r>
      <w:r>
        <w:rPr>
          <w:rFonts w:eastAsia="Times New Roman"/>
          <w:sz w:val="24"/>
        </w:rPr>
        <w:t>., 2010). These nutrients play crucial roles in maintaining immune function, muscle development, and enzymatic processes. The presence of dietary fiber in its leaves a</w:t>
      </w:r>
      <w:r>
        <w:rPr>
          <w:rFonts w:eastAsia="Times New Roman"/>
          <w:sz w:val="24"/>
        </w:rPr>
        <w:t xml:space="preserve">lso aids digestion and can assist in the management of blood sugar levels (Alabi </w:t>
      </w:r>
      <w:r>
        <w:rPr>
          <w:rFonts w:eastAsia="Times New Roman"/>
          <w:i/>
          <w:iCs/>
          <w:sz w:val="24"/>
        </w:rPr>
        <w:t>et al</w:t>
      </w:r>
      <w:r>
        <w:rPr>
          <w:rFonts w:eastAsia="Times New Roman"/>
          <w:sz w:val="24"/>
        </w:rPr>
        <w:t>., 2016).</w:t>
      </w:r>
    </w:p>
    <w:p w:rsidR="00995829" w:rsidRDefault="00C7064C">
      <w:pPr>
        <w:spacing w:after="0" w:line="480" w:lineRule="auto"/>
        <w:ind w:firstLine="720"/>
        <w:jc w:val="both"/>
        <w:rPr>
          <w:rFonts w:eastAsia="Times New Roman"/>
          <w:sz w:val="24"/>
        </w:rPr>
      </w:pPr>
      <w:r>
        <w:rPr>
          <w:rFonts w:eastAsia="Times New Roman"/>
          <w:sz w:val="24"/>
        </w:rPr>
        <w:t xml:space="preserve">Pharmacologically, the nutrient-rich composition of </w:t>
      </w:r>
      <w:r>
        <w:rPr>
          <w:rFonts w:eastAsia="Times New Roman"/>
          <w:i/>
          <w:iCs/>
          <w:sz w:val="24"/>
        </w:rPr>
        <w:t>Sidaacuta</w:t>
      </w:r>
      <w:r>
        <w:rPr>
          <w:rFonts w:eastAsia="Times New Roman"/>
          <w:sz w:val="24"/>
        </w:rPr>
        <w:t xml:space="preserve"> enhances the bioavailability and activity of its therapeutic compounds. For instance, the plant co</w:t>
      </w:r>
      <w:r>
        <w:rPr>
          <w:rFonts w:eastAsia="Times New Roman"/>
          <w:sz w:val="24"/>
        </w:rPr>
        <w:t xml:space="preserve">ntains flavonoids, alkaloids, phenolics, and saponins, which exhibit antioxidant, anti-inflammatory, and hepatoprotective properties (Sofowora, 2008). These compounds are supported by the nutritional matrix of the plant, suggesting that consumption of </w:t>
      </w:r>
      <w:r>
        <w:rPr>
          <w:rFonts w:eastAsia="Times New Roman"/>
          <w:i/>
          <w:iCs/>
          <w:sz w:val="24"/>
        </w:rPr>
        <w:t>Sida</w:t>
      </w:r>
      <w:r>
        <w:rPr>
          <w:rFonts w:eastAsia="Times New Roman"/>
          <w:i/>
          <w:iCs/>
          <w:sz w:val="24"/>
        </w:rPr>
        <w:t>acuta</w:t>
      </w:r>
      <w:r>
        <w:rPr>
          <w:rFonts w:eastAsia="Times New Roman"/>
          <w:sz w:val="24"/>
        </w:rPr>
        <w:t xml:space="preserve"> as part of the diet could contribute to the prevention of oxidative stress-related disorders. Furthermore, </w:t>
      </w:r>
      <w:r>
        <w:rPr>
          <w:rFonts w:eastAsia="Times New Roman"/>
          <w:i/>
          <w:iCs/>
          <w:sz w:val="24"/>
        </w:rPr>
        <w:t>Sidaacuta</w:t>
      </w:r>
      <w:r>
        <w:rPr>
          <w:rFonts w:eastAsia="Times New Roman"/>
          <w:sz w:val="24"/>
        </w:rPr>
        <w:t xml:space="preserve"> has demonstrated potential for addressing micronutrient deficiencies, especially in rural populations where access </w:t>
      </w:r>
      <w:r>
        <w:rPr>
          <w:rFonts w:eastAsia="Times New Roman"/>
          <w:sz w:val="24"/>
        </w:rPr>
        <w:lastRenderedPageBreak/>
        <w:t>to diverse food so</w:t>
      </w:r>
      <w:r>
        <w:rPr>
          <w:rFonts w:eastAsia="Times New Roman"/>
          <w:sz w:val="24"/>
        </w:rPr>
        <w:t>urces is limited. Its mineral content, particularly iron and calcium, can help combat anemia and bone-related conditions. When used as a decoction or infusion, the plant not only contributes to hydration but also offers therapeutic effects due to the solub</w:t>
      </w:r>
      <w:r>
        <w:rPr>
          <w:rFonts w:eastAsia="Times New Roman"/>
          <w:sz w:val="24"/>
        </w:rPr>
        <w:t xml:space="preserve">ility of many bioactive components in water (Omotayo </w:t>
      </w:r>
      <w:r>
        <w:rPr>
          <w:rFonts w:eastAsia="Times New Roman"/>
          <w:i/>
          <w:iCs/>
          <w:sz w:val="24"/>
        </w:rPr>
        <w:t>et al</w:t>
      </w:r>
      <w:r>
        <w:rPr>
          <w:rFonts w:eastAsia="Times New Roman"/>
          <w:sz w:val="24"/>
        </w:rPr>
        <w:t>., 2017)</w:t>
      </w:r>
      <w:bookmarkStart w:id="18" w:name="_Toc199791372"/>
    </w:p>
    <w:p w:rsidR="00995829" w:rsidRDefault="00C7064C">
      <w:pPr>
        <w:spacing w:after="0" w:line="480" w:lineRule="auto"/>
        <w:jc w:val="both"/>
        <w:rPr>
          <w:rFonts w:eastAsia="Times New Roman"/>
          <w:b/>
          <w:sz w:val="24"/>
        </w:rPr>
      </w:pPr>
      <w:r>
        <w:rPr>
          <w:rFonts w:eastAsia="Times New Roman"/>
          <w:b/>
          <w:sz w:val="24"/>
        </w:rPr>
        <w:t xml:space="preserve">2.1.4 </w:t>
      </w:r>
      <w:r>
        <w:rPr>
          <w:rFonts w:eastAsia="Times New Roman"/>
          <w:b/>
          <w:sz w:val="24"/>
        </w:rPr>
        <w:tab/>
        <w:t>Comparison with Other Medicinal Plants</w:t>
      </w:r>
      <w:bookmarkEnd w:id="18"/>
    </w:p>
    <w:p w:rsidR="00995829" w:rsidRDefault="00C7064C">
      <w:pPr>
        <w:spacing w:after="0" w:line="480" w:lineRule="auto"/>
        <w:jc w:val="both"/>
        <w:rPr>
          <w:iCs/>
          <w:sz w:val="24"/>
        </w:rPr>
      </w:pPr>
      <w:r>
        <w:rPr>
          <w:rStyle w:val="Strong"/>
          <w:iCs/>
        </w:rPr>
        <w:tab/>
        <w:t xml:space="preserve">Phytochemical Composition: </w:t>
      </w:r>
      <w:r>
        <w:rPr>
          <w:iCs/>
          <w:sz w:val="24"/>
        </w:rPr>
        <w:t xml:space="preserve">Like many medicinal plants, </w:t>
      </w:r>
      <w:r>
        <w:rPr>
          <w:rStyle w:val="Emphasis"/>
          <w:sz w:val="24"/>
        </w:rPr>
        <w:t>Sidaacuta</w:t>
      </w:r>
      <w:r>
        <w:rPr>
          <w:iCs/>
          <w:sz w:val="24"/>
        </w:rPr>
        <w:t xml:space="preserve"> contains a wide spectrum of bioactive compounds such as alkaloids, flavonoids, tannins, saponins, and phenolics. This composition is comparable to plants like </w:t>
      </w:r>
      <w:r>
        <w:rPr>
          <w:rStyle w:val="Emphasis"/>
          <w:sz w:val="24"/>
        </w:rPr>
        <w:t>Azadirachtaindica</w:t>
      </w:r>
      <w:r>
        <w:rPr>
          <w:rStyle w:val="Strong"/>
          <w:iCs/>
        </w:rPr>
        <w:t xml:space="preserve"> (neem)</w:t>
      </w:r>
      <w:r>
        <w:rPr>
          <w:iCs/>
          <w:sz w:val="24"/>
        </w:rPr>
        <w:t xml:space="preserve"> and </w:t>
      </w:r>
      <w:r>
        <w:rPr>
          <w:rStyle w:val="Strong"/>
          <w:i/>
          <w:iCs/>
        </w:rPr>
        <w:t>Ocimum gratissimum</w:t>
      </w:r>
      <w:r>
        <w:rPr>
          <w:iCs/>
          <w:sz w:val="24"/>
        </w:rPr>
        <w:t xml:space="preserve"> (African basil), both of which are rich in antim</w:t>
      </w:r>
      <w:r>
        <w:rPr>
          <w:iCs/>
          <w:sz w:val="24"/>
        </w:rPr>
        <w:t xml:space="preserve">icrobial and antioxidant compounds (Ezekwesili </w:t>
      </w:r>
      <w:r>
        <w:rPr>
          <w:i/>
          <w:sz w:val="24"/>
        </w:rPr>
        <w:t>et al</w:t>
      </w:r>
      <w:r>
        <w:rPr>
          <w:i/>
          <w:iCs/>
          <w:sz w:val="24"/>
        </w:rPr>
        <w:t>.,</w:t>
      </w:r>
      <w:r>
        <w:rPr>
          <w:iCs/>
          <w:sz w:val="24"/>
        </w:rPr>
        <w:t xml:space="preserve"> 2004; Iwu, 1993). However, </w:t>
      </w:r>
      <w:r>
        <w:rPr>
          <w:rStyle w:val="Emphasis"/>
          <w:sz w:val="24"/>
        </w:rPr>
        <w:t>Sidaacuta</w:t>
      </w:r>
      <w:r>
        <w:rPr>
          <w:iCs/>
          <w:sz w:val="24"/>
        </w:rPr>
        <w:t xml:space="preserve"> shows a higher content of alkaloids and sterols, which are particularly effective in analgesic and anti-inflammatory actions (Pimple </w:t>
      </w:r>
      <w:r>
        <w:rPr>
          <w:i/>
          <w:sz w:val="24"/>
        </w:rPr>
        <w:t>et al</w:t>
      </w:r>
      <w:r>
        <w:rPr>
          <w:i/>
          <w:iCs/>
          <w:sz w:val="24"/>
        </w:rPr>
        <w:t>.,</w:t>
      </w:r>
      <w:r>
        <w:rPr>
          <w:iCs/>
          <w:sz w:val="24"/>
        </w:rPr>
        <w:t xml:space="preserve"> 2007).</w:t>
      </w:r>
    </w:p>
    <w:p w:rsidR="00995829" w:rsidRDefault="00C7064C">
      <w:pPr>
        <w:spacing w:after="0" w:line="480" w:lineRule="auto"/>
        <w:jc w:val="both"/>
        <w:rPr>
          <w:iCs/>
          <w:sz w:val="24"/>
        </w:rPr>
      </w:pPr>
      <w:r>
        <w:rPr>
          <w:rStyle w:val="Strong"/>
          <w:iCs/>
        </w:rPr>
        <w:tab/>
        <w:t>Therapeutic Act</w:t>
      </w:r>
      <w:r>
        <w:rPr>
          <w:rStyle w:val="Strong"/>
          <w:iCs/>
        </w:rPr>
        <w:t xml:space="preserve">ivities: </w:t>
      </w:r>
      <w:r>
        <w:rPr>
          <w:iCs/>
          <w:sz w:val="24"/>
        </w:rPr>
        <w:t xml:space="preserve">In terms of therapeutic effects, </w:t>
      </w:r>
      <w:r>
        <w:rPr>
          <w:rStyle w:val="Emphasis"/>
          <w:sz w:val="24"/>
        </w:rPr>
        <w:t>Sidaacuta</w:t>
      </w:r>
      <w:r>
        <w:rPr>
          <w:iCs/>
          <w:sz w:val="24"/>
        </w:rPr>
        <w:t xml:space="preserve"> displays strong </w:t>
      </w:r>
      <w:r>
        <w:rPr>
          <w:rStyle w:val="Strong"/>
          <w:iCs/>
        </w:rPr>
        <w:t>antibacterial</w:t>
      </w:r>
      <w:r>
        <w:rPr>
          <w:iCs/>
          <w:sz w:val="24"/>
        </w:rPr>
        <w:t xml:space="preserve">, </w:t>
      </w:r>
      <w:r>
        <w:rPr>
          <w:rStyle w:val="Strong"/>
          <w:iCs/>
        </w:rPr>
        <w:t>anti-inflammatory</w:t>
      </w:r>
      <w:r>
        <w:rPr>
          <w:iCs/>
          <w:sz w:val="24"/>
        </w:rPr>
        <w:t xml:space="preserve">, </w:t>
      </w:r>
      <w:r>
        <w:rPr>
          <w:rStyle w:val="Strong"/>
          <w:iCs/>
        </w:rPr>
        <w:t>antidiabetic</w:t>
      </w:r>
      <w:r>
        <w:rPr>
          <w:iCs/>
          <w:sz w:val="24"/>
        </w:rPr>
        <w:t xml:space="preserve">, and </w:t>
      </w:r>
      <w:r>
        <w:rPr>
          <w:rStyle w:val="Strong"/>
          <w:iCs/>
        </w:rPr>
        <w:t>hepatoprotective</w:t>
      </w:r>
      <w:r>
        <w:rPr>
          <w:iCs/>
          <w:sz w:val="24"/>
        </w:rPr>
        <w:t xml:space="preserve"> properties. These effects are comparable to those observed in </w:t>
      </w:r>
      <w:r>
        <w:rPr>
          <w:rStyle w:val="Strong"/>
          <w:iCs/>
        </w:rPr>
        <w:t>Moringa oleifera</w:t>
      </w:r>
      <w:r>
        <w:rPr>
          <w:iCs/>
          <w:sz w:val="24"/>
        </w:rPr>
        <w:t>, another widely used medicinal plant. Wh</w:t>
      </w:r>
      <w:r>
        <w:rPr>
          <w:iCs/>
          <w:sz w:val="24"/>
        </w:rPr>
        <w:t xml:space="preserve">ile </w:t>
      </w:r>
      <w:r>
        <w:rPr>
          <w:rStyle w:val="Emphasis"/>
          <w:sz w:val="24"/>
        </w:rPr>
        <w:t>Moringa</w:t>
      </w:r>
      <w:r>
        <w:rPr>
          <w:iCs/>
          <w:sz w:val="24"/>
        </w:rPr>
        <w:t xml:space="preserve"> is acclaimed for its high vitamin and mineral content, </w:t>
      </w:r>
      <w:r>
        <w:rPr>
          <w:rStyle w:val="Emphasis"/>
          <w:sz w:val="24"/>
        </w:rPr>
        <w:t>Sidaacuta</w:t>
      </w:r>
      <w:r>
        <w:rPr>
          <w:iCs/>
          <w:sz w:val="24"/>
        </w:rPr>
        <w:t xml:space="preserve"> is particularly potent in managing microbial infections and oxidative stress, as seen in several in vivo and in vitro studies (Akinmoladun </w:t>
      </w:r>
      <w:r>
        <w:rPr>
          <w:i/>
          <w:sz w:val="24"/>
        </w:rPr>
        <w:t>et al</w:t>
      </w:r>
      <w:r>
        <w:rPr>
          <w:i/>
          <w:iCs/>
          <w:sz w:val="24"/>
        </w:rPr>
        <w:t>.,</w:t>
      </w:r>
      <w:r>
        <w:rPr>
          <w:iCs/>
          <w:sz w:val="24"/>
        </w:rPr>
        <w:t xml:space="preserve"> 2010; Asase </w:t>
      </w:r>
      <w:r>
        <w:rPr>
          <w:i/>
          <w:sz w:val="24"/>
        </w:rPr>
        <w:t>et al</w:t>
      </w:r>
      <w:r>
        <w:rPr>
          <w:i/>
          <w:iCs/>
          <w:sz w:val="24"/>
        </w:rPr>
        <w:t>.,</w:t>
      </w:r>
      <w:r>
        <w:rPr>
          <w:iCs/>
          <w:sz w:val="24"/>
        </w:rPr>
        <w:t xml:space="preserve"> 2005).</w:t>
      </w:r>
    </w:p>
    <w:p w:rsidR="00995829" w:rsidRDefault="00C7064C">
      <w:pPr>
        <w:spacing w:after="0" w:line="480" w:lineRule="auto"/>
        <w:jc w:val="both"/>
        <w:rPr>
          <w:sz w:val="24"/>
        </w:rPr>
      </w:pPr>
      <w:r>
        <w:rPr>
          <w:sz w:val="24"/>
        </w:rPr>
        <w:lastRenderedPageBreak/>
        <w:tab/>
        <w:t>Addi</w:t>
      </w:r>
      <w:r>
        <w:rPr>
          <w:sz w:val="24"/>
        </w:rPr>
        <w:t xml:space="preserve">tionally, </w:t>
      </w:r>
      <w:r>
        <w:rPr>
          <w:rStyle w:val="Emphasis"/>
          <w:iCs w:val="0"/>
          <w:sz w:val="24"/>
        </w:rPr>
        <w:t>Sidaacuta</w:t>
      </w:r>
      <w:r>
        <w:rPr>
          <w:sz w:val="24"/>
        </w:rPr>
        <w:t xml:space="preserve"> has shown promising </w:t>
      </w:r>
      <w:r>
        <w:rPr>
          <w:rStyle w:val="Strong"/>
        </w:rPr>
        <w:t>anti-malarial</w:t>
      </w:r>
      <w:r>
        <w:rPr>
          <w:sz w:val="24"/>
        </w:rPr>
        <w:t xml:space="preserve"> and </w:t>
      </w:r>
      <w:r>
        <w:rPr>
          <w:rStyle w:val="Strong"/>
        </w:rPr>
        <w:t>antioxidant</w:t>
      </w:r>
      <w:r>
        <w:rPr>
          <w:sz w:val="24"/>
        </w:rPr>
        <w:t xml:space="preserve"> effects, which are traditionally attributed to </w:t>
      </w:r>
      <w:r>
        <w:rPr>
          <w:rStyle w:val="Emphasis"/>
          <w:i w:val="0"/>
          <w:iCs w:val="0"/>
          <w:sz w:val="24"/>
        </w:rPr>
        <w:t>Artemisia annua</w:t>
      </w:r>
      <w:r>
        <w:rPr>
          <w:sz w:val="24"/>
        </w:rPr>
        <w:t xml:space="preserve"> and </w:t>
      </w:r>
      <w:r>
        <w:rPr>
          <w:rStyle w:val="Emphasis"/>
          <w:i w:val="0"/>
          <w:iCs w:val="0"/>
          <w:sz w:val="24"/>
        </w:rPr>
        <w:t>Carica papaya</w:t>
      </w:r>
      <w:r>
        <w:rPr>
          <w:sz w:val="24"/>
        </w:rPr>
        <w:t xml:space="preserve"> extracts. Although the antiplasmodial activity of </w:t>
      </w:r>
      <w:r>
        <w:rPr>
          <w:rStyle w:val="Emphasis"/>
          <w:iCs w:val="0"/>
          <w:sz w:val="24"/>
        </w:rPr>
        <w:t>Sidaacuta</w:t>
      </w:r>
      <w:r>
        <w:rPr>
          <w:sz w:val="24"/>
        </w:rPr>
        <w:t xml:space="preserve"> may be moderate compared to </w:t>
      </w:r>
      <w:r>
        <w:rPr>
          <w:rStyle w:val="Emphasis"/>
          <w:i w:val="0"/>
          <w:iCs w:val="0"/>
          <w:sz w:val="24"/>
        </w:rPr>
        <w:t>Artemisia</w:t>
      </w:r>
      <w:r>
        <w:rPr>
          <w:sz w:val="24"/>
        </w:rPr>
        <w:t>, it sti</w:t>
      </w:r>
      <w:r>
        <w:rPr>
          <w:sz w:val="24"/>
        </w:rPr>
        <w:t xml:space="preserve">ll holds relevance in rural herbal practices, particularly where access to antimalarial drugs is limited (Ajayi </w:t>
      </w:r>
      <w:r>
        <w:rPr>
          <w:i/>
          <w:iCs/>
          <w:sz w:val="24"/>
        </w:rPr>
        <w:t>et al</w:t>
      </w:r>
      <w:r>
        <w:rPr>
          <w:sz w:val="24"/>
        </w:rPr>
        <w:t>., 2009).</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ab/>
        <w:t xml:space="preserve">Nutritional Benefits: </w:t>
      </w:r>
      <w:r>
        <w:rPr>
          <w:rFonts w:ascii="Times New Roman" w:hAnsi="Times New Roman" w:cs="Times New Roman"/>
          <w:i w:val="0"/>
          <w:iCs w:val="0"/>
          <w:color w:val="auto"/>
          <w:sz w:val="24"/>
        </w:rPr>
        <w:t xml:space="preserve">From a nutritional standpoint, </w:t>
      </w:r>
      <w:r>
        <w:rPr>
          <w:rStyle w:val="Emphasis"/>
          <w:rFonts w:ascii="Times New Roman" w:hAnsi="Times New Roman" w:cs="Times New Roman"/>
          <w:color w:val="auto"/>
          <w:sz w:val="24"/>
        </w:rPr>
        <w:t>Sidaacuta</w:t>
      </w:r>
      <w:r>
        <w:rPr>
          <w:rFonts w:ascii="Times New Roman" w:hAnsi="Times New Roman" w:cs="Times New Roman"/>
          <w:i w:val="0"/>
          <w:iCs w:val="0"/>
          <w:color w:val="auto"/>
          <w:sz w:val="24"/>
        </w:rPr>
        <w:t xml:space="preserve"> contains a balanced proportion of proteins, carbohydrates, and minerals, positioning it as both a medicinal and functional food plant. This aligns it with </w:t>
      </w:r>
      <w:r>
        <w:rPr>
          <w:rStyle w:val="Emphasis"/>
          <w:rFonts w:ascii="Times New Roman" w:hAnsi="Times New Roman" w:cs="Times New Roman"/>
          <w:color w:val="auto"/>
          <w:sz w:val="24"/>
        </w:rPr>
        <w:t>Solanum nigrum</w:t>
      </w:r>
      <w:r>
        <w:rPr>
          <w:rFonts w:ascii="Times New Roman" w:hAnsi="Times New Roman" w:cs="Times New Roman"/>
          <w:i w:val="0"/>
          <w:iCs w:val="0"/>
          <w:color w:val="auto"/>
          <w:sz w:val="24"/>
        </w:rPr>
        <w:t xml:space="preserve"> (black nightshade) and </w:t>
      </w:r>
      <w:r>
        <w:rPr>
          <w:rStyle w:val="Emphasis"/>
          <w:rFonts w:ascii="Times New Roman" w:hAnsi="Times New Roman" w:cs="Times New Roman"/>
          <w:color w:val="auto"/>
          <w:sz w:val="24"/>
        </w:rPr>
        <w:t>Amaranthusviridis</w:t>
      </w:r>
      <w:r>
        <w:rPr>
          <w:rFonts w:ascii="Times New Roman" w:hAnsi="Times New Roman" w:cs="Times New Roman"/>
          <w:i w:val="0"/>
          <w:iCs w:val="0"/>
          <w:color w:val="auto"/>
          <w:sz w:val="24"/>
        </w:rPr>
        <w:t>, which are traditionally consumed for both n</w:t>
      </w:r>
      <w:r>
        <w:rPr>
          <w:rFonts w:ascii="Times New Roman" w:hAnsi="Times New Roman" w:cs="Times New Roman"/>
          <w:i w:val="0"/>
          <w:iCs w:val="0"/>
          <w:color w:val="auto"/>
          <w:sz w:val="24"/>
        </w:rPr>
        <w:t xml:space="preserve">ourishment and health benefits in many African and Asian communities (Omotayo </w:t>
      </w:r>
      <w:r>
        <w:rPr>
          <w:rFonts w:ascii="Times New Roman" w:hAnsi="Times New Roman" w:cs="Times New Roman"/>
          <w:color w:val="auto"/>
          <w:sz w:val="24"/>
        </w:rPr>
        <w:t>et al</w:t>
      </w:r>
      <w:r>
        <w:rPr>
          <w:rFonts w:ascii="Times New Roman" w:hAnsi="Times New Roman" w:cs="Times New Roman"/>
          <w:i w:val="0"/>
          <w:iCs w:val="0"/>
          <w:color w:val="auto"/>
          <w:sz w:val="24"/>
        </w:rPr>
        <w:t xml:space="preserve">., 2017; Alabi </w:t>
      </w:r>
      <w:r>
        <w:rPr>
          <w:rFonts w:ascii="Times New Roman" w:hAnsi="Times New Roman" w:cs="Times New Roman"/>
          <w:color w:val="auto"/>
          <w:sz w:val="24"/>
        </w:rPr>
        <w:t>et al</w:t>
      </w:r>
      <w:r>
        <w:rPr>
          <w:rFonts w:ascii="Times New Roman" w:hAnsi="Times New Roman" w:cs="Times New Roman"/>
          <w:i w:val="0"/>
          <w:iCs w:val="0"/>
          <w:color w:val="auto"/>
          <w:sz w:val="24"/>
        </w:rPr>
        <w:t>., 2016).</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ab/>
        <w:t xml:space="preserve">Toxicity and Safety: </w:t>
      </w:r>
      <w:r>
        <w:rPr>
          <w:rFonts w:ascii="Times New Roman" w:hAnsi="Times New Roman" w:cs="Times New Roman"/>
          <w:i w:val="0"/>
          <w:iCs w:val="0"/>
          <w:color w:val="auto"/>
          <w:sz w:val="24"/>
        </w:rPr>
        <w:t xml:space="preserve">Compared to some other medicinal plants, </w:t>
      </w:r>
      <w:r>
        <w:rPr>
          <w:rStyle w:val="Emphasis"/>
          <w:rFonts w:ascii="Times New Roman" w:hAnsi="Times New Roman" w:cs="Times New Roman"/>
          <w:color w:val="auto"/>
          <w:sz w:val="24"/>
        </w:rPr>
        <w:t>Sidaacuta</w:t>
      </w:r>
      <w:r>
        <w:rPr>
          <w:rFonts w:ascii="Times New Roman" w:hAnsi="Times New Roman" w:cs="Times New Roman"/>
          <w:i w:val="0"/>
          <w:iCs w:val="0"/>
          <w:color w:val="auto"/>
          <w:sz w:val="24"/>
        </w:rPr>
        <w:t xml:space="preserve"> exhibits a relatively </w:t>
      </w:r>
      <w:r>
        <w:rPr>
          <w:rStyle w:val="Strong"/>
          <w:rFonts w:ascii="Times New Roman" w:hAnsi="Times New Roman" w:cs="Times New Roman"/>
          <w:i w:val="0"/>
          <w:iCs w:val="0"/>
          <w:color w:val="auto"/>
        </w:rPr>
        <w:t>low toxicity profile</w:t>
      </w:r>
      <w:r>
        <w:rPr>
          <w:rFonts w:ascii="Times New Roman" w:hAnsi="Times New Roman" w:cs="Times New Roman"/>
          <w:i w:val="0"/>
          <w:iCs w:val="0"/>
          <w:color w:val="auto"/>
          <w:sz w:val="24"/>
        </w:rPr>
        <w:t xml:space="preserve"> at therapeutic doses. For e</w:t>
      </w:r>
      <w:r>
        <w:rPr>
          <w:rFonts w:ascii="Times New Roman" w:hAnsi="Times New Roman" w:cs="Times New Roman"/>
          <w:i w:val="0"/>
          <w:iCs w:val="0"/>
          <w:color w:val="auto"/>
          <w:sz w:val="24"/>
        </w:rPr>
        <w:t xml:space="preserve">xample, while plants like </w:t>
      </w:r>
      <w:r>
        <w:rPr>
          <w:rStyle w:val="Emphasis"/>
          <w:rFonts w:ascii="Times New Roman" w:hAnsi="Times New Roman" w:cs="Times New Roman"/>
          <w:color w:val="auto"/>
          <w:sz w:val="24"/>
        </w:rPr>
        <w:t>Cassia occidentalis</w:t>
      </w:r>
      <w:r>
        <w:rPr>
          <w:rFonts w:ascii="Times New Roman" w:hAnsi="Times New Roman" w:cs="Times New Roman"/>
          <w:i w:val="0"/>
          <w:iCs w:val="0"/>
          <w:color w:val="auto"/>
          <w:sz w:val="24"/>
        </w:rPr>
        <w:t xml:space="preserve"> and </w:t>
      </w:r>
      <w:r>
        <w:rPr>
          <w:rStyle w:val="Emphasis"/>
          <w:rFonts w:ascii="Times New Roman" w:hAnsi="Times New Roman" w:cs="Times New Roman"/>
          <w:color w:val="auto"/>
          <w:sz w:val="24"/>
        </w:rPr>
        <w:t>Jatropha curcas</w:t>
      </w:r>
      <w:r>
        <w:rPr>
          <w:rFonts w:ascii="Times New Roman" w:hAnsi="Times New Roman" w:cs="Times New Roman"/>
          <w:i w:val="0"/>
          <w:iCs w:val="0"/>
          <w:color w:val="auto"/>
          <w:sz w:val="24"/>
        </w:rPr>
        <w:t xml:space="preserve"> can be toxic if improperly used, </w:t>
      </w:r>
      <w:r>
        <w:rPr>
          <w:rStyle w:val="Emphasis"/>
          <w:rFonts w:ascii="Times New Roman" w:hAnsi="Times New Roman" w:cs="Times New Roman"/>
          <w:color w:val="auto"/>
          <w:sz w:val="24"/>
        </w:rPr>
        <w:t>Sidaacuta</w:t>
      </w:r>
      <w:r>
        <w:rPr>
          <w:rFonts w:ascii="Times New Roman" w:hAnsi="Times New Roman" w:cs="Times New Roman"/>
          <w:i w:val="0"/>
          <w:iCs w:val="0"/>
          <w:color w:val="auto"/>
          <w:sz w:val="24"/>
        </w:rPr>
        <w:t xml:space="preserve"> has been shown to have minimal adverse effects when administered in controlled doses, both in animal studies and ethnobotanical practice (Nworu </w:t>
      </w:r>
      <w:r>
        <w:rPr>
          <w:rFonts w:ascii="Times New Roman" w:hAnsi="Times New Roman" w:cs="Times New Roman"/>
          <w:color w:val="auto"/>
          <w:sz w:val="24"/>
        </w:rPr>
        <w:t xml:space="preserve">et </w:t>
      </w:r>
      <w:r>
        <w:rPr>
          <w:rFonts w:ascii="Times New Roman" w:hAnsi="Times New Roman" w:cs="Times New Roman"/>
          <w:color w:val="auto"/>
          <w:sz w:val="24"/>
        </w:rPr>
        <w:t>al</w:t>
      </w:r>
      <w:r>
        <w:rPr>
          <w:rFonts w:ascii="Times New Roman" w:hAnsi="Times New Roman" w:cs="Times New Roman"/>
          <w:i w:val="0"/>
          <w:iCs w:val="0"/>
          <w:color w:val="auto"/>
          <w:sz w:val="24"/>
        </w:rPr>
        <w:t>., 2011).</w:t>
      </w:r>
    </w:p>
    <w:p w:rsidR="00995829" w:rsidRDefault="00C7064C">
      <w:pPr>
        <w:pStyle w:val="Heading1"/>
        <w:spacing w:before="0" w:after="0" w:line="480" w:lineRule="auto"/>
        <w:jc w:val="both"/>
        <w:rPr>
          <w:sz w:val="24"/>
          <w:szCs w:val="24"/>
        </w:rPr>
      </w:pPr>
      <w:bookmarkStart w:id="19" w:name="_Toc199791373"/>
      <w:r>
        <w:rPr>
          <w:sz w:val="24"/>
          <w:szCs w:val="24"/>
        </w:rPr>
        <w:t xml:space="preserve">2.2 </w:t>
      </w:r>
      <w:r>
        <w:rPr>
          <w:sz w:val="24"/>
          <w:szCs w:val="24"/>
        </w:rPr>
        <w:tab/>
        <w:t>Proximate Composition</w:t>
      </w:r>
      <w:bookmarkEnd w:id="19"/>
    </w:p>
    <w:p w:rsidR="00995829" w:rsidRDefault="00C7064C">
      <w:pPr>
        <w:spacing w:after="0" w:line="480" w:lineRule="auto"/>
        <w:ind w:firstLine="720"/>
        <w:jc w:val="both"/>
        <w:rPr>
          <w:rFonts w:eastAsia="Times New Roman"/>
          <w:sz w:val="24"/>
        </w:rPr>
      </w:pPr>
      <w:r>
        <w:rPr>
          <w:rFonts w:eastAsia="Times New Roman"/>
          <w:sz w:val="24"/>
        </w:rPr>
        <w:t xml:space="preserve">Proximate composition refers to the analysis of the major nutritional constituents in food and biological materials, typically including moisture, crude </w:t>
      </w:r>
      <w:r>
        <w:rPr>
          <w:rFonts w:eastAsia="Times New Roman"/>
          <w:sz w:val="24"/>
        </w:rPr>
        <w:lastRenderedPageBreak/>
        <w:t>protein, crude fat, crude fiber, ash (mineral content), and nitr</w:t>
      </w:r>
      <w:r>
        <w:rPr>
          <w:rFonts w:eastAsia="Times New Roman"/>
          <w:sz w:val="24"/>
        </w:rPr>
        <w:t>ogen-free extract, which is primarily composed of carbohydrates. This foundational analysis provides insight into the nutritional value, digestibility, and overall quality of food substances (</w:t>
      </w:r>
      <w:r>
        <w:rPr>
          <w:color w:val="222222"/>
          <w:sz w:val="24"/>
          <w:shd w:val="clear" w:color="auto" w:fill="FFFFFF"/>
        </w:rPr>
        <w:t xml:space="preserve">Nwankpa </w:t>
      </w:r>
      <w:r>
        <w:rPr>
          <w:i/>
          <w:iCs/>
          <w:color w:val="222222"/>
          <w:sz w:val="24"/>
          <w:shd w:val="clear" w:color="auto" w:fill="FFFFFF"/>
        </w:rPr>
        <w:t>et al</w:t>
      </w:r>
      <w:r>
        <w:rPr>
          <w:color w:val="222222"/>
          <w:sz w:val="24"/>
          <w:shd w:val="clear" w:color="auto" w:fill="FFFFFF"/>
        </w:rPr>
        <w:t>., 2015</w:t>
      </w:r>
      <w:r>
        <w:rPr>
          <w:rFonts w:eastAsia="Times New Roman"/>
          <w:sz w:val="24"/>
        </w:rPr>
        <w:t>). It serves as a baseline assessment in foo</w:t>
      </w:r>
      <w:r>
        <w:rPr>
          <w:rFonts w:eastAsia="Times New Roman"/>
          <w:sz w:val="24"/>
        </w:rPr>
        <w:t>d science, animal nutrition, and phytochemical studies, helping researchers and nutritionists evaluate the potential of various substances, including plants, for dietary or medicinal use. For example, protein levels indicate the potential for supporting ti</w:t>
      </w:r>
      <w:r>
        <w:rPr>
          <w:rFonts w:eastAsia="Times New Roman"/>
          <w:sz w:val="24"/>
        </w:rPr>
        <w:t>ssue growth and repair, while fiber content is linked to digestive health and glycemic control. Ash content reflects the presence of essential minerals like calcium, potassium, and magnesium, vital for metabolic and structural functions in the body (</w:t>
      </w:r>
      <w:r>
        <w:rPr>
          <w:color w:val="222222"/>
          <w:sz w:val="24"/>
          <w:shd w:val="clear" w:color="auto" w:fill="FFFFFF"/>
        </w:rPr>
        <w:t>Adewum</w:t>
      </w:r>
      <w:r>
        <w:rPr>
          <w:color w:val="222222"/>
          <w:sz w:val="24"/>
          <w:shd w:val="clear" w:color="auto" w:fill="FFFFFF"/>
        </w:rPr>
        <w:t xml:space="preserve">i </w:t>
      </w:r>
      <w:r>
        <w:rPr>
          <w:i/>
          <w:iCs/>
          <w:color w:val="222222"/>
          <w:sz w:val="24"/>
          <w:shd w:val="clear" w:color="auto" w:fill="FFFFFF"/>
        </w:rPr>
        <w:t>et al</w:t>
      </w:r>
      <w:r>
        <w:rPr>
          <w:color w:val="222222"/>
          <w:sz w:val="24"/>
          <w:shd w:val="clear" w:color="auto" w:fill="FFFFFF"/>
        </w:rPr>
        <w:t>., 2023</w:t>
      </w:r>
      <w:r>
        <w:rPr>
          <w:rFonts w:eastAsia="Times New Roman"/>
          <w:sz w:val="24"/>
        </w:rPr>
        <w:t xml:space="preserve">). Proximate analysis is therefore a key step in determining whether a plant like </w:t>
      </w:r>
      <w:r>
        <w:rPr>
          <w:rFonts w:eastAsia="Times New Roman"/>
          <w:i/>
          <w:iCs/>
          <w:sz w:val="24"/>
        </w:rPr>
        <w:t>Sidaacuta</w:t>
      </w:r>
      <w:r>
        <w:rPr>
          <w:rFonts w:eastAsia="Times New Roman"/>
          <w:sz w:val="24"/>
        </w:rPr>
        <w:t xml:space="preserve"> can be recommended as a food supplement or therapeutic agent, especially in resource-limited settings where nutritional deficiencies are common.</w:t>
      </w:r>
    </w:p>
    <w:p w:rsidR="00995829" w:rsidRDefault="00C7064C">
      <w:pPr>
        <w:pStyle w:val="NormalWeb"/>
        <w:spacing w:before="0" w:beforeAutospacing="0" w:after="0" w:afterAutospacing="0" w:line="480" w:lineRule="auto"/>
        <w:ind w:firstLine="720"/>
        <w:jc w:val="both"/>
        <w:rPr>
          <w:color w:val="000000" w:themeColor="text1"/>
        </w:rPr>
      </w:pPr>
      <w:r>
        <w:t>Proximate analysis is used to estimate the relative amounts of protein, lipid, water, ash and carbohydrate in any sample. Proximate composition is the term usually used in the field of feed/food and means the components of moisture, crude protein, ether ex</w:t>
      </w:r>
      <w:r>
        <w:t>tract, crude fibre, crude ash and nitrogen-free extracts, which are expressed as the content (%) in the sample, respectively. Protein, lipid and carbohydrate each contributes to the total energy content of an organism, while water and ash only contribute m</w:t>
      </w:r>
      <w:r>
        <w:t>ass (</w:t>
      </w:r>
      <w:r>
        <w:rPr>
          <w:color w:val="222222"/>
          <w:shd w:val="clear" w:color="auto" w:fill="FFFFFF"/>
        </w:rPr>
        <w:t>Parimelazhagan and Thangaraj, 2016).</w:t>
      </w:r>
    </w:p>
    <w:p w:rsidR="00995829" w:rsidRDefault="00C7064C">
      <w:pPr>
        <w:pStyle w:val="Heading1"/>
        <w:spacing w:before="0" w:after="0" w:line="480" w:lineRule="auto"/>
        <w:jc w:val="both"/>
        <w:rPr>
          <w:sz w:val="24"/>
          <w:szCs w:val="24"/>
        </w:rPr>
      </w:pPr>
      <w:bookmarkStart w:id="20" w:name="_Toc199791374"/>
      <w:r>
        <w:rPr>
          <w:sz w:val="24"/>
          <w:szCs w:val="24"/>
        </w:rPr>
        <w:lastRenderedPageBreak/>
        <w:t xml:space="preserve">2.2.1 </w:t>
      </w:r>
      <w:r>
        <w:rPr>
          <w:sz w:val="24"/>
          <w:szCs w:val="24"/>
        </w:rPr>
        <w:tab/>
        <w:t>Moisture Content</w:t>
      </w:r>
      <w:bookmarkEnd w:id="20"/>
      <w:r>
        <w:rPr>
          <w:sz w:val="24"/>
          <w:szCs w:val="24"/>
        </w:rPr>
        <w:t>s</w:t>
      </w:r>
    </w:p>
    <w:p w:rsidR="00995829" w:rsidRDefault="00C7064C">
      <w:pPr>
        <w:spacing w:after="0" w:line="480" w:lineRule="auto"/>
        <w:ind w:firstLine="720"/>
        <w:jc w:val="both"/>
        <w:rPr>
          <w:rFonts w:eastAsia="Times New Roman"/>
          <w:sz w:val="24"/>
        </w:rPr>
      </w:pPr>
      <w:r>
        <w:rPr>
          <w:rFonts w:eastAsia="Times New Roman"/>
          <w:sz w:val="24"/>
        </w:rPr>
        <w:t xml:space="preserve">Moisture content is an essential factor in determining the storage and preservation characteristics of plant materials. It directly affects the stability and nutritional quality of plants, </w:t>
      </w:r>
      <w:r>
        <w:rPr>
          <w:rFonts w:eastAsia="Times New Roman"/>
          <w:sz w:val="24"/>
        </w:rPr>
        <w:t xml:space="preserve">influencing their shelf life and susceptibility to microbial spoilage. For </w:t>
      </w:r>
      <w:r>
        <w:rPr>
          <w:rFonts w:eastAsia="Times New Roman"/>
          <w:i/>
          <w:iCs/>
          <w:sz w:val="24"/>
        </w:rPr>
        <w:t>Sidaacuta</w:t>
      </w:r>
      <w:r>
        <w:rPr>
          <w:rFonts w:eastAsia="Times New Roman"/>
          <w:sz w:val="24"/>
        </w:rPr>
        <w:t>, a plant commonly utilised in traditional medicine and as a food supplement, understanding its moisture content is crucial for effective post-harvest handling and processi</w:t>
      </w:r>
      <w:r>
        <w:rPr>
          <w:rFonts w:eastAsia="Times New Roman"/>
          <w:sz w:val="24"/>
        </w:rPr>
        <w:t>ng</w:t>
      </w:r>
      <w:r>
        <w:rPr>
          <w:sz w:val="24"/>
        </w:rPr>
        <w:t xml:space="preserve"> (</w:t>
      </w:r>
      <w:r>
        <w:rPr>
          <w:rFonts w:eastAsia="Times New Roman"/>
          <w:sz w:val="24"/>
        </w:rPr>
        <w:t xml:space="preserve">Moti </w:t>
      </w:r>
      <w:r>
        <w:rPr>
          <w:rFonts w:eastAsia="Times New Roman"/>
          <w:i/>
          <w:iCs/>
          <w:sz w:val="24"/>
        </w:rPr>
        <w:t>et al</w:t>
      </w:r>
      <w:r>
        <w:rPr>
          <w:rFonts w:eastAsia="Times New Roman"/>
          <w:sz w:val="24"/>
        </w:rPr>
        <w:t>., 2020).</w:t>
      </w:r>
    </w:p>
    <w:p w:rsidR="00995829" w:rsidRDefault="00C7064C">
      <w:pPr>
        <w:spacing w:after="0" w:line="480" w:lineRule="auto"/>
        <w:ind w:firstLine="720"/>
        <w:jc w:val="both"/>
        <w:rPr>
          <w:rFonts w:eastAsia="Times New Roman"/>
          <w:sz w:val="24"/>
        </w:rPr>
      </w:pPr>
      <w:r>
        <w:rPr>
          <w:rFonts w:eastAsia="Times New Roman"/>
          <w:sz w:val="24"/>
        </w:rPr>
        <w:t xml:space="preserve">The moisture content in </w:t>
      </w:r>
      <w:r>
        <w:rPr>
          <w:rFonts w:eastAsia="Times New Roman"/>
          <w:i/>
          <w:iCs/>
          <w:sz w:val="24"/>
        </w:rPr>
        <w:t>Sidaacuta</w:t>
      </w:r>
      <w:r>
        <w:rPr>
          <w:rFonts w:eastAsia="Times New Roman"/>
          <w:sz w:val="24"/>
        </w:rPr>
        <w:t xml:space="preserve"> leaves has been reported to be relatively high. For instance, a study by Moti </w:t>
      </w:r>
      <w:r>
        <w:rPr>
          <w:rFonts w:eastAsia="Times New Roman"/>
          <w:i/>
          <w:iCs/>
          <w:sz w:val="24"/>
        </w:rPr>
        <w:t>et al</w:t>
      </w:r>
      <w:r>
        <w:rPr>
          <w:rFonts w:eastAsia="Times New Roman"/>
          <w:sz w:val="24"/>
        </w:rPr>
        <w:t xml:space="preserve">. (2020) found that the fresh leaves of </w:t>
      </w:r>
      <w:r>
        <w:rPr>
          <w:rFonts w:eastAsia="Times New Roman"/>
          <w:i/>
          <w:iCs/>
          <w:sz w:val="24"/>
        </w:rPr>
        <w:t>Sidaacuta</w:t>
      </w:r>
      <w:r>
        <w:rPr>
          <w:rFonts w:eastAsia="Times New Roman"/>
          <w:sz w:val="24"/>
        </w:rPr>
        <w:t xml:space="preserve"> contained approximately 75.2% moisture, which is typical of many </w:t>
      </w:r>
      <w:r>
        <w:rPr>
          <w:rFonts w:eastAsia="Times New Roman"/>
          <w:sz w:val="24"/>
        </w:rPr>
        <w:t>leafy plants. This high moisture content makes the plant vulnerable to rapid spoilage if not properly dried or stored. Adequate drying is critical to preserving the plant’s bioactive compounds and extending its shelf life for both medicinal and nutritional</w:t>
      </w:r>
      <w:r>
        <w:rPr>
          <w:rFonts w:eastAsia="Times New Roman"/>
          <w:sz w:val="24"/>
        </w:rPr>
        <w:t xml:space="preserve"> purposes. Similarly, Akinmoladun </w:t>
      </w:r>
      <w:r>
        <w:rPr>
          <w:rFonts w:eastAsia="Times New Roman"/>
          <w:i/>
          <w:iCs/>
          <w:sz w:val="24"/>
        </w:rPr>
        <w:t>et al</w:t>
      </w:r>
      <w:r>
        <w:rPr>
          <w:rFonts w:eastAsia="Times New Roman"/>
          <w:sz w:val="24"/>
        </w:rPr>
        <w:t xml:space="preserve">. (2016) recorded the moisture content of </w:t>
      </w:r>
      <w:r>
        <w:rPr>
          <w:rFonts w:eastAsia="Times New Roman"/>
          <w:i/>
          <w:iCs/>
          <w:sz w:val="24"/>
        </w:rPr>
        <w:t>Sidaacuta</w:t>
      </w:r>
      <w:r>
        <w:rPr>
          <w:rFonts w:eastAsia="Times New Roman"/>
          <w:sz w:val="24"/>
        </w:rPr>
        <w:t xml:space="preserve"> at around 74.5%, reinforcing the necessity of proper post-harvest processing techniques to reduce water activity and avoid the growth of fungi or bacteria. When drie</w:t>
      </w:r>
      <w:r>
        <w:rPr>
          <w:rFonts w:eastAsia="Times New Roman"/>
          <w:sz w:val="24"/>
        </w:rPr>
        <w:t xml:space="preserve">d, </w:t>
      </w:r>
      <w:r>
        <w:rPr>
          <w:rFonts w:eastAsia="Times New Roman"/>
          <w:i/>
          <w:iCs/>
          <w:sz w:val="24"/>
        </w:rPr>
        <w:t>Sidaacuta</w:t>
      </w:r>
      <w:r>
        <w:rPr>
          <w:rFonts w:eastAsia="Times New Roman"/>
          <w:sz w:val="24"/>
        </w:rPr>
        <w:t xml:space="preserve"> can be preserved effectively, making it suitable for preparation in herbal teas, powders, or extracts. However, the high moisture content in its fresh state implies that careful handling is necessary to maintain both its medicinal efficacy and</w:t>
      </w:r>
      <w:r>
        <w:rPr>
          <w:rFonts w:eastAsia="Times New Roman"/>
          <w:sz w:val="24"/>
        </w:rPr>
        <w:t xml:space="preserve"> nutritional value (Akinmoladun </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rsidR="00995829" w:rsidRDefault="00C7064C">
      <w:pPr>
        <w:pStyle w:val="Heading1"/>
        <w:spacing w:before="0" w:after="0" w:line="480" w:lineRule="auto"/>
        <w:jc w:val="both"/>
        <w:rPr>
          <w:sz w:val="24"/>
          <w:szCs w:val="24"/>
        </w:rPr>
      </w:pPr>
      <w:bookmarkStart w:id="21" w:name="_Toc199791375"/>
      <w:r>
        <w:rPr>
          <w:sz w:val="24"/>
          <w:szCs w:val="24"/>
        </w:rPr>
        <w:lastRenderedPageBreak/>
        <w:t xml:space="preserve">2.2.2 </w:t>
      </w:r>
      <w:r>
        <w:rPr>
          <w:sz w:val="24"/>
          <w:szCs w:val="24"/>
        </w:rPr>
        <w:tab/>
        <w:t>Crude Protein</w:t>
      </w:r>
      <w:bookmarkEnd w:id="21"/>
    </w:p>
    <w:p w:rsidR="00995829" w:rsidRDefault="00C7064C">
      <w:pPr>
        <w:spacing w:after="0" w:line="480" w:lineRule="auto"/>
        <w:ind w:firstLine="720"/>
        <w:jc w:val="both"/>
        <w:rPr>
          <w:rFonts w:eastAsia="Times New Roman"/>
          <w:sz w:val="24"/>
        </w:rPr>
      </w:pPr>
      <w:r>
        <w:rPr>
          <w:rFonts w:eastAsia="Times New Roman"/>
          <w:sz w:val="24"/>
        </w:rPr>
        <w:t>Crude protein is an essential component in the nutritional evaluation of plant materials, as it reflects the total protein content, including both true proteins and non-</w:t>
      </w:r>
      <w:r>
        <w:rPr>
          <w:rFonts w:eastAsia="Times New Roman"/>
          <w:sz w:val="24"/>
        </w:rPr>
        <w:t xml:space="preserve">protein nitrogen compounds. As an important macronutrient, protein plays a vital role in tissue repair, enzyme activity, immune function, and overall growth. Research on the crude protein content of </w:t>
      </w:r>
      <w:r>
        <w:rPr>
          <w:rFonts w:eastAsia="Times New Roman"/>
          <w:i/>
          <w:iCs/>
          <w:sz w:val="24"/>
        </w:rPr>
        <w:t>Sidaacuta</w:t>
      </w:r>
      <w:r>
        <w:rPr>
          <w:rFonts w:eastAsia="Times New Roman"/>
          <w:sz w:val="24"/>
        </w:rPr>
        <w:t xml:space="preserve"> indicates that it is a reasonable source of pla</w:t>
      </w:r>
      <w:r>
        <w:rPr>
          <w:rFonts w:eastAsia="Times New Roman"/>
          <w:sz w:val="24"/>
        </w:rPr>
        <w:t xml:space="preserve">nt-based protein. According to Moti </w:t>
      </w:r>
      <w:r>
        <w:rPr>
          <w:rFonts w:eastAsia="Times New Roman"/>
          <w:i/>
          <w:iCs/>
          <w:sz w:val="24"/>
        </w:rPr>
        <w:t>et al</w:t>
      </w:r>
      <w:r>
        <w:rPr>
          <w:rFonts w:eastAsia="Times New Roman"/>
          <w:sz w:val="24"/>
        </w:rPr>
        <w:t xml:space="preserve">. (2020), the crude protein content in </w:t>
      </w:r>
      <w:r>
        <w:rPr>
          <w:rFonts w:eastAsia="Times New Roman"/>
          <w:i/>
          <w:iCs/>
          <w:sz w:val="24"/>
        </w:rPr>
        <w:t>Sidaacuta</w:t>
      </w:r>
      <w:r>
        <w:rPr>
          <w:rFonts w:eastAsia="Times New Roman"/>
          <w:sz w:val="24"/>
        </w:rPr>
        <w:t xml:space="preserve"> leaves was found to be approximately 12.3% on a dry weight basis. This value places </w:t>
      </w:r>
      <w:r>
        <w:rPr>
          <w:rFonts w:eastAsia="Times New Roman"/>
          <w:i/>
          <w:iCs/>
          <w:sz w:val="24"/>
        </w:rPr>
        <w:t>Sidaacuta</w:t>
      </w:r>
      <w:r>
        <w:rPr>
          <w:rFonts w:eastAsia="Times New Roman"/>
          <w:sz w:val="24"/>
        </w:rPr>
        <w:t xml:space="preserve"> among moderate protein-containing leafy vegetables, which is important f</w:t>
      </w:r>
      <w:r>
        <w:rPr>
          <w:rFonts w:eastAsia="Times New Roman"/>
          <w:sz w:val="24"/>
        </w:rPr>
        <w:t xml:space="preserve">or supporting protein intake in plant-based diets. Similarly, Akinmoladun </w:t>
      </w:r>
      <w:r>
        <w:rPr>
          <w:rFonts w:eastAsia="Times New Roman"/>
          <w:i/>
          <w:iCs/>
          <w:sz w:val="24"/>
        </w:rPr>
        <w:t>et al</w:t>
      </w:r>
      <w:r>
        <w:rPr>
          <w:rFonts w:eastAsia="Times New Roman"/>
          <w:sz w:val="24"/>
        </w:rPr>
        <w:t xml:space="preserve">., (2016) found that the leaves of </w:t>
      </w:r>
      <w:r>
        <w:rPr>
          <w:rFonts w:eastAsia="Times New Roman"/>
          <w:i/>
          <w:iCs/>
          <w:sz w:val="24"/>
        </w:rPr>
        <w:t>Sidaacuta</w:t>
      </w:r>
      <w:r>
        <w:rPr>
          <w:rFonts w:eastAsia="Times New Roman"/>
          <w:sz w:val="24"/>
        </w:rPr>
        <w:t xml:space="preserve"> contained 11.5% crude protein, which is consistent with the general range found in other leafy plants commonly used in herbal medici</w:t>
      </w:r>
      <w:r>
        <w:rPr>
          <w:rFonts w:eastAsia="Times New Roman"/>
          <w:sz w:val="24"/>
        </w:rPr>
        <w:t>ne and traditional food.</w:t>
      </w:r>
    </w:p>
    <w:p w:rsidR="00995829" w:rsidRDefault="00C7064C">
      <w:pPr>
        <w:spacing w:after="0" w:line="480" w:lineRule="auto"/>
        <w:ind w:firstLine="720"/>
        <w:jc w:val="both"/>
        <w:rPr>
          <w:rFonts w:eastAsia="Times New Roman"/>
          <w:sz w:val="24"/>
        </w:rPr>
      </w:pPr>
      <w:r>
        <w:rPr>
          <w:rFonts w:eastAsia="Times New Roman"/>
          <w:sz w:val="24"/>
        </w:rPr>
        <w:t xml:space="preserve">The presence of crude protein in </w:t>
      </w:r>
      <w:r>
        <w:rPr>
          <w:rFonts w:eastAsia="Times New Roman"/>
          <w:i/>
          <w:iCs/>
          <w:sz w:val="24"/>
        </w:rPr>
        <w:t>Sidaacuta</w:t>
      </w:r>
      <w:r>
        <w:rPr>
          <w:rFonts w:eastAsia="Times New Roman"/>
          <w:sz w:val="24"/>
        </w:rPr>
        <w:t xml:space="preserve"> highlights its potential as a supplementary protein source, especially in regions where animal protein is scarce or expensive. Although the protein content in </w:t>
      </w:r>
      <w:r>
        <w:rPr>
          <w:rFonts w:eastAsia="Times New Roman"/>
          <w:i/>
          <w:iCs/>
          <w:sz w:val="24"/>
        </w:rPr>
        <w:t>Sidaacuta</w:t>
      </w:r>
      <w:r>
        <w:rPr>
          <w:rFonts w:eastAsia="Times New Roman"/>
          <w:sz w:val="24"/>
        </w:rPr>
        <w:t xml:space="preserve"> may not be as high </w:t>
      </w:r>
      <w:r>
        <w:rPr>
          <w:rFonts w:eastAsia="Times New Roman"/>
          <w:sz w:val="24"/>
        </w:rPr>
        <w:t>as in legumes or animal-based sources, it still contributes meaningfully to the protein intake of individuals consuming it regularly. Additionally, the plant’s protein is complemented by other essential nutrients, making it a valuable part of a balanced di</w:t>
      </w:r>
      <w:r>
        <w:rPr>
          <w:rFonts w:eastAsia="Times New Roman"/>
          <w:sz w:val="24"/>
        </w:rPr>
        <w:t xml:space="preserve">et or herbal remedy. However, as with many plants, the quality of protein in </w:t>
      </w:r>
      <w:r>
        <w:rPr>
          <w:rFonts w:eastAsia="Times New Roman"/>
          <w:i/>
          <w:iCs/>
          <w:sz w:val="24"/>
        </w:rPr>
        <w:lastRenderedPageBreak/>
        <w:t>Sidaacuta</w:t>
      </w:r>
      <w:r>
        <w:rPr>
          <w:rFonts w:eastAsia="Times New Roman"/>
          <w:sz w:val="24"/>
        </w:rPr>
        <w:t xml:space="preserve"> depends on the availability of essential amino acids, which may vary based on cultivation and preparation methods (Akinmoladun </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rsidR="00995829" w:rsidRDefault="00C7064C">
      <w:pPr>
        <w:pStyle w:val="Heading1"/>
        <w:spacing w:before="0" w:after="0" w:line="480" w:lineRule="auto"/>
        <w:jc w:val="both"/>
        <w:rPr>
          <w:sz w:val="24"/>
          <w:szCs w:val="24"/>
        </w:rPr>
      </w:pPr>
      <w:bookmarkStart w:id="22" w:name="_Toc199791376"/>
      <w:r>
        <w:rPr>
          <w:sz w:val="24"/>
          <w:szCs w:val="24"/>
        </w:rPr>
        <w:t xml:space="preserve">2.2.3 </w:t>
      </w:r>
      <w:r>
        <w:rPr>
          <w:sz w:val="24"/>
          <w:szCs w:val="24"/>
        </w:rPr>
        <w:tab/>
        <w:t>C</w:t>
      </w:r>
      <w:r>
        <w:rPr>
          <w:sz w:val="24"/>
          <w:szCs w:val="24"/>
        </w:rPr>
        <w:t>rude Ash</w:t>
      </w:r>
      <w:bookmarkEnd w:id="22"/>
    </w:p>
    <w:p w:rsidR="00995829" w:rsidRDefault="00C7064C">
      <w:pPr>
        <w:spacing w:after="0" w:line="480" w:lineRule="auto"/>
        <w:ind w:firstLine="720"/>
        <w:jc w:val="both"/>
        <w:rPr>
          <w:rFonts w:eastAsia="Times New Roman"/>
          <w:sz w:val="24"/>
        </w:rPr>
      </w:pPr>
      <w:r>
        <w:rPr>
          <w:rFonts w:eastAsia="Times New Roman"/>
          <w:sz w:val="24"/>
        </w:rPr>
        <w:t>Crude ash content is a key indicator of the total mineral content in a plant material. It represents the inorganic residue left after the combustion of the plant material, and it includes essential minerals such as calcium, magnesium, potassium, p</w:t>
      </w:r>
      <w:r>
        <w:rPr>
          <w:rFonts w:eastAsia="Times New Roman"/>
          <w:sz w:val="24"/>
        </w:rPr>
        <w:t xml:space="preserve">hosphorus, and trace elements. While high crude ash content is often linked with a rich mineral composition, For </w:t>
      </w:r>
      <w:r>
        <w:rPr>
          <w:rFonts w:eastAsia="Times New Roman"/>
          <w:i/>
          <w:iCs/>
          <w:sz w:val="24"/>
        </w:rPr>
        <w:t>Sidaacuta</w:t>
      </w:r>
      <w:r>
        <w:rPr>
          <w:rFonts w:eastAsia="Times New Roman"/>
          <w:sz w:val="24"/>
        </w:rPr>
        <w:t xml:space="preserve">, crude ash content has been studied to evaluate its mineral composition and overall nutritional profile. According to Singh </w:t>
      </w:r>
      <w:r>
        <w:rPr>
          <w:rFonts w:eastAsia="Times New Roman"/>
          <w:i/>
          <w:iCs/>
          <w:sz w:val="24"/>
        </w:rPr>
        <w:t>et al</w:t>
      </w:r>
      <w:r>
        <w:rPr>
          <w:rFonts w:eastAsia="Times New Roman"/>
          <w:sz w:val="24"/>
        </w:rPr>
        <w:t>., (</w:t>
      </w:r>
      <w:r>
        <w:rPr>
          <w:rFonts w:eastAsia="Times New Roman"/>
          <w:sz w:val="24"/>
        </w:rPr>
        <w:t xml:space="preserve">2019), the crude ash content of </w:t>
      </w:r>
      <w:r>
        <w:rPr>
          <w:rFonts w:eastAsia="Times New Roman"/>
          <w:i/>
          <w:iCs/>
          <w:sz w:val="24"/>
        </w:rPr>
        <w:t>Sidaacuta</w:t>
      </w:r>
      <w:r>
        <w:rPr>
          <w:rFonts w:eastAsia="Times New Roman"/>
          <w:sz w:val="24"/>
        </w:rPr>
        <w:t xml:space="preserve"> leaves was found to be 7.1% on a dry weight basis. This value indicates that the plant contains a significant proportion of minerals, which could contribute to its nutritional and medicinal properties. In a similar</w:t>
      </w:r>
      <w:r>
        <w:rPr>
          <w:rFonts w:eastAsia="Times New Roman"/>
          <w:sz w:val="24"/>
        </w:rPr>
        <w:t xml:space="preserve"> study, Oyetayo </w:t>
      </w:r>
      <w:r>
        <w:rPr>
          <w:rFonts w:eastAsia="Times New Roman"/>
          <w:i/>
          <w:iCs/>
          <w:sz w:val="24"/>
        </w:rPr>
        <w:t>et al</w:t>
      </w:r>
      <w:r>
        <w:rPr>
          <w:rFonts w:eastAsia="Times New Roman"/>
          <w:sz w:val="24"/>
        </w:rPr>
        <w:t xml:space="preserve">., (2018) reported that </w:t>
      </w:r>
      <w:r>
        <w:rPr>
          <w:rFonts w:eastAsia="Times New Roman"/>
          <w:i/>
          <w:iCs/>
          <w:sz w:val="24"/>
        </w:rPr>
        <w:t>Sidaacuta</w:t>
      </w:r>
      <w:r>
        <w:rPr>
          <w:rFonts w:eastAsia="Times New Roman"/>
          <w:sz w:val="24"/>
        </w:rPr>
        <w:t xml:space="preserve"> leaves contained 6.3% crude ash, further supporting its status as a plant rich in essential minerals.</w:t>
      </w:r>
    </w:p>
    <w:p w:rsidR="00995829" w:rsidRDefault="00C7064C">
      <w:pPr>
        <w:spacing w:after="0" w:line="480" w:lineRule="auto"/>
        <w:ind w:firstLine="720"/>
        <w:jc w:val="both"/>
        <w:rPr>
          <w:rFonts w:eastAsia="Times New Roman"/>
          <w:sz w:val="24"/>
        </w:rPr>
      </w:pPr>
      <w:r>
        <w:rPr>
          <w:rFonts w:eastAsia="Times New Roman"/>
          <w:sz w:val="24"/>
        </w:rPr>
        <w:t xml:space="preserve">The presence of a relatively high crude ash content in </w:t>
      </w:r>
      <w:r>
        <w:rPr>
          <w:rFonts w:eastAsia="Times New Roman"/>
          <w:i/>
          <w:iCs/>
          <w:sz w:val="24"/>
        </w:rPr>
        <w:t>Sidaacuta</w:t>
      </w:r>
      <w:r>
        <w:rPr>
          <w:rFonts w:eastAsia="Times New Roman"/>
          <w:sz w:val="24"/>
        </w:rPr>
        <w:t xml:space="preserve"> suggests that it may be a useful s</w:t>
      </w:r>
      <w:r>
        <w:rPr>
          <w:rFonts w:eastAsia="Times New Roman"/>
          <w:sz w:val="24"/>
        </w:rPr>
        <w:t>ource of minerals, particularly for individuals seeking to supplement their mineral intake through plant-based foods. However, it is important to note that while crude ash reflects the overall mineral content, the bioavailability of these minerals can vary</w:t>
      </w:r>
      <w:r>
        <w:rPr>
          <w:rFonts w:eastAsia="Times New Roman"/>
          <w:sz w:val="24"/>
        </w:rPr>
        <w:t xml:space="preserve"> depending on factors such as soil composition, plant age, and preparation methods. Therefore, further studies on the specific mineral profiles and </w:t>
      </w:r>
      <w:r>
        <w:rPr>
          <w:rFonts w:eastAsia="Times New Roman"/>
          <w:sz w:val="24"/>
        </w:rPr>
        <w:lastRenderedPageBreak/>
        <w:t xml:space="preserve">their absorption rates would be beneficial for understanding how </w:t>
      </w:r>
      <w:r>
        <w:rPr>
          <w:rFonts w:eastAsia="Times New Roman"/>
          <w:i/>
          <w:iCs/>
          <w:sz w:val="24"/>
        </w:rPr>
        <w:t>Sidaacuta</w:t>
      </w:r>
      <w:r>
        <w:rPr>
          <w:rFonts w:eastAsia="Times New Roman"/>
          <w:sz w:val="24"/>
        </w:rPr>
        <w:t xml:space="preserve"> can best be used in dietary appli</w:t>
      </w:r>
      <w:r>
        <w:rPr>
          <w:rFonts w:eastAsia="Times New Roman"/>
          <w:sz w:val="24"/>
        </w:rPr>
        <w:t xml:space="preserve">cations (Singh </w:t>
      </w:r>
      <w:r>
        <w:rPr>
          <w:rFonts w:eastAsia="Times New Roman"/>
          <w:i/>
          <w:iCs/>
          <w:sz w:val="24"/>
        </w:rPr>
        <w:t>et al</w:t>
      </w:r>
      <w:r>
        <w:rPr>
          <w:rFonts w:eastAsia="Times New Roman"/>
          <w:sz w:val="24"/>
        </w:rPr>
        <w:t xml:space="preserve">., 2019; Oyetayo </w:t>
      </w:r>
      <w:r>
        <w:rPr>
          <w:rFonts w:eastAsia="Times New Roman"/>
          <w:i/>
          <w:iCs/>
          <w:sz w:val="24"/>
        </w:rPr>
        <w:t>et al</w:t>
      </w:r>
      <w:r>
        <w:rPr>
          <w:rFonts w:eastAsia="Times New Roman"/>
          <w:sz w:val="24"/>
        </w:rPr>
        <w:t>., 2018).</w:t>
      </w:r>
    </w:p>
    <w:p w:rsidR="00995829" w:rsidRDefault="00C7064C">
      <w:pPr>
        <w:pStyle w:val="Heading1"/>
        <w:spacing w:before="0" w:after="0" w:line="480" w:lineRule="auto"/>
        <w:jc w:val="both"/>
        <w:rPr>
          <w:sz w:val="24"/>
          <w:szCs w:val="24"/>
        </w:rPr>
      </w:pPr>
      <w:bookmarkStart w:id="23" w:name="_Toc199791377"/>
      <w:r>
        <w:rPr>
          <w:sz w:val="24"/>
          <w:szCs w:val="24"/>
        </w:rPr>
        <w:t xml:space="preserve">2.2.4 </w:t>
      </w:r>
      <w:r>
        <w:rPr>
          <w:sz w:val="24"/>
          <w:szCs w:val="24"/>
        </w:rPr>
        <w:tab/>
        <w:t>Lipid</w:t>
      </w:r>
      <w:bookmarkEnd w:id="23"/>
    </w:p>
    <w:p w:rsidR="00995829" w:rsidRDefault="00C7064C">
      <w:pPr>
        <w:spacing w:after="0" w:line="480" w:lineRule="auto"/>
        <w:ind w:firstLine="720"/>
        <w:jc w:val="both"/>
        <w:rPr>
          <w:rFonts w:eastAsia="Times New Roman"/>
          <w:sz w:val="24"/>
        </w:rPr>
      </w:pPr>
      <w:r>
        <w:rPr>
          <w:rFonts w:eastAsia="Times New Roman"/>
          <w:sz w:val="24"/>
        </w:rPr>
        <w:t xml:space="preserve">Lipids are an essential class of </w:t>
      </w:r>
      <w:r>
        <w:rPr>
          <w:rFonts w:eastAsia="Times New Roman"/>
          <w:sz w:val="24"/>
        </w:rPr>
        <w:t>bio molecules</w:t>
      </w:r>
      <w:r>
        <w:rPr>
          <w:rFonts w:eastAsia="Times New Roman"/>
          <w:sz w:val="24"/>
        </w:rPr>
        <w:t xml:space="preserve"> that play key roles in energy storage, cellular structure, and signaling processes within the human body. In plants, lipids are primarily found in the form of oils and fats, which are important for their role in cellular function and energy storage. Resea</w:t>
      </w:r>
      <w:r>
        <w:rPr>
          <w:rFonts w:eastAsia="Times New Roman"/>
          <w:sz w:val="24"/>
        </w:rPr>
        <w:t xml:space="preserve">rch on the lipid content of </w:t>
      </w:r>
      <w:r>
        <w:rPr>
          <w:rFonts w:eastAsia="Times New Roman"/>
          <w:i/>
          <w:iCs/>
          <w:sz w:val="24"/>
        </w:rPr>
        <w:t>Sidaacuta</w:t>
      </w:r>
      <w:r>
        <w:rPr>
          <w:rFonts w:eastAsia="Times New Roman"/>
          <w:sz w:val="24"/>
        </w:rPr>
        <w:t xml:space="preserve"> indicates that while the plant does contain lipids, the levels are generally moderate. According to Oyeleke </w:t>
      </w:r>
      <w:r>
        <w:rPr>
          <w:rFonts w:eastAsia="Times New Roman"/>
          <w:i/>
          <w:iCs/>
          <w:sz w:val="24"/>
        </w:rPr>
        <w:t>et al</w:t>
      </w:r>
      <w:r>
        <w:rPr>
          <w:rFonts w:eastAsia="Times New Roman"/>
          <w:sz w:val="24"/>
        </w:rPr>
        <w:t xml:space="preserve">., (2021), the crude lipid content of </w:t>
      </w:r>
      <w:r>
        <w:rPr>
          <w:rFonts w:eastAsia="Times New Roman"/>
          <w:i/>
          <w:iCs/>
          <w:sz w:val="24"/>
        </w:rPr>
        <w:t>Sidaacuta</w:t>
      </w:r>
      <w:r>
        <w:rPr>
          <w:rFonts w:eastAsia="Times New Roman"/>
          <w:sz w:val="24"/>
        </w:rPr>
        <w:t xml:space="preserve"> leaves was found to be around 3.2% on a dry weight basis.</w:t>
      </w:r>
      <w:r>
        <w:rPr>
          <w:rFonts w:eastAsia="Times New Roman"/>
          <w:sz w:val="24"/>
        </w:rPr>
        <w:t xml:space="preserve"> This is relatively low compared to oil-rich plants like soybean or sunflower, which have lipid contents above 20%. However, this level of lipids is still significant for a plant traditionally consumed as a leafy green or used in herbal medicine. In additi</w:t>
      </w:r>
      <w:r>
        <w:rPr>
          <w:rFonts w:eastAsia="Times New Roman"/>
          <w:sz w:val="24"/>
        </w:rPr>
        <w:t xml:space="preserve">on to providing energy, the lipids in </w:t>
      </w:r>
      <w:r>
        <w:rPr>
          <w:rFonts w:eastAsia="Times New Roman"/>
          <w:i/>
          <w:iCs/>
          <w:sz w:val="24"/>
        </w:rPr>
        <w:t>Sidaacuta</w:t>
      </w:r>
      <w:r>
        <w:rPr>
          <w:rFonts w:eastAsia="Times New Roman"/>
          <w:sz w:val="24"/>
        </w:rPr>
        <w:t xml:space="preserve"> may offer additional health benefits. Some studies suggest that the lipids in medicinal plants contain essential fatty acids, such as omega-3 and omega-6, which play important roles in reducing inflammation, </w:t>
      </w:r>
      <w:r>
        <w:rPr>
          <w:rFonts w:eastAsia="Times New Roman"/>
          <w:sz w:val="24"/>
        </w:rPr>
        <w:t xml:space="preserve">supporting cardiovascular health, and promoting proper brain function (Akinmoladun </w:t>
      </w:r>
      <w:r>
        <w:rPr>
          <w:rFonts w:eastAsia="Times New Roman"/>
          <w:i/>
          <w:iCs/>
          <w:sz w:val="24"/>
        </w:rPr>
        <w:t>et al</w:t>
      </w:r>
      <w:r>
        <w:rPr>
          <w:rFonts w:eastAsia="Times New Roman"/>
          <w:sz w:val="24"/>
        </w:rPr>
        <w:t xml:space="preserve">., 2017). However, further research is necessary to fully assess the specific types of fatty acids present in </w:t>
      </w:r>
      <w:r>
        <w:rPr>
          <w:rFonts w:eastAsia="Times New Roman"/>
          <w:i/>
          <w:iCs/>
          <w:sz w:val="24"/>
        </w:rPr>
        <w:t>Sidaacuta</w:t>
      </w:r>
      <w:r>
        <w:rPr>
          <w:rFonts w:eastAsia="Times New Roman"/>
          <w:sz w:val="24"/>
        </w:rPr>
        <w:t xml:space="preserve"> and their bioactivity.</w:t>
      </w:r>
    </w:p>
    <w:p w:rsidR="00995829" w:rsidRDefault="00C7064C">
      <w:pPr>
        <w:spacing w:after="0" w:line="480" w:lineRule="auto"/>
        <w:ind w:firstLine="720"/>
        <w:jc w:val="both"/>
        <w:rPr>
          <w:rFonts w:eastAsia="Times New Roman"/>
          <w:sz w:val="24"/>
        </w:rPr>
      </w:pPr>
      <w:r>
        <w:rPr>
          <w:rFonts w:eastAsia="Times New Roman"/>
          <w:sz w:val="24"/>
        </w:rPr>
        <w:t xml:space="preserve">Though </w:t>
      </w:r>
      <w:r>
        <w:rPr>
          <w:rFonts w:eastAsia="Times New Roman"/>
          <w:i/>
          <w:iCs/>
          <w:sz w:val="24"/>
        </w:rPr>
        <w:t>Sidaacuta</w:t>
      </w:r>
      <w:r>
        <w:rPr>
          <w:rFonts w:eastAsia="Times New Roman"/>
          <w:sz w:val="24"/>
        </w:rPr>
        <w:t xml:space="preserve"> is not t</w:t>
      </w:r>
      <w:r>
        <w:rPr>
          <w:rFonts w:eastAsia="Times New Roman"/>
          <w:sz w:val="24"/>
        </w:rPr>
        <w:t xml:space="preserve">ypically regarded as a major source of lipids, its moderate lipid content, when combined with its other nutritional components, </w:t>
      </w:r>
      <w:r>
        <w:rPr>
          <w:rFonts w:eastAsia="Times New Roman"/>
          <w:sz w:val="24"/>
        </w:rPr>
        <w:lastRenderedPageBreak/>
        <w:t>contributes to the plant’s overall value as a functional food and medicinal herb. Its lipid content, along with its high mineral</w:t>
      </w:r>
      <w:r>
        <w:rPr>
          <w:rFonts w:eastAsia="Times New Roman"/>
          <w:sz w:val="24"/>
        </w:rPr>
        <w:t xml:space="preserve"> and protein content, suggests that it could have synergistic benefits when included in a balanced, plant-based diet (Oyeleke </w:t>
      </w:r>
      <w:r>
        <w:rPr>
          <w:rFonts w:eastAsia="Times New Roman"/>
          <w:i/>
          <w:iCs/>
          <w:sz w:val="24"/>
        </w:rPr>
        <w:t>et al</w:t>
      </w:r>
      <w:r>
        <w:rPr>
          <w:rFonts w:eastAsia="Times New Roman"/>
          <w:sz w:val="24"/>
        </w:rPr>
        <w:t xml:space="preserve">., 2021; Akinmoladun </w:t>
      </w:r>
      <w:r>
        <w:rPr>
          <w:rFonts w:eastAsia="Times New Roman"/>
          <w:i/>
          <w:iCs/>
          <w:sz w:val="24"/>
        </w:rPr>
        <w:t>et al</w:t>
      </w:r>
      <w:r>
        <w:rPr>
          <w:rFonts w:eastAsia="Times New Roman"/>
          <w:sz w:val="24"/>
        </w:rPr>
        <w:t xml:space="preserve">., 2017). </w:t>
      </w:r>
      <w:r>
        <w:rPr>
          <w:sz w:val="24"/>
        </w:rPr>
        <w:t xml:space="preserve">Crude fat is the term used to refer the crude mixture of fat-soluble material present in </w:t>
      </w:r>
      <w:r>
        <w:rPr>
          <w:sz w:val="24"/>
        </w:rPr>
        <w:t>a sample. Crude fat also known as the ether extract or the free lipid content is the traditional measure of fat in food products. The lipid materials may include triglycerides, diglycerides, monoglycerides, phospholipids, steroids, free fatty acids, fat-so</w:t>
      </w:r>
      <w:r>
        <w:rPr>
          <w:sz w:val="24"/>
        </w:rPr>
        <w:t>luble vitamins, carotene pigments and chlorophylls. The common approach for total crude fat determination is based on the solubility of lipids in non-polar organic solvents such as hexanes, petroleum ether or supercritical liquid carbon dioxide with or wit</w:t>
      </w:r>
      <w:r>
        <w:rPr>
          <w:sz w:val="24"/>
        </w:rPr>
        <w:t xml:space="preserve">hout a solvent modifier (Arunachalam </w:t>
      </w:r>
      <w:r>
        <w:rPr>
          <w:i/>
          <w:iCs/>
          <w:sz w:val="24"/>
        </w:rPr>
        <w:t>et al</w:t>
      </w:r>
      <w:r>
        <w:rPr>
          <w:sz w:val="24"/>
        </w:rPr>
        <w:t>., 2011)</w:t>
      </w:r>
    </w:p>
    <w:p w:rsidR="00995829" w:rsidRDefault="00C7064C">
      <w:pPr>
        <w:pStyle w:val="Heading1"/>
        <w:spacing w:before="0" w:after="0" w:line="480" w:lineRule="auto"/>
        <w:jc w:val="both"/>
        <w:rPr>
          <w:sz w:val="24"/>
          <w:szCs w:val="24"/>
        </w:rPr>
      </w:pPr>
      <w:bookmarkStart w:id="24" w:name="_Toc199791378"/>
      <w:r>
        <w:rPr>
          <w:sz w:val="24"/>
          <w:szCs w:val="24"/>
        </w:rPr>
        <w:t xml:space="preserve">2.2.5 </w:t>
      </w:r>
      <w:r>
        <w:rPr>
          <w:sz w:val="24"/>
          <w:szCs w:val="24"/>
        </w:rPr>
        <w:tab/>
        <w:t>Crude Fibre</w:t>
      </w:r>
      <w:bookmarkEnd w:id="24"/>
    </w:p>
    <w:p w:rsidR="00995829" w:rsidRDefault="00C7064C">
      <w:pPr>
        <w:spacing w:after="0" w:line="480" w:lineRule="auto"/>
        <w:ind w:firstLine="720"/>
        <w:jc w:val="both"/>
        <w:rPr>
          <w:rFonts w:eastAsia="Times New Roman"/>
          <w:sz w:val="24"/>
        </w:rPr>
      </w:pPr>
      <w:r>
        <w:rPr>
          <w:rFonts w:eastAsia="Times New Roman"/>
          <w:sz w:val="24"/>
        </w:rPr>
        <w:t xml:space="preserve">Crude fibre, or dietary fibre, refers to the indigestible parts of plant materials, including cellulose, hemicellulose, and lignin, which are essential for digestive health. Fibre plays </w:t>
      </w:r>
      <w:r>
        <w:rPr>
          <w:rFonts w:eastAsia="Times New Roman"/>
          <w:sz w:val="24"/>
        </w:rPr>
        <w:t xml:space="preserve">an important role in maintaining gastrointestinal function, regulating blood sugar levels, and supporting cardiovascular health. The crude fibre content in </w:t>
      </w:r>
      <w:r>
        <w:rPr>
          <w:rFonts w:eastAsia="Times New Roman"/>
          <w:i/>
          <w:iCs/>
          <w:sz w:val="24"/>
        </w:rPr>
        <w:t>Sidaacuta</w:t>
      </w:r>
      <w:r>
        <w:rPr>
          <w:rFonts w:eastAsia="Times New Roman"/>
          <w:sz w:val="24"/>
        </w:rPr>
        <w:t xml:space="preserve"> has been examined in several studies, revealing notable levels of dietary fibre. According</w:t>
      </w:r>
      <w:r>
        <w:rPr>
          <w:rFonts w:eastAsia="Times New Roman"/>
          <w:sz w:val="24"/>
        </w:rPr>
        <w:t xml:space="preserve"> to Akinmoladun </w:t>
      </w:r>
      <w:r>
        <w:rPr>
          <w:rFonts w:eastAsia="Times New Roman"/>
          <w:i/>
          <w:iCs/>
          <w:sz w:val="24"/>
        </w:rPr>
        <w:t>et al</w:t>
      </w:r>
      <w:r>
        <w:rPr>
          <w:rFonts w:eastAsia="Times New Roman"/>
          <w:sz w:val="24"/>
        </w:rPr>
        <w:t xml:space="preserve">. (2017), the crude fibre content in the leaves of </w:t>
      </w:r>
      <w:r>
        <w:rPr>
          <w:rFonts w:eastAsia="Times New Roman"/>
          <w:i/>
          <w:iCs/>
          <w:sz w:val="24"/>
        </w:rPr>
        <w:t>Sidaacuta</w:t>
      </w:r>
      <w:r>
        <w:rPr>
          <w:rFonts w:eastAsia="Times New Roman"/>
          <w:sz w:val="24"/>
        </w:rPr>
        <w:t xml:space="preserve"> was found to be approximately 14.4% on a dry weight basis. This value indicates that </w:t>
      </w:r>
      <w:r>
        <w:rPr>
          <w:rFonts w:eastAsia="Times New Roman"/>
          <w:i/>
          <w:iCs/>
          <w:sz w:val="24"/>
        </w:rPr>
        <w:t>Sidaacuta</w:t>
      </w:r>
      <w:r>
        <w:rPr>
          <w:rFonts w:eastAsia="Times New Roman"/>
          <w:sz w:val="24"/>
        </w:rPr>
        <w:t xml:space="preserve"> is a moderate source of fibre, which is beneficial for </w:t>
      </w:r>
      <w:r>
        <w:rPr>
          <w:rFonts w:eastAsia="Times New Roman"/>
          <w:sz w:val="24"/>
        </w:rPr>
        <w:lastRenderedPageBreak/>
        <w:t>promoting healthy digest</w:t>
      </w:r>
      <w:r>
        <w:rPr>
          <w:rFonts w:eastAsia="Times New Roman"/>
          <w:sz w:val="24"/>
        </w:rPr>
        <w:t xml:space="preserve">ion and preventing constipation. Additionally, dietary fibre is known to play a role in weight management by promoting satiety, which could enhance </w:t>
      </w:r>
      <w:r>
        <w:rPr>
          <w:rFonts w:eastAsia="Times New Roman"/>
          <w:i/>
          <w:iCs/>
          <w:sz w:val="24"/>
        </w:rPr>
        <w:t>Sidaacuta</w:t>
      </w:r>
      <w:r>
        <w:rPr>
          <w:rFonts w:eastAsia="Times New Roman"/>
          <w:sz w:val="24"/>
        </w:rPr>
        <w:t>'s role as part of a balanced diet.</w:t>
      </w:r>
    </w:p>
    <w:p w:rsidR="00995829" w:rsidRDefault="00C7064C">
      <w:pPr>
        <w:spacing w:after="0" w:line="480" w:lineRule="auto"/>
        <w:ind w:firstLine="720"/>
        <w:jc w:val="both"/>
        <w:rPr>
          <w:rFonts w:eastAsia="Times New Roman"/>
          <w:sz w:val="24"/>
        </w:rPr>
      </w:pPr>
      <w:r>
        <w:rPr>
          <w:rFonts w:eastAsia="Times New Roman"/>
          <w:sz w:val="24"/>
        </w:rPr>
        <w:t xml:space="preserve">In a similar study, Oyeleke </w:t>
      </w:r>
      <w:r>
        <w:rPr>
          <w:rFonts w:eastAsia="Times New Roman"/>
          <w:i/>
          <w:iCs/>
          <w:sz w:val="24"/>
        </w:rPr>
        <w:t>et al</w:t>
      </w:r>
      <w:r>
        <w:rPr>
          <w:rFonts w:eastAsia="Times New Roman"/>
          <w:sz w:val="24"/>
        </w:rPr>
        <w:t>., (2021) reported that the cr</w:t>
      </w:r>
      <w:r>
        <w:rPr>
          <w:rFonts w:eastAsia="Times New Roman"/>
          <w:sz w:val="24"/>
        </w:rPr>
        <w:t xml:space="preserve">ude fibre content of </w:t>
      </w:r>
      <w:r>
        <w:rPr>
          <w:rFonts w:eastAsia="Times New Roman"/>
          <w:i/>
          <w:iCs/>
          <w:sz w:val="24"/>
        </w:rPr>
        <w:t>Sidaacuta</w:t>
      </w:r>
      <w:r>
        <w:rPr>
          <w:rFonts w:eastAsia="Times New Roman"/>
          <w:sz w:val="24"/>
        </w:rPr>
        <w:t xml:space="preserve"> was 13.8%, further supporting its relevance as a plant-based source of fibre. Given the plant’s use in traditional medicine and as a food supplement, its moderate fibre content could be advantageous for individuals seeking to</w:t>
      </w:r>
      <w:r>
        <w:rPr>
          <w:rFonts w:eastAsia="Times New Roman"/>
          <w:sz w:val="24"/>
        </w:rPr>
        <w:t xml:space="preserve"> improve their digestive health or regulate their cholesterol levels. Fibre-rich plants such as </w:t>
      </w:r>
      <w:r>
        <w:rPr>
          <w:rFonts w:eastAsia="Times New Roman"/>
          <w:i/>
          <w:iCs/>
          <w:sz w:val="24"/>
        </w:rPr>
        <w:t>Sidaacuta</w:t>
      </w:r>
      <w:r>
        <w:rPr>
          <w:rFonts w:eastAsia="Times New Roman"/>
          <w:sz w:val="24"/>
        </w:rPr>
        <w:t xml:space="preserve"> are also thought to contribute to overall gut health by supporting the growth of beneficial gut bacteria (Oyeleke </w:t>
      </w:r>
      <w:r>
        <w:rPr>
          <w:rFonts w:eastAsia="Times New Roman"/>
          <w:i/>
          <w:iCs/>
          <w:sz w:val="24"/>
        </w:rPr>
        <w:t>et al</w:t>
      </w:r>
      <w:r>
        <w:rPr>
          <w:rFonts w:eastAsia="Times New Roman"/>
          <w:sz w:val="24"/>
        </w:rPr>
        <w:t xml:space="preserve">., 2021). Though </w:t>
      </w:r>
      <w:r>
        <w:rPr>
          <w:rFonts w:eastAsia="Times New Roman"/>
          <w:i/>
          <w:iCs/>
          <w:sz w:val="24"/>
        </w:rPr>
        <w:t>Sidaacuta</w:t>
      </w:r>
      <w:r>
        <w:rPr>
          <w:rFonts w:eastAsia="Times New Roman"/>
          <w:sz w:val="24"/>
        </w:rPr>
        <w:t xml:space="preserve"> is n</w:t>
      </w:r>
      <w:r>
        <w:rPr>
          <w:rFonts w:eastAsia="Times New Roman"/>
          <w:sz w:val="24"/>
        </w:rPr>
        <w:t>ot as high in fibre as some other plants like legumes or root vegetables, its significant fibre content, combined with its medicinal properties, contributes to its overall value in both dietary and therapeutic contexts. The presence of fibre, along with ot</w:t>
      </w:r>
      <w:r>
        <w:rPr>
          <w:rFonts w:eastAsia="Times New Roman"/>
          <w:sz w:val="24"/>
        </w:rPr>
        <w:t xml:space="preserve">her bioactive compounds, makes </w:t>
      </w:r>
      <w:r>
        <w:rPr>
          <w:rFonts w:eastAsia="Times New Roman"/>
          <w:i/>
          <w:iCs/>
          <w:sz w:val="24"/>
        </w:rPr>
        <w:t>Sidaacuta</w:t>
      </w:r>
      <w:r>
        <w:rPr>
          <w:rFonts w:eastAsia="Times New Roman"/>
          <w:sz w:val="24"/>
        </w:rPr>
        <w:t xml:space="preserve"> a valuable plant in traditional and modern herbal medicine (Akinmoladun </w:t>
      </w:r>
      <w:r>
        <w:rPr>
          <w:rFonts w:eastAsia="Times New Roman"/>
          <w:i/>
          <w:iCs/>
          <w:sz w:val="24"/>
        </w:rPr>
        <w:t>et al</w:t>
      </w:r>
      <w:r>
        <w:rPr>
          <w:rFonts w:eastAsia="Times New Roman"/>
          <w:sz w:val="24"/>
        </w:rPr>
        <w:t xml:space="preserve">., 2017; Oyeleke </w:t>
      </w:r>
      <w:r>
        <w:rPr>
          <w:rFonts w:eastAsia="Times New Roman"/>
          <w:i/>
          <w:iCs/>
          <w:sz w:val="24"/>
        </w:rPr>
        <w:t>et al</w:t>
      </w:r>
      <w:r>
        <w:rPr>
          <w:rFonts w:eastAsia="Times New Roman"/>
          <w:sz w:val="24"/>
        </w:rPr>
        <w:t>., 2021).</w:t>
      </w:r>
    </w:p>
    <w:p w:rsidR="00995829" w:rsidRDefault="00C7064C">
      <w:pPr>
        <w:pStyle w:val="Heading1"/>
        <w:spacing w:before="0" w:after="0" w:line="480" w:lineRule="auto"/>
        <w:jc w:val="both"/>
        <w:rPr>
          <w:rFonts w:eastAsia="Times New Roman"/>
          <w:sz w:val="24"/>
          <w:szCs w:val="24"/>
        </w:rPr>
      </w:pPr>
      <w:bookmarkStart w:id="25" w:name="_Toc199791379"/>
      <w:r>
        <w:rPr>
          <w:rFonts w:eastAsia="Times New Roman"/>
          <w:sz w:val="24"/>
          <w:szCs w:val="24"/>
        </w:rPr>
        <w:t xml:space="preserve">2.2.6 </w:t>
      </w:r>
      <w:r>
        <w:rPr>
          <w:rFonts w:eastAsia="Times New Roman"/>
          <w:sz w:val="24"/>
          <w:szCs w:val="24"/>
        </w:rPr>
        <w:tab/>
        <w:t>Carbohydrate Content</w:t>
      </w:r>
      <w:bookmarkEnd w:id="25"/>
    </w:p>
    <w:p w:rsidR="00995829" w:rsidRDefault="00C7064C">
      <w:pPr>
        <w:spacing w:after="0" w:line="480" w:lineRule="auto"/>
        <w:ind w:firstLine="720"/>
        <w:jc w:val="both"/>
        <w:rPr>
          <w:sz w:val="24"/>
        </w:rPr>
      </w:pPr>
      <w:r>
        <w:rPr>
          <w:sz w:val="24"/>
        </w:rPr>
        <w:t>Carbohydrates are vital organic molecules that serve as the primary energy sou</w:t>
      </w:r>
      <w:r>
        <w:rPr>
          <w:sz w:val="24"/>
        </w:rPr>
        <w:t>rce for most living organisms. They play an essential role in metabolic pathways and biological functions, including energy storage, structural support, and cellular communication (Chandrasekara and Kumar, 2016). In plants, carbohydrates not only contribut</w:t>
      </w:r>
      <w:r>
        <w:rPr>
          <w:sz w:val="24"/>
        </w:rPr>
        <w:t xml:space="preserve">e to their nutritional value but also influence their pharmacological efficacy, </w:t>
      </w:r>
      <w:r>
        <w:rPr>
          <w:sz w:val="24"/>
        </w:rPr>
        <w:lastRenderedPageBreak/>
        <w:t>particularly when used in traditional medicine. Carbohydrate content can be calculated by difference, using the formula:</w:t>
      </w:r>
    </w:p>
    <w:p w:rsidR="00995829" w:rsidRDefault="00C7064C">
      <w:pPr>
        <w:spacing w:after="0" w:line="480" w:lineRule="auto"/>
        <w:jc w:val="both"/>
        <w:rPr>
          <w:sz w:val="24"/>
        </w:rPr>
      </w:pPr>
      <w:r>
        <w:rPr>
          <w:rStyle w:val="katex-mathml"/>
          <w:sz w:val="24"/>
        </w:rPr>
        <w:t>Carbohydrate (%) =100− [% Moisture+% Protein+% Fat+% As</w:t>
      </w:r>
      <w:r>
        <w:rPr>
          <w:rStyle w:val="katex-mathml"/>
          <w:sz w:val="24"/>
        </w:rPr>
        <w:t>h+% Fiber]</w:t>
      </w:r>
    </w:p>
    <w:p w:rsidR="00995829" w:rsidRDefault="00C7064C">
      <w:pPr>
        <w:spacing w:after="0" w:line="480" w:lineRule="auto"/>
        <w:ind w:firstLine="720"/>
        <w:jc w:val="both"/>
        <w:rPr>
          <w:sz w:val="24"/>
        </w:rPr>
      </w:pPr>
      <w:r>
        <w:rPr>
          <w:sz w:val="24"/>
        </w:rPr>
        <w:t xml:space="preserve">This method ensures that the total proximate composition sums up to 100%, and it has been extensively applied in the nutritional profiling of herbal and food plants (AOAC, 2016). In several studies, </w:t>
      </w:r>
      <w:r>
        <w:rPr>
          <w:rStyle w:val="Emphasis"/>
          <w:sz w:val="24"/>
        </w:rPr>
        <w:t>Sidaacuta</w:t>
      </w:r>
      <w:r>
        <w:rPr>
          <w:sz w:val="24"/>
        </w:rPr>
        <w:t xml:space="preserve"> has been reported to contain a relatively high carbohydrate content, which contributes to its caloric value and its potential as a supplementary food source. For instance, Olayemi </w:t>
      </w:r>
      <w:r>
        <w:rPr>
          <w:i/>
          <w:iCs/>
          <w:sz w:val="24"/>
        </w:rPr>
        <w:t>et al</w:t>
      </w:r>
      <w:r>
        <w:rPr>
          <w:sz w:val="24"/>
        </w:rPr>
        <w:t xml:space="preserve">., (2011) found that the dried leaves of </w:t>
      </w:r>
      <w:r>
        <w:rPr>
          <w:rStyle w:val="Emphasis"/>
          <w:sz w:val="24"/>
        </w:rPr>
        <w:t>Sidaacuta</w:t>
      </w:r>
      <w:r>
        <w:rPr>
          <w:sz w:val="24"/>
        </w:rPr>
        <w:t xml:space="preserve"> contained approxima</w:t>
      </w:r>
      <w:r>
        <w:rPr>
          <w:sz w:val="24"/>
        </w:rPr>
        <w:t xml:space="preserve">tely 45.6% carbohydrate. This is consistent with findings by Oyedepo </w:t>
      </w:r>
      <w:r>
        <w:rPr>
          <w:i/>
          <w:iCs/>
          <w:sz w:val="24"/>
        </w:rPr>
        <w:t>et al</w:t>
      </w:r>
      <w:r>
        <w:rPr>
          <w:sz w:val="24"/>
        </w:rPr>
        <w:t xml:space="preserve">., (2016), who reported carbohydrate levels ranging between 42.7% and 50.3%, depending on the part of the plant analysed and the drying method used. These values indicate that </w:t>
      </w:r>
      <w:r>
        <w:rPr>
          <w:rStyle w:val="Emphasis"/>
          <w:sz w:val="24"/>
        </w:rPr>
        <w:t>Sid</w:t>
      </w:r>
      <w:r>
        <w:rPr>
          <w:rStyle w:val="Emphasis"/>
          <w:sz w:val="24"/>
        </w:rPr>
        <w:t xml:space="preserve">a </w:t>
      </w:r>
      <w:r>
        <w:rPr>
          <w:rStyle w:val="Emphasis"/>
          <w:sz w:val="24"/>
        </w:rPr>
        <w:t>a</w:t>
      </w:r>
      <w:r>
        <w:rPr>
          <w:rStyle w:val="Emphasis"/>
          <w:sz w:val="24"/>
        </w:rPr>
        <w:t>cuta</w:t>
      </w:r>
      <w:r>
        <w:rPr>
          <w:sz w:val="24"/>
        </w:rPr>
        <w:t xml:space="preserve"> has a moderate to high carbohydrate content when compared with other leafy medicinal plants.</w:t>
      </w:r>
    </w:p>
    <w:p w:rsidR="00995829" w:rsidRDefault="00C7064C">
      <w:pPr>
        <w:spacing w:after="0" w:line="480" w:lineRule="auto"/>
        <w:ind w:firstLine="720"/>
        <w:jc w:val="both"/>
        <w:rPr>
          <w:sz w:val="24"/>
        </w:rPr>
      </w:pPr>
      <w:r>
        <w:rPr>
          <w:sz w:val="24"/>
        </w:rPr>
        <w:t xml:space="preserve">Additionally, Edeoga, Okwu, and Mbaebie (2005), reported carbohydrate levels around 44% in their analysis of </w:t>
      </w:r>
      <w:r>
        <w:rPr>
          <w:rStyle w:val="Emphasis"/>
          <w:sz w:val="24"/>
        </w:rPr>
        <w:t>Sidaacuta</w:t>
      </w:r>
      <w:r>
        <w:rPr>
          <w:sz w:val="24"/>
        </w:rPr>
        <w:t>, further supporting its nutritional sig</w:t>
      </w:r>
      <w:r>
        <w:rPr>
          <w:sz w:val="24"/>
        </w:rPr>
        <w:t>nificance. The high carbohydrate content also suggests that the plant may have good energy-yielding potential and could be utilised in addressing nutritional deficiencies in rural communities where it is commonly consumed as a leafy vegetable or herbal tea</w:t>
      </w:r>
      <w:r>
        <w:rPr>
          <w:sz w:val="24"/>
        </w:rPr>
        <w:t xml:space="preserve">. Apart from its nutritional importance, carbohydrates in </w:t>
      </w:r>
      <w:r>
        <w:rPr>
          <w:rStyle w:val="Emphasis"/>
          <w:sz w:val="24"/>
        </w:rPr>
        <w:t>Sidaacuta</w:t>
      </w:r>
      <w:r>
        <w:rPr>
          <w:sz w:val="24"/>
        </w:rPr>
        <w:t xml:space="preserve"> may act as synergists in phytotherapeutic actions, helping to enhance the bioavailability of active compounds such as flavonoids, alkaloids, and saponins </w:t>
      </w:r>
      <w:r>
        <w:rPr>
          <w:sz w:val="24"/>
        </w:rPr>
        <w:lastRenderedPageBreak/>
        <w:t>(Okwu and Josiah, 2006). Furthermo</w:t>
      </w:r>
      <w:r>
        <w:rPr>
          <w:sz w:val="24"/>
        </w:rPr>
        <w:t>re, the water-soluble sugars present can contribute to osmotic regulation and antioxidant capacity in the plant tissues (Siddhurajuand Becker, 2003).</w:t>
      </w:r>
    </w:p>
    <w:p w:rsidR="00995829" w:rsidRDefault="00C7064C">
      <w:pPr>
        <w:pStyle w:val="Heading1"/>
        <w:spacing w:before="0" w:after="0" w:line="480" w:lineRule="auto"/>
        <w:jc w:val="both"/>
        <w:rPr>
          <w:rFonts w:eastAsia="Times New Roman"/>
          <w:sz w:val="24"/>
          <w:szCs w:val="24"/>
        </w:rPr>
      </w:pPr>
      <w:bookmarkStart w:id="26" w:name="_Toc199791380"/>
      <w:r>
        <w:rPr>
          <w:rFonts w:eastAsia="Times New Roman"/>
          <w:sz w:val="24"/>
          <w:szCs w:val="24"/>
        </w:rPr>
        <w:t xml:space="preserve">2.2.7 </w:t>
      </w:r>
      <w:r>
        <w:rPr>
          <w:rFonts w:eastAsia="Times New Roman"/>
          <w:sz w:val="24"/>
          <w:szCs w:val="24"/>
        </w:rPr>
        <w:tab/>
        <w:t>Applications of Proximate Composition Data</w:t>
      </w:r>
      <w:bookmarkEnd w:id="26"/>
    </w:p>
    <w:p w:rsidR="00995829" w:rsidRDefault="00C7064C">
      <w:pPr>
        <w:spacing w:after="0" w:line="480" w:lineRule="auto"/>
        <w:ind w:firstLine="720"/>
        <w:jc w:val="both"/>
        <w:rPr>
          <w:sz w:val="24"/>
        </w:rPr>
      </w:pPr>
      <w:r>
        <w:rPr>
          <w:sz w:val="24"/>
        </w:rPr>
        <w:t xml:space="preserve">Proximate composition analysis is a fundamental tool in </w:t>
      </w:r>
      <w:r>
        <w:rPr>
          <w:sz w:val="24"/>
        </w:rPr>
        <w:t>nutritional, agricultural, and pharmacological sciences. It provides quantitative data on the basic constituents of biological materials, typically including moisture, crude protein, crude fat (lipid), ash (mineral content), crude fiber, and carbohydrates.</w:t>
      </w:r>
      <w:r>
        <w:rPr>
          <w:sz w:val="24"/>
        </w:rPr>
        <w:t xml:space="preserve"> These data serve a wide range of practical and research purposes across multiple disciplines (Chandrasekara and Kumar, 2016).</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1. Nutritional Assessment and Food Value Determination</w:t>
      </w:r>
    </w:p>
    <w:p w:rsidR="00995829" w:rsidRDefault="00C7064C">
      <w:pPr>
        <w:spacing w:after="0" w:line="480" w:lineRule="auto"/>
        <w:ind w:firstLine="720"/>
        <w:jc w:val="both"/>
        <w:rPr>
          <w:sz w:val="24"/>
        </w:rPr>
      </w:pPr>
      <w:r>
        <w:rPr>
          <w:sz w:val="24"/>
        </w:rPr>
        <w:t xml:space="preserve">One of the most important applications of proximate composition is in the </w:t>
      </w:r>
      <w:r>
        <w:rPr>
          <w:rStyle w:val="Strong"/>
        </w:rPr>
        <w:t>nutritional evaluation</w:t>
      </w:r>
      <w:r>
        <w:rPr>
          <w:sz w:val="24"/>
        </w:rPr>
        <w:t xml:space="preserve"> of food and medicinal plants. By quantifying essential nutrients such as protein, carbohydrates, and fat, proximate data help determine the </w:t>
      </w:r>
      <w:r>
        <w:rPr>
          <w:rStyle w:val="Strong"/>
        </w:rPr>
        <w:t>energy content</w:t>
      </w:r>
      <w:r>
        <w:rPr>
          <w:sz w:val="24"/>
        </w:rPr>
        <w:t xml:space="preserve"> and </w:t>
      </w:r>
      <w:r>
        <w:rPr>
          <w:rStyle w:val="Strong"/>
        </w:rPr>
        <w:t>nutritional adequacy</w:t>
      </w:r>
      <w:r>
        <w:rPr>
          <w:sz w:val="24"/>
        </w:rPr>
        <w:t xml:space="preserve"> of a food item. This is especially crucial for underu</w:t>
      </w:r>
      <w:r>
        <w:rPr>
          <w:sz w:val="24"/>
        </w:rPr>
        <w:t xml:space="preserve">tilized or traditional plant foods like </w:t>
      </w:r>
      <w:r>
        <w:rPr>
          <w:rStyle w:val="Emphasis"/>
          <w:iCs w:val="0"/>
          <w:sz w:val="24"/>
        </w:rPr>
        <w:t>Sidaacuta</w:t>
      </w:r>
      <w:r>
        <w:rPr>
          <w:sz w:val="24"/>
        </w:rPr>
        <w:t>, which are commonly used in rural and indigenous diets (Chandrasekara and Kumar, 2016).</w:t>
      </w:r>
    </w:p>
    <w:p w:rsidR="00995829" w:rsidRDefault="00C7064C">
      <w:pPr>
        <w:pStyle w:val="Heading4"/>
        <w:spacing w:before="0" w:line="480" w:lineRule="auto"/>
        <w:jc w:val="both"/>
        <w:rPr>
          <w:rFonts w:ascii="Times New Roman" w:hAnsi="Times New Roman" w:cs="Times New Roman"/>
          <w:b/>
          <w:bCs/>
          <w:i w:val="0"/>
          <w:iCs w:val="0"/>
          <w:color w:val="auto"/>
          <w:sz w:val="24"/>
        </w:rPr>
      </w:pPr>
      <w:r>
        <w:rPr>
          <w:rStyle w:val="Strong"/>
          <w:rFonts w:ascii="Times New Roman" w:hAnsi="Times New Roman" w:cs="Times New Roman"/>
          <w:i w:val="0"/>
          <w:iCs w:val="0"/>
          <w:color w:val="auto"/>
        </w:rPr>
        <w:t>2. Comparative Analysis of Edible Plants</w:t>
      </w:r>
    </w:p>
    <w:p w:rsidR="00995829" w:rsidRDefault="00C7064C">
      <w:pPr>
        <w:spacing w:after="0" w:line="480" w:lineRule="auto"/>
        <w:ind w:firstLine="720"/>
        <w:jc w:val="both"/>
        <w:rPr>
          <w:sz w:val="24"/>
        </w:rPr>
      </w:pPr>
      <w:r>
        <w:rPr>
          <w:sz w:val="24"/>
        </w:rPr>
        <w:t xml:space="preserve">Proximate data enables researchers to perform </w:t>
      </w:r>
      <w:r>
        <w:rPr>
          <w:rStyle w:val="Strong"/>
        </w:rPr>
        <w:t>comparative studies</w:t>
      </w:r>
      <w:r>
        <w:rPr>
          <w:sz w:val="24"/>
        </w:rPr>
        <w:t xml:space="preserve"> of differen</w:t>
      </w:r>
      <w:r>
        <w:rPr>
          <w:sz w:val="24"/>
        </w:rPr>
        <w:t xml:space="preserve">t plants or plant parts, guiding consumers and food processors toward </w:t>
      </w:r>
      <w:r>
        <w:rPr>
          <w:sz w:val="24"/>
        </w:rPr>
        <w:lastRenderedPageBreak/>
        <w:t>healthier or more efficient dietary choices. For example, comparing the protein or fiber content of several leafy vegetables allows for better selection in nutrition-sensitive interventi</w:t>
      </w:r>
      <w:r>
        <w:rPr>
          <w:sz w:val="24"/>
        </w:rPr>
        <w:t xml:space="preserve">ons (Edeoga </w:t>
      </w:r>
      <w:r>
        <w:rPr>
          <w:i/>
          <w:iCs/>
          <w:sz w:val="24"/>
        </w:rPr>
        <w:t>et al</w:t>
      </w:r>
      <w:r>
        <w:rPr>
          <w:sz w:val="24"/>
        </w:rPr>
        <w:t>., 2005).</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3. Formulation of Animal Feed and Food Products</w:t>
      </w:r>
    </w:p>
    <w:p w:rsidR="00995829" w:rsidRDefault="00C7064C">
      <w:pPr>
        <w:spacing w:after="0" w:line="480" w:lineRule="auto"/>
        <w:ind w:firstLine="720"/>
        <w:jc w:val="both"/>
        <w:rPr>
          <w:sz w:val="24"/>
        </w:rPr>
      </w:pPr>
      <w:r>
        <w:rPr>
          <w:sz w:val="24"/>
        </w:rPr>
        <w:t xml:space="preserve">In agricultural industries, proximate composition is vital for the </w:t>
      </w:r>
      <w:r>
        <w:rPr>
          <w:rStyle w:val="Strong"/>
        </w:rPr>
        <w:t>formulation of livestock feeds</w:t>
      </w:r>
      <w:r>
        <w:rPr>
          <w:sz w:val="24"/>
        </w:rPr>
        <w:t xml:space="preserve"> and </w:t>
      </w:r>
      <w:r>
        <w:rPr>
          <w:rStyle w:val="Strong"/>
        </w:rPr>
        <w:t>processed food products</w:t>
      </w:r>
      <w:r>
        <w:rPr>
          <w:sz w:val="24"/>
        </w:rPr>
        <w:t>. Knowledge of nutrient content ensures that dietary req</w:t>
      </w:r>
      <w:r>
        <w:rPr>
          <w:sz w:val="24"/>
        </w:rPr>
        <w:t xml:space="preserve">uirements of animals or target populations are met (AOAC, 2016). </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4. Quality Control and Standardisation</w:t>
      </w:r>
    </w:p>
    <w:p w:rsidR="00995829" w:rsidRDefault="00C7064C">
      <w:pPr>
        <w:spacing w:after="0" w:line="480" w:lineRule="auto"/>
        <w:ind w:firstLine="720"/>
        <w:jc w:val="both"/>
        <w:rPr>
          <w:sz w:val="24"/>
        </w:rPr>
      </w:pPr>
      <w:r>
        <w:rPr>
          <w:sz w:val="24"/>
        </w:rPr>
        <w:t xml:space="preserve">Proximate analysis serves as a </w:t>
      </w:r>
      <w:r>
        <w:rPr>
          <w:rStyle w:val="Strong"/>
        </w:rPr>
        <w:t>quality control tool</w:t>
      </w:r>
      <w:r>
        <w:rPr>
          <w:sz w:val="24"/>
        </w:rPr>
        <w:t xml:space="preserve"> for processed food, pharmaceuticals, and herbal formulations. For medicinal plants, consistency in proximate composition ensures </w:t>
      </w:r>
      <w:r>
        <w:rPr>
          <w:rStyle w:val="Strong"/>
        </w:rPr>
        <w:t>standardisation</w:t>
      </w:r>
      <w:r>
        <w:rPr>
          <w:sz w:val="24"/>
        </w:rPr>
        <w:t>, a crucial step in establishing dosage accuracy, safety, and therapeutic efficacy (Okwu and Josiah, 2006).</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 xml:space="preserve">5. </w:t>
      </w:r>
      <w:r>
        <w:rPr>
          <w:rStyle w:val="Strong"/>
          <w:rFonts w:ascii="Times New Roman" w:hAnsi="Times New Roman" w:cs="Times New Roman"/>
          <w:i w:val="0"/>
          <w:iCs w:val="0"/>
          <w:color w:val="auto"/>
        </w:rPr>
        <w:t>Shelf-Life Prediction and Storage Decisions</w:t>
      </w:r>
    </w:p>
    <w:p w:rsidR="00995829" w:rsidRDefault="00C7064C">
      <w:pPr>
        <w:spacing w:after="0" w:line="480" w:lineRule="auto"/>
        <w:ind w:firstLine="720"/>
        <w:jc w:val="both"/>
        <w:rPr>
          <w:sz w:val="24"/>
        </w:rPr>
      </w:pPr>
      <w:r>
        <w:rPr>
          <w:sz w:val="24"/>
        </w:rPr>
        <w:t xml:space="preserve">Moisture content data, in particular, plays a key role in determining the </w:t>
      </w:r>
      <w:r>
        <w:rPr>
          <w:rStyle w:val="Strong"/>
        </w:rPr>
        <w:t>shelf life and storage stability</w:t>
      </w:r>
      <w:r>
        <w:rPr>
          <w:sz w:val="24"/>
        </w:rPr>
        <w:t xml:space="preserve"> of food products. High moisture levels are linked with microbial spoilage, while dry products tend to las</w:t>
      </w:r>
      <w:r>
        <w:rPr>
          <w:sz w:val="24"/>
        </w:rPr>
        <w:t xml:space="preserve">t longer. This information informs </w:t>
      </w:r>
      <w:r>
        <w:rPr>
          <w:rStyle w:val="Strong"/>
        </w:rPr>
        <w:t>storage, packaging</w:t>
      </w:r>
      <w:r>
        <w:rPr>
          <w:sz w:val="24"/>
        </w:rPr>
        <w:t xml:space="preserve">, and </w:t>
      </w:r>
      <w:r>
        <w:rPr>
          <w:rStyle w:val="Strong"/>
        </w:rPr>
        <w:t>preservation strategies</w:t>
      </w:r>
      <w:r>
        <w:rPr>
          <w:sz w:val="24"/>
        </w:rPr>
        <w:t xml:space="preserve"> (Siddhuraju and Becker, 2003).</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lastRenderedPageBreak/>
        <w:t>6. Baseline for Advanced Chemical and Functional Studies</w:t>
      </w:r>
    </w:p>
    <w:p w:rsidR="00995829" w:rsidRDefault="00C7064C">
      <w:pPr>
        <w:spacing w:after="0" w:line="480" w:lineRule="auto"/>
        <w:ind w:firstLine="720"/>
        <w:jc w:val="both"/>
        <w:rPr>
          <w:sz w:val="24"/>
        </w:rPr>
      </w:pPr>
      <w:r>
        <w:rPr>
          <w:sz w:val="24"/>
        </w:rPr>
        <w:t xml:space="preserve">Proximate composition data often serve as a </w:t>
      </w:r>
      <w:r>
        <w:rPr>
          <w:rStyle w:val="Strong"/>
        </w:rPr>
        <w:t>foundation for deeper phytochemical, bioc</w:t>
      </w:r>
      <w:r>
        <w:rPr>
          <w:rStyle w:val="Strong"/>
        </w:rPr>
        <w:t>hemical, or functional analyses</w:t>
      </w:r>
      <w:r>
        <w:rPr>
          <w:sz w:val="24"/>
        </w:rPr>
        <w:t xml:space="preserve">. For instance, a plant high in protein or lipid content might be further investigated for the presence of essential amino acids or unsaturated fatty acids (Olayemi </w:t>
      </w:r>
      <w:r>
        <w:rPr>
          <w:i/>
          <w:iCs/>
          <w:sz w:val="24"/>
        </w:rPr>
        <w:t>et al</w:t>
      </w:r>
      <w:r>
        <w:rPr>
          <w:sz w:val="24"/>
        </w:rPr>
        <w:t>., 2011).</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7. Economic Evaluation of Plant Resources</w:t>
      </w:r>
    </w:p>
    <w:p w:rsidR="00995829" w:rsidRDefault="00C7064C">
      <w:pPr>
        <w:spacing w:after="0" w:line="480" w:lineRule="auto"/>
        <w:jc w:val="both"/>
        <w:rPr>
          <w:sz w:val="24"/>
        </w:rPr>
      </w:pPr>
      <w:r>
        <w:rPr>
          <w:sz w:val="24"/>
        </w:rPr>
        <w:tab/>
        <w:t>Pl</w:t>
      </w:r>
      <w:r>
        <w:rPr>
          <w:sz w:val="24"/>
        </w:rPr>
        <w:t xml:space="preserve">ants that exhibit rich proximate profiles can be promoted as </w:t>
      </w:r>
      <w:r>
        <w:rPr>
          <w:rStyle w:val="Strong"/>
        </w:rPr>
        <w:t>alternative food sources or commercial crops</w:t>
      </w:r>
      <w:r>
        <w:rPr>
          <w:sz w:val="24"/>
        </w:rPr>
        <w:t xml:space="preserve">, contributing to food security and rural income. The economic potential of underutilized species can be gauged from their nutrient density (Oyedepo </w:t>
      </w:r>
      <w:r>
        <w:rPr>
          <w:i/>
          <w:iCs/>
          <w:sz w:val="24"/>
        </w:rPr>
        <w:t>et</w:t>
      </w:r>
      <w:r>
        <w:rPr>
          <w:i/>
          <w:iCs/>
          <w:sz w:val="24"/>
        </w:rPr>
        <w:t xml:space="preserve"> al</w:t>
      </w:r>
      <w:r>
        <w:rPr>
          <w:sz w:val="24"/>
        </w:rPr>
        <w:t>., 2016).</w:t>
      </w:r>
    </w:p>
    <w:p w:rsidR="00995829" w:rsidRDefault="00C7064C">
      <w:pPr>
        <w:pStyle w:val="Heading1"/>
        <w:spacing w:before="0" w:after="0" w:line="480" w:lineRule="auto"/>
        <w:jc w:val="both"/>
        <w:rPr>
          <w:rFonts w:eastAsia="Times New Roman"/>
          <w:sz w:val="24"/>
          <w:szCs w:val="24"/>
        </w:rPr>
      </w:pPr>
      <w:bookmarkStart w:id="27" w:name="_Toc199791381"/>
      <w:r>
        <w:rPr>
          <w:rFonts w:eastAsia="Times New Roman"/>
          <w:sz w:val="24"/>
          <w:szCs w:val="24"/>
        </w:rPr>
        <w:t xml:space="preserve">2.2.8 </w:t>
      </w:r>
      <w:r>
        <w:rPr>
          <w:rFonts w:eastAsia="Times New Roman"/>
          <w:sz w:val="24"/>
          <w:szCs w:val="24"/>
        </w:rPr>
        <w:tab/>
        <w:t>Factors Affecting Proximate Composition</w:t>
      </w:r>
      <w:bookmarkEnd w:id="27"/>
    </w:p>
    <w:p w:rsidR="00995829" w:rsidRDefault="00C7064C">
      <w:pPr>
        <w:spacing w:after="0" w:line="480" w:lineRule="auto"/>
        <w:ind w:firstLine="720"/>
        <w:jc w:val="both"/>
        <w:rPr>
          <w:sz w:val="24"/>
        </w:rPr>
      </w:pPr>
      <w:r>
        <w:rPr>
          <w:sz w:val="24"/>
        </w:rPr>
        <w:t xml:space="preserve">The proximate composition of plant materials, including moisture, protein, fat, ash, fiber, and carbohydrate content, can be influenced by a variety of </w:t>
      </w:r>
      <w:r>
        <w:rPr>
          <w:rStyle w:val="Strong"/>
        </w:rPr>
        <w:t>biological, environmental, and methodologica</w:t>
      </w:r>
      <w:r>
        <w:rPr>
          <w:rStyle w:val="Strong"/>
        </w:rPr>
        <w:t>l factors</w:t>
      </w:r>
      <w:r>
        <w:rPr>
          <w:sz w:val="24"/>
        </w:rPr>
        <w:t>. Understanding these factors is essential for the accurate interpretation and comparison of compositional data (Siddhuraju and Becker, 2003).</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1. Genotypic Variability</w:t>
      </w:r>
    </w:p>
    <w:p w:rsidR="00995829" w:rsidRDefault="00C7064C">
      <w:pPr>
        <w:spacing w:after="0" w:line="480" w:lineRule="auto"/>
        <w:ind w:firstLine="720"/>
        <w:jc w:val="both"/>
        <w:rPr>
          <w:sz w:val="24"/>
        </w:rPr>
      </w:pPr>
      <w:r>
        <w:rPr>
          <w:sz w:val="24"/>
        </w:rPr>
        <w:t>Different plant species and even cultivars within the same species can show sig</w:t>
      </w:r>
      <w:r>
        <w:rPr>
          <w:sz w:val="24"/>
        </w:rPr>
        <w:t xml:space="preserve">nificant variation in proximate composition due to genetic differences. This </w:t>
      </w:r>
      <w:r>
        <w:rPr>
          <w:sz w:val="24"/>
        </w:rPr>
        <w:lastRenderedPageBreak/>
        <w:t>variability affects nutrient biosynthesis and accumulation patterns (Chandrasekara and Kumar, 2016).</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2. Environmental Conditions</w:t>
      </w:r>
    </w:p>
    <w:p w:rsidR="00995829" w:rsidRDefault="00C7064C">
      <w:pPr>
        <w:spacing w:after="0" w:line="480" w:lineRule="auto"/>
        <w:ind w:firstLine="720"/>
        <w:jc w:val="both"/>
        <w:rPr>
          <w:sz w:val="24"/>
        </w:rPr>
      </w:pPr>
      <w:r>
        <w:rPr>
          <w:sz w:val="24"/>
        </w:rPr>
        <w:t xml:space="preserve">Environmental factors such as </w:t>
      </w:r>
      <w:r>
        <w:rPr>
          <w:rStyle w:val="Strong"/>
        </w:rPr>
        <w:t>soil type, rainfall,</w:t>
      </w:r>
      <w:r>
        <w:rPr>
          <w:rStyle w:val="Strong"/>
        </w:rPr>
        <w:t xml:space="preserve"> temperature, and altitude</w:t>
      </w:r>
      <w:r>
        <w:rPr>
          <w:sz w:val="24"/>
        </w:rPr>
        <w:t xml:space="preserve"> play a crucial role in nutrient uptake and metabolism. For instance, protein and carbohydrate contents may vary significantly based on the availability of nitrogen and other soil nutrients (Siddhuraju and Becker, 2003).</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3. Maturi</w:t>
      </w:r>
      <w:r>
        <w:rPr>
          <w:rStyle w:val="Strong"/>
          <w:rFonts w:ascii="Times New Roman" w:hAnsi="Times New Roman" w:cs="Times New Roman"/>
          <w:i w:val="0"/>
          <w:iCs w:val="0"/>
          <w:color w:val="auto"/>
        </w:rPr>
        <w:t>ty and Harvesting Time</w:t>
      </w:r>
    </w:p>
    <w:p w:rsidR="00995829" w:rsidRDefault="00C7064C">
      <w:pPr>
        <w:spacing w:after="0" w:line="480" w:lineRule="auto"/>
        <w:ind w:firstLine="720"/>
        <w:jc w:val="both"/>
        <w:rPr>
          <w:sz w:val="24"/>
        </w:rPr>
      </w:pPr>
      <w:r>
        <w:rPr>
          <w:sz w:val="24"/>
        </w:rPr>
        <w:t xml:space="preserve">The stage of plant maturity greatly affects its nutrient profile. Young leaves may contain more moisture and less fiber, while mature plants tend to accumulate more carbohydrates and lignified fiber. Delayed harvesting can also lead </w:t>
      </w:r>
      <w:r>
        <w:rPr>
          <w:sz w:val="24"/>
        </w:rPr>
        <w:t xml:space="preserve">to nutrient losses (Edeoga </w:t>
      </w:r>
      <w:r>
        <w:rPr>
          <w:i/>
          <w:iCs/>
          <w:sz w:val="24"/>
        </w:rPr>
        <w:t>et al</w:t>
      </w:r>
      <w:r>
        <w:rPr>
          <w:sz w:val="24"/>
        </w:rPr>
        <w:t>., 2005).</w:t>
      </w:r>
    </w:p>
    <w:p w:rsidR="00995829" w:rsidRDefault="00C7064C">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4. Post-Harvest Handling and Storage</w:t>
      </w:r>
    </w:p>
    <w:p w:rsidR="00995829" w:rsidRDefault="00C7064C">
      <w:pPr>
        <w:spacing w:after="0" w:line="444" w:lineRule="auto"/>
        <w:ind w:firstLine="720"/>
        <w:jc w:val="both"/>
        <w:rPr>
          <w:sz w:val="24"/>
        </w:rPr>
      </w:pPr>
      <w:r>
        <w:rPr>
          <w:sz w:val="24"/>
        </w:rPr>
        <w:t>Exposure to sunlight, air, or microbial activity during storage can degrade sensitive nutrients, especially proteins and fats. Moisture content can also fluctuate with humidity and temperature changes, impacting the dry matter basis of proximate values (Ol</w:t>
      </w:r>
      <w:r>
        <w:rPr>
          <w:sz w:val="24"/>
        </w:rPr>
        <w:t xml:space="preserve">ayemi </w:t>
      </w:r>
      <w:r>
        <w:rPr>
          <w:i/>
          <w:iCs/>
          <w:sz w:val="24"/>
        </w:rPr>
        <w:t>et al</w:t>
      </w:r>
      <w:r>
        <w:rPr>
          <w:sz w:val="24"/>
        </w:rPr>
        <w:t>., 2011).</w:t>
      </w:r>
    </w:p>
    <w:p w:rsidR="00995829" w:rsidRDefault="00C7064C">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lastRenderedPageBreak/>
        <w:t>5. Processing Methods</w:t>
      </w:r>
    </w:p>
    <w:p w:rsidR="00995829" w:rsidRDefault="00C7064C">
      <w:pPr>
        <w:spacing w:after="0" w:line="444" w:lineRule="auto"/>
        <w:ind w:firstLine="720"/>
        <w:jc w:val="both"/>
        <w:rPr>
          <w:sz w:val="24"/>
        </w:rPr>
      </w:pPr>
      <w:r>
        <w:rPr>
          <w:sz w:val="24"/>
        </w:rPr>
        <w:t>Processes like drying, boiling, fermentation, and grinding influence nutrient composition. For example, sun drying may reduce vitamin content, while oven-drying can concentrate nutrients by removing more water (Oy</w:t>
      </w:r>
      <w:r>
        <w:rPr>
          <w:sz w:val="24"/>
        </w:rPr>
        <w:t xml:space="preserve">edepo </w:t>
      </w:r>
      <w:r>
        <w:rPr>
          <w:i/>
          <w:iCs/>
          <w:sz w:val="24"/>
        </w:rPr>
        <w:t>et al</w:t>
      </w:r>
      <w:r>
        <w:rPr>
          <w:sz w:val="24"/>
        </w:rPr>
        <w:t>., 2016).</w:t>
      </w:r>
    </w:p>
    <w:p w:rsidR="00995829" w:rsidRDefault="00C7064C">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6. Analytical Methods and Accuracy</w:t>
      </w:r>
    </w:p>
    <w:p w:rsidR="00995829" w:rsidRDefault="00C7064C">
      <w:pPr>
        <w:spacing w:after="0" w:line="444" w:lineRule="auto"/>
        <w:ind w:firstLine="720"/>
        <w:jc w:val="both"/>
        <w:rPr>
          <w:sz w:val="24"/>
        </w:rPr>
      </w:pPr>
      <w:r>
        <w:rPr>
          <w:sz w:val="24"/>
        </w:rPr>
        <w:t xml:space="preserve">Different laboratories may use slightly different methods (e.g., AOAC, ISO), leading to variations in measured values. Additionally, sample preparation techniques and instrument calibration influence </w:t>
      </w:r>
      <w:r>
        <w:rPr>
          <w:sz w:val="24"/>
        </w:rPr>
        <w:t>the accuracy of the results (AOAC, 2016).</w:t>
      </w:r>
    </w:p>
    <w:p w:rsidR="00995829" w:rsidRDefault="00C7064C">
      <w:pPr>
        <w:pStyle w:val="Heading1"/>
        <w:spacing w:before="0" w:after="0" w:line="444" w:lineRule="auto"/>
        <w:jc w:val="both"/>
        <w:rPr>
          <w:sz w:val="24"/>
          <w:szCs w:val="24"/>
        </w:rPr>
      </w:pPr>
      <w:bookmarkStart w:id="28" w:name="_Toc199791382"/>
      <w:r>
        <w:rPr>
          <w:rFonts w:eastAsia="Times New Roman"/>
          <w:sz w:val="24"/>
          <w:szCs w:val="24"/>
        </w:rPr>
        <w:t xml:space="preserve">2.2.9 </w:t>
      </w:r>
      <w:r>
        <w:rPr>
          <w:rFonts w:eastAsia="Times New Roman"/>
          <w:sz w:val="24"/>
          <w:szCs w:val="24"/>
        </w:rPr>
        <w:tab/>
        <w:t>Challenges in Proximate Analysis</w:t>
      </w:r>
      <w:bookmarkEnd w:id="28"/>
    </w:p>
    <w:p w:rsidR="00995829" w:rsidRDefault="00C7064C">
      <w:pPr>
        <w:spacing w:after="0" w:line="444" w:lineRule="auto"/>
        <w:ind w:firstLine="720"/>
        <w:jc w:val="both"/>
        <w:rPr>
          <w:sz w:val="24"/>
        </w:rPr>
      </w:pPr>
      <w:r>
        <w:rPr>
          <w:sz w:val="24"/>
        </w:rPr>
        <w:t xml:space="preserve">Despite its widespread application, proximate analysis comes with several </w:t>
      </w:r>
      <w:r>
        <w:rPr>
          <w:rStyle w:val="Strong"/>
        </w:rPr>
        <w:t>technical and practical challenges</w:t>
      </w:r>
      <w:r>
        <w:rPr>
          <w:sz w:val="24"/>
        </w:rPr>
        <w:t xml:space="preserve"> that can compromise the reliability and reproducibility of results.</w:t>
      </w:r>
    </w:p>
    <w:p w:rsidR="00995829" w:rsidRDefault="00C7064C">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1. Sample Heterogeneity</w:t>
      </w:r>
    </w:p>
    <w:p w:rsidR="00995829" w:rsidRDefault="00C7064C">
      <w:pPr>
        <w:spacing w:after="0" w:line="444" w:lineRule="auto"/>
        <w:ind w:firstLine="720"/>
        <w:jc w:val="both"/>
        <w:rPr>
          <w:sz w:val="24"/>
        </w:rPr>
      </w:pPr>
      <w:r>
        <w:rPr>
          <w:sz w:val="24"/>
        </w:rPr>
        <w:t xml:space="preserve">One of the foremost challenges is the </w:t>
      </w:r>
      <w:r>
        <w:rPr>
          <w:rStyle w:val="Strong"/>
        </w:rPr>
        <w:t>non-uniform nature of plant materials</w:t>
      </w:r>
      <w:r>
        <w:rPr>
          <w:sz w:val="24"/>
        </w:rPr>
        <w:t>, which may contain varying amounts of stems, leaves, or roots. Ensuring a representativ</w:t>
      </w:r>
      <w:r>
        <w:rPr>
          <w:sz w:val="24"/>
        </w:rPr>
        <w:t>e and homogenized sample is essential for accurate analysis (Okwu and Josiah, 2006).</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2. Moisture Content Variability</w:t>
      </w:r>
    </w:p>
    <w:p w:rsidR="00995829" w:rsidRDefault="00C7064C">
      <w:pPr>
        <w:spacing w:after="0" w:line="480" w:lineRule="auto"/>
        <w:ind w:firstLine="720"/>
        <w:jc w:val="both"/>
        <w:rPr>
          <w:sz w:val="24"/>
        </w:rPr>
      </w:pPr>
      <w:r>
        <w:rPr>
          <w:sz w:val="24"/>
        </w:rPr>
        <w:t xml:space="preserve">Moisture determination is particularly sensitive to </w:t>
      </w:r>
      <w:r>
        <w:rPr>
          <w:rStyle w:val="Strong"/>
        </w:rPr>
        <w:t>environmental humidity</w:t>
      </w:r>
      <w:r>
        <w:rPr>
          <w:sz w:val="24"/>
        </w:rPr>
        <w:t>, sample handling, and drying temperature. Over-drying may lead t</w:t>
      </w:r>
      <w:r>
        <w:rPr>
          <w:sz w:val="24"/>
        </w:rPr>
        <w:t xml:space="preserve">o the </w:t>
      </w:r>
      <w:r>
        <w:rPr>
          <w:sz w:val="24"/>
        </w:rPr>
        <w:lastRenderedPageBreak/>
        <w:t>loss of volatile compounds, while under-drying can lead to falsely elevated moisture values (AOAC, 2016).</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3. Protein Determination Limitations</w:t>
      </w:r>
    </w:p>
    <w:p w:rsidR="00995829" w:rsidRDefault="00C7064C">
      <w:pPr>
        <w:spacing w:after="0" w:line="480" w:lineRule="auto"/>
        <w:ind w:firstLine="720"/>
        <w:jc w:val="both"/>
        <w:rPr>
          <w:sz w:val="24"/>
        </w:rPr>
      </w:pPr>
      <w:r>
        <w:rPr>
          <w:sz w:val="24"/>
        </w:rPr>
        <w:t>The most common method for protein estimation (Kjeldahl method) assumes a fixed nitrogen-to-protein convers</w:t>
      </w:r>
      <w:r>
        <w:rPr>
          <w:sz w:val="24"/>
        </w:rPr>
        <w:t xml:space="preserve">ion factor (usually 6.25), which may not be accurate for all plants, especially those with non-protein nitrogen (Edeoga </w:t>
      </w:r>
      <w:r>
        <w:rPr>
          <w:i/>
          <w:iCs/>
          <w:sz w:val="24"/>
        </w:rPr>
        <w:t>et al</w:t>
      </w:r>
      <w:r>
        <w:rPr>
          <w:sz w:val="24"/>
        </w:rPr>
        <w:t>., 2005).</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4. Fiber and Ash Estimations</w:t>
      </w:r>
    </w:p>
    <w:p w:rsidR="00995829" w:rsidRDefault="00C7064C">
      <w:pPr>
        <w:spacing w:after="0" w:line="480" w:lineRule="auto"/>
        <w:ind w:firstLine="720"/>
        <w:jc w:val="both"/>
        <w:rPr>
          <w:sz w:val="24"/>
        </w:rPr>
      </w:pPr>
      <w:r>
        <w:rPr>
          <w:sz w:val="24"/>
        </w:rPr>
        <w:t xml:space="preserve">Determining crude fiber may </w:t>
      </w:r>
      <w:r>
        <w:rPr>
          <w:rStyle w:val="Strong"/>
        </w:rPr>
        <w:t>underestimate total dietary fiber</w:t>
      </w:r>
      <w:r>
        <w:rPr>
          <w:sz w:val="24"/>
        </w:rPr>
        <w:t>, as it does not account for so</w:t>
      </w:r>
      <w:r>
        <w:rPr>
          <w:sz w:val="24"/>
        </w:rPr>
        <w:t>luble fibers. Ash determination may also include non-nutrient elements like silica or environmental contaminants, skewing mineral content estimates (Siddhuraju and Becker, 2003).</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5. Equipment Sensitivity and Human Error</w:t>
      </w:r>
    </w:p>
    <w:p w:rsidR="00995829" w:rsidRDefault="00C7064C">
      <w:pPr>
        <w:spacing w:after="0" w:line="480" w:lineRule="auto"/>
        <w:ind w:firstLine="720"/>
        <w:jc w:val="both"/>
        <w:rPr>
          <w:sz w:val="24"/>
        </w:rPr>
      </w:pPr>
      <w:r>
        <w:rPr>
          <w:sz w:val="24"/>
        </w:rPr>
        <w:t>Analytical instruments such as ovens</w:t>
      </w:r>
      <w:r>
        <w:rPr>
          <w:sz w:val="24"/>
        </w:rPr>
        <w:t xml:space="preserve">, spectrophotometers, and balances require </w:t>
      </w:r>
      <w:r>
        <w:rPr>
          <w:rStyle w:val="Strong"/>
        </w:rPr>
        <w:t>regular calibration</w:t>
      </w:r>
      <w:r>
        <w:rPr>
          <w:sz w:val="24"/>
        </w:rPr>
        <w:t>. Small inaccuracies or improper reagent preparation can significantly affect the results (Chandrasekara and Kumar, 2016).</w:t>
      </w:r>
    </w:p>
    <w:p w:rsidR="00995829" w:rsidRDefault="00C7064C">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6. Time and Labour Intensiveness</w:t>
      </w:r>
    </w:p>
    <w:p w:rsidR="00995829" w:rsidRDefault="00C7064C">
      <w:pPr>
        <w:spacing w:after="0" w:line="480" w:lineRule="auto"/>
        <w:ind w:firstLine="720"/>
        <w:jc w:val="both"/>
        <w:rPr>
          <w:sz w:val="24"/>
        </w:rPr>
      </w:pPr>
      <w:r>
        <w:rPr>
          <w:sz w:val="24"/>
        </w:rPr>
        <w:t xml:space="preserve">Proximate analysis can be </w:t>
      </w:r>
      <w:r>
        <w:rPr>
          <w:rStyle w:val="Strong"/>
        </w:rPr>
        <w:t>time-consumi</w:t>
      </w:r>
      <w:r>
        <w:rPr>
          <w:rStyle w:val="Strong"/>
        </w:rPr>
        <w:t>ng and labor-intensive</w:t>
      </w:r>
      <w:r>
        <w:rPr>
          <w:sz w:val="24"/>
        </w:rPr>
        <w:t xml:space="preserve">, especially in laboratories with limited resources. Multi-step processes increase the </w:t>
      </w:r>
      <w:r>
        <w:rPr>
          <w:sz w:val="24"/>
        </w:rPr>
        <w:lastRenderedPageBreak/>
        <w:t xml:space="preserve">chance of procedural errors, especially where automation is not available (Olayemi </w:t>
      </w:r>
      <w:r>
        <w:rPr>
          <w:i/>
          <w:iCs/>
          <w:sz w:val="24"/>
        </w:rPr>
        <w:t>et al</w:t>
      </w:r>
      <w:r>
        <w:rPr>
          <w:sz w:val="24"/>
        </w:rPr>
        <w:t>., 2011).</w:t>
      </w:r>
    </w:p>
    <w:p w:rsidR="00995829" w:rsidRDefault="00C7064C">
      <w:pPr>
        <w:rPr>
          <w:rFonts w:eastAsiaTheme="majorEastAsia" w:cstheme="majorBidi"/>
          <w:b/>
          <w:sz w:val="24"/>
        </w:rPr>
      </w:pPr>
      <w:bookmarkStart w:id="29" w:name="_Toc199791383"/>
      <w:r>
        <w:rPr>
          <w:sz w:val="24"/>
        </w:rPr>
        <w:br w:type="page"/>
      </w:r>
    </w:p>
    <w:p w:rsidR="00995829" w:rsidRDefault="00C7064C">
      <w:pPr>
        <w:pStyle w:val="Heading1"/>
        <w:spacing w:before="0" w:after="0" w:line="480" w:lineRule="auto"/>
        <w:jc w:val="center"/>
        <w:rPr>
          <w:sz w:val="24"/>
          <w:szCs w:val="24"/>
        </w:rPr>
      </w:pPr>
      <w:r>
        <w:rPr>
          <w:sz w:val="24"/>
          <w:szCs w:val="24"/>
        </w:rPr>
        <w:lastRenderedPageBreak/>
        <w:t>CHAPTER THREE</w:t>
      </w:r>
      <w:bookmarkEnd w:id="29"/>
    </w:p>
    <w:p w:rsidR="00995829" w:rsidRDefault="00C7064C">
      <w:pPr>
        <w:pStyle w:val="Heading1"/>
        <w:spacing w:before="0" w:after="0" w:line="480" w:lineRule="auto"/>
        <w:jc w:val="center"/>
        <w:rPr>
          <w:sz w:val="24"/>
          <w:szCs w:val="24"/>
        </w:rPr>
      </w:pPr>
      <w:bookmarkStart w:id="30" w:name="_Toc199791384"/>
      <w:r>
        <w:rPr>
          <w:sz w:val="24"/>
          <w:szCs w:val="24"/>
        </w:rPr>
        <w:t>MATERIALS AND METHODS</w:t>
      </w:r>
      <w:bookmarkEnd w:id="30"/>
    </w:p>
    <w:p w:rsidR="00995829" w:rsidRDefault="00C7064C">
      <w:pPr>
        <w:pStyle w:val="NormalWeb"/>
        <w:spacing w:before="0" w:beforeAutospacing="0" w:after="0" w:afterAutospacing="0" w:line="480" w:lineRule="auto"/>
        <w:jc w:val="both"/>
      </w:pPr>
      <w:r>
        <w:tab/>
      </w:r>
      <w:r>
        <w:t xml:space="preserve">This chapter outlines the materials and methods used to assess the hepatoprotective and anti-ulcerogenic effects of </w:t>
      </w:r>
      <w:r>
        <w:rPr>
          <w:rStyle w:val="Emphasis"/>
          <w:rFonts w:eastAsiaTheme="majorEastAsia"/>
        </w:rPr>
        <w:t>Sidaacuta</w:t>
      </w:r>
      <w:r>
        <w:t xml:space="preserve"> leaf extract on Wistar rats with indomethacin-induced gastric ulcers. The study includes plant material preparation, phytochemical</w:t>
      </w:r>
      <w:r>
        <w:t xml:space="preserve"> screening, proximate and mineral analyses, antioxidant property evaluation, and an experimental design to evaluate liver function and gastric protection. Standardized protocols ensure reproducibility and scientific validity.</w:t>
      </w:r>
    </w:p>
    <w:p w:rsidR="00995829" w:rsidRDefault="00C7064C">
      <w:pPr>
        <w:pStyle w:val="Heading2"/>
        <w:spacing w:before="0" w:beforeAutospacing="0" w:after="0" w:afterAutospacing="0" w:line="480" w:lineRule="auto"/>
        <w:jc w:val="both"/>
        <w:rPr>
          <w:sz w:val="24"/>
          <w:szCs w:val="24"/>
        </w:rPr>
      </w:pPr>
      <w:r>
        <w:rPr>
          <w:sz w:val="24"/>
          <w:szCs w:val="24"/>
        </w:rPr>
        <w:t xml:space="preserve">3.1 </w:t>
      </w:r>
      <w:r>
        <w:rPr>
          <w:sz w:val="24"/>
          <w:szCs w:val="24"/>
        </w:rPr>
        <w:tab/>
        <w:t>Materials</w:t>
      </w:r>
    </w:p>
    <w:p w:rsidR="00995829" w:rsidRDefault="00C7064C">
      <w:pPr>
        <w:pStyle w:val="Heading3"/>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3.1.1 </w:t>
      </w:r>
      <w:r>
        <w:rPr>
          <w:rFonts w:ascii="Times New Roman" w:hAnsi="Times New Roman" w:cs="Times New Roman"/>
          <w:b/>
          <w:color w:val="000000" w:themeColor="text1"/>
        </w:rPr>
        <w:tab/>
        <w:t>Plant Ma</w:t>
      </w:r>
      <w:r>
        <w:rPr>
          <w:rFonts w:ascii="Times New Roman" w:hAnsi="Times New Roman" w:cs="Times New Roman"/>
          <w:b/>
          <w:color w:val="000000" w:themeColor="text1"/>
        </w:rPr>
        <w:t>terial</w:t>
      </w:r>
    </w:p>
    <w:p w:rsidR="00995829" w:rsidRDefault="00C7064C">
      <w:pPr>
        <w:pStyle w:val="NormalWeb"/>
        <w:spacing w:before="0" w:beforeAutospacing="0" w:after="0" w:afterAutospacing="0" w:line="480" w:lineRule="auto"/>
        <w:jc w:val="both"/>
      </w:pPr>
      <w:r>
        <w:tab/>
        <w:t xml:space="preserve">Fresh leaves of </w:t>
      </w:r>
      <w:r>
        <w:rPr>
          <w:rStyle w:val="Emphasis"/>
          <w:rFonts w:eastAsiaTheme="majorEastAsia"/>
        </w:rPr>
        <w:t>Sidaacuta</w:t>
      </w:r>
      <w:r>
        <w:t xml:space="preserve"> were collected from Ilorin, Kwara State, Nigeria, in December, 2025. The plant was authenticated at Fulcrum Innovation Limited, Ilorin. Leaves were air-dried at room temperature for 14 days, pulverized into a fine powder using a mechanical grinder (Nigeri</w:t>
      </w:r>
      <w:r>
        <w:t>a), and stored in airtight containers until analysis.</w:t>
      </w:r>
    </w:p>
    <w:p w:rsidR="00995829" w:rsidRDefault="00C7064C">
      <w:pPr>
        <w:pStyle w:val="Heading3"/>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3.1.2 </w:t>
      </w:r>
      <w:r>
        <w:rPr>
          <w:rFonts w:ascii="Times New Roman" w:hAnsi="Times New Roman" w:cs="Times New Roman"/>
          <w:b/>
          <w:color w:val="000000" w:themeColor="text1"/>
        </w:rPr>
        <w:tab/>
        <w:t>Animal Material</w:t>
      </w:r>
    </w:p>
    <w:p w:rsidR="00995829" w:rsidRDefault="00C7064C">
      <w:pPr>
        <w:pStyle w:val="NormalWeb"/>
        <w:spacing w:before="0" w:beforeAutospacing="0" w:after="0" w:afterAutospacing="0" w:line="480" w:lineRule="auto"/>
        <w:jc w:val="both"/>
      </w:pPr>
      <w:r>
        <w:tab/>
        <w:t xml:space="preserve">Adult abino rats (90–186g, 11–22 weeks old) were obtained from the Animal House, Fulcrum Innovation Limited, Ilorin. Rats were acclimatized for 14 days under standard conditions </w:t>
      </w:r>
      <w:r>
        <w:t xml:space="preserve">(12-hour light/dark cycle, 25 ± 2°C, 50–60% humidity) with access to standard pellet feed and water </w:t>
      </w:r>
      <w:r>
        <w:rPr>
          <w:rStyle w:val="Emphasis"/>
          <w:rFonts w:eastAsiaTheme="majorEastAsia"/>
        </w:rPr>
        <w:t>ad libitum</w:t>
      </w:r>
      <w:r>
        <w:t>. The study was approved by the Fulcrum Innovation Limited, Ilorin.</w:t>
      </w:r>
    </w:p>
    <w:p w:rsidR="00995829" w:rsidRDefault="00C7064C">
      <w:pPr>
        <w:pStyle w:val="Heading3"/>
        <w:spacing w:before="0" w:line="444"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3.1.3 </w:t>
      </w:r>
      <w:r>
        <w:rPr>
          <w:rFonts w:ascii="Times New Roman" w:hAnsi="Times New Roman" w:cs="Times New Roman"/>
          <w:b/>
          <w:color w:val="000000" w:themeColor="text1"/>
        </w:rPr>
        <w:tab/>
        <w:t>Chemicals and Reagents</w:t>
      </w:r>
    </w:p>
    <w:p w:rsidR="00995829" w:rsidRDefault="00C7064C">
      <w:pPr>
        <w:pStyle w:val="NormalWeb"/>
        <w:spacing w:before="0" w:beforeAutospacing="0" w:after="0" w:afterAutospacing="0" w:line="444" w:lineRule="auto"/>
        <w:jc w:val="both"/>
      </w:pPr>
      <w:r>
        <w:tab/>
        <w:t>All chemicals were analytical grade, sourced fr</w:t>
      </w:r>
      <w:r>
        <w:t>om Fulcrum Innovation Limited, Ilorin, including:</w:t>
      </w:r>
    </w:p>
    <w:p w:rsidR="00995829" w:rsidRDefault="00C7064C">
      <w:pPr>
        <w:pStyle w:val="NormalWeb"/>
        <w:numPr>
          <w:ilvl w:val="0"/>
          <w:numId w:val="4"/>
        </w:numPr>
        <w:spacing w:before="0" w:beforeAutospacing="0" w:after="0" w:afterAutospacing="0" w:line="444" w:lineRule="auto"/>
        <w:jc w:val="both"/>
      </w:pPr>
      <w:r>
        <w:t>Indomethacin (≥99%) for ulcer induction.</w:t>
      </w:r>
    </w:p>
    <w:p w:rsidR="00995829" w:rsidRDefault="00C7064C">
      <w:pPr>
        <w:pStyle w:val="NormalWeb"/>
        <w:numPr>
          <w:ilvl w:val="0"/>
          <w:numId w:val="4"/>
        </w:numPr>
        <w:spacing w:before="0" w:beforeAutospacing="0" w:after="0" w:afterAutospacing="0" w:line="444" w:lineRule="auto"/>
        <w:jc w:val="both"/>
      </w:pPr>
      <w:r>
        <w:t>Omeprazole (≥98%) as the standard anti-ulcer drug.</w:t>
      </w:r>
    </w:p>
    <w:p w:rsidR="00995829" w:rsidRDefault="00C7064C">
      <w:pPr>
        <w:pStyle w:val="NormalWeb"/>
        <w:numPr>
          <w:ilvl w:val="0"/>
          <w:numId w:val="4"/>
        </w:numPr>
        <w:spacing w:before="0" w:beforeAutospacing="0" w:after="0" w:afterAutospacing="0" w:line="444" w:lineRule="auto"/>
        <w:jc w:val="both"/>
      </w:pPr>
      <w:r>
        <w:t>Ethanol (95%) for extraction.</w:t>
      </w:r>
    </w:p>
    <w:p w:rsidR="00995829" w:rsidRDefault="00C7064C">
      <w:pPr>
        <w:pStyle w:val="NormalWeb"/>
        <w:numPr>
          <w:ilvl w:val="0"/>
          <w:numId w:val="4"/>
        </w:numPr>
        <w:spacing w:before="0" w:beforeAutospacing="0" w:after="0" w:afterAutospacing="0" w:line="444" w:lineRule="auto"/>
        <w:jc w:val="both"/>
      </w:pPr>
      <w:r>
        <w:t>Phytochemical reagents: Wagner’s reagent, Fehling’s solution, Folin-Ciocalteu reagen</w:t>
      </w:r>
      <w:r>
        <w:t>t, aluminum chloride.</w:t>
      </w:r>
    </w:p>
    <w:p w:rsidR="00995829" w:rsidRDefault="00C7064C">
      <w:pPr>
        <w:pStyle w:val="NormalWeb"/>
        <w:numPr>
          <w:ilvl w:val="0"/>
          <w:numId w:val="4"/>
        </w:numPr>
        <w:spacing w:before="0" w:beforeAutospacing="0" w:after="0" w:afterAutospacing="0" w:line="444" w:lineRule="auto"/>
        <w:jc w:val="both"/>
      </w:pPr>
      <w:r>
        <w:t>Antioxidant assay reagents: 2,2-diphenyl-1-picrylhydrazyl (DPPH), 2,2'-azino-bis(3-ethylbenzothiazoline-6-sulfonic acid) (ABTS), ferric chloride, Trolox, ascorbic acid.</w:t>
      </w:r>
    </w:p>
    <w:p w:rsidR="00995829" w:rsidRDefault="00C7064C">
      <w:pPr>
        <w:pStyle w:val="NormalWeb"/>
        <w:numPr>
          <w:ilvl w:val="0"/>
          <w:numId w:val="4"/>
        </w:numPr>
        <w:spacing w:before="0" w:beforeAutospacing="0" w:after="0" w:afterAutospacing="0" w:line="444" w:lineRule="auto"/>
        <w:jc w:val="both"/>
      </w:pPr>
      <w:r>
        <w:t>Liver function test kits: Alanine aminotransferase (ALT), asparta</w:t>
      </w:r>
      <w:r>
        <w:t>te aminotransferase (AST), alkaline phosphatase (ALP), total protein (Randox Laboratories, UK).</w:t>
      </w:r>
    </w:p>
    <w:p w:rsidR="00995829" w:rsidRDefault="00C7064C">
      <w:pPr>
        <w:pStyle w:val="Heading2"/>
        <w:spacing w:before="0" w:beforeAutospacing="0" w:after="0" w:afterAutospacing="0" w:line="444" w:lineRule="auto"/>
        <w:jc w:val="both"/>
        <w:rPr>
          <w:sz w:val="24"/>
          <w:szCs w:val="24"/>
        </w:rPr>
      </w:pPr>
      <w:r>
        <w:rPr>
          <w:sz w:val="24"/>
          <w:szCs w:val="24"/>
        </w:rPr>
        <w:t xml:space="preserve">3.2 </w:t>
      </w:r>
      <w:r>
        <w:rPr>
          <w:sz w:val="24"/>
          <w:szCs w:val="24"/>
        </w:rPr>
        <w:tab/>
        <w:t>Methods</w:t>
      </w:r>
    </w:p>
    <w:p w:rsidR="00995829" w:rsidRDefault="00C7064C">
      <w:pPr>
        <w:pStyle w:val="Heading3"/>
        <w:spacing w:before="0" w:line="44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3.2.1 </w:t>
      </w:r>
      <w:r>
        <w:rPr>
          <w:rFonts w:ascii="Times New Roman" w:hAnsi="Times New Roman" w:cs="Times New Roman"/>
          <w:b/>
          <w:color w:val="000000" w:themeColor="text1"/>
        </w:rPr>
        <w:tab/>
        <w:t>Preparation of the Plant Extract</w:t>
      </w:r>
    </w:p>
    <w:p w:rsidR="00995829" w:rsidRDefault="00C7064C">
      <w:pPr>
        <w:pStyle w:val="NormalWeb"/>
        <w:spacing w:before="0" w:beforeAutospacing="0" w:after="0" w:afterAutospacing="0" w:line="444" w:lineRule="auto"/>
        <w:jc w:val="both"/>
      </w:pPr>
      <w:r>
        <w:tab/>
        <w:t xml:space="preserve">The 500g of powdered </w:t>
      </w:r>
      <w:r>
        <w:rPr>
          <w:rStyle w:val="Emphasis"/>
          <w:rFonts w:eastAsiaTheme="majorEastAsia"/>
        </w:rPr>
        <w:t>Sidaacuta</w:t>
      </w:r>
      <w:r>
        <w:t xml:space="preserve"> leaves were macerated in 2.5 L of 90% ethanol for 72 hours at room temperature with intermittent stirring. The mixture was filtered through Whatman No. 1 filter paper, and the filtrate was concentrated using a rotary evaporator at 40°C under reduced press</w:t>
      </w:r>
      <w:r>
        <w:t>ure. The crude ethanolic extract was left in the laboratory for concentration to constant weight and stored at 4°C. The yield was calculated as:</w:t>
      </w:r>
    </w:p>
    <w:p w:rsidR="00995829" w:rsidRDefault="00C7064C">
      <w:pPr>
        <w:pStyle w:val="NormalWeb"/>
        <w:spacing w:before="0" w:beforeAutospacing="0" w:after="0" w:afterAutospacing="0" w:line="480" w:lineRule="auto"/>
        <w:jc w:val="both"/>
      </w:pPr>
      <w:r>
        <w:rPr>
          <w:noProof/>
        </w:rPr>
        <w:lastRenderedPageBreak/>
        <w:drawing>
          <wp:inline distT="0" distB="0" distL="0" distR="0">
            <wp:extent cx="5334000" cy="139065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r:embed="rId13">
                      <a:lum contrast="10000"/>
                    </a:blip>
                    <a:srcRect/>
                    <a:stretch>
                      <a:fillRect/>
                    </a:stretch>
                  </pic:blipFill>
                  <pic:spPr>
                    <a:xfrm>
                      <a:off x="0" y="0"/>
                      <a:ext cx="5334000" cy="1390650"/>
                    </a:xfrm>
                    <a:prstGeom prst="rect">
                      <a:avLst/>
                    </a:prstGeom>
                    <a:noFill/>
                    <a:ln w="9525">
                      <a:noFill/>
                      <a:miter lim="800000"/>
                      <a:headEnd/>
                      <a:tailEnd/>
                    </a:ln>
                  </pic:spPr>
                </pic:pic>
              </a:graphicData>
            </a:graphic>
          </wp:inline>
        </w:drawing>
      </w:r>
    </w:p>
    <w:p w:rsidR="00995829" w:rsidRDefault="00C7064C">
      <w:pPr>
        <w:pStyle w:val="Heading3"/>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3.2.2 </w:t>
      </w:r>
      <w:r>
        <w:rPr>
          <w:rFonts w:ascii="Times New Roman" w:hAnsi="Times New Roman" w:cs="Times New Roman"/>
          <w:b/>
          <w:color w:val="000000" w:themeColor="text1"/>
        </w:rPr>
        <w:tab/>
        <w:t>Determination of Antioxidant Properties</w:t>
      </w:r>
    </w:p>
    <w:p w:rsidR="00995829" w:rsidRDefault="00C7064C">
      <w:pPr>
        <w:pStyle w:val="NormalWeb"/>
        <w:spacing w:before="0" w:beforeAutospacing="0" w:after="0" w:afterAutospacing="0" w:line="480" w:lineRule="auto"/>
        <w:jc w:val="both"/>
      </w:pPr>
      <w:r>
        <w:tab/>
        <w:t>The assessment of antioxidant properties in indomethacin-indu</w:t>
      </w:r>
      <w:r>
        <w:t xml:space="preserve">ced ulcerogenic rats treated with </w:t>
      </w:r>
      <w:r>
        <w:rPr>
          <w:i/>
        </w:rPr>
        <w:t>Sidaacuta</w:t>
      </w:r>
      <w:r>
        <w:t xml:space="preserve"> extract focuses on key biochemical markers that reflect liver function and oxidative stress. These methods are designed to evaluate the extract’s potential to mitigate oxidative damage and support hepatic health.</w:t>
      </w:r>
    </w:p>
    <w:p w:rsidR="00995829" w:rsidRDefault="00C7064C">
      <w:pPr>
        <w:pStyle w:val="Heading1"/>
        <w:spacing w:before="0" w:after="0" w:line="480" w:lineRule="auto"/>
        <w:jc w:val="both"/>
        <w:rPr>
          <w:rFonts w:cs="Times New Roman"/>
          <w:sz w:val="24"/>
          <w:szCs w:val="24"/>
        </w:rPr>
      </w:pPr>
      <w:bookmarkStart w:id="31" w:name="_Toc199791391"/>
      <w:r>
        <w:rPr>
          <w:rFonts w:cs="Times New Roman"/>
          <w:sz w:val="24"/>
          <w:szCs w:val="24"/>
        </w:rPr>
        <w:t>3.2.2.1 Determination of Moisture Content</w:t>
      </w:r>
      <w:bookmarkEnd w:id="31"/>
    </w:p>
    <w:p w:rsidR="00995829" w:rsidRDefault="00C7064C">
      <w:pPr>
        <w:spacing w:after="0" w:line="480" w:lineRule="auto"/>
        <w:ind w:firstLine="720"/>
        <w:jc w:val="both"/>
        <w:rPr>
          <w:sz w:val="24"/>
        </w:rPr>
      </w:pPr>
      <w:r>
        <w:rPr>
          <w:sz w:val="24"/>
        </w:rPr>
        <w:t>Moisture was determined by the loss in weight that occurs when asample is dried to a constant weight in an oven. 2g of a Cheese sample was weighed into a silica dish previously dried and weighed. The sample was th</w:t>
      </w:r>
      <w:r>
        <w:rPr>
          <w:sz w:val="24"/>
        </w:rPr>
        <w:t>en dried in an oven for 65°C for 36 hours, cool in a desiccator and weighed. The drying and weighing continued until a constant weight was achieved.</w:t>
      </w:r>
    </w:p>
    <w:p w:rsidR="00995829" w:rsidRDefault="00C7064C">
      <w:pPr>
        <w:spacing w:after="0" w:line="480" w:lineRule="auto"/>
        <w:jc w:val="both"/>
        <w:rPr>
          <w:rFonts w:eastAsiaTheme="minorEastAsia"/>
          <w:sz w:val="24"/>
          <w:lang w:val="fr-FR"/>
        </w:rPr>
      </w:pPr>
      <w:r>
        <w:rPr>
          <w:rFonts w:eastAsiaTheme="minorEastAsia"/>
          <w:sz w:val="24"/>
          <w:lang w:val="fr-FR"/>
        </w:rPr>
        <w:t xml:space="preserve">% Moisture = </w:t>
      </w:r>
      <m:oMath>
        <m:f>
          <m:fPr>
            <m:ctrlPr>
              <w:rPr>
                <w:rFonts w:ascii="Cambria Math" w:hAnsi="Cambria Math"/>
                <w:i/>
                <w:sz w:val="24"/>
              </w:rPr>
            </m:ctrlPr>
          </m:fPr>
          <m:num>
            <m:r>
              <m:rPr>
                <m:sty m:val="p"/>
              </m:rPr>
              <w:rPr>
                <w:rFonts w:ascii="Cambria Math"/>
                <w:sz w:val="24"/>
                <w:lang w:val="fr-FR"/>
              </w:rPr>
              <m:t>Wt of sample + dish before drying</m:t>
            </m:r>
            <m:r>
              <m:rPr>
                <m:sty m:val="p"/>
              </m:rPr>
              <w:rPr>
                <w:rFonts w:ascii="Cambria Math"/>
                <w:sz w:val="24"/>
                <w:lang w:val="fr-FR"/>
              </w:rPr>
              <m:t>-</m:t>
            </m:r>
            <m:r>
              <m:rPr>
                <m:sty m:val="p"/>
              </m:rPr>
              <w:rPr>
                <w:rFonts w:ascii="Cambria Math"/>
                <w:sz w:val="24"/>
                <w:lang w:val="fr-FR"/>
              </w:rPr>
              <m:t xml:space="preserve"> wt of sample+ dish after drying</m:t>
            </m:r>
          </m:num>
          <m:den>
            <m:r>
              <w:rPr>
                <w:rFonts w:ascii="Cambria Math" w:hAnsi="Cambria Math"/>
                <w:sz w:val="24"/>
              </w:rPr>
              <m:t>Wtofsampletaken</m:t>
            </m:r>
          </m:den>
        </m:f>
      </m:oMath>
      <w:r>
        <w:rPr>
          <w:sz w:val="24"/>
          <w:lang w:val="fr-FR"/>
        </w:rPr>
        <w:t>x100</w:t>
      </w:r>
    </w:p>
    <w:p w:rsidR="00995829" w:rsidRDefault="00C7064C">
      <w:pPr>
        <w:spacing w:after="0" w:line="480" w:lineRule="auto"/>
        <w:ind w:firstLine="720"/>
        <w:jc w:val="both"/>
        <w:rPr>
          <w:sz w:val="24"/>
        </w:rPr>
      </w:pPr>
      <w:r>
        <w:rPr>
          <w:sz w:val="24"/>
        </w:rPr>
        <w:t xml:space="preserve">Since the water content of feed varied widely, ingredients and feed are usually compared for their nutrient content on moisture free or Dry Matter (DM) basis. </w:t>
      </w:r>
    </w:p>
    <w:p w:rsidR="00995829" w:rsidRDefault="00C7064C">
      <w:pPr>
        <w:spacing w:after="0" w:line="480" w:lineRule="auto"/>
        <w:jc w:val="both"/>
        <w:rPr>
          <w:sz w:val="24"/>
        </w:rPr>
      </w:pPr>
      <w:r>
        <w:rPr>
          <w:sz w:val="24"/>
        </w:rPr>
        <w:t>% DM = 100 - %Moisture.</w:t>
      </w:r>
    </w:p>
    <w:p w:rsidR="00995829" w:rsidRDefault="00C7064C">
      <w:pPr>
        <w:pStyle w:val="Heading1"/>
        <w:spacing w:before="0" w:after="0" w:line="480" w:lineRule="auto"/>
        <w:jc w:val="both"/>
        <w:rPr>
          <w:rFonts w:cs="Times New Roman"/>
          <w:sz w:val="24"/>
          <w:szCs w:val="24"/>
        </w:rPr>
      </w:pPr>
      <w:bookmarkStart w:id="32" w:name="_Toc199791392"/>
      <w:r>
        <w:rPr>
          <w:rFonts w:cs="Times New Roman"/>
          <w:sz w:val="24"/>
          <w:szCs w:val="24"/>
        </w:rPr>
        <w:lastRenderedPageBreak/>
        <w:t>3.2.3.2 Determination of crude protein</w:t>
      </w:r>
      <w:bookmarkEnd w:id="32"/>
    </w:p>
    <w:p w:rsidR="00995829" w:rsidRDefault="00C7064C">
      <w:pPr>
        <w:spacing w:after="0" w:line="480" w:lineRule="auto"/>
        <w:ind w:firstLine="720"/>
        <w:jc w:val="both"/>
        <w:rPr>
          <w:sz w:val="24"/>
        </w:rPr>
      </w:pPr>
      <w:r>
        <w:rPr>
          <w:sz w:val="24"/>
        </w:rPr>
        <w:t xml:space="preserve">Crude protein was </w:t>
      </w:r>
      <w:r>
        <w:rPr>
          <w:sz w:val="24"/>
        </w:rPr>
        <w:t>determined by measuring the nitrogen content of the feed and multiplying it by a factor of 6.25. This factor is based on the fact that most protein contains 16% nitrogen. Crude protein was determined by kjeldahl method. The method involves: Digestion, Dist</w:t>
      </w:r>
      <w:r>
        <w:rPr>
          <w:sz w:val="24"/>
        </w:rPr>
        <w:t>illation and Titration.</w:t>
      </w:r>
    </w:p>
    <w:p w:rsidR="00995829" w:rsidRDefault="00C7064C">
      <w:pPr>
        <w:spacing w:after="0" w:line="480" w:lineRule="auto"/>
        <w:jc w:val="both"/>
        <w:rPr>
          <w:sz w:val="24"/>
        </w:rPr>
      </w:pPr>
      <w:r>
        <w:rPr>
          <w:sz w:val="24"/>
        </w:rPr>
        <w:t>Digestion: 2 g of the sample was weighed into kjeldahl flask and 25 ml of concentrated sulphuric acid, 0.5 g of copper sulphate 5g of sodium sulphate and a speck of selenium tablet were added. Heat in a fume cupboard was applied slo</w:t>
      </w:r>
      <w:r>
        <w:rPr>
          <w:sz w:val="24"/>
        </w:rPr>
        <w:t>wly at first to prevent undue frothing, digestion continued for 45 minutes until the digester became clear pale green. It was left until completely cooled and 250 ml of distilled water was rapidly added. The digestion flask was rinsed 2-3 times and the rin</w:t>
      </w:r>
      <w:r>
        <w:rPr>
          <w:sz w:val="24"/>
        </w:rPr>
        <w:t xml:space="preserve">sing was added to the bulk. </w:t>
      </w:r>
    </w:p>
    <w:p w:rsidR="00995829" w:rsidRDefault="00C7064C">
      <w:pPr>
        <w:spacing w:after="0" w:line="480" w:lineRule="auto"/>
        <w:jc w:val="both"/>
        <w:rPr>
          <w:sz w:val="24"/>
        </w:rPr>
      </w:pPr>
      <w:r>
        <w:rPr>
          <w:sz w:val="24"/>
        </w:rPr>
        <w:t>Distillation: "Markham distillation apparathus was used for distillation. The distillation apparatus was steamed up and about 10 ml of the digest was added into, the apparatus via a funnel and allowed to boil. 10mts of sodium h</w:t>
      </w:r>
      <w:r>
        <w:rPr>
          <w:sz w:val="24"/>
        </w:rPr>
        <w:t>ydroxide was added from the measuring cylinder so that ammonia was not lost. It was distilled into 50ml of 2% boric acid containing screened methyl red indicator.</w:t>
      </w:r>
    </w:p>
    <w:p w:rsidR="00995829" w:rsidRDefault="00C7064C">
      <w:pPr>
        <w:spacing w:after="0" w:line="480" w:lineRule="auto"/>
        <w:jc w:val="both"/>
        <w:rPr>
          <w:sz w:val="24"/>
        </w:rPr>
      </w:pPr>
      <w:r>
        <w:rPr>
          <w:sz w:val="24"/>
        </w:rPr>
        <w:t>Titration: the alkaline ammonium borate formed was titrated directly with HCL. The titre valu</w:t>
      </w:r>
      <w:r>
        <w:rPr>
          <w:sz w:val="24"/>
        </w:rPr>
        <w:t xml:space="preserve">e which was the volume of acid used was recorded. The volume of acid used was fitted into the formula which became: </w:t>
      </w:r>
    </w:p>
    <w:p w:rsidR="00995829" w:rsidRDefault="00995829">
      <w:pPr>
        <w:spacing w:after="0" w:line="480" w:lineRule="auto"/>
        <w:jc w:val="both"/>
        <w:rPr>
          <w:sz w:val="24"/>
        </w:rPr>
      </w:pPr>
    </w:p>
    <w:p w:rsidR="00995829" w:rsidRDefault="00C7064C">
      <w:pPr>
        <w:spacing w:after="0" w:line="480" w:lineRule="auto"/>
        <w:jc w:val="center"/>
        <w:rPr>
          <w:rFonts w:eastAsiaTheme="minorEastAsia"/>
          <w:sz w:val="24"/>
          <w:lang w:val="fr-FR"/>
        </w:rPr>
      </w:pPr>
      <w:r>
        <w:rPr>
          <w:sz w:val="24"/>
          <w:lang w:val="fr-FR"/>
        </w:rPr>
        <w:lastRenderedPageBreak/>
        <w:t xml:space="preserve">%N = </w:t>
      </w:r>
      <m:oMath>
        <m:f>
          <m:fPr>
            <m:ctrlPr>
              <w:rPr>
                <w:rFonts w:ascii="Cambria Math" w:hAnsi="Cambria Math"/>
                <w:i/>
                <w:sz w:val="24"/>
              </w:rPr>
            </m:ctrlPr>
          </m:fPr>
          <m:num>
            <m:r>
              <w:rPr>
                <w:rFonts w:ascii="Cambria Math"/>
                <w:sz w:val="24"/>
                <w:lang w:val="fr-FR"/>
              </w:rPr>
              <m:t>14</m:t>
            </m:r>
            <m:r>
              <w:rPr>
                <w:rFonts w:ascii="Cambria Math"/>
                <w:sz w:val="24"/>
                <w:lang w:val="fr-FR"/>
              </w:rPr>
              <m:t>×</m:t>
            </m:r>
            <m:r>
              <w:rPr>
                <w:rFonts w:ascii="Cambria Math"/>
                <w:sz w:val="24"/>
                <w:lang w:val="fr-FR"/>
              </w:rPr>
              <m:t xml:space="preserve"> </m:t>
            </m:r>
            <m:r>
              <w:rPr>
                <w:rFonts w:ascii="Cambria Math" w:hAnsi="Cambria Math"/>
                <w:sz w:val="24"/>
              </w:rPr>
              <m:t>VA</m:t>
            </m:r>
            <m:r>
              <w:rPr>
                <w:rFonts w:ascii="Cambria Math"/>
                <w:sz w:val="24"/>
                <w:lang w:val="fr-FR"/>
              </w:rPr>
              <m:t xml:space="preserve"> </m:t>
            </m:r>
            <m:r>
              <w:rPr>
                <w:rFonts w:ascii="Cambria Math"/>
                <w:sz w:val="24"/>
                <w:lang w:val="fr-FR"/>
              </w:rPr>
              <m:t>×</m:t>
            </m:r>
            <m:r>
              <w:rPr>
                <w:rFonts w:ascii="Cambria Math"/>
                <w:sz w:val="24"/>
                <w:lang w:val="fr-FR"/>
              </w:rPr>
              <m:t xml:space="preserve">0.1 </m:t>
            </m:r>
            <m:r>
              <w:rPr>
                <w:rFonts w:ascii="Cambria Math"/>
                <w:sz w:val="24"/>
                <w:lang w:val="fr-FR"/>
              </w:rPr>
              <m:t>×</m:t>
            </m:r>
            <m:r>
              <w:rPr>
                <w:rFonts w:ascii="Cambria Math" w:hAnsi="Cambria Math"/>
                <w:sz w:val="24"/>
              </w:rPr>
              <m:t>w</m:t>
            </m:r>
            <m:r>
              <w:rPr>
                <w:rFonts w:ascii="Cambria Math"/>
                <w:sz w:val="24"/>
                <w:lang w:val="fr-FR"/>
              </w:rPr>
              <m:t xml:space="preserve"> </m:t>
            </m:r>
            <m:r>
              <w:rPr>
                <w:rFonts w:ascii="Cambria Math"/>
                <w:sz w:val="24"/>
                <w:lang w:val="fr-FR"/>
              </w:rPr>
              <m:t>×</m:t>
            </m:r>
            <m:r>
              <w:rPr>
                <w:rFonts w:ascii="Cambria Math"/>
                <w:sz w:val="24"/>
                <w:lang w:val="fr-FR"/>
              </w:rPr>
              <m:t>100</m:t>
            </m:r>
          </m:num>
          <m:den>
            <m:r>
              <w:rPr>
                <w:rFonts w:ascii="Cambria Math"/>
                <w:sz w:val="24"/>
                <w:lang w:val="fr-FR"/>
              </w:rPr>
              <m:t xml:space="preserve">1000 </m:t>
            </m:r>
            <m:r>
              <w:rPr>
                <w:rFonts w:ascii="Cambria Math"/>
                <w:sz w:val="24"/>
                <w:lang w:val="fr-FR"/>
              </w:rPr>
              <m:t>×</m:t>
            </m:r>
            <m:r>
              <w:rPr>
                <w:rFonts w:ascii="Cambria Math"/>
                <w:sz w:val="24"/>
                <w:lang w:val="fr-FR"/>
              </w:rPr>
              <m:t>100</m:t>
            </m:r>
          </m:den>
        </m:f>
      </m:oMath>
    </w:p>
    <w:p w:rsidR="00995829" w:rsidRDefault="00C7064C">
      <w:pPr>
        <w:spacing w:after="0" w:line="480" w:lineRule="auto"/>
        <w:jc w:val="center"/>
        <w:rPr>
          <w:sz w:val="24"/>
          <w:lang w:val="fr-FR"/>
        </w:rPr>
      </w:pPr>
      <w:r>
        <w:rPr>
          <w:sz w:val="24"/>
          <w:lang w:val="fr-FR"/>
        </w:rPr>
        <w:t>% Crude protein = %N x 6.25</w:t>
      </w:r>
    </w:p>
    <w:p w:rsidR="00995829" w:rsidRDefault="00C7064C">
      <w:pPr>
        <w:spacing w:after="0" w:line="480" w:lineRule="auto"/>
        <w:jc w:val="both"/>
        <w:rPr>
          <w:sz w:val="24"/>
        </w:rPr>
      </w:pPr>
      <w:r>
        <w:rPr>
          <w:sz w:val="24"/>
        </w:rPr>
        <w:t xml:space="preserve">Where; VA= volume of acid used, </w:t>
      </w:r>
      <w:r>
        <w:rPr>
          <w:sz w:val="24"/>
        </w:rPr>
        <w:tab/>
        <w:t>w= weight of sample,</w:t>
      </w:r>
    </w:p>
    <w:p w:rsidR="00995829" w:rsidRDefault="00C7064C">
      <w:pPr>
        <w:pStyle w:val="Heading1"/>
        <w:spacing w:before="0" w:after="0" w:line="480" w:lineRule="auto"/>
        <w:jc w:val="both"/>
        <w:rPr>
          <w:rFonts w:cs="Times New Roman"/>
          <w:sz w:val="24"/>
          <w:szCs w:val="24"/>
        </w:rPr>
      </w:pPr>
      <w:bookmarkStart w:id="33" w:name="_Toc199791393"/>
      <w:r>
        <w:rPr>
          <w:rFonts w:cs="Times New Roman"/>
          <w:sz w:val="24"/>
          <w:szCs w:val="24"/>
        </w:rPr>
        <w:t xml:space="preserve">3.2.3.3 </w:t>
      </w:r>
      <w:r>
        <w:rPr>
          <w:rFonts w:cs="Times New Roman"/>
          <w:sz w:val="24"/>
          <w:szCs w:val="24"/>
        </w:rPr>
        <w:t>Determination of Crude Ash</w:t>
      </w:r>
      <w:bookmarkEnd w:id="33"/>
    </w:p>
    <w:p w:rsidR="00995829" w:rsidRDefault="00C7064C">
      <w:pPr>
        <w:spacing w:after="0" w:line="480" w:lineRule="auto"/>
        <w:jc w:val="both"/>
        <w:rPr>
          <w:sz w:val="24"/>
        </w:rPr>
      </w:pPr>
      <w:r>
        <w:rPr>
          <w:sz w:val="24"/>
        </w:rPr>
        <w:tab/>
        <w:t>Determination of Ash content of the samples: Ash is the inorganic residue obtained by burning off the organic matter of feedstuff at 400-600°C in muffle furnace for 4hours. The 2 g of the sample was weighed into a pre-heated cru</w:t>
      </w:r>
      <w:r>
        <w:rPr>
          <w:sz w:val="24"/>
        </w:rPr>
        <w:t>cible. The crucible was placed into muffle furnace at 400-600°C for 4 hours or until whitish-grey ash was obtained. The crucible was then placed in the desiccator and weighed.</w:t>
      </w:r>
    </w:p>
    <w:p w:rsidR="00995829" w:rsidRDefault="00C7064C">
      <w:pPr>
        <w:spacing w:after="0" w:line="480" w:lineRule="auto"/>
        <w:jc w:val="center"/>
        <w:rPr>
          <w:rFonts w:eastAsiaTheme="minorEastAsia"/>
          <w:sz w:val="24"/>
        </w:rPr>
      </w:pPr>
      <w:r>
        <w:rPr>
          <w:sz w:val="24"/>
        </w:rPr>
        <w:t xml:space="preserve">%ASH = </w:t>
      </w:r>
      <m:oMath>
        <m:f>
          <m:fPr>
            <m:ctrlPr>
              <w:rPr>
                <w:rFonts w:ascii="Cambria Math" w:hAnsi="Cambria Math"/>
                <w:i/>
                <w:sz w:val="24"/>
              </w:rPr>
            </m:ctrlPr>
          </m:fPr>
          <m:num>
            <m:r>
              <w:rPr>
                <w:rFonts w:ascii="Cambria Math" w:hAnsi="Cambria Math"/>
                <w:sz w:val="24"/>
              </w:rPr>
              <m:t>wt</m:t>
            </m:r>
            <m:r>
              <w:rPr>
                <w:rFonts w:ascii="Cambria Math"/>
                <w:sz w:val="24"/>
              </w:rPr>
              <m:t xml:space="preserve">. </m:t>
            </m:r>
            <m:r>
              <w:rPr>
                <w:rFonts w:ascii="Cambria Math" w:hAnsi="Cambria Math"/>
                <w:sz w:val="24"/>
              </w:rPr>
              <m:t>ofcrucible</m:t>
            </m:r>
            <m:r>
              <w:rPr>
                <w:rFonts w:ascii="Cambria Math"/>
                <w:sz w:val="24"/>
              </w:rPr>
              <m:t>+</m:t>
            </m:r>
            <m:r>
              <w:rPr>
                <w:rFonts w:ascii="Cambria Math" w:hAnsi="Cambria Math"/>
                <w:sz w:val="24"/>
              </w:rPr>
              <m:t>as</m:t>
            </m:r>
            <m:r>
              <w:rPr>
                <w:rFonts w:hAnsi="Cambria Math"/>
                <w:sz w:val="24"/>
              </w:rPr>
              <m:t>h</m:t>
            </m:r>
            <m:r>
              <w:rPr>
                <w:sz w:val="24"/>
              </w:rPr>
              <m:t>-</m:t>
            </m:r>
            <m:r>
              <w:rPr>
                <w:rFonts w:ascii="Cambria Math" w:hAnsi="Cambria Math"/>
                <w:sz w:val="24"/>
              </w:rPr>
              <m:t>wt</m:t>
            </m:r>
            <m:r>
              <w:rPr>
                <w:rFonts w:ascii="Cambria Math"/>
                <w:sz w:val="24"/>
              </w:rPr>
              <m:t xml:space="preserve">. </m:t>
            </m:r>
            <m:r>
              <w:rPr>
                <w:rFonts w:ascii="Cambria Math" w:hAnsi="Cambria Math"/>
                <w:sz w:val="24"/>
              </w:rPr>
              <m:t>ofcrucible</m:t>
            </m:r>
          </m:num>
          <m:den>
            <m:r>
              <w:rPr>
                <w:rFonts w:ascii="Cambria Math" w:hAnsi="Cambria Math"/>
                <w:sz w:val="24"/>
              </w:rPr>
              <m:t>wtofsample</m:t>
            </m:r>
          </m:den>
        </m:f>
        <m:r>
          <w:rPr>
            <w:rFonts w:ascii="Cambria Math"/>
            <w:sz w:val="24"/>
          </w:rPr>
          <m:t>×</m:t>
        </m:r>
        <m:r>
          <w:rPr>
            <w:rFonts w:ascii="Cambria Math"/>
            <w:sz w:val="24"/>
          </w:rPr>
          <m:t>100</m:t>
        </m:r>
      </m:oMath>
    </w:p>
    <w:p w:rsidR="00995829" w:rsidRDefault="00C7064C">
      <w:pPr>
        <w:pStyle w:val="Heading1"/>
        <w:spacing w:before="0" w:after="0" w:line="480" w:lineRule="auto"/>
        <w:jc w:val="both"/>
        <w:rPr>
          <w:rFonts w:cs="Times New Roman"/>
          <w:sz w:val="24"/>
          <w:szCs w:val="24"/>
        </w:rPr>
      </w:pPr>
      <w:bookmarkStart w:id="34" w:name="_Toc199791394"/>
      <w:r>
        <w:rPr>
          <w:rFonts w:cs="Times New Roman"/>
          <w:sz w:val="24"/>
          <w:szCs w:val="24"/>
        </w:rPr>
        <w:t>3.2.3.4 Determination of Lipid</w:t>
      </w:r>
      <w:bookmarkEnd w:id="34"/>
    </w:p>
    <w:p w:rsidR="00995829" w:rsidRDefault="00C7064C">
      <w:pPr>
        <w:spacing w:after="0" w:line="480" w:lineRule="auto"/>
        <w:jc w:val="both"/>
        <w:rPr>
          <w:sz w:val="24"/>
        </w:rPr>
      </w:pPr>
      <w:r>
        <w:rPr>
          <w:sz w:val="24"/>
        </w:rPr>
        <w:t>Determination of Fat content: The ether extract of sterols represents the fat and oil in the sterols.</w:t>
      </w:r>
    </w:p>
    <w:p w:rsidR="00995829" w:rsidRDefault="00C7064C">
      <w:pPr>
        <w:spacing w:after="0" w:line="480" w:lineRule="auto"/>
        <w:ind w:firstLine="720"/>
        <w:jc w:val="both"/>
        <w:rPr>
          <w:sz w:val="24"/>
        </w:rPr>
      </w:pPr>
      <w:r>
        <w:rPr>
          <w:sz w:val="24"/>
        </w:rPr>
        <w:t>Soxhlet apparatus is the equipment used for the determination of ether extract. It consists of 3 major component</w:t>
      </w:r>
      <w:r>
        <w:rPr>
          <w:sz w:val="24"/>
        </w:rPr>
        <w:t>s. An extractor: comprising the thimble which holas the sample, Condenser for cooling and condensing the ether vapour and 250 ml flask.</w:t>
      </w:r>
    </w:p>
    <w:p w:rsidR="00995829" w:rsidRDefault="00C7064C">
      <w:pPr>
        <w:spacing w:after="0" w:line="480" w:lineRule="auto"/>
        <w:jc w:val="both"/>
        <w:rPr>
          <w:sz w:val="24"/>
        </w:rPr>
      </w:pPr>
      <w:r>
        <w:rPr>
          <w:sz w:val="24"/>
        </w:rPr>
        <w:t>Procedure:  150 mL of an anhydrous diethyl ether (petroleum ether) of boiling point of 40°-60°C was placed in the flask.</w:t>
      </w:r>
      <w:r>
        <w:rPr>
          <w:sz w:val="24"/>
        </w:rPr>
        <w:t xml:space="preserve"> 2-5 g of the sample was %Ether extract = weighed into a thimble and the thimble was plugged with cotton wool. The thimble </w:t>
      </w:r>
      <w:r>
        <w:rPr>
          <w:sz w:val="24"/>
        </w:rPr>
        <w:lastRenderedPageBreak/>
        <w:t>with content was placed into the extractor; the ether in the flask was then heated. As the ether vapour reached the condenser through</w:t>
      </w:r>
      <w:r>
        <w:rPr>
          <w:sz w:val="24"/>
        </w:rPr>
        <w:t xml:space="preserve"> the side arm of the extractor, it condensed to liquid form and drop back into the sample in the thimble, the ether soluble substances were dissolved and were carried into solution through the siphon tube back into the flask. The extraction continued for a</w:t>
      </w:r>
      <w:r>
        <w:rPr>
          <w:sz w:val="24"/>
        </w:rPr>
        <w:t xml:space="preserve">t least 4 hours. The thimble was removed and most of the solvent was distilled from the flask into the extractor. The flask was then disconnected and placed in an oven at 65°C for 4 hours, cooled in a desiccator and weighed. </w:t>
      </w:r>
    </w:p>
    <w:p w:rsidR="00995829" w:rsidRDefault="00C7064C">
      <w:pPr>
        <w:spacing w:after="0" w:line="480" w:lineRule="auto"/>
        <w:jc w:val="center"/>
        <w:rPr>
          <w:rFonts w:eastAsiaTheme="minorEastAsia"/>
          <w:sz w:val="24"/>
        </w:rPr>
      </w:pPr>
      <w:r>
        <w:rPr>
          <w:rFonts w:eastAsiaTheme="minorEastAsia"/>
          <w:sz w:val="24"/>
        </w:rPr>
        <w:t xml:space="preserve">% ether extract </w:t>
      </w:r>
      <m:oMath>
        <m:f>
          <m:fPr>
            <m:ctrlPr>
              <w:rPr>
                <w:rFonts w:ascii="Cambria Math" w:hAnsi="Cambria Math"/>
                <w:i/>
                <w:sz w:val="24"/>
              </w:rPr>
            </m:ctrlPr>
          </m:fPr>
          <m:num>
            <m:r>
              <m:rPr>
                <m:sty m:val="p"/>
              </m:rPr>
              <w:rPr>
                <w:rFonts w:ascii="Cambria Math"/>
                <w:sz w:val="24"/>
              </w:rPr>
              <m:t>weight of flask + extract</m:t>
            </m:r>
            <m:r>
              <m:rPr>
                <m:sty m:val="p"/>
              </m:rPr>
              <w:rPr>
                <w:rFonts w:ascii="Cambria Math"/>
                <w:sz w:val="24"/>
              </w:rPr>
              <m:t>-</m:t>
            </m:r>
            <m:r>
              <m:rPr>
                <m:sty m:val="p"/>
              </m:rPr>
              <w:rPr>
                <w:rFonts w:ascii="Cambria Math"/>
                <w:sz w:val="24"/>
              </w:rPr>
              <m:t>tare weight of flask</m:t>
            </m:r>
          </m:num>
          <m:den>
            <m:r>
              <w:rPr>
                <w:rFonts w:ascii="Cambria Math" w:hAnsi="Cambria Math"/>
                <w:sz w:val="24"/>
              </w:rPr>
              <m:t>Wtofsample</m:t>
            </m:r>
          </m:den>
        </m:f>
        <m:r>
          <m:rPr>
            <m:sty m:val="p"/>
          </m:rPr>
          <w:rPr>
            <w:rFonts w:ascii="Cambria Math"/>
            <w:sz w:val="24"/>
          </w:rPr>
          <m:t>x100</m:t>
        </m:r>
      </m:oMath>
    </w:p>
    <w:p w:rsidR="00995829" w:rsidRDefault="00C7064C">
      <w:pPr>
        <w:pStyle w:val="Heading1"/>
        <w:spacing w:before="0" w:after="0" w:line="480" w:lineRule="auto"/>
        <w:jc w:val="both"/>
        <w:rPr>
          <w:rFonts w:cs="Times New Roman"/>
          <w:sz w:val="24"/>
          <w:szCs w:val="24"/>
        </w:rPr>
      </w:pPr>
      <w:bookmarkStart w:id="35" w:name="_Toc199791395"/>
      <w:r>
        <w:rPr>
          <w:rFonts w:cs="Times New Roman"/>
          <w:sz w:val="24"/>
          <w:szCs w:val="24"/>
        </w:rPr>
        <w:t>3.2.3.5 Determination of Fibre</w:t>
      </w:r>
      <w:bookmarkEnd w:id="35"/>
    </w:p>
    <w:p w:rsidR="00995829" w:rsidRDefault="00C7064C">
      <w:pPr>
        <w:spacing w:after="0" w:line="480" w:lineRule="auto"/>
        <w:ind w:firstLine="720"/>
        <w:jc w:val="both"/>
        <w:rPr>
          <w:sz w:val="24"/>
        </w:rPr>
      </w:pPr>
      <w:r>
        <w:rPr>
          <w:sz w:val="24"/>
        </w:rPr>
        <w:t xml:space="preserve">The organic residue left after sequential extraction of feed with ether can be used to determine the crude fibre, however if a fresh sample was used, the fat in it </w:t>
      </w:r>
      <w:r>
        <w:rPr>
          <w:sz w:val="24"/>
        </w:rPr>
        <w:t>could be extracted by adding petroleum ether, stirred and allowed to settle and decanted. This was done three times. The fat-free material was then transferred into a flask/beaker and 200 ml of pre-heated 1.25% H</w:t>
      </w:r>
      <w:r>
        <w:rPr>
          <w:sz w:val="24"/>
          <w:vertAlign w:val="subscript"/>
        </w:rPr>
        <w:t>2</w:t>
      </w:r>
      <w:r>
        <w:rPr>
          <w:sz w:val="24"/>
        </w:rPr>
        <w:t>SO</w:t>
      </w:r>
      <w:r>
        <w:rPr>
          <w:sz w:val="24"/>
          <w:vertAlign w:val="subscript"/>
        </w:rPr>
        <w:t>4</w:t>
      </w:r>
      <w:r>
        <w:rPr>
          <w:sz w:val="24"/>
        </w:rPr>
        <w:t xml:space="preserve"> was added and the solution was gently b</w:t>
      </w:r>
      <w:r>
        <w:rPr>
          <w:sz w:val="24"/>
        </w:rPr>
        <w:t xml:space="preserve">oiled for about 30mins, maintaining constant volume of acid by the addition of hot water. The Buckner flask funnel fitted with Whatman filter was pre-heated by pouring hot water into the funnel. The boiled acid sample mixture was then filtered hot through </w:t>
      </w:r>
      <w:r>
        <w:rPr>
          <w:sz w:val="24"/>
        </w:rPr>
        <w:t xml:space="preserve">the funnel under sufficient suction. The residue was then washed several times with boiling water (until the residue was neutral to litmus paper) and transferred back into the NaOH beaker. Then 200 ml of pre-heated 1.25% NaSO was added and </w:t>
      </w:r>
      <w:r>
        <w:rPr>
          <w:sz w:val="24"/>
        </w:rPr>
        <w:lastRenderedPageBreak/>
        <w:t>boiled for anoth</w:t>
      </w:r>
      <w:r>
        <w:rPr>
          <w:sz w:val="24"/>
        </w:rPr>
        <w:t xml:space="preserve">er 30 minutes. Filtered under suction and washed thoroughly with hot water and twice with ethanol. The residue was dried at 65°C for about 24 hours and weighed. There sidue was transferred into a crucible and placed in muffle furnace (400-600°C) and ashed </w:t>
      </w:r>
      <w:r>
        <w:rPr>
          <w:sz w:val="24"/>
        </w:rPr>
        <w:t>for 4 hours, then cooled in desiccator and weighed.</w:t>
      </w:r>
    </w:p>
    <w:p w:rsidR="00995829" w:rsidRDefault="00C7064C">
      <w:pPr>
        <w:spacing w:after="0" w:line="480" w:lineRule="auto"/>
        <w:jc w:val="both"/>
        <w:rPr>
          <w:sz w:val="24"/>
        </w:rPr>
      </w:pPr>
      <w:r>
        <w:rPr>
          <w:rStyle w:val="Heading1Char"/>
          <w:rFonts w:cs="Times New Roman"/>
          <w:sz w:val="24"/>
          <w:szCs w:val="24"/>
        </w:rPr>
        <w:t>3.2.3.6 Determination of Carbohydrate Contents</w:t>
      </w:r>
    </w:p>
    <w:p w:rsidR="00995829" w:rsidRDefault="00C7064C">
      <w:pPr>
        <w:spacing w:after="0" w:line="480" w:lineRule="auto"/>
        <w:ind w:firstLine="720"/>
        <w:jc w:val="both"/>
        <w:rPr>
          <w:sz w:val="24"/>
        </w:rPr>
      </w:pPr>
      <w:r>
        <w:rPr>
          <w:sz w:val="24"/>
        </w:rPr>
        <w:t>The 2 grams of the powdered sample was weighed, refluxed with 20 mL 80% ethanol for 30 minutes (for water-soluble carbohydrates). The extract was filtered us</w:t>
      </w:r>
      <w:r>
        <w:rPr>
          <w:sz w:val="24"/>
        </w:rPr>
        <w:t>ing Whatman No. 1 filter paper. 0.2 mL of the plant extract was pipetted into a test tube and 1 mL of 5% phenol was added. Quickly, 5 mL of concentrated sulfuric acid was also added.  The absorbance was measured absorbance at 490 nm and compared with the s</w:t>
      </w:r>
      <w:r>
        <w:rPr>
          <w:sz w:val="24"/>
        </w:rPr>
        <w:t>tandard glucose curve to determine carbohydrate content.</w:t>
      </w:r>
    </w:p>
    <w:p w:rsidR="00995829" w:rsidRDefault="00C7064C">
      <w:pPr>
        <w:spacing w:after="0" w:line="480" w:lineRule="auto"/>
        <w:jc w:val="both"/>
        <w:rPr>
          <w:sz w:val="24"/>
        </w:rPr>
      </w:pPr>
      <w:r>
        <w:rPr>
          <w:rStyle w:val="Strong"/>
        </w:rPr>
        <w:t>Calculation</w:t>
      </w:r>
    </w:p>
    <w:p w:rsidR="00995829" w:rsidRDefault="00C7064C">
      <w:pPr>
        <w:spacing w:after="0" w:line="480" w:lineRule="auto"/>
        <w:jc w:val="both"/>
        <w:rPr>
          <w:sz w:val="24"/>
        </w:rPr>
      </w:pPr>
      <w:r>
        <w:rPr>
          <w:sz w:val="24"/>
        </w:rPr>
        <w:tab/>
        <w:t>The standard curve was used to determine the concentration of carbohydrate in the extract. Then:</w:t>
      </w:r>
    </w:p>
    <w:p w:rsidR="00995829" w:rsidRDefault="00C7064C">
      <w:pPr>
        <w:spacing w:after="0" w:line="480" w:lineRule="auto"/>
        <w:jc w:val="both"/>
        <w:rPr>
          <w:rFonts w:eastAsiaTheme="minorEastAsia"/>
          <w:sz w:val="24"/>
        </w:rPr>
      </w:pPr>
      <m:oMathPara>
        <m:oMath>
          <m:r>
            <m:rPr>
              <m:sty m:val="p"/>
            </m:rPr>
            <w:rPr>
              <w:rStyle w:val="mord"/>
              <w:rFonts w:ascii="Cambria Math"/>
              <w:sz w:val="24"/>
            </w:rPr>
            <m:t>Carbohydrate</m:t>
          </m:r>
          <m:r>
            <m:rPr>
              <m:sty m:val="p"/>
            </m:rPr>
            <w:rPr>
              <w:rStyle w:val="mord"/>
              <w:rFonts w:ascii="Cambria Math"/>
              <w:sz w:val="24"/>
            </w:rPr>
            <m:t> </m:t>
          </m:r>
          <m:r>
            <m:rPr>
              <m:sty m:val="p"/>
            </m:rPr>
            <w:rPr>
              <w:rStyle w:val="mord"/>
              <w:rFonts w:ascii="Cambria Math"/>
              <w:sz w:val="24"/>
            </w:rPr>
            <m:t>content</m:t>
          </m:r>
          <m:r>
            <m:rPr>
              <m:sty m:val="p"/>
            </m:rPr>
            <w:rPr>
              <w:rStyle w:val="mord"/>
              <w:rFonts w:ascii="Cambria Math"/>
              <w:sz w:val="24"/>
            </w:rPr>
            <m:t> </m:t>
          </m:r>
          <m:d>
            <m:dPr>
              <m:ctrlPr>
                <w:rPr>
                  <w:rStyle w:val="mord"/>
                  <w:rFonts w:ascii="Cambria Math"/>
                  <w:sz w:val="24"/>
                </w:rPr>
              </m:ctrlPr>
            </m:dPr>
            <m:e>
              <m:f>
                <m:fPr>
                  <m:ctrlPr>
                    <w:rPr>
                      <w:rStyle w:val="mord"/>
                      <w:rFonts w:ascii="Cambria Math"/>
                      <w:sz w:val="24"/>
                    </w:rPr>
                  </m:ctrlPr>
                </m:fPr>
                <m:num>
                  <m:r>
                    <m:rPr>
                      <m:sty m:val="p"/>
                    </m:rPr>
                    <w:rPr>
                      <w:rStyle w:val="mord"/>
                      <w:rFonts w:ascii="Cambria Math"/>
                      <w:sz w:val="24"/>
                    </w:rPr>
                    <m:t>mg</m:t>
                  </m:r>
                </m:num>
                <m:den>
                  <m:r>
                    <m:rPr>
                      <m:sty m:val="p"/>
                    </m:rPr>
                    <w:rPr>
                      <w:rStyle w:val="mord"/>
                      <w:rFonts w:ascii="Cambria Math"/>
                      <w:sz w:val="24"/>
                    </w:rPr>
                    <m:t>g</m:t>
                  </m:r>
                </m:den>
              </m:f>
            </m:e>
          </m:d>
          <m:r>
            <m:rPr>
              <m:sty m:val="p"/>
            </m:rPr>
            <w:rPr>
              <w:rStyle w:val="mord"/>
              <w:rFonts w:ascii="Cambria Math"/>
              <w:sz w:val="24"/>
            </w:rPr>
            <m:t>=</m:t>
          </m:r>
          <m:f>
            <m:fPr>
              <m:ctrlPr>
                <w:rPr>
                  <w:rStyle w:val="mord"/>
                  <w:rFonts w:ascii="Cambria Math"/>
                  <w:i/>
                  <w:sz w:val="24"/>
                </w:rPr>
              </m:ctrlPr>
            </m:fPr>
            <m:num>
              <m:r>
                <m:rPr>
                  <m:sty m:val="p"/>
                </m:rPr>
                <w:rPr>
                  <w:rStyle w:val="mord"/>
                  <w:rFonts w:ascii="Cambria Math"/>
                  <w:sz w:val="24"/>
                </w:rPr>
                <m:t>Concentration</m:t>
              </m:r>
              <m:r>
                <m:rPr>
                  <m:sty m:val="p"/>
                </m:rPr>
                <w:rPr>
                  <w:rStyle w:val="mord"/>
                  <w:rFonts w:ascii="Cambria Math"/>
                  <w:sz w:val="24"/>
                </w:rPr>
                <m:t> </m:t>
              </m:r>
              <m:r>
                <m:rPr>
                  <m:sty m:val="p"/>
                </m:rPr>
                <w:rPr>
                  <w:rStyle w:val="mord"/>
                  <w:rFonts w:ascii="Cambria Math"/>
                  <w:sz w:val="24"/>
                </w:rPr>
                <m:t>(mg/mL)</m:t>
              </m:r>
              <m:r>
                <m:rPr>
                  <m:sty m:val="p"/>
                </m:rPr>
                <w:rPr>
                  <w:rStyle w:val="mbin"/>
                  <w:rFonts w:ascii="Cambria Math"/>
                  <w:sz w:val="24"/>
                </w:rPr>
                <m:t>×</m:t>
              </m:r>
              <m:r>
                <m:rPr>
                  <m:sty m:val="p"/>
                </m:rPr>
                <w:rPr>
                  <w:rStyle w:val="mord"/>
                  <w:rFonts w:ascii="Cambria Math"/>
                  <w:sz w:val="24"/>
                </w:rPr>
                <m:t>Total</m:t>
              </m:r>
              <m:r>
                <m:rPr>
                  <m:sty m:val="p"/>
                </m:rPr>
                <w:rPr>
                  <w:rStyle w:val="mord"/>
                  <w:rFonts w:ascii="Cambria Math"/>
                  <w:sz w:val="24"/>
                </w:rPr>
                <m:t> </m:t>
              </m:r>
              <m:r>
                <m:rPr>
                  <m:sty m:val="p"/>
                </m:rPr>
                <w:rPr>
                  <w:rStyle w:val="mord"/>
                  <w:rFonts w:ascii="Cambria Math"/>
                  <w:sz w:val="24"/>
                </w:rPr>
                <m:t>Volume</m:t>
              </m:r>
              <m:r>
                <m:rPr>
                  <m:sty m:val="p"/>
                </m:rPr>
                <w:rPr>
                  <w:rStyle w:val="mord"/>
                  <w:rFonts w:ascii="Cambria Math"/>
                  <w:sz w:val="24"/>
                </w:rPr>
                <m:t> </m:t>
              </m:r>
              <m:r>
                <m:rPr>
                  <m:sty m:val="p"/>
                </m:rPr>
                <w:rPr>
                  <w:rStyle w:val="mord"/>
                  <w:rFonts w:ascii="Cambria Math"/>
                  <w:sz w:val="24"/>
                </w:rPr>
                <m:t>(mL)</m:t>
              </m:r>
              <m:r>
                <m:rPr>
                  <m:sty m:val="p"/>
                </m:rPr>
                <w:rPr>
                  <w:rStyle w:val="vlist-s"/>
                  <w:sz w:val="24"/>
                </w:rPr>
                <m:t>​</m:t>
              </m:r>
            </m:num>
            <m:den>
              <m:r>
                <m:rPr>
                  <m:sty m:val="p"/>
                </m:rPr>
                <w:rPr>
                  <w:rStyle w:val="mord"/>
                  <w:rFonts w:ascii="Cambria Math"/>
                  <w:sz w:val="24"/>
                </w:rPr>
                <m:t>Weight</m:t>
              </m:r>
              <m:r>
                <m:rPr>
                  <m:sty m:val="p"/>
                </m:rPr>
                <w:rPr>
                  <w:rStyle w:val="mord"/>
                  <w:rFonts w:ascii="Cambria Math"/>
                  <w:sz w:val="24"/>
                </w:rPr>
                <m:t> </m:t>
              </m:r>
              <m:r>
                <m:rPr>
                  <m:sty m:val="p"/>
                </m:rPr>
                <w:rPr>
                  <w:rStyle w:val="mord"/>
                  <w:rFonts w:ascii="Cambria Math"/>
                  <w:sz w:val="24"/>
                </w:rPr>
                <m:t>of</m:t>
              </m:r>
              <m:r>
                <m:rPr>
                  <m:sty m:val="p"/>
                </m:rPr>
                <w:rPr>
                  <w:rStyle w:val="mord"/>
                  <w:rFonts w:ascii="Cambria Math"/>
                  <w:sz w:val="24"/>
                </w:rPr>
                <m:t> </m:t>
              </m:r>
              <m:r>
                <m:rPr>
                  <m:sty m:val="p"/>
                </m:rPr>
                <w:rPr>
                  <w:rStyle w:val="mord"/>
                  <w:rFonts w:ascii="Cambria Math"/>
                  <w:sz w:val="24"/>
                </w:rPr>
                <m:t>Sample</m:t>
              </m:r>
              <m:r>
                <m:rPr>
                  <m:sty m:val="p"/>
                </m:rPr>
                <w:rPr>
                  <w:rStyle w:val="mord"/>
                  <w:rFonts w:ascii="Cambria Math"/>
                  <w:sz w:val="24"/>
                </w:rPr>
                <m:t> </m:t>
              </m:r>
              <m:r>
                <m:rPr>
                  <m:sty m:val="p"/>
                </m:rPr>
                <w:rPr>
                  <w:rStyle w:val="mord"/>
                  <w:rFonts w:ascii="Cambria Math"/>
                  <w:sz w:val="24"/>
                </w:rPr>
                <m:t>(g)</m:t>
              </m:r>
            </m:den>
          </m:f>
        </m:oMath>
      </m:oMathPara>
    </w:p>
    <w:p w:rsidR="00995829" w:rsidRDefault="00995829">
      <w:pPr>
        <w:pStyle w:val="Heading3"/>
        <w:spacing w:before="0" w:line="480" w:lineRule="auto"/>
        <w:jc w:val="both"/>
        <w:rPr>
          <w:rFonts w:ascii="Times New Roman" w:hAnsi="Times New Roman" w:cs="Times New Roman"/>
        </w:rPr>
      </w:pPr>
    </w:p>
    <w:p w:rsidR="00995829" w:rsidRDefault="00995829">
      <w:pPr>
        <w:spacing w:after="0" w:line="480" w:lineRule="auto"/>
        <w:jc w:val="both"/>
        <w:rPr>
          <w:rFonts w:eastAsia="Times New Roman"/>
          <w:sz w:val="24"/>
        </w:rPr>
      </w:pPr>
    </w:p>
    <w:p w:rsidR="00995829" w:rsidRDefault="00995829">
      <w:pPr>
        <w:spacing w:after="0" w:line="480" w:lineRule="auto"/>
        <w:jc w:val="both"/>
        <w:rPr>
          <w:rFonts w:eastAsia="Times New Roman"/>
          <w:sz w:val="24"/>
        </w:rPr>
      </w:pPr>
    </w:p>
    <w:p w:rsidR="00995829" w:rsidRDefault="00C7064C">
      <w:pPr>
        <w:rPr>
          <w:rFonts w:eastAsia="Times New Roman" w:cstheme="majorBidi"/>
          <w:b/>
          <w:sz w:val="24"/>
        </w:rPr>
      </w:pPr>
      <w:bookmarkStart w:id="36" w:name="_Toc199791397"/>
      <w:r>
        <w:rPr>
          <w:rFonts w:eastAsia="Times New Roman"/>
          <w:sz w:val="24"/>
        </w:rPr>
        <w:br w:type="page"/>
      </w:r>
    </w:p>
    <w:p w:rsidR="00995829" w:rsidRDefault="00C7064C">
      <w:pPr>
        <w:pStyle w:val="Heading1"/>
        <w:spacing w:before="0" w:after="0" w:line="480" w:lineRule="auto"/>
        <w:jc w:val="center"/>
        <w:rPr>
          <w:rFonts w:eastAsia="Times New Roman"/>
          <w:sz w:val="24"/>
          <w:szCs w:val="24"/>
        </w:rPr>
      </w:pPr>
      <w:r>
        <w:rPr>
          <w:rFonts w:eastAsia="Times New Roman"/>
          <w:sz w:val="24"/>
          <w:szCs w:val="24"/>
        </w:rPr>
        <w:lastRenderedPageBreak/>
        <w:t>CHAPTER FOUR</w:t>
      </w:r>
      <w:bookmarkEnd w:id="36"/>
    </w:p>
    <w:p w:rsidR="00995829" w:rsidRDefault="00C7064C">
      <w:pPr>
        <w:jc w:val="center"/>
        <w:rPr>
          <w:b/>
          <w:sz w:val="24"/>
        </w:rPr>
      </w:pPr>
      <w:r>
        <w:rPr>
          <w:b/>
          <w:sz w:val="24"/>
        </w:rPr>
        <w:t>RESULTS</w:t>
      </w:r>
    </w:p>
    <w:p w:rsidR="00995829" w:rsidRDefault="00C7064C">
      <w:pPr>
        <w:pStyle w:val="Heading1"/>
        <w:spacing w:before="0" w:after="0" w:line="480" w:lineRule="auto"/>
        <w:jc w:val="both"/>
        <w:rPr>
          <w:rFonts w:eastAsia="Times New Roman"/>
          <w:i/>
          <w:iCs/>
          <w:sz w:val="24"/>
          <w:szCs w:val="24"/>
        </w:rPr>
      </w:pPr>
      <w:bookmarkStart w:id="37" w:name="_Toc199791398"/>
      <w:r>
        <w:rPr>
          <w:rFonts w:eastAsia="Times New Roman"/>
          <w:sz w:val="24"/>
          <w:szCs w:val="24"/>
        </w:rPr>
        <w:t xml:space="preserve">4.1 </w:t>
      </w:r>
      <w:r>
        <w:rPr>
          <w:rFonts w:eastAsia="Times New Roman"/>
          <w:sz w:val="24"/>
          <w:szCs w:val="24"/>
        </w:rPr>
        <w:tab/>
        <w:t xml:space="preserve">Proximate Composition of </w:t>
      </w:r>
      <w:r>
        <w:rPr>
          <w:rFonts w:eastAsia="Times New Roman"/>
          <w:i/>
          <w:iCs/>
          <w:sz w:val="24"/>
          <w:szCs w:val="24"/>
        </w:rPr>
        <w:t>Sidaacuta</w:t>
      </w:r>
      <w:bookmarkEnd w:id="37"/>
    </w:p>
    <w:p w:rsidR="00995829" w:rsidRDefault="00C7064C">
      <w:pPr>
        <w:pStyle w:val="NormalWeb"/>
        <w:spacing w:before="0" w:beforeAutospacing="0" w:after="0" w:afterAutospacing="0" w:line="480" w:lineRule="auto"/>
        <w:ind w:firstLine="720"/>
        <w:jc w:val="both"/>
      </w:pPr>
      <w:r>
        <w:t xml:space="preserve">The results of the proximate composition for samples A1 and A2 of </w:t>
      </w:r>
      <w:r>
        <w:rPr>
          <w:rStyle w:val="Emphasis"/>
          <w:rFonts w:eastAsiaTheme="majorEastAsia"/>
        </w:rPr>
        <w:t>Sidaacuta</w:t>
      </w:r>
      <w:r>
        <w:t xml:space="preserve"> are presented below. Both samples exhibited similar nutritional profiles, with slight variations across parameters, suggesting either minor experimental variability or biological diversity between the samples.</w:t>
      </w:r>
    </w:p>
    <w:p w:rsidR="00995829" w:rsidRDefault="00C7064C">
      <w:pPr>
        <w:spacing w:after="0" w:line="480" w:lineRule="auto"/>
        <w:jc w:val="both"/>
        <w:rPr>
          <w:rFonts w:eastAsia="Times New Roman"/>
          <w:i/>
          <w:iCs/>
          <w:sz w:val="24"/>
        </w:rPr>
      </w:pPr>
      <w:r>
        <w:rPr>
          <w:rFonts w:eastAsia="Times New Roman"/>
          <w:b/>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Sidaacuta</w:t>
      </w:r>
    </w:p>
    <w:tbl>
      <w:tblPr>
        <w:tblStyle w:val="TableGrid"/>
        <w:tblW w:w="9516" w:type="dxa"/>
        <w:tblLook w:val="04A0"/>
      </w:tblPr>
      <w:tblGrid>
        <w:gridCol w:w="955"/>
        <w:gridCol w:w="1176"/>
        <w:gridCol w:w="1128"/>
        <w:gridCol w:w="1059"/>
        <w:gridCol w:w="1284"/>
        <w:gridCol w:w="989"/>
        <w:gridCol w:w="1059"/>
        <w:gridCol w:w="1866"/>
      </w:tblGrid>
      <w:tr w:rsidR="00995829">
        <w:trPr>
          <w:trHeight w:val="1294"/>
        </w:trPr>
        <w:tc>
          <w:tcPr>
            <w:tcW w:w="962" w:type="dxa"/>
          </w:tcPr>
          <w:p w:rsidR="00995829" w:rsidRDefault="00C7064C">
            <w:pPr>
              <w:spacing w:line="360" w:lineRule="auto"/>
              <w:jc w:val="both"/>
              <w:rPr>
                <w:rFonts w:eastAsia="Times New Roman"/>
                <w:b/>
                <w:bCs/>
                <w:sz w:val="24"/>
              </w:rPr>
            </w:pPr>
            <w:r>
              <w:rPr>
                <w:rFonts w:eastAsia="Times New Roman"/>
                <w:b/>
                <w:bCs/>
                <w:sz w:val="24"/>
              </w:rPr>
              <w:t>S/N0</w:t>
            </w:r>
          </w:p>
        </w:tc>
        <w:tc>
          <w:tcPr>
            <w:tcW w:w="1135" w:type="dxa"/>
          </w:tcPr>
          <w:p w:rsidR="00995829" w:rsidRDefault="00C7064C">
            <w:pPr>
              <w:spacing w:line="360" w:lineRule="auto"/>
              <w:jc w:val="both"/>
              <w:rPr>
                <w:rFonts w:eastAsia="Times New Roman"/>
                <w:b/>
                <w:bCs/>
                <w:sz w:val="24"/>
              </w:rPr>
            </w:pPr>
            <w:r>
              <w:rPr>
                <w:rFonts w:eastAsia="Times New Roman"/>
                <w:b/>
                <w:bCs/>
                <w:sz w:val="24"/>
              </w:rPr>
              <w:t>Sample</w:t>
            </w:r>
          </w:p>
        </w:tc>
        <w:tc>
          <w:tcPr>
            <w:tcW w:w="1133" w:type="dxa"/>
          </w:tcPr>
          <w:p w:rsidR="00995829" w:rsidRDefault="00C7064C">
            <w:pPr>
              <w:spacing w:line="360" w:lineRule="auto"/>
              <w:jc w:val="both"/>
              <w:rPr>
                <w:rFonts w:eastAsia="Times New Roman"/>
                <w:b/>
                <w:bCs/>
                <w:sz w:val="24"/>
              </w:rPr>
            </w:pPr>
            <w:r>
              <w:rPr>
                <w:b/>
                <w:sz w:val="24"/>
              </w:rPr>
              <w:t>Crude Protein (%)</w:t>
            </w:r>
          </w:p>
        </w:tc>
        <w:tc>
          <w:tcPr>
            <w:tcW w:w="1065" w:type="dxa"/>
          </w:tcPr>
          <w:p w:rsidR="00995829" w:rsidRDefault="00C7064C">
            <w:pPr>
              <w:spacing w:line="360" w:lineRule="auto"/>
              <w:jc w:val="both"/>
              <w:rPr>
                <w:rFonts w:eastAsia="Times New Roman"/>
                <w:b/>
                <w:bCs/>
                <w:sz w:val="24"/>
              </w:rPr>
            </w:pPr>
            <w:r>
              <w:rPr>
                <w:b/>
                <w:sz w:val="24"/>
              </w:rPr>
              <w:t>Crude Lipid (%)</w:t>
            </w:r>
          </w:p>
        </w:tc>
        <w:tc>
          <w:tcPr>
            <w:tcW w:w="1288" w:type="dxa"/>
          </w:tcPr>
          <w:p w:rsidR="00995829" w:rsidRDefault="00C7064C">
            <w:pPr>
              <w:spacing w:line="360" w:lineRule="auto"/>
              <w:jc w:val="both"/>
              <w:rPr>
                <w:rFonts w:eastAsia="Times New Roman"/>
                <w:b/>
                <w:bCs/>
                <w:sz w:val="24"/>
              </w:rPr>
            </w:pPr>
            <w:r>
              <w:rPr>
                <w:b/>
                <w:sz w:val="24"/>
              </w:rPr>
              <w:t>Moisture Content (%)</w:t>
            </w:r>
          </w:p>
        </w:tc>
        <w:tc>
          <w:tcPr>
            <w:tcW w:w="996" w:type="dxa"/>
          </w:tcPr>
          <w:p w:rsidR="00995829" w:rsidRDefault="00C7064C">
            <w:pPr>
              <w:spacing w:line="360" w:lineRule="auto"/>
              <w:jc w:val="both"/>
              <w:rPr>
                <w:rFonts w:eastAsia="Times New Roman"/>
                <w:b/>
                <w:bCs/>
                <w:sz w:val="24"/>
              </w:rPr>
            </w:pPr>
            <w:r>
              <w:rPr>
                <w:b/>
                <w:sz w:val="24"/>
              </w:rPr>
              <w:t>Total Ash (%)</w:t>
            </w:r>
          </w:p>
        </w:tc>
        <w:tc>
          <w:tcPr>
            <w:tcW w:w="1065" w:type="dxa"/>
          </w:tcPr>
          <w:p w:rsidR="00995829" w:rsidRDefault="00C7064C">
            <w:pPr>
              <w:spacing w:line="360" w:lineRule="auto"/>
              <w:jc w:val="both"/>
              <w:rPr>
                <w:rFonts w:eastAsia="Times New Roman"/>
                <w:b/>
                <w:bCs/>
                <w:sz w:val="24"/>
              </w:rPr>
            </w:pPr>
            <w:r>
              <w:rPr>
                <w:b/>
                <w:sz w:val="24"/>
              </w:rPr>
              <w:t>Crude Fibre (%)</w:t>
            </w:r>
          </w:p>
        </w:tc>
        <w:tc>
          <w:tcPr>
            <w:tcW w:w="1872" w:type="dxa"/>
          </w:tcPr>
          <w:p w:rsidR="00995829" w:rsidRDefault="00C7064C">
            <w:pPr>
              <w:spacing w:line="360" w:lineRule="auto"/>
              <w:jc w:val="both"/>
              <w:rPr>
                <w:rFonts w:eastAsia="Times New Roman"/>
                <w:b/>
                <w:bCs/>
                <w:sz w:val="24"/>
              </w:rPr>
            </w:pPr>
            <w:r>
              <w:rPr>
                <w:b/>
                <w:sz w:val="24"/>
              </w:rPr>
              <w:t>Carbohydrate (%)</w:t>
            </w:r>
          </w:p>
        </w:tc>
      </w:tr>
      <w:tr w:rsidR="00995829">
        <w:trPr>
          <w:trHeight w:val="1176"/>
        </w:trPr>
        <w:tc>
          <w:tcPr>
            <w:tcW w:w="962" w:type="dxa"/>
          </w:tcPr>
          <w:p w:rsidR="00995829" w:rsidRDefault="00995829">
            <w:pPr>
              <w:spacing w:line="480" w:lineRule="auto"/>
              <w:jc w:val="both"/>
              <w:rPr>
                <w:rFonts w:eastAsia="Times New Roman"/>
                <w:bCs/>
                <w:sz w:val="24"/>
              </w:rPr>
            </w:pPr>
          </w:p>
        </w:tc>
        <w:tc>
          <w:tcPr>
            <w:tcW w:w="1135" w:type="dxa"/>
          </w:tcPr>
          <w:p w:rsidR="00995829" w:rsidRDefault="00C7064C">
            <w:pPr>
              <w:spacing w:line="480" w:lineRule="auto"/>
              <w:jc w:val="both"/>
              <w:rPr>
                <w:rFonts w:eastAsia="Times New Roman"/>
                <w:bCs/>
                <w:sz w:val="24"/>
              </w:rPr>
            </w:pPr>
            <w:r>
              <w:rPr>
                <w:rFonts w:eastAsia="Times New Roman"/>
                <w:i/>
                <w:iCs/>
                <w:sz w:val="24"/>
              </w:rPr>
              <w:t>Sidaacuta</w:t>
            </w:r>
          </w:p>
        </w:tc>
        <w:tc>
          <w:tcPr>
            <w:tcW w:w="1133" w:type="dxa"/>
          </w:tcPr>
          <w:p w:rsidR="00995829" w:rsidRDefault="00C7064C">
            <w:pPr>
              <w:spacing w:line="480" w:lineRule="auto"/>
              <w:jc w:val="both"/>
              <w:rPr>
                <w:rFonts w:eastAsia="Times New Roman"/>
                <w:bCs/>
                <w:sz w:val="24"/>
              </w:rPr>
            </w:pPr>
            <w:r>
              <w:rPr>
                <w:rFonts w:eastAsia="Times New Roman"/>
                <w:bCs/>
                <w:sz w:val="24"/>
              </w:rPr>
              <w:t>13.57</w:t>
            </w:r>
          </w:p>
        </w:tc>
        <w:tc>
          <w:tcPr>
            <w:tcW w:w="1065" w:type="dxa"/>
          </w:tcPr>
          <w:p w:rsidR="00995829" w:rsidRDefault="00C7064C">
            <w:pPr>
              <w:spacing w:line="480" w:lineRule="auto"/>
              <w:jc w:val="both"/>
              <w:rPr>
                <w:rFonts w:eastAsia="Times New Roman"/>
                <w:bCs/>
                <w:sz w:val="24"/>
              </w:rPr>
            </w:pPr>
            <w:r>
              <w:rPr>
                <w:rFonts w:eastAsia="Times New Roman"/>
                <w:bCs/>
                <w:sz w:val="24"/>
              </w:rPr>
              <w:t>7.14</w:t>
            </w:r>
          </w:p>
        </w:tc>
        <w:tc>
          <w:tcPr>
            <w:tcW w:w="1288" w:type="dxa"/>
          </w:tcPr>
          <w:p w:rsidR="00995829" w:rsidRDefault="00C7064C">
            <w:pPr>
              <w:spacing w:line="480" w:lineRule="auto"/>
              <w:jc w:val="both"/>
              <w:rPr>
                <w:rFonts w:eastAsia="Times New Roman"/>
                <w:bCs/>
                <w:sz w:val="24"/>
              </w:rPr>
            </w:pPr>
            <w:r>
              <w:rPr>
                <w:rFonts w:eastAsia="Times New Roman"/>
                <w:bCs/>
                <w:sz w:val="24"/>
              </w:rPr>
              <w:t>8.24</w:t>
            </w:r>
          </w:p>
        </w:tc>
        <w:tc>
          <w:tcPr>
            <w:tcW w:w="996" w:type="dxa"/>
          </w:tcPr>
          <w:p w:rsidR="00995829" w:rsidRDefault="00C7064C">
            <w:pPr>
              <w:spacing w:line="480" w:lineRule="auto"/>
              <w:jc w:val="both"/>
              <w:rPr>
                <w:rFonts w:eastAsia="Times New Roman"/>
                <w:bCs/>
                <w:sz w:val="24"/>
              </w:rPr>
            </w:pPr>
            <w:r>
              <w:rPr>
                <w:rFonts w:eastAsia="Times New Roman"/>
                <w:bCs/>
                <w:sz w:val="24"/>
              </w:rPr>
              <w:t>11.42</w:t>
            </w:r>
          </w:p>
        </w:tc>
        <w:tc>
          <w:tcPr>
            <w:tcW w:w="1065" w:type="dxa"/>
          </w:tcPr>
          <w:p w:rsidR="00995829" w:rsidRDefault="00C7064C">
            <w:pPr>
              <w:spacing w:line="480" w:lineRule="auto"/>
              <w:jc w:val="both"/>
              <w:rPr>
                <w:rFonts w:eastAsia="Times New Roman"/>
                <w:bCs/>
                <w:sz w:val="24"/>
              </w:rPr>
            </w:pPr>
            <w:r>
              <w:rPr>
                <w:rFonts w:eastAsia="Times New Roman"/>
                <w:bCs/>
                <w:sz w:val="24"/>
              </w:rPr>
              <w:t>28.37</w:t>
            </w:r>
          </w:p>
        </w:tc>
        <w:tc>
          <w:tcPr>
            <w:tcW w:w="1872" w:type="dxa"/>
          </w:tcPr>
          <w:p w:rsidR="00995829" w:rsidRDefault="00C7064C">
            <w:pPr>
              <w:spacing w:line="480" w:lineRule="auto"/>
              <w:jc w:val="both"/>
              <w:rPr>
                <w:rFonts w:eastAsia="Times New Roman"/>
                <w:bCs/>
                <w:sz w:val="24"/>
              </w:rPr>
            </w:pPr>
            <w:r>
              <w:rPr>
                <w:rFonts w:eastAsia="Times New Roman"/>
                <w:bCs/>
                <w:sz w:val="24"/>
              </w:rPr>
              <w:t>31.16</w:t>
            </w:r>
          </w:p>
        </w:tc>
      </w:tr>
    </w:tbl>
    <w:p w:rsidR="00995829" w:rsidRDefault="00995829">
      <w:pPr>
        <w:pStyle w:val="Heading1"/>
        <w:spacing w:before="0" w:after="0" w:line="480" w:lineRule="auto"/>
        <w:jc w:val="both"/>
        <w:rPr>
          <w:rStyle w:val="Strong"/>
          <w:b/>
        </w:rPr>
      </w:pPr>
      <w:bookmarkStart w:id="38" w:name="_Toc199791399"/>
    </w:p>
    <w:p w:rsidR="00995829" w:rsidRDefault="00C7064C">
      <w:pPr>
        <w:pStyle w:val="Heading1"/>
        <w:spacing w:before="0" w:after="0" w:line="480" w:lineRule="auto"/>
        <w:jc w:val="both"/>
        <w:rPr>
          <w:rStyle w:val="Strong"/>
          <w:b/>
        </w:rPr>
      </w:pPr>
      <w:r>
        <w:rPr>
          <w:rStyle w:val="Strong"/>
        </w:rPr>
        <w:t xml:space="preserve">4.1.1 </w:t>
      </w:r>
      <w:r>
        <w:rPr>
          <w:rStyle w:val="Strong"/>
        </w:rPr>
        <w:tab/>
        <w:t>Moisture Content</w:t>
      </w:r>
      <w:bookmarkEnd w:id="38"/>
    </w:p>
    <w:p w:rsidR="00995829" w:rsidRDefault="00C7064C">
      <w:pPr>
        <w:pStyle w:val="NormalWeb"/>
        <w:spacing w:before="0" w:beforeAutospacing="0" w:after="0" w:afterAutospacing="0" w:line="480" w:lineRule="auto"/>
        <w:ind w:firstLine="720"/>
        <w:jc w:val="both"/>
      </w:pPr>
      <w:r>
        <w:rPr>
          <w:rStyle w:val="Strong"/>
          <w:rFonts w:eastAsiaTheme="majorEastAsia"/>
        </w:rPr>
        <w:t>Moisture content</w:t>
      </w:r>
      <w:r>
        <w:t>, a key factor in food shelf-life and microbial stability, was found to be 8.08% in A1 and 8.40% in A2. These low values suggest that the samples were adequately dried, which is beneficial for storage, packaging, and preservation. Lower moisture content re</w:t>
      </w:r>
      <w:r>
        <w:t xml:space="preserve">duces the likelihood of microbial growth and degradation, enhancing the shelf stability of plant materials intended for industrial or medicinal use. Moti </w:t>
      </w:r>
      <w:r>
        <w:rPr>
          <w:i/>
          <w:iCs/>
        </w:rPr>
        <w:t>et al</w:t>
      </w:r>
      <w:r>
        <w:t xml:space="preserve">., (2020) found that the fresh leaves of </w:t>
      </w:r>
      <w:r>
        <w:rPr>
          <w:i/>
          <w:iCs/>
        </w:rPr>
        <w:t>Sidaacuta</w:t>
      </w:r>
      <w:r>
        <w:t xml:space="preserve"> contained </w:t>
      </w:r>
      <w:r>
        <w:lastRenderedPageBreak/>
        <w:t xml:space="preserve">approximately 75.2% moisture, which </w:t>
      </w:r>
      <w:r>
        <w:t xml:space="preserve">is typical of many leafy plants. Similarly, Akinmoladun </w:t>
      </w:r>
      <w:r>
        <w:rPr>
          <w:i/>
          <w:iCs/>
        </w:rPr>
        <w:t>et al</w:t>
      </w:r>
      <w:r>
        <w:t xml:space="preserve">., (2016) recorded the moisture content of </w:t>
      </w:r>
      <w:r>
        <w:rPr>
          <w:i/>
          <w:iCs/>
        </w:rPr>
        <w:t>Sidaacuta</w:t>
      </w:r>
      <w:r>
        <w:t xml:space="preserve"> at around 74.5%, reinforcing the necessity of proper post-harvest processing techniques to reduce water activity and avoid the growth of fungi</w:t>
      </w:r>
      <w:r>
        <w:t xml:space="preserve"> or bacteria. When dried, </w:t>
      </w:r>
      <w:r>
        <w:rPr>
          <w:i/>
          <w:iCs/>
        </w:rPr>
        <w:t>Sidaacuta</w:t>
      </w:r>
      <w:r>
        <w:t xml:space="preserve"> can be preserved effectively, making it suitable for preparation in herbal teas, powders, or extracts. Comparison of the results in this study and </w:t>
      </w:r>
      <w:r>
        <w:t>literature</w:t>
      </w:r>
      <w:r>
        <w:t xml:space="preserve"> reveals that the moisture content of </w:t>
      </w:r>
      <w:r>
        <w:rPr>
          <w:i/>
        </w:rPr>
        <w:t>Sidaacuta</w:t>
      </w:r>
      <w:r>
        <w:t xml:space="preserve"> under study is relatively low. </w:t>
      </w:r>
    </w:p>
    <w:p w:rsidR="00995829" w:rsidRDefault="00C7064C">
      <w:pPr>
        <w:pStyle w:val="Heading1"/>
        <w:spacing w:before="0" w:after="0" w:line="480" w:lineRule="auto"/>
        <w:jc w:val="both"/>
        <w:rPr>
          <w:sz w:val="24"/>
          <w:szCs w:val="24"/>
        </w:rPr>
      </w:pPr>
      <w:bookmarkStart w:id="39" w:name="_Toc199791400"/>
      <w:r>
        <w:rPr>
          <w:sz w:val="24"/>
          <w:szCs w:val="24"/>
        </w:rPr>
        <w:t xml:space="preserve">4.1.2 </w:t>
      </w:r>
      <w:r>
        <w:rPr>
          <w:sz w:val="24"/>
          <w:szCs w:val="24"/>
        </w:rPr>
        <w:tab/>
        <w:t>Crude Protein</w:t>
      </w:r>
      <w:bookmarkEnd w:id="39"/>
    </w:p>
    <w:p w:rsidR="00995829" w:rsidRDefault="00C7064C">
      <w:pPr>
        <w:spacing w:after="0" w:line="480" w:lineRule="auto"/>
        <w:ind w:firstLine="720"/>
        <w:jc w:val="both"/>
        <w:rPr>
          <w:rFonts w:eastAsia="Times New Roman"/>
          <w:sz w:val="24"/>
        </w:rPr>
      </w:pPr>
      <w:r>
        <w:rPr>
          <w:sz w:val="24"/>
        </w:rPr>
        <w:t xml:space="preserve">In terms of </w:t>
      </w:r>
      <w:r>
        <w:rPr>
          <w:rStyle w:val="Strong"/>
        </w:rPr>
        <w:t>crude protein</w:t>
      </w:r>
      <w:r>
        <w:rPr>
          <w:sz w:val="24"/>
        </w:rPr>
        <w:t xml:space="preserve">, samples A1 and A2 recorded values of 13.56% and 13.78%, respectively. This indicates moderate protein content, positioning </w:t>
      </w:r>
      <w:r>
        <w:rPr>
          <w:rStyle w:val="Emphasis"/>
          <w:sz w:val="24"/>
        </w:rPr>
        <w:t>Sidaacuta</w:t>
      </w:r>
      <w:r>
        <w:rPr>
          <w:sz w:val="24"/>
        </w:rPr>
        <w:t xml:space="preserve"> as a potential plant-based protein source.</w:t>
      </w:r>
      <w:r>
        <w:rPr>
          <w:sz w:val="24"/>
        </w:rPr>
        <w:t xml:space="preserve"> Protein is essential for growth, tissue repair, enzyme synthesis, and overall metabolic function. For a wild leafy plant, protein levels above 10% are considered appreciable, and this reinforces the nutritional significance of </w:t>
      </w:r>
      <w:r>
        <w:rPr>
          <w:rStyle w:val="Emphasis"/>
          <w:sz w:val="24"/>
        </w:rPr>
        <w:t>Sidaacuta</w:t>
      </w:r>
      <w:r>
        <w:rPr>
          <w:sz w:val="24"/>
        </w:rPr>
        <w:t>, especially in are</w:t>
      </w:r>
      <w:r>
        <w:rPr>
          <w:sz w:val="24"/>
        </w:rPr>
        <w:t xml:space="preserve">as with limited access to animal-based protein sources.This results correlate with that of </w:t>
      </w:r>
      <w:r>
        <w:rPr>
          <w:rFonts w:eastAsia="Times New Roman"/>
          <w:sz w:val="24"/>
        </w:rPr>
        <w:t xml:space="preserve">Moti </w:t>
      </w:r>
      <w:r>
        <w:rPr>
          <w:rFonts w:eastAsia="Times New Roman"/>
          <w:i/>
          <w:iCs/>
          <w:sz w:val="24"/>
        </w:rPr>
        <w:t>et al</w:t>
      </w:r>
      <w:r>
        <w:rPr>
          <w:rFonts w:eastAsia="Times New Roman"/>
          <w:sz w:val="24"/>
        </w:rPr>
        <w:t xml:space="preserve">. (2020), who reported crude protein content in </w:t>
      </w:r>
      <w:r>
        <w:rPr>
          <w:rFonts w:eastAsia="Times New Roman"/>
          <w:i/>
          <w:iCs/>
          <w:sz w:val="24"/>
        </w:rPr>
        <w:t>Sidaacuta</w:t>
      </w:r>
      <w:r>
        <w:rPr>
          <w:rFonts w:eastAsia="Times New Roman"/>
          <w:sz w:val="24"/>
        </w:rPr>
        <w:t xml:space="preserve"> leaves to be approximately 12.3% </w:t>
      </w:r>
    </w:p>
    <w:p w:rsidR="00995829" w:rsidRDefault="00C7064C">
      <w:pPr>
        <w:pStyle w:val="Heading1"/>
        <w:spacing w:before="0" w:after="0" w:line="480" w:lineRule="auto"/>
        <w:jc w:val="both"/>
        <w:rPr>
          <w:sz w:val="24"/>
          <w:szCs w:val="24"/>
        </w:rPr>
      </w:pPr>
      <w:bookmarkStart w:id="40" w:name="_Toc199791401"/>
      <w:r>
        <w:rPr>
          <w:sz w:val="24"/>
          <w:szCs w:val="24"/>
        </w:rPr>
        <w:t>4.1.3 Crude Ash</w:t>
      </w:r>
      <w:bookmarkEnd w:id="40"/>
    </w:p>
    <w:p w:rsidR="00995829" w:rsidRDefault="00C7064C">
      <w:pPr>
        <w:spacing w:after="0" w:line="480" w:lineRule="auto"/>
        <w:ind w:firstLine="720"/>
        <w:jc w:val="both"/>
        <w:rPr>
          <w:rFonts w:eastAsia="Times New Roman"/>
          <w:sz w:val="24"/>
        </w:rPr>
      </w:pPr>
      <w:r>
        <w:rPr>
          <w:sz w:val="24"/>
        </w:rPr>
        <w:t xml:space="preserve">The </w:t>
      </w:r>
      <w:r>
        <w:rPr>
          <w:rStyle w:val="Strong"/>
        </w:rPr>
        <w:t>ash content</w:t>
      </w:r>
      <w:r>
        <w:rPr>
          <w:sz w:val="24"/>
        </w:rPr>
        <w:t xml:space="preserve"> was 11.39% in A1 and 11.44% in </w:t>
      </w:r>
      <w:r>
        <w:rPr>
          <w:sz w:val="24"/>
        </w:rPr>
        <w:t xml:space="preserve">A2. </w:t>
      </w:r>
      <w:r>
        <w:rPr>
          <w:rFonts w:eastAsia="Times New Roman"/>
          <w:sz w:val="24"/>
        </w:rPr>
        <w:t xml:space="preserve">Unlike the report of Singh </w:t>
      </w:r>
      <w:r>
        <w:rPr>
          <w:rFonts w:eastAsia="Times New Roman"/>
          <w:i/>
          <w:iCs/>
          <w:sz w:val="24"/>
        </w:rPr>
        <w:t>et al</w:t>
      </w:r>
      <w:r>
        <w:rPr>
          <w:rFonts w:eastAsia="Times New Roman"/>
          <w:sz w:val="24"/>
        </w:rPr>
        <w:t xml:space="preserve">., (2019), found the crude ash content of </w:t>
      </w:r>
      <w:r>
        <w:rPr>
          <w:rFonts w:eastAsia="Times New Roman"/>
          <w:i/>
          <w:iCs/>
          <w:sz w:val="24"/>
        </w:rPr>
        <w:t>Sidaacuta</w:t>
      </w:r>
      <w:r>
        <w:rPr>
          <w:rFonts w:eastAsia="Times New Roman"/>
          <w:sz w:val="24"/>
        </w:rPr>
        <w:t xml:space="preserve"> leaves to be 7.1% indicating that the plant contains a significant proportion of minerals, which could contribute to its nutritional and medicinal properties. Similar s</w:t>
      </w:r>
      <w:r>
        <w:rPr>
          <w:rFonts w:eastAsia="Times New Roman"/>
          <w:sz w:val="24"/>
        </w:rPr>
        <w:t xml:space="preserve">tudy by Oyetayo </w:t>
      </w:r>
      <w:r>
        <w:rPr>
          <w:rFonts w:eastAsia="Times New Roman"/>
          <w:i/>
          <w:iCs/>
          <w:sz w:val="24"/>
        </w:rPr>
        <w:t>et al</w:t>
      </w:r>
      <w:r>
        <w:rPr>
          <w:rFonts w:eastAsia="Times New Roman"/>
          <w:sz w:val="24"/>
        </w:rPr>
        <w:t xml:space="preserve">., </w:t>
      </w:r>
      <w:r>
        <w:rPr>
          <w:rFonts w:eastAsia="Times New Roman"/>
          <w:sz w:val="24"/>
        </w:rPr>
        <w:lastRenderedPageBreak/>
        <w:t xml:space="preserve">(2018) reported that </w:t>
      </w:r>
      <w:r>
        <w:rPr>
          <w:rFonts w:eastAsia="Times New Roman"/>
          <w:i/>
          <w:iCs/>
          <w:sz w:val="24"/>
        </w:rPr>
        <w:t>Sidaacuta</w:t>
      </w:r>
      <w:r>
        <w:rPr>
          <w:rFonts w:eastAsia="Times New Roman"/>
          <w:sz w:val="24"/>
        </w:rPr>
        <w:t xml:space="preserve"> leaves contained 6.3% crude ash, further supporting its status as a plant rich in essential minerals.</w:t>
      </w:r>
      <w:r>
        <w:rPr>
          <w:sz w:val="24"/>
        </w:rPr>
        <w:t xml:space="preserve"> High ash content in the samples under study indicates a substantial presence of minerals, which may</w:t>
      </w:r>
      <w:r>
        <w:rPr>
          <w:sz w:val="24"/>
        </w:rPr>
        <w:t xml:space="preserve"> include calcium, potassium, magnesium, iron, and other trace elements. These minerals play vital roles in bone health, electrolyte balance, and metabolic enzyme function. This supports the ethnopharmacological application of </w:t>
      </w:r>
      <w:r>
        <w:rPr>
          <w:rStyle w:val="Emphasis"/>
          <w:sz w:val="24"/>
        </w:rPr>
        <w:t>Sidaacuta</w:t>
      </w:r>
      <w:r>
        <w:rPr>
          <w:sz w:val="24"/>
        </w:rPr>
        <w:t xml:space="preserve"> in managing conditio</w:t>
      </w:r>
      <w:r>
        <w:rPr>
          <w:sz w:val="24"/>
        </w:rPr>
        <w:t xml:space="preserve">ns linked to mineral deficiencies. </w:t>
      </w:r>
    </w:p>
    <w:p w:rsidR="00995829" w:rsidRDefault="00C7064C">
      <w:pPr>
        <w:pStyle w:val="Heading1"/>
        <w:spacing w:before="0" w:after="0" w:line="480" w:lineRule="auto"/>
        <w:jc w:val="both"/>
        <w:rPr>
          <w:sz w:val="24"/>
          <w:szCs w:val="24"/>
        </w:rPr>
      </w:pPr>
      <w:bookmarkStart w:id="41" w:name="_Toc199791402"/>
      <w:r>
        <w:rPr>
          <w:sz w:val="24"/>
          <w:szCs w:val="24"/>
        </w:rPr>
        <w:t xml:space="preserve">4.1.4 </w:t>
      </w:r>
      <w:r>
        <w:rPr>
          <w:sz w:val="24"/>
          <w:szCs w:val="24"/>
        </w:rPr>
        <w:tab/>
        <w:t>Lipid Content</w:t>
      </w:r>
      <w:bookmarkEnd w:id="41"/>
    </w:p>
    <w:p w:rsidR="00995829" w:rsidRDefault="00C7064C">
      <w:pPr>
        <w:pStyle w:val="NormalWeb"/>
        <w:spacing w:before="0" w:beforeAutospacing="0" w:after="0" w:afterAutospacing="0" w:line="480" w:lineRule="auto"/>
        <w:ind w:firstLine="720"/>
        <w:jc w:val="both"/>
      </w:pPr>
      <w:r>
        <w:t xml:space="preserve">The </w:t>
      </w:r>
      <w:r>
        <w:rPr>
          <w:rStyle w:val="Strong"/>
          <w:rFonts w:eastAsiaTheme="majorEastAsia"/>
        </w:rPr>
        <w:t>crude lipid</w:t>
      </w:r>
      <w:r>
        <w:t xml:space="preserve"> content was recorded at 7.07% in A1 and 7.21% in A2. These values are relatively high for a non-oil seed plant. Lipids, although required in smaller quantities compared to carbohydrat</w:t>
      </w:r>
      <w:r>
        <w:t xml:space="preserve">es and proteins, serve important biological roles including energy provision, cellular structure integrity, and transport of fat-soluble vitamins (A, D, E, and K). The fat content also contributes to the caloric density of the plant, making it a potential </w:t>
      </w:r>
      <w:r>
        <w:t xml:space="preserve">energy source in feed formulations. Crude lipid content result reported by Oyeleke </w:t>
      </w:r>
      <w:r>
        <w:rPr>
          <w:i/>
          <w:iCs/>
        </w:rPr>
        <w:t>et al</w:t>
      </w:r>
      <w:r>
        <w:t xml:space="preserve">., (2021), shows that </w:t>
      </w:r>
      <w:r>
        <w:rPr>
          <w:i/>
          <w:iCs/>
        </w:rPr>
        <w:t>Sidaacuta</w:t>
      </w:r>
      <w:r>
        <w:t xml:space="preserve"> leaves has 3.2% lipid content. This is relatively low compared to the samples under study.</w:t>
      </w:r>
    </w:p>
    <w:p w:rsidR="00995829" w:rsidRDefault="00C7064C">
      <w:pPr>
        <w:pStyle w:val="Heading1"/>
        <w:spacing w:before="0" w:after="0" w:line="480" w:lineRule="auto"/>
        <w:jc w:val="both"/>
        <w:rPr>
          <w:rStyle w:val="Strong"/>
        </w:rPr>
      </w:pPr>
      <w:bookmarkStart w:id="42" w:name="_Toc199791403"/>
      <w:r>
        <w:rPr>
          <w:sz w:val="24"/>
          <w:szCs w:val="24"/>
        </w:rPr>
        <w:t xml:space="preserve">4.1.5 </w:t>
      </w:r>
      <w:r>
        <w:rPr>
          <w:sz w:val="24"/>
          <w:szCs w:val="24"/>
        </w:rPr>
        <w:tab/>
        <w:t>Crude Fibre</w:t>
      </w:r>
      <w:bookmarkEnd w:id="42"/>
    </w:p>
    <w:p w:rsidR="00995829" w:rsidRDefault="00C7064C">
      <w:pPr>
        <w:pStyle w:val="NormalWeb"/>
        <w:spacing w:before="0" w:beforeAutospacing="0" w:after="0" w:afterAutospacing="0" w:line="480" w:lineRule="auto"/>
        <w:ind w:firstLine="720"/>
        <w:jc w:val="both"/>
      </w:pPr>
      <w:r>
        <w:rPr>
          <w:rStyle w:val="Strong"/>
          <w:rFonts w:eastAsiaTheme="majorEastAsia"/>
        </w:rPr>
        <w:t>Crude fibre</w:t>
      </w:r>
      <w:r>
        <w:t xml:space="preserve"> values were notably high, with 29.22% in A1 and 27.52% in A2. Unlike the findings of Oyeleke </w:t>
      </w:r>
      <w:r>
        <w:rPr>
          <w:i/>
          <w:iCs/>
        </w:rPr>
        <w:t>et al</w:t>
      </w:r>
      <w:r>
        <w:t xml:space="preserve">., (2021) who reported that the crude fibre content of </w:t>
      </w:r>
      <w:r>
        <w:rPr>
          <w:i/>
          <w:iCs/>
        </w:rPr>
        <w:t>Sidaacuta</w:t>
      </w:r>
      <w:r>
        <w:t xml:space="preserve"> was 13.8%, further supporting its relevance as a plant-based source of fibre and also, Akinm</w:t>
      </w:r>
      <w:r>
        <w:t xml:space="preserve">oladun </w:t>
      </w:r>
      <w:r>
        <w:rPr>
          <w:i/>
          <w:iCs/>
        </w:rPr>
        <w:t>et al</w:t>
      </w:r>
      <w:r>
        <w:t xml:space="preserve">. (2017) reported the crude fibre content in the </w:t>
      </w:r>
      <w:r>
        <w:lastRenderedPageBreak/>
        <w:t>leaves of to be approximately 14.4% on a dry weight basis. This result reveals that the fibre content of the pant under study is relatively high compared to the reported studies. Fiber is a non-d</w:t>
      </w:r>
      <w:r>
        <w:t>igestible component of plant matter that aids in maintaining healthy bowel movements, preventing constipation, and reducing risks of colon-related diseases. While high fiber content is desirable for human digestion and metabolic health, in animal feed, exc</w:t>
      </w:r>
      <w:r>
        <w:t>essive fiber may affect digestibility and nutrient absorption, especially in monogastric animals. However, for ruminants and herbivores, such fiber levels may be advantageous.</w:t>
      </w:r>
    </w:p>
    <w:p w:rsidR="00995829" w:rsidRDefault="00C7064C">
      <w:pPr>
        <w:pStyle w:val="Heading1"/>
        <w:spacing w:before="0" w:after="0" w:line="480" w:lineRule="auto"/>
        <w:jc w:val="both"/>
        <w:rPr>
          <w:rStyle w:val="Strong"/>
        </w:rPr>
      </w:pPr>
      <w:bookmarkStart w:id="43" w:name="_Toc199791404"/>
      <w:r>
        <w:rPr>
          <w:sz w:val="24"/>
          <w:szCs w:val="24"/>
        </w:rPr>
        <w:t xml:space="preserve">4.1.6 </w:t>
      </w:r>
      <w:r>
        <w:rPr>
          <w:sz w:val="24"/>
          <w:szCs w:val="24"/>
        </w:rPr>
        <w:tab/>
        <w:t>Carbohydrate Content</w:t>
      </w:r>
      <w:bookmarkEnd w:id="43"/>
    </w:p>
    <w:p w:rsidR="00995829" w:rsidRDefault="00C7064C">
      <w:pPr>
        <w:spacing w:after="0" w:line="480" w:lineRule="auto"/>
        <w:ind w:firstLine="720"/>
        <w:jc w:val="both"/>
        <w:rPr>
          <w:sz w:val="24"/>
        </w:rPr>
      </w:pPr>
      <w:r>
        <w:rPr>
          <w:rStyle w:val="Strong"/>
        </w:rPr>
        <w:t>Carbohydrate content</w:t>
      </w:r>
      <w:r>
        <w:rPr>
          <w:sz w:val="24"/>
        </w:rPr>
        <w:t xml:space="preserve">, calculated by difference, was </w:t>
      </w:r>
      <w:r>
        <w:rPr>
          <w:sz w:val="24"/>
        </w:rPr>
        <w:t xml:space="preserve">30.68% in A1 and 31.64% in A2, making it the most abundant macronutrient in both samples. Similarly, the findings of Olayemi </w:t>
      </w:r>
      <w:r>
        <w:rPr>
          <w:i/>
          <w:iCs/>
          <w:sz w:val="24"/>
        </w:rPr>
        <w:t>et al</w:t>
      </w:r>
      <w:r>
        <w:rPr>
          <w:sz w:val="24"/>
        </w:rPr>
        <w:t xml:space="preserve">., (2011) who reported that the dried leaves of </w:t>
      </w:r>
      <w:r>
        <w:rPr>
          <w:rStyle w:val="Emphasis"/>
          <w:sz w:val="24"/>
        </w:rPr>
        <w:t>Sidaacuta</w:t>
      </w:r>
      <w:r>
        <w:rPr>
          <w:sz w:val="24"/>
        </w:rPr>
        <w:t xml:space="preserve"> contained approximately 45.6% of carbohydrate content. Also, Oyedepo</w:t>
      </w:r>
      <w:r>
        <w:rPr>
          <w:sz w:val="24"/>
        </w:rPr>
        <w:t xml:space="preserve"> </w:t>
      </w:r>
      <w:r>
        <w:rPr>
          <w:i/>
          <w:iCs/>
          <w:sz w:val="24"/>
        </w:rPr>
        <w:t>et al</w:t>
      </w:r>
      <w:r>
        <w:rPr>
          <w:sz w:val="24"/>
        </w:rPr>
        <w:t xml:space="preserve">., (2016), who reported carbohydrate levels ranging between 42.7% and 50.3%, indicating that </w:t>
      </w:r>
      <w:r>
        <w:rPr>
          <w:rStyle w:val="Emphasis"/>
          <w:sz w:val="24"/>
        </w:rPr>
        <w:t>Sidaacuta</w:t>
      </w:r>
      <w:r>
        <w:rPr>
          <w:sz w:val="24"/>
        </w:rPr>
        <w:t xml:space="preserve"> has a moderate to high carbohydrate content when compared with other leafy medicinal plants. Carbohydrates serve as the primary energy source for biological functions and physical activity. A significant proportion of carbohydrates in </w:t>
      </w:r>
      <w:r>
        <w:rPr>
          <w:rStyle w:val="Emphasis"/>
          <w:sz w:val="24"/>
        </w:rPr>
        <w:t>Sidaacuta</w:t>
      </w:r>
      <w:r>
        <w:rPr>
          <w:sz w:val="24"/>
        </w:rPr>
        <w:t xml:space="preserve"> further su</w:t>
      </w:r>
      <w:r>
        <w:rPr>
          <w:sz w:val="24"/>
        </w:rPr>
        <w:t>pport its potential as a calorie-contributing food source.</w:t>
      </w:r>
    </w:p>
    <w:p w:rsidR="00995829" w:rsidRDefault="00C7064C">
      <w:pPr>
        <w:pStyle w:val="NormalWeb"/>
        <w:spacing w:before="0" w:beforeAutospacing="0" w:after="0" w:afterAutospacing="0" w:line="480" w:lineRule="auto"/>
        <w:ind w:firstLine="720"/>
        <w:jc w:val="both"/>
      </w:pPr>
      <w:r>
        <w:t xml:space="preserve">The relatively low moisture content observed in both samples (A1: 8.08%, A2: 8.40%) demonstrates effective drying, which is critical for preventing microbial </w:t>
      </w:r>
      <w:r>
        <w:lastRenderedPageBreak/>
        <w:t>degradation and ensuring long-term pres</w:t>
      </w:r>
      <w:r>
        <w:t xml:space="preserve">ervation. This contrasts sharply with moisture levels reported in fresh leaves by Moti </w:t>
      </w:r>
      <w:r>
        <w:rPr>
          <w:i/>
        </w:rPr>
        <w:t>et al.,</w:t>
      </w:r>
      <w:r>
        <w:t xml:space="preserve"> (2020) and Akinmoladun </w:t>
      </w:r>
      <w:r>
        <w:rPr>
          <w:i/>
        </w:rPr>
        <w:t>et al.,</w:t>
      </w:r>
      <w:r>
        <w:t xml:space="preserve"> (2016), which exceeded 74%. The low moisture values suggest that the studied samples underwent appropriate dehydration, making the</w:t>
      </w:r>
      <w:r>
        <w:t xml:space="preserve">m suitable for storage in powdered or dried herbal formulations. Protein content, measured at 13.56% (A1) and 13.78% (A2), indicates that </w:t>
      </w:r>
      <w:r>
        <w:rPr>
          <w:rStyle w:val="Emphasis"/>
          <w:rFonts w:eastAsiaTheme="majorEastAsia"/>
        </w:rPr>
        <w:t>Sidaacuta</w:t>
      </w:r>
      <w:r>
        <w:t xml:space="preserve"> could contribute meaningfully to dietary protein intake, especially in resource-poor settings where plant-ba</w:t>
      </w:r>
      <w:r>
        <w:t>sed protein sources are vital. These values exceed or align with those in previous studies and emphasize the plant’s potential utility in combating protein-energy malnutrition.</w:t>
      </w:r>
    </w:p>
    <w:p w:rsidR="00995829" w:rsidRDefault="00C7064C">
      <w:pPr>
        <w:pStyle w:val="NormalWeb"/>
        <w:spacing w:before="0" w:beforeAutospacing="0" w:after="0" w:afterAutospacing="0" w:line="480" w:lineRule="auto"/>
        <w:ind w:firstLine="720"/>
        <w:jc w:val="both"/>
      </w:pPr>
      <w:r>
        <w:t>Lipid content in this study (7.07% and 7.21%) was notably higher than values pr</w:t>
      </w:r>
      <w:r>
        <w:t xml:space="preserve">eviously reported (e.g., 3.2% by Oyeleke </w:t>
      </w:r>
      <w:r>
        <w:rPr>
          <w:i/>
        </w:rPr>
        <w:t>et al.,</w:t>
      </w:r>
      <w:r>
        <w:t xml:space="preserve"> 2021). Although </w:t>
      </w:r>
      <w:r>
        <w:rPr>
          <w:rStyle w:val="Emphasis"/>
          <w:rFonts w:eastAsiaTheme="majorEastAsia"/>
        </w:rPr>
        <w:t>Sidaacuta</w:t>
      </w:r>
      <w:r>
        <w:t xml:space="preserve"> is not primarily recognized as an oil-yielding plant, this finding suggests potential as a supplementary lipid source. Lipids are essential for numerous physiological functions, inc</w:t>
      </w:r>
      <w:r>
        <w:t xml:space="preserve">luding the absorption of fat-soluble vitamins and cellular membrane integrity. Ash content, representing total mineral composition, was also considerably high (11.39% and 11.44%). This strongly implies that </w:t>
      </w:r>
      <w:r>
        <w:rPr>
          <w:rStyle w:val="Emphasis"/>
          <w:rFonts w:eastAsiaTheme="majorEastAsia"/>
        </w:rPr>
        <w:t>Sidaacuta</w:t>
      </w:r>
      <w:r>
        <w:t xml:space="preserve"> is rich in essential minerals such as c</w:t>
      </w:r>
      <w:r>
        <w:t xml:space="preserve">alcium, magnesium, and iron—minerals often deficient in many diets. The ash content exceeds those previously reported by Singh </w:t>
      </w:r>
      <w:r>
        <w:rPr>
          <w:i/>
        </w:rPr>
        <w:t>et al.,</w:t>
      </w:r>
      <w:r>
        <w:t xml:space="preserve"> (2019) and Oyetayo </w:t>
      </w:r>
      <w:r>
        <w:rPr>
          <w:i/>
        </w:rPr>
        <w:t>et al.,</w:t>
      </w:r>
      <w:r>
        <w:t xml:space="preserve"> (2018), underscoring the plant's mineral-rich nature.</w:t>
      </w:r>
    </w:p>
    <w:p w:rsidR="00995829" w:rsidRDefault="00C7064C">
      <w:pPr>
        <w:pStyle w:val="NormalWeb"/>
        <w:spacing w:before="0" w:beforeAutospacing="0" w:after="0" w:afterAutospacing="0" w:line="480" w:lineRule="auto"/>
        <w:ind w:firstLine="720"/>
        <w:jc w:val="both"/>
      </w:pPr>
      <w:r>
        <w:t>One of the most remarkable findings is t</w:t>
      </w:r>
      <w:r>
        <w:t xml:space="preserve">he very high crude fibre content (29.22% and 27.52%). These values nearly double those previously reported by </w:t>
      </w:r>
      <w:r>
        <w:lastRenderedPageBreak/>
        <w:t xml:space="preserve">researchers, confirming </w:t>
      </w:r>
      <w:r>
        <w:rPr>
          <w:rStyle w:val="Emphasis"/>
          <w:rFonts w:eastAsiaTheme="majorEastAsia"/>
        </w:rPr>
        <w:t>Sidaacuta</w:t>
      </w:r>
      <w:r>
        <w:t xml:space="preserve"> as a potent source of dietary fibre. This has implications for digestive health, cholesterol reduction, and meta</w:t>
      </w:r>
      <w:r>
        <w:t xml:space="preserve">bolic regulation. Lastly, carbohydrate levels (30.68% and 31.64%) position carbohydrates as the most abundant </w:t>
      </w:r>
      <w:r>
        <w:t>macro-nutrient</w:t>
      </w:r>
      <w:r>
        <w:t xml:space="preserve"> in the samples. Although lower than those reported in some previous studies, the current values still indicate a substantial energy</w:t>
      </w:r>
      <w:r>
        <w:t xml:space="preserve"> contribution, which further supports the plant's use in caloric supplementation.</w:t>
      </w:r>
    </w:p>
    <w:p w:rsidR="00995829" w:rsidRDefault="00C7064C">
      <w:pPr>
        <w:pStyle w:val="NormalWeb"/>
        <w:spacing w:before="0" w:beforeAutospacing="0" w:after="0" w:afterAutospacing="0" w:line="480" w:lineRule="auto"/>
        <w:jc w:val="both"/>
      </w:pPr>
      <w:r>
        <w:rPr>
          <w:rStyle w:val="Heading1Char"/>
          <w:szCs w:val="24"/>
        </w:rPr>
        <w:t xml:space="preserve">4.2 </w:t>
      </w:r>
      <w:r>
        <w:rPr>
          <w:rStyle w:val="Heading1Char"/>
          <w:szCs w:val="24"/>
        </w:rPr>
        <w:tab/>
        <w:t>Implications of Findings</w:t>
      </w:r>
    </w:p>
    <w:p w:rsidR="00995829" w:rsidRDefault="00C7064C">
      <w:pPr>
        <w:pStyle w:val="NormalWeb"/>
        <w:spacing w:before="0" w:beforeAutospacing="0" w:after="0" w:afterAutospacing="0" w:line="480" w:lineRule="auto"/>
        <w:jc w:val="both"/>
      </w:pPr>
      <w:r>
        <w:rPr>
          <w:rStyle w:val="Strong"/>
          <w:rFonts w:eastAsiaTheme="majorEastAsia"/>
        </w:rPr>
        <w:t>Nutritional Use:</w:t>
      </w:r>
      <w:r>
        <w:t xml:space="preserve"> The moderate to high levels of protein, carbohydrates, and fibre in </w:t>
      </w:r>
      <w:r>
        <w:rPr>
          <w:rStyle w:val="Emphasis"/>
          <w:rFonts w:eastAsiaTheme="majorEastAsia"/>
        </w:rPr>
        <w:t>Sidaacuta</w:t>
      </w:r>
      <w:r>
        <w:t xml:space="preserve"> make it a valuable supplement for diets deficient</w:t>
      </w:r>
      <w:r>
        <w:t xml:space="preserve"> in </w:t>
      </w:r>
      <w:r>
        <w:t>macro-nutrients</w:t>
      </w:r>
      <w:r>
        <w:t>. This supports its inclusion in herbal diets, functional foods, and nutritional formulations.</w:t>
      </w:r>
    </w:p>
    <w:p w:rsidR="00995829" w:rsidRDefault="00C7064C">
      <w:pPr>
        <w:pStyle w:val="NormalWeb"/>
        <w:spacing w:before="0" w:beforeAutospacing="0" w:after="0" w:afterAutospacing="0" w:line="480" w:lineRule="auto"/>
        <w:jc w:val="both"/>
      </w:pPr>
      <w:r>
        <w:rPr>
          <w:rStyle w:val="Strong"/>
          <w:rFonts w:eastAsiaTheme="majorEastAsia"/>
        </w:rPr>
        <w:t>Pharmaceutical and Ethnomedicinal Value:</w:t>
      </w:r>
      <w:r>
        <w:t xml:space="preserve"> High ash and crude fibre contents support the plant’s role in traditional medicine, especially for tr</w:t>
      </w:r>
      <w:r>
        <w:t>eating mineral-deficiency diseases and improving gut health.</w:t>
      </w:r>
    </w:p>
    <w:p w:rsidR="00995829" w:rsidRDefault="00C7064C">
      <w:pPr>
        <w:pStyle w:val="NormalWeb"/>
        <w:spacing w:before="0" w:beforeAutospacing="0" w:after="0" w:afterAutospacing="0" w:line="480" w:lineRule="auto"/>
        <w:jc w:val="both"/>
      </w:pPr>
      <w:r>
        <w:rPr>
          <w:rStyle w:val="Strong"/>
          <w:rFonts w:eastAsiaTheme="majorEastAsia"/>
        </w:rPr>
        <w:t>Animal Feed Potential:</w:t>
      </w:r>
      <w:r>
        <w:t xml:space="preserve"> Due to its high fibre and energy content, </w:t>
      </w:r>
      <w:r>
        <w:rPr>
          <w:rStyle w:val="Emphasis"/>
          <w:rFonts w:eastAsiaTheme="majorEastAsia"/>
        </w:rPr>
        <w:t>Sidaacuta</w:t>
      </w:r>
      <w:r>
        <w:t xml:space="preserve"> may be a useful roughage supplement in ruminant diets, although its high fibre levels could limit digestibility in monog</w:t>
      </w:r>
      <w:r>
        <w:t>astric animals unless properly processed.</w:t>
      </w:r>
    </w:p>
    <w:p w:rsidR="00995829" w:rsidRDefault="00C7064C">
      <w:pPr>
        <w:pStyle w:val="NormalWeb"/>
        <w:spacing w:before="0" w:beforeAutospacing="0" w:after="0" w:afterAutospacing="0" w:line="480" w:lineRule="auto"/>
        <w:jc w:val="both"/>
      </w:pPr>
      <w:r>
        <w:rPr>
          <w:rStyle w:val="Strong"/>
          <w:rFonts w:eastAsiaTheme="majorEastAsia"/>
        </w:rPr>
        <w:t>Industrial Application:</w:t>
      </w:r>
      <w:r>
        <w:t xml:space="preserve"> The low moisture content enhances the shelf life and stability of the plant material, making it ideal for use in powdered herbal preparations, teas, and nutraceutical products.</w:t>
      </w:r>
    </w:p>
    <w:p w:rsidR="00995829" w:rsidRDefault="00C7064C">
      <w:pPr>
        <w:spacing w:after="0"/>
        <w:jc w:val="both"/>
        <w:rPr>
          <w:rFonts w:eastAsia="Times New Roman" w:cstheme="majorBidi"/>
          <w:b/>
          <w:sz w:val="24"/>
        </w:rPr>
      </w:pPr>
      <w:bookmarkStart w:id="44" w:name="_Toc199791405"/>
      <w:r>
        <w:rPr>
          <w:rFonts w:eastAsia="Times New Roman"/>
          <w:sz w:val="24"/>
        </w:rPr>
        <w:br w:type="page"/>
      </w:r>
    </w:p>
    <w:p w:rsidR="00995829" w:rsidRDefault="00C7064C">
      <w:pPr>
        <w:pStyle w:val="Heading1"/>
        <w:spacing w:before="0" w:after="0" w:line="480" w:lineRule="auto"/>
        <w:jc w:val="center"/>
        <w:rPr>
          <w:rFonts w:eastAsia="Times New Roman"/>
          <w:sz w:val="24"/>
          <w:szCs w:val="24"/>
        </w:rPr>
      </w:pPr>
      <w:r>
        <w:rPr>
          <w:rFonts w:eastAsia="Times New Roman"/>
          <w:sz w:val="24"/>
          <w:szCs w:val="24"/>
        </w:rPr>
        <w:lastRenderedPageBreak/>
        <w:t>CHAPTER FIV</w:t>
      </w:r>
      <w:r>
        <w:rPr>
          <w:rFonts w:eastAsia="Times New Roman"/>
          <w:sz w:val="24"/>
          <w:szCs w:val="24"/>
        </w:rPr>
        <w:t>E</w:t>
      </w:r>
      <w:bookmarkEnd w:id="44"/>
    </w:p>
    <w:p w:rsidR="00995829" w:rsidRDefault="00C7064C">
      <w:pPr>
        <w:spacing w:after="0" w:line="480" w:lineRule="auto"/>
        <w:jc w:val="center"/>
        <w:rPr>
          <w:rStyle w:val="Heading1Char"/>
          <w:sz w:val="24"/>
          <w:szCs w:val="24"/>
        </w:rPr>
      </w:pPr>
      <w:r>
        <w:rPr>
          <w:b/>
          <w:sz w:val="24"/>
        </w:rPr>
        <w:t>DISCUSSION</w:t>
      </w:r>
    </w:p>
    <w:p w:rsidR="00995829" w:rsidRDefault="00C7064C">
      <w:pPr>
        <w:pStyle w:val="NormalWeb"/>
        <w:spacing w:before="0" w:beforeAutospacing="0" w:after="0" w:afterAutospacing="0" w:line="480" w:lineRule="auto"/>
        <w:ind w:firstLine="720"/>
        <w:jc w:val="both"/>
      </w:pPr>
      <w:r>
        <w:t xml:space="preserve">The proximate composition of </w:t>
      </w:r>
      <w:r>
        <w:rPr>
          <w:rStyle w:val="Emphasis"/>
          <w:rFonts w:eastAsiaTheme="majorEastAsia"/>
        </w:rPr>
        <w:t>Sidaacuta</w:t>
      </w:r>
      <w:r>
        <w:t xml:space="preserve"> has been comprehensively carried out, providing valuable insights into the nutritional potential of the plant. Analysis of two samples (A1 and A2) revealed a consistent nutritional profile, with slight va</w:t>
      </w:r>
      <w:r>
        <w:t xml:space="preserve">riations attributable to biological or environmental factors. The study confirms that </w:t>
      </w:r>
      <w:r>
        <w:rPr>
          <w:rStyle w:val="Emphasis"/>
          <w:rFonts w:eastAsiaTheme="majorEastAsia"/>
        </w:rPr>
        <w:t>Sidaacuta</w:t>
      </w:r>
      <w:r>
        <w:t xml:space="preserve"> is a nutritionally rich wild leafy plant, with significant implications for its use in food, herbal medicine, and animal feed applications. The key findings are</w:t>
      </w:r>
      <w:r>
        <w:t xml:space="preserve"> as follows:</w:t>
      </w:r>
    </w:p>
    <w:p w:rsidR="00995829" w:rsidRDefault="00C7064C">
      <w:pPr>
        <w:pStyle w:val="NormalWeb"/>
        <w:spacing w:before="0" w:beforeAutospacing="0" w:after="0" w:afterAutospacing="0" w:line="480" w:lineRule="auto"/>
        <w:jc w:val="both"/>
      </w:pPr>
      <w:r>
        <w:rPr>
          <w:rStyle w:val="Strong"/>
          <w:rFonts w:eastAsiaTheme="majorEastAsia"/>
        </w:rPr>
        <w:t>Moisture Content</w:t>
      </w:r>
      <w:r>
        <w:t>: The moisture content was relatively low in both samples (A1: 8.08%, A2: 8.40%), indicating that the plant material was adequately dried. This low moisture level enhances shelf stability and reduces the risk of microbial spoil</w:t>
      </w:r>
      <w:r>
        <w:t>age, making the plant suitable for long-term storage and formulation in dried products such as powders, teas, or extracts.</w:t>
      </w:r>
    </w:p>
    <w:p w:rsidR="00995829" w:rsidRDefault="00C7064C">
      <w:pPr>
        <w:pStyle w:val="NormalWeb"/>
        <w:spacing w:before="0" w:beforeAutospacing="0" w:after="0" w:afterAutospacing="0" w:line="480" w:lineRule="auto"/>
        <w:jc w:val="both"/>
      </w:pPr>
      <w:r>
        <w:rPr>
          <w:rStyle w:val="Strong"/>
          <w:rFonts w:eastAsiaTheme="majorEastAsia"/>
        </w:rPr>
        <w:t>Crude Protein</w:t>
      </w:r>
      <w:r>
        <w:t xml:space="preserve">: Moderate protein levels were observed (A1: 13.56%, A2: 13.78%), highlighting </w:t>
      </w:r>
      <w:r>
        <w:rPr>
          <w:rStyle w:val="Emphasis"/>
          <w:rFonts w:eastAsiaTheme="majorEastAsia"/>
        </w:rPr>
        <w:t>Sidaacuta</w:t>
      </w:r>
      <w:r>
        <w:t xml:space="preserve"> as a promising plant-based sour</w:t>
      </w:r>
      <w:r>
        <w:t>ce of protein. This is particularly relevant in areas where access to animal protein is limited, and it supports the potential inclusion of the plant in diets aimed at addressing protein-energy malnutrition.</w:t>
      </w:r>
    </w:p>
    <w:p w:rsidR="00995829" w:rsidRDefault="00C7064C">
      <w:pPr>
        <w:pStyle w:val="NormalWeb"/>
        <w:spacing w:before="0" w:beforeAutospacing="0" w:after="0" w:afterAutospacing="0" w:line="480" w:lineRule="auto"/>
        <w:jc w:val="both"/>
      </w:pPr>
      <w:r>
        <w:rPr>
          <w:rStyle w:val="Strong"/>
          <w:rFonts w:eastAsiaTheme="majorEastAsia"/>
        </w:rPr>
        <w:t>Crude Lipid</w:t>
      </w:r>
      <w:r>
        <w:t xml:space="preserve">: The lipid content was relatively high for a non-oil seed plant (A1: 7.07%, A2: 7.21%), suggesting that </w:t>
      </w:r>
      <w:r>
        <w:rPr>
          <w:rStyle w:val="Emphasis"/>
          <w:rFonts w:eastAsiaTheme="majorEastAsia"/>
        </w:rPr>
        <w:t>Sidaacuta</w:t>
      </w:r>
      <w:r>
        <w:t xml:space="preserve"> can contribute to dietary fat intake. </w:t>
      </w:r>
      <w:r>
        <w:lastRenderedPageBreak/>
        <w:t>This provides additional energy and facilitates the absorption of fat-soluble vitamins (A, D, E, and K)</w:t>
      </w:r>
      <w:r>
        <w:t>, enhancing its nutritional value.</w:t>
      </w:r>
    </w:p>
    <w:p w:rsidR="00995829" w:rsidRDefault="00C7064C">
      <w:pPr>
        <w:pStyle w:val="NormalWeb"/>
        <w:spacing w:before="0" w:beforeAutospacing="0" w:after="0" w:afterAutospacing="0" w:line="480" w:lineRule="auto"/>
        <w:jc w:val="both"/>
      </w:pPr>
      <w:r>
        <w:rPr>
          <w:rStyle w:val="Strong"/>
          <w:rFonts w:eastAsiaTheme="majorEastAsia"/>
        </w:rPr>
        <w:t>Total Ash</w:t>
      </w:r>
      <w:r>
        <w:t xml:space="preserve">: High ash content (A1: 11.39%, A2: 11.44%) indicates a rich mineral composition. This supports the plant’s traditional use in ethnomedicine and suggests it could help meet </w:t>
      </w:r>
      <w:r>
        <w:t>micro-nutrient</w:t>
      </w:r>
      <w:r>
        <w:t xml:space="preserve"> requirements, particular</w:t>
      </w:r>
      <w:r>
        <w:t>ly in mineral-deficient populations.</w:t>
      </w:r>
    </w:p>
    <w:p w:rsidR="00995829" w:rsidRDefault="00C7064C">
      <w:pPr>
        <w:pStyle w:val="NormalWeb"/>
        <w:spacing w:before="0" w:beforeAutospacing="0" w:after="0" w:afterAutospacing="0" w:line="480" w:lineRule="auto"/>
        <w:jc w:val="both"/>
      </w:pPr>
      <w:r>
        <w:rPr>
          <w:rStyle w:val="Strong"/>
          <w:rFonts w:eastAsiaTheme="majorEastAsia"/>
        </w:rPr>
        <w:t>Crude Fibre</w:t>
      </w:r>
      <w:r>
        <w:t xml:space="preserve">: The plant exhibited very high crude fibre levels (A1: 29.22%, A2: 27.52%), which is beneficial for maintaining healthy digestion and bowel function. This high fibre content makes it especially valuable in </w:t>
      </w:r>
      <w:r>
        <w:t>dietary plans focused on gut health, and it may also be suitable for inclusion in ruminant animal feed formulations.</w:t>
      </w:r>
    </w:p>
    <w:p w:rsidR="00995829" w:rsidRDefault="00C7064C">
      <w:pPr>
        <w:pStyle w:val="NormalWeb"/>
        <w:spacing w:before="0" w:beforeAutospacing="0" w:after="0" w:afterAutospacing="0" w:line="480" w:lineRule="auto"/>
        <w:jc w:val="both"/>
      </w:pPr>
      <w:r>
        <w:rPr>
          <w:rStyle w:val="Strong"/>
          <w:rFonts w:eastAsiaTheme="majorEastAsia"/>
        </w:rPr>
        <w:t>Carbohydrate Content</w:t>
      </w:r>
      <w:r>
        <w:t xml:space="preserve">: Carbohydrates were the most abundant macronutrient in the samples (A1: 30.68%, A2: 31.64%), positioning </w:t>
      </w:r>
      <w:r>
        <w:rPr>
          <w:rStyle w:val="Emphasis"/>
          <w:rFonts w:eastAsiaTheme="majorEastAsia"/>
        </w:rPr>
        <w:t>Sidaacuta</w:t>
      </w:r>
      <w:r>
        <w:t xml:space="preserve"> as </w:t>
      </w:r>
      <w:r>
        <w:t>a reliable energy source. This adds to the plant’s appeal as a potential dietary component in energy-boosting food products.</w:t>
      </w:r>
    </w:p>
    <w:p w:rsidR="00995829" w:rsidRDefault="00C7064C">
      <w:pPr>
        <w:pStyle w:val="Heading1"/>
        <w:spacing w:before="0" w:after="0" w:line="480" w:lineRule="auto"/>
        <w:jc w:val="both"/>
        <w:rPr>
          <w:rFonts w:eastAsia="Times New Roman"/>
          <w:sz w:val="24"/>
          <w:szCs w:val="24"/>
        </w:rPr>
      </w:pPr>
      <w:bookmarkStart w:id="45" w:name="_Toc199791407"/>
      <w:r>
        <w:rPr>
          <w:rFonts w:eastAsia="Times New Roman"/>
          <w:sz w:val="24"/>
          <w:szCs w:val="24"/>
        </w:rPr>
        <w:t xml:space="preserve">5.1 </w:t>
      </w:r>
      <w:r>
        <w:rPr>
          <w:rFonts w:eastAsia="Times New Roman"/>
          <w:sz w:val="24"/>
          <w:szCs w:val="24"/>
        </w:rPr>
        <w:tab/>
        <w:t>Conclusion</w:t>
      </w:r>
      <w:bookmarkEnd w:id="45"/>
    </w:p>
    <w:p w:rsidR="00995829" w:rsidRDefault="00C7064C">
      <w:pPr>
        <w:pStyle w:val="NormalWeb"/>
        <w:spacing w:before="0" w:beforeAutospacing="0" w:after="0" w:afterAutospacing="0" w:line="480" w:lineRule="auto"/>
        <w:ind w:firstLine="720"/>
        <w:jc w:val="both"/>
      </w:pPr>
      <w:r>
        <w:t xml:space="preserve">The findings from the proximate composition analysis of </w:t>
      </w:r>
      <w:r>
        <w:rPr>
          <w:rStyle w:val="Emphasis"/>
          <w:rFonts w:eastAsiaTheme="majorEastAsia"/>
        </w:rPr>
        <w:t>Sidaacuta</w:t>
      </w:r>
      <w:r>
        <w:t xml:space="preserve"> samples reveal that the plant possesses a rich an</w:t>
      </w:r>
      <w:r>
        <w:t xml:space="preserve">d diverse nutritional profile, supporting its relevance not only in traditional medicine but also in modern nutritional and industrial applications. The study establishes that </w:t>
      </w:r>
      <w:r>
        <w:rPr>
          <w:rStyle w:val="Emphasis"/>
          <w:rFonts w:eastAsiaTheme="majorEastAsia"/>
        </w:rPr>
        <w:t>Sidaacuta</w:t>
      </w:r>
      <w:r>
        <w:t xml:space="preserve"> contains appreciable levels of crude protein, fibre, lipids, ash (mine</w:t>
      </w:r>
      <w:r>
        <w:t xml:space="preserve">rals), and carbohydrates, all essential components for maintaining physiological and metabolic balance in both humans and </w:t>
      </w:r>
      <w:r>
        <w:lastRenderedPageBreak/>
        <w:t>animals. The relatively low moisture content recorded in both samples indicates that the drying methods employed were effective in pre</w:t>
      </w:r>
      <w:r>
        <w:t>serving the integrity of the plant, which is particularly important for shelf-life stability and microbial resistance. This supports its long-term use in dried or powdered forms such as teas, supplements, or pharmaceutical preparations.</w:t>
      </w:r>
    </w:p>
    <w:p w:rsidR="00995829" w:rsidRDefault="00C7064C">
      <w:pPr>
        <w:pStyle w:val="NormalWeb"/>
        <w:spacing w:before="0" w:beforeAutospacing="0" w:after="0" w:afterAutospacing="0" w:line="480" w:lineRule="auto"/>
        <w:ind w:firstLine="720"/>
        <w:jc w:val="both"/>
      </w:pPr>
      <w:r>
        <w:t>The moderate protei</w:t>
      </w:r>
      <w:r>
        <w:t xml:space="preserve">n levels found in this study further emphasize the plant’s potential as a supplementary protein source, especially in developing regions where access to animal protein may be limited. When combined with its high carbohydrate content, </w:t>
      </w:r>
      <w:r>
        <w:rPr>
          <w:rStyle w:val="Emphasis"/>
          <w:rFonts w:eastAsiaTheme="majorEastAsia"/>
        </w:rPr>
        <w:t>Sidaacuta</w:t>
      </w:r>
      <w:r>
        <w:t xml:space="preserve"> becomes a re</w:t>
      </w:r>
      <w:r>
        <w:t xml:space="preserve">liable source of energy, offering dual nutritional benefits. This </w:t>
      </w:r>
      <w:r>
        <w:t>macro-nutrient</w:t>
      </w:r>
      <w:r>
        <w:t xml:space="preserve"> balance makes the plant an important candidate for dietary incorporation. The remarkably high fibre content not only underscores the plant’s gastrointestinal benefits but also</w:t>
      </w:r>
      <w:r>
        <w:t xml:space="preserve"> suggests its suitability in weight management diets and in reducing risks associated with cardiovascular and metabolic disorders. Furthermore, this high fibre characteristic may find applications in animal nutritionparticularly for ruminants that benefit </w:t>
      </w:r>
      <w:r>
        <w:t>from fibrous forage. The ash content reflects a substantial presence of essential minerals, which could enhance the body’s metabolic and enzymatic functions, thus validating its historical use in ethnomedicine. The relatively high lipid content, uncommon i</w:t>
      </w:r>
      <w:r>
        <w:t>n many leafy plants adds an additional layer of nutritional and caloric value, especially in formulations where fat-soluble vitamin absorption is critical.</w:t>
      </w:r>
    </w:p>
    <w:p w:rsidR="00995829" w:rsidRDefault="00C7064C">
      <w:pPr>
        <w:pStyle w:val="NormalWeb"/>
        <w:spacing w:before="0" w:beforeAutospacing="0" w:after="0" w:afterAutospacing="0" w:line="480" w:lineRule="auto"/>
        <w:ind w:firstLine="720"/>
        <w:jc w:val="both"/>
      </w:pPr>
      <w:r>
        <w:lastRenderedPageBreak/>
        <w:t xml:space="preserve">The study presents </w:t>
      </w:r>
      <w:r>
        <w:rPr>
          <w:rStyle w:val="Emphasis"/>
          <w:rFonts w:eastAsiaTheme="majorEastAsia"/>
        </w:rPr>
        <w:t>Sidaacuta</w:t>
      </w:r>
      <w:r>
        <w:t xml:space="preserve"> as a multi-purpose plant with potential for use in food systems, therap</w:t>
      </w:r>
      <w:r>
        <w:t>eutic applications, and animal feed industries. The observed values surpass many previously reported compositions in literature, highlighting the influence of geographical, seasonal, and environmental factors on nutrient availability. These findings thus s</w:t>
      </w:r>
      <w:r>
        <w:t>upport the need for further investigations into the phytochemical, mineral, and pharmacological properties of the plant to unlock its full potential. Ultimately, this study provides a scientific foundation for the continued use and possible commercializati</w:t>
      </w:r>
      <w:r>
        <w:t xml:space="preserve">on of </w:t>
      </w:r>
      <w:r>
        <w:rPr>
          <w:rStyle w:val="Emphasis"/>
          <w:rFonts w:eastAsiaTheme="majorEastAsia"/>
        </w:rPr>
        <w:t>Sidaacuta</w:t>
      </w:r>
      <w:r>
        <w:t>, encouraging its incorporation into integrated health, nutrition, and agricultural frameworks.</w:t>
      </w:r>
    </w:p>
    <w:p w:rsidR="00995829" w:rsidRDefault="00C7064C">
      <w:pPr>
        <w:pStyle w:val="Heading1"/>
        <w:spacing w:before="0" w:after="0" w:line="480" w:lineRule="auto"/>
        <w:jc w:val="both"/>
        <w:rPr>
          <w:rFonts w:eastAsia="Times New Roman"/>
          <w:sz w:val="24"/>
          <w:szCs w:val="24"/>
        </w:rPr>
      </w:pPr>
      <w:bookmarkStart w:id="46" w:name="_Toc199791408"/>
      <w:r>
        <w:rPr>
          <w:rFonts w:eastAsia="Times New Roman"/>
          <w:sz w:val="24"/>
          <w:szCs w:val="24"/>
        </w:rPr>
        <w:t>5.2</w:t>
      </w:r>
      <w:r>
        <w:rPr>
          <w:rFonts w:eastAsia="Times New Roman"/>
          <w:sz w:val="24"/>
          <w:szCs w:val="24"/>
        </w:rPr>
        <w:tab/>
        <w:t>Recommendations</w:t>
      </w:r>
      <w:bookmarkEnd w:id="46"/>
    </w:p>
    <w:p w:rsidR="00995829" w:rsidRDefault="00C7064C">
      <w:pPr>
        <w:pStyle w:val="NormalWeb"/>
        <w:numPr>
          <w:ilvl w:val="0"/>
          <w:numId w:val="5"/>
        </w:numPr>
        <w:spacing w:before="0" w:beforeAutospacing="0" w:after="0" w:afterAutospacing="0" w:line="480" w:lineRule="auto"/>
        <w:jc w:val="both"/>
      </w:pPr>
      <w:r>
        <w:rPr>
          <w:rStyle w:val="Strong"/>
          <w:rFonts w:eastAsiaTheme="majorEastAsia"/>
        </w:rPr>
        <w:t>Nutritional Programs</w:t>
      </w:r>
      <w:r>
        <w:t xml:space="preserve">: </w:t>
      </w:r>
      <w:r>
        <w:rPr>
          <w:rStyle w:val="Emphasis"/>
          <w:rFonts w:eastAsiaTheme="majorEastAsia"/>
        </w:rPr>
        <w:t>Sidaacuta</w:t>
      </w:r>
      <w:r>
        <w:t xml:space="preserve"> should be integrated into community-level nutritional intervention programs, especially in ru</w:t>
      </w:r>
      <w:r>
        <w:t>ral or low-income regions, as a natural source of dietary protein, fibre, and minerals.</w:t>
      </w:r>
    </w:p>
    <w:p w:rsidR="00995829" w:rsidRDefault="00C7064C">
      <w:pPr>
        <w:pStyle w:val="NormalWeb"/>
        <w:numPr>
          <w:ilvl w:val="0"/>
          <w:numId w:val="5"/>
        </w:numPr>
        <w:spacing w:before="0" w:beforeAutospacing="0" w:after="0" w:afterAutospacing="0" w:line="480" w:lineRule="auto"/>
        <w:jc w:val="both"/>
      </w:pPr>
      <w:r>
        <w:rPr>
          <w:rStyle w:val="Strong"/>
          <w:rFonts w:eastAsiaTheme="majorEastAsia"/>
        </w:rPr>
        <w:t>Phytochemical and Mineral Analysis</w:t>
      </w:r>
      <w:r>
        <w:t>: Further studies should focus on detailed phytochemical profiling and mineral content determination to identify specific compounds re</w:t>
      </w:r>
      <w:r>
        <w:t>sponsible for its therapeutic effects.</w:t>
      </w:r>
    </w:p>
    <w:p w:rsidR="00995829" w:rsidRDefault="00C7064C">
      <w:pPr>
        <w:pStyle w:val="NormalWeb"/>
        <w:numPr>
          <w:ilvl w:val="0"/>
          <w:numId w:val="5"/>
        </w:numPr>
        <w:spacing w:before="0" w:beforeAutospacing="0" w:after="0" w:afterAutospacing="0" w:line="480" w:lineRule="auto"/>
        <w:jc w:val="both"/>
      </w:pPr>
      <w:r>
        <w:rPr>
          <w:rStyle w:val="Strong"/>
          <w:rFonts w:eastAsiaTheme="majorEastAsia"/>
        </w:rPr>
        <w:t>Toxicological Studies</w:t>
      </w:r>
      <w:r>
        <w:t>: Comprehensive toxicological evaluations are necessary to establish safety thresholds and potential side effects of long-term or high-dose use.</w:t>
      </w:r>
    </w:p>
    <w:p w:rsidR="00995829" w:rsidRDefault="00C7064C">
      <w:pPr>
        <w:pStyle w:val="NormalWeb"/>
        <w:numPr>
          <w:ilvl w:val="0"/>
          <w:numId w:val="5"/>
        </w:numPr>
        <w:spacing w:before="0" w:beforeAutospacing="0" w:after="0" w:afterAutospacing="0" w:line="480" w:lineRule="auto"/>
        <w:jc w:val="both"/>
      </w:pPr>
      <w:r>
        <w:rPr>
          <w:rStyle w:val="Strong"/>
          <w:rFonts w:eastAsiaTheme="majorEastAsia"/>
        </w:rPr>
        <w:lastRenderedPageBreak/>
        <w:t>Product Development</w:t>
      </w:r>
      <w:r>
        <w:t>: The plant could be explored fo</w:t>
      </w:r>
      <w:r>
        <w:t>r the development of functional foods, dietary supplements, and herbal formulations aimed at improving digestive health and nutritional status.</w:t>
      </w:r>
    </w:p>
    <w:p w:rsidR="00995829" w:rsidRDefault="00C7064C">
      <w:pPr>
        <w:pStyle w:val="NormalWeb"/>
        <w:numPr>
          <w:ilvl w:val="0"/>
          <w:numId w:val="5"/>
        </w:numPr>
        <w:spacing w:before="0" w:beforeAutospacing="0" w:after="0" w:afterAutospacing="0" w:line="480" w:lineRule="auto"/>
        <w:jc w:val="both"/>
      </w:pPr>
      <w:r>
        <w:rPr>
          <w:rStyle w:val="Strong"/>
          <w:rFonts w:eastAsiaTheme="majorEastAsia"/>
        </w:rPr>
        <w:t>Animal Nutrition</w:t>
      </w:r>
      <w:r>
        <w:t>: Its suitability as a feed additive, particularly for ruminants, should be evaluated further th</w:t>
      </w:r>
      <w:r>
        <w:t>rough feeding trials to optimize inclusion levels and determine digestibility.</w:t>
      </w:r>
    </w:p>
    <w:p w:rsidR="00995829" w:rsidRDefault="00C7064C">
      <w:pPr>
        <w:pStyle w:val="NormalWeb"/>
        <w:numPr>
          <w:ilvl w:val="0"/>
          <w:numId w:val="5"/>
        </w:numPr>
        <w:spacing w:before="0" w:beforeAutospacing="0" w:after="0" w:afterAutospacing="0" w:line="480" w:lineRule="auto"/>
        <w:jc w:val="both"/>
      </w:pPr>
      <w:r>
        <w:rPr>
          <w:rStyle w:val="Strong"/>
          <w:rFonts w:eastAsiaTheme="majorEastAsia"/>
        </w:rPr>
        <w:t>Standardization and Cultivation</w:t>
      </w:r>
      <w:r>
        <w:t xml:space="preserve">: Cultivating </w:t>
      </w:r>
      <w:r>
        <w:rPr>
          <w:rStyle w:val="Emphasis"/>
          <w:rFonts w:eastAsiaTheme="majorEastAsia"/>
        </w:rPr>
        <w:t>Sidaacuta</w:t>
      </w:r>
      <w:r>
        <w:t xml:space="preserve"> under controlled conditions could help standardize its nutritional content, improve availability, and facilitate commercia</w:t>
      </w:r>
      <w:r>
        <w:t>l utilisation.</w:t>
      </w:r>
    </w:p>
    <w:p w:rsidR="00995829" w:rsidRDefault="00C7064C">
      <w:pPr>
        <w:rPr>
          <w:rFonts w:eastAsia="Times New Roman" w:cstheme="majorBidi"/>
          <w:b/>
          <w:sz w:val="24"/>
        </w:rPr>
      </w:pPr>
      <w:bookmarkStart w:id="47" w:name="_Toc199791409"/>
      <w:r>
        <w:rPr>
          <w:rFonts w:eastAsia="Times New Roman"/>
          <w:sz w:val="24"/>
        </w:rPr>
        <w:br w:type="page"/>
      </w:r>
    </w:p>
    <w:p w:rsidR="00995829" w:rsidRDefault="00C7064C">
      <w:pPr>
        <w:pStyle w:val="Heading1"/>
        <w:spacing w:before="0" w:after="0" w:line="480" w:lineRule="auto"/>
        <w:jc w:val="center"/>
        <w:rPr>
          <w:rFonts w:eastAsia="Times New Roman"/>
          <w:sz w:val="24"/>
          <w:szCs w:val="24"/>
        </w:rPr>
      </w:pPr>
      <w:r>
        <w:rPr>
          <w:rFonts w:eastAsia="Times New Roman"/>
          <w:sz w:val="24"/>
          <w:szCs w:val="24"/>
        </w:rPr>
        <w:lastRenderedPageBreak/>
        <w:t>REFERENCES</w:t>
      </w:r>
      <w:bookmarkEnd w:id="47"/>
    </w:p>
    <w:p w:rsidR="00995829" w:rsidRDefault="00C7064C">
      <w:pPr>
        <w:spacing w:after="0" w:line="480" w:lineRule="auto"/>
        <w:ind w:left="810" w:hanging="810"/>
        <w:jc w:val="both"/>
        <w:rPr>
          <w:sz w:val="24"/>
        </w:rPr>
      </w:pPr>
      <w:r>
        <w:rPr>
          <w:color w:val="222222"/>
          <w:sz w:val="24"/>
          <w:shd w:val="clear" w:color="auto" w:fill="FFFFFF"/>
        </w:rPr>
        <w:t>Adewumi, A. A., Olafimihan, E. O., Itabiyi, O. E., and Akinrinade, N. A. (2023). Influence of Selected Parameters on the Product Yields of Broom Weed (</w:t>
      </w:r>
      <w:r>
        <w:rPr>
          <w:i/>
          <w:iCs/>
          <w:color w:val="222222"/>
          <w:sz w:val="24"/>
          <w:shd w:val="clear" w:color="auto" w:fill="FFFFFF"/>
        </w:rPr>
        <w:t>Sidaacuta</w:t>
      </w:r>
      <w:r>
        <w:rPr>
          <w:color w:val="222222"/>
          <w:sz w:val="24"/>
          <w:shd w:val="clear" w:color="auto" w:fill="FFFFFF"/>
        </w:rPr>
        <w:t>) Pyrolysis. </w:t>
      </w:r>
      <w:r>
        <w:rPr>
          <w:i/>
          <w:iCs/>
          <w:color w:val="222222"/>
          <w:sz w:val="24"/>
          <w:shd w:val="clear" w:color="auto" w:fill="FFFFFF"/>
        </w:rPr>
        <w:t>Journal of Engineering Research and Reports</w:t>
      </w:r>
      <w:r>
        <w:rPr>
          <w:color w:val="222222"/>
          <w:sz w:val="24"/>
          <w:shd w:val="clear" w:color="auto" w:fill="FFFFFF"/>
        </w:rPr>
        <w:t>, </w:t>
      </w:r>
      <w:r>
        <w:rPr>
          <w:i/>
          <w:iCs/>
          <w:color w:val="222222"/>
          <w:sz w:val="24"/>
          <w:shd w:val="clear" w:color="auto" w:fill="FFFFFF"/>
        </w:rPr>
        <w:t>25</w:t>
      </w:r>
      <w:r>
        <w:rPr>
          <w:color w:val="222222"/>
          <w:sz w:val="24"/>
          <w:shd w:val="clear" w:color="auto" w:fill="FFFFFF"/>
        </w:rPr>
        <w:t xml:space="preserve">(7), </w:t>
      </w:r>
      <w:r>
        <w:rPr>
          <w:color w:val="222222"/>
          <w:sz w:val="24"/>
          <w:shd w:val="clear" w:color="auto" w:fill="FFFFFF"/>
        </w:rPr>
        <w:t>136-144.</w:t>
      </w:r>
    </w:p>
    <w:p w:rsidR="00995829" w:rsidRDefault="00C7064C">
      <w:pPr>
        <w:spacing w:after="0" w:line="480" w:lineRule="auto"/>
        <w:ind w:left="810" w:hanging="810"/>
        <w:jc w:val="both"/>
        <w:rPr>
          <w:rFonts w:eastAsia="Times New Roman"/>
          <w:sz w:val="24"/>
        </w:rPr>
      </w:pPr>
      <w:r>
        <w:rPr>
          <w:rFonts w:eastAsia="Times New Roman"/>
          <w:sz w:val="24"/>
        </w:rPr>
        <w:t xml:space="preserve">Ajayi, A. O., Akintola, T. A., and Kuye, S. T. (2009). Antibacterial activity of </w:t>
      </w:r>
      <w:r>
        <w:rPr>
          <w:rFonts w:eastAsia="Times New Roman"/>
          <w:i/>
          <w:iCs/>
          <w:sz w:val="24"/>
        </w:rPr>
        <w:t>Sidaacuta</w:t>
      </w:r>
      <w:r>
        <w:rPr>
          <w:rFonts w:eastAsia="Times New Roman"/>
          <w:sz w:val="24"/>
        </w:rPr>
        <w:t xml:space="preserve"> leaf extract against clinical isolates from skin infections. </w:t>
      </w:r>
      <w:r>
        <w:rPr>
          <w:rFonts w:eastAsia="Times New Roman"/>
          <w:i/>
          <w:iCs/>
          <w:sz w:val="24"/>
        </w:rPr>
        <w:t>Journal of Medicinal Plants Research, 3</w:t>
      </w:r>
      <w:r>
        <w:rPr>
          <w:rFonts w:eastAsia="Times New Roman"/>
          <w:sz w:val="24"/>
        </w:rPr>
        <w:t>(9), 621–624.</w:t>
      </w:r>
    </w:p>
    <w:p w:rsidR="00995829" w:rsidRDefault="00C7064C">
      <w:pPr>
        <w:spacing w:after="0" w:line="480" w:lineRule="auto"/>
        <w:ind w:left="810" w:hanging="810"/>
        <w:jc w:val="both"/>
        <w:rPr>
          <w:rFonts w:eastAsia="Times New Roman"/>
          <w:sz w:val="24"/>
        </w:rPr>
      </w:pPr>
      <w:r>
        <w:rPr>
          <w:rFonts w:eastAsia="Times New Roman"/>
          <w:sz w:val="24"/>
        </w:rPr>
        <w:t>Akinmoladun, F. O., Akinrinlola, B. L., an</w:t>
      </w:r>
      <w:r>
        <w:rPr>
          <w:rFonts w:eastAsia="Times New Roman"/>
          <w:sz w:val="24"/>
        </w:rPr>
        <w:t xml:space="preserve">d Farombi, E. O. (2010). Evaluation of antioxidant and cytotoxic activities of </w:t>
      </w:r>
      <w:r>
        <w:rPr>
          <w:rFonts w:eastAsia="Times New Roman"/>
          <w:i/>
          <w:iCs/>
          <w:sz w:val="24"/>
        </w:rPr>
        <w:t>Sidaacuta</w:t>
      </w:r>
      <w:r>
        <w:rPr>
          <w:rFonts w:eastAsia="Times New Roman"/>
          <w:sz w:val="24"/>
        </w:rPr>
        <w:t xml:space="preserve"> leaf extracts. </w:t>
      </w:r>
      <w:r>
        <w:rPr>
          <w:rFonts w:eastAsia="Times New Roman"/>
          <w:i/>
          <w:iCs/>
          <w:sz w:val="24"/>
        </w:rPr>
        <w:t>Journal of Medicinal Plants Research, 4</w:t>
      </w:r>
      <w:r>
        <w:rPr>
          <w:rFonts w:eastAsia="Times New Roman"/>
          <w:sz w:val="24"/>
        </w:rPr>
        <w:t>(12), 1232–1235.</w:t>
      </w:r>
    </w:p>
    <w:p w:rsidR="00995829" w:rsidRDefault="00C7064C">
      <w:pPr>
        <w:spacing w:after="0" w:line="480" w:lineRule="auto"/>
        <w:ind w:left="810" w:hanging="810"/>
        <w:jc w:val="both"/>
        <w:rPr>
          <w:rFonts w:eastAsia="Times New Roman"/>
          <w:sz w:val="24"/>
        </w:rPr>
      </w:pPr>
      <w:r>
        <w:rPr>
          <w:rFonts w:eastAsia="Times New Roman"/>
          <w:sz w:val="24"/>
        </w:rPr>
        <w:t xml:space="preserve">Alabi, D. A., Gbadamosi, S. O., and Alabi, T. D. (2016). Nutritional composition and phytochemical screening of selected wild edible plants in Nigeria. </w:t>
      </w:r>
      <w:r>
        <w:rPr>
          <w:rFonts w:eastAsia="Times New Roman"/>
          <w:i/>
          <w:iCs/>
          <w:sz w:val="24"/>
        </w:rPr>
        <w:t>Journal of Medicinal Plants Research, 10</w:t>
      </w:r>
      <w:r>
        <w:rPr>
          <w:rFonts w:eastAsia="Times New Roman"/>
          <w:sz w:val="24"/>
        </w:rPr>
        <w:t>(6), 76–82.</w:t>
      </w:r>
    </w:p>
    <w:p w:rsidR="00995829" w:rsidRDefault="00C7064C">
      <w:pPr>
        <w:spacing w:after="0" w:line="480" w:lineRule="auto"/>
        <w:ind w:left="810" w:hanging="810"/>
        <w:jc w:val="both"/>
        <w:rPr>
          <w:rFonts w:eastAsia="Times New Roman"/>
          <w:sz w:val="24"/>
        </w:rPr>
      </w:pPr>
      <w:r>
        <w:rPr>
          <w:rFonts w:eastAsia="Times New Roman"/>
          <w:sz w:val="24"/>
        </w:rPr>
        <w:t>Aliyu, A. B., Ibrahim, M. A., Musa, A. M., Lawal, A.</w:t>
      </w:r>
      <w:r>
        <w:rPr>
          <w:rFonts w:eastAsia="Times New Roman"/>
          <w:sz w:val="24"/>
        </w:rPr>
        <w:t xml:space="preserve"> Y., and Ya'u, J. (2007). Preliminary phytochemical and antibacterial properties of crude extracts of the root bark of </w:t>
      </w:r>
      <w:r>
        <w:rPr>
          <w:rFonts w:eastAsia="Times New Roman"/>
          <w:i/>
          <w:iCs/>
          <w:sz w:val="24"/>
        </w:rPr>
        <w:t>Sidaacuta</w:t>
      </w:r>
      <w:r>
        <w:rPr>
          <w:rFonts w:eastAsia="Times New Roman"/>
          <w:sz w:val="24"/>
        </w:rPr>
        <w:t xml:space="preserve">. </w:t>
      </w:r>
      <w:r>
        <w:rPr>
          <w:rFonts w:eastAsia="Times New Roman"/>
          <w:i/>
          <w:iCs/>
          <w:sz w:val="24"/>
        </w:rPr>
        <w:t>African Journal of Biotechnology, 6</w:t>
      </w:r>
      <w:r>
        <w:rPr>
          <w:rFonts w:eastAsia="Times New Roman"/>
          <w:sz w:val="24"/>
        </w:rPr>
        <w:t>(24), 2896–2899. https://doi.org/10.5897/AJB2007.000-2474</w:t>
      </w:r>
    </w:p>
    <w:p w:rsidR="00995829" w:rsidRDefault="00C7064C">
      <w:pPr>
        <w:spacing w:after="0" w:line="480" w:lineRule="auto"/>
        <w:ind w:left="810" w:hanging="810"/>
        <w:jc w:val="both"/>
        <w:rPr>
          <w:rFonts w:eastAsia="Times New Roman"/>
          <w:sz w:val="24"/>
        </w:rPr>
      </w:pPr>
      <w:r>
        <w:rPr>
          <w:rFonts w:eastAsia="Times New Roman"/>
          <w:sz w:val="24"/>
        </w:rPr>
        <w:t xml:space="preserve">Angothu, S., Lakshmi, S. M., and </w:t>
      </w:r>
      <w:r>
        <w:rPr>
          <w:rFonts w:eastAsia="Times New Roman"/>
          <w:sz w:val="24"/>
        </w:rPr>
        <w:t>Kumar, A. S. (2010). International Journal of Pharmacy and Therapeutics.</w:t>
      </w:r>
    </w:p>
    <w:p w:rsidR="00995829" w:rsidRDefault="00C7064C">
      <w:pPr>
        <w:spacing w:after="0" w:line="480" w:lineRule="auto"/>
        <w:ind w:left="810" w:hanging="810"/>
        <w:jc w:val="both"/>
        <w:rPr>
          <w:sz w:val="24"/>
        </w:rPr>
      </w:pPr>
      <w:r>
        <w:rPr>
          <w:sz w:val="24"/>
        </w:rPr>
        <w:lastRenderedPageBreak/>
        <w:t xml:space="preserve">AOAC (Association of Official Analytical Chemists). (2016). </w:t>
      </w:r>
      <w:r>
        <w:rPr>
          <w:rStyle w:val="Emphasis"/>
          <w:sz w:val="24"/>
        </w:rPr>
        <w:t>Official Methods of Analysis</w:t>
      </w:r>
      <w:r>
        <w:rPr>
          <w:sz w:val="24"/>
        </w:rPr>
        <w:t xml:space="preserve"> (20th ed.). AOAC International.</w:t>
      </w:r>
    </w:p>
    <w:p w:rsidR="00995829" w:rsidRDefault="00C7064C">
      <w:pPr>
        <w:spacing w:after="0" w:line="480" w:lineRule="auto"/>
        <w:ind w:left="810" w:hanging="810"/>
        <w:jc w:val="both"/>
        <w:rPr>
          <w:rFonts w:eastAsia="Times New Roman"/>
          <w:sz w:val="24"/>
        </w:rPr>
      </w:pPr>
      <w:r>
        <w:rPr>
          <w:rFonts w:eastAsia="Times New Roman"/>
          <w:sz w:val="24"/>
        </w:rPr>
        <w:t>Asase, A., Oteng-Yeboah, A. A., Odamtten, G. T., and Simmonds,</w:t>
      </w:r>
      <w:r>
        <w:rPr>
          <w:rFonts w:eastAsia="Times New Roman"/>
          <w:sz w:val="24"/>
        </w:rPr>
        <w:t xml:space="preserve"> M. S. (2005). Ethnobotanical study of some Ghanaian anti-malarial plants. </w:t>
      </w:r>
      <w:r>
        <w:rPr>
          <w:rFonts w:eastAsia="Times New Roman"/>
          <w:i/>
          <w:iCs/>
          <w:sz w:val="24"/>
        </w:rPr>
        <w:t>Journal of ethnopharmacology</w:t>
      </w:r>
      <w:r>
        <w:rPr>
          <w:rFonts w:eastAsia="Times New Roman"/>
          <w:sz w:val="24"/>
        </w:rPr>
        <w:t>, </w:t>
      </w:r>
      <w:r>
        <w:rPr>
          <w:rFonts w:eastAsia="Times New Roman"/>
          <w:i/>
          <w:iCs/>
          <w:sz w:val="24"/>
        </w:rPr>
        <w:t>99</w:t>
      </w:r>
      <w:r>
        <w:rPr>
          <w:rFonts w:eastAsia="Times New Roman"/>
          <w:sz w:val="24"/>
        </w:rPr>
        <w:t>(2), 273-279.</w:t>
      </w:r>
    </w:p>
    <w:p w:rsidR="00995829" w:rsidRDefault="00C7064C">
      <w:pPr>
        <w:spacing w:after="0" w:line="480" w:lineRule="auto"/>
        <w:ind w:left="810" w:hanging="810"/>
        <w:jc w:val="both"/>
        <w:rPr>
          <w:color w:val="222222"/>
          <w:sz w:val="24"/>
          <w:shd w:val="clear" w:color="auto" w:fill="FFFFFF"/>
        </w:rPr>
      </w:pPr>
      <w:r>
        <w:rPr>
          <w:color w:val="222222"/>
          <w:sz w:val="24"/>
          <w:shd w:val="clear" w:color="auto" w:fill="FFFFFF"/>
        </w:rPr>
        <w:t>AsimiTajudeen, L. T., Ajewole, K., Abife, L. I., and Olasupo, A. B. (2016). Chemical analysis of an isolated potentially medicinal acti</w:t>
      </w:r>
      <w:r>
        <w:rPr>
          <w:color w:val="222222"/>
          <w:sz w:val="24"/>
          <w:shd w:val="clear" w:color="auto" w:fill="FFFFFF"/>
        </w:rPr>
        <w:t>ve ingredient of Sidaacuta plant. </w:t>
      </w:r>
      <w:r>
        <w:rPr>
          <w:i/>
          <w:iCs/>
          <w:color w:val="222222"/>
          <w:sz w:val="24"/>
          <w:shd w:val="clear" w:color="auto" w:fill="FFFFFF"/>
        </w:rPr>
        <w:t>Technology (ICONSEET)</w:t>
      </w:r>
      <w:r>
        <w:rPr>
          <w:color w:val="222222"/>
          <w:sz w:val="24"/>
          <w:shd w:val="clear" w:color="auto" w:fill="FFFFFF"/>
        </w:rPr>
        <w:t>, </w:t>
      </w:r>
      <w:r>
        <w:rPr>
          <w:i/>
          <w:iCs/>
          <w:color w:val="222222"/>
          <w:sz w:val="24"/>
          <w:shd w:val="clear" w:color="auto" w:fill="FFFFFF"/>
        </w:rPr>
        <w:t>1</w:t>
      </w:r>
      <w:r>
        <w:rPr>
          <w:color w:val="222222"/>
          <w:sz w:val="24"/>
          <w:shd w:val="clear" w:color="auto" w:fill="FFFFFF"/>
        </w:rPr>
        <w:t>(17), 121-127.</w:t>
      </w:r>
    </w:p>
    <w:p w:rsidR="00995829" w:rsidRDefault="00C7064C">
      <w:pPr>
        <w:spacing w:after="0" w:line="480" w:lineRule="auto"/>
        <w:ind w:left="810" w:hanging="810"/>
        <w:jc w:val="both"/>
        <w:rPr>
          <w:rFonts w:eastAsia="MinionPro-Regular"/>
          <w:sz w:val="24"/>
        </w:rPr>
      </w:pPr>
      <w:r>
        <w:rPr>
          <w:rFonts w:eastAsia="MinionPro-Regular"/>
          <w:sz w:val="24"/>
        </w:rPr>
        <w:t>Belachew, N., Tadesse, T., andGube, A. A. (2017). Knowledge, attitude, and practice of complementary and alternative medicine among residents of Wayu town, Western Ethiopia. </w:t>
      </w:r>
      <w:r>
        <w:rPr>
          <w:rFonts w:eastAsia="MinionPro-Regular"/>
          <w:i/>
          <w:iCs/>
          <w:sz w:val="24"/>
        </w:rPr>
        <w:t>Journal o</w:t>
      </w:r>
      <w:r>
        <w:rPr>
          <w:rFonts w:eastAsia="MinionPro-Regular"/>
          <w:i/>
          <w:iCs/>
          <w:sz w:val="24"/>
        </w:rPr>
        <w:t>f evidence-based complementary and alternative medicine</w:t>
      </w:r>
      <w:r>
        <w:rPr>
          <w:rFonts w:eastAsia="MinionPro-Regular"/>
          <w:sz w:val="24"/>
        </w:rPr>
        <w:t>, </w:t>
      </w:r>
      <w:r>
        <w:rPr>
          <w:rFonts w:eastAsia="MinionPro-Regular"/>
          <w:i/>
          <w:iCs/>
          <w:sz w:val="24"/>
        </w:rPr>
        <w:t>22</w:t>
      </w:r>
      <w:r>
        <w:rPr>
          <w:rFonts w:eastAsia="MinionPro-Regular"/>
          <w:sz w:val="24"/>
        </w:rPr>
        <w:t>(4), 929-935.</w:t>
      </w:r>
    </w:p>
    <w:p w:rsidR="00995829" w:rsidRDefault="00C7064C">
      <w:pPr>
        <w:spacing w:after="0" w:line="480" w:lineRule="auto"/>
        <w:ind w:left="810" w:hanging="810"/>
        <w:jc w:val="both"/>
        <w:rPr>
          <w:sz w:val="24"/>
        </w:rPr>
      </w:pPr>
      <w:r>
        <w:rPr>
          <w:sz w:val="24"/>
        </w:rPr>
        <w:t>Chandrasekara, A., and Josheph Kumar, T. (2016). Roots and tuber crops as functional foods: a review on phytochemical constituents and their potential health benefits. </w:t>
      </w:r>
      <w:r>
        <w:rPr>
          <w:i/>
          <w:iCs/>
          <w:sz w:val="24"/>
        </w:rPr>
        <w:t>International j</w:t>
      </w:r>
      <w:r>
        <w:rPr>
          <w:i/>
          <w:iCs/>
          <w:sz w:val="24"/>
        </w:rPr>
        <w:t>ournal of food science</w:t>
      </w:r>
      <w:r>
        <w:rPr>
          <w:sz w:val="24"/>
        </w:rPr>
        <w:t>, </w:t>
      </w:r>
      <w:r>
        <w:rPr>
          <w:i/>
          <w:iCs/>
          <w:sz w:val="24"/>
        </w:rPr>
        <w:t>2016</w:t>
      </w:r>
      <w:r>
        <w:rPr>
          <w:sz w:val="24"/>
        </w:rPr>
        <w:t>(1), 3631647.</w:t>
      </w:r>
    </w:p>
    <w:p w:rsidR="00995829" w:rsidRDefault="00C7064C">
      <w:pPr>
        <w:spacing w:after="0" w:line="480" w:lineRule="auto"/>
        <w:ind w:left="810" w:hanging="810"/>
        <w:jc w:val="both"/>
        <w:rPr>
          <w:rFonts w:eastAsia="Times New Roman"/>
          <w:sz w:val="24"/>
        </w:rPr>
      </w:pPr>
      <w:r>
        <w:rPr>
          <w:rFonts w:eastAsia="Times New Roman"/>
          <w:sz w:val="24"/>
        </w:rPr>
        <w:t>Edeoga, H. O., Okwu, D. E., and Mbaebie, B. O. (2005). Phytochemical constituents of some Nigerian medicinal plants. </w:t>
      </w:r>
      <w:r>
        <w:rPr>
          <w:rFonts w:eastAsia="Times New Roman"/>
          <w:i/>
          <w:iCs/>
          <w:sz w:val="24"/>
        </w:rPr>
        <w:t>African journal of biotechnology</w:t>
      </w:r>
      <w:r>
        <w:rPr>
          <w:rFonts w:eastAsia="Times New Roman"/>
          <w:sz w:val="24"/>
        </w:rPr>
        <w:t>, </w:t>
      </w:r>
      <w:r>
        <w:rPr>
          <w:rFonts w:eastAsia="Times New Roman"/>
          <w:i/>
          <w:iCs/>
          <w:sz w:val="24"/>
        </w:rPr>
        <w:t>4</w:t>
      </w:r>
      <w:r>
        <w:rPr>
          <w:rFonts w:eastAsia="Times New Roman"/>
          <w:sz w:val="24"/>
        </w:rPr>
        <w:t>(7), 685-688.</w:t>
      </w:r>
    </w:p>
    <w:p w:rsidR="00995829" w:rsidRDefault="00C7064C">
      <w:pPr>
        <w:spacing w:after="0" w:line="480" w:lineRule="auto"/>
        <w:ind w:left="810" w:hanging="810"/>
        <w:jc w:val="both"/>
        <w:rPr>
          <w:rFonts w:eastAsia="MinionPro-Regular"/>
          <w:sz w:val="24"/>
        </w:rPr>
      </w:pPr>
      <w:r>
        <w:rPr>
          <w:rFonts w:eastAsia="MinionPro-Regular"/>
          <w:sz w:val="24"/>
        </w:rPr>
        <w:t xml:space="preserve">Ekpo, M. A., and Etim, P. C. (2009). </w:t>
      </w:r>
      <w:r>
        <w:rPr>
          <w:rFonts w:eastAsia="MinionPro-Regular"/>
          <w:sz w:val="24"/>
        </w:rPr>
        <w:t>Antimicrobial activity of ethanolic and aqueous extracts of Sidaacuta on microorganisms from skin infections. </w:t>
      </w:r>
      <w:r>
        <w:rPr>
          <w:rFonts w:eastAsia="MinionPro-Regular"/>
          <w:i/>
          <w:iCs/>
          <w:sz w:val="24"/>
        </w:rPr>
        <w:t>J. Med. Plants Res</w:t>
      </w:r>
      <w:r>
        <w:rPr>
          <w:rFonts w:eastAsia="MinionPro-Regular"/>
          <w:sz w:val="24"/>
        </w:rPr>
        <w:t>, </w:t>
      </w:r>
      <w:r>
        <w:rPr>
          <w:rFonts w:eastAsia="MinionPro-Regular"/>
          <w:i/>
          <w:iCs/>
          <w:sz w:val="24"/>
        </w:rPr>
        <w:t>3</w:t>
      </w:r>
      <w:r>
        <w:rPr>
          <w:rFonts w:eastAsia="MinionPro-Regular"/>
          <w:sz w:val="24"/>
        </w:rPr>
        <w:t>(9), 621-624.</w:t>
      </w:r>
    </w:p>
    <w:p w:rsidR="00995829" w:rsidRDefault="00C7064C">
      <w:pPr>
        <w:spacing w:after="0" w:line="480" w:lineRule="auto"/>
        <w:ind w:left="810" w:hanging="810"/>
        <w:jc w:val="both"/>
        <w:rPr>
          <w:rFonts w:eastAsia="Times New Roman"/>
          <w:sz w:val="24"/>
        </w:rPr>
      </w:pPr>
      <w:r>
        <w:rPr>
          <w:rFonts w:eastAsia="Times New Roman"/>
          <w:sz w:val="24"/>
        </w:rPr>
        <w:lastRenderedPageBreak/>
        <w:t>Enin, G. N., Antia, B. S., and Enin, F. G. (2014). Chemical assessment of the proximate, minerals, and anti-nut</w:t>
      </w:r>
      <w:r>
        <w:rPr>
          <w:rFonts w:eastAsia="Times New Roman"/>
          <w:sz w:val="24"/>
        </w:rPr>
        <w:t xml:space="preserve">rients composition of </w:t>
      </w:r>
      <w:r>
        <w:rPr>
          <w:rFonts w:eastAsia="Times New Roman"/>
          <w:i/>
          <w:sz w:val="24"/>
        </w:rPr>
        <w:t>Sidaacuta</w:t>
      </w:r>
      <w:r>
        <w:rPr>
          <w:rFonts w:eastAsia="Times New Roman"/>
          <w:sz w:val="24"/>
        </w:rPr>
        <w:t xml:space="preserve"> leaves. </w:t>
      </w:r>
      <w:r>
        <w:rPr>
          <w:rFonts w:eastAsia="Times New Roman"/>
          <w:i/>
          <w:iCs/>
          <w:sz w:val="24"/>
        </w:rPr>
        <w:t>Elix Org Chem</w:t>
      </w:r>
      <w:r>
        <w:rPr>
          <w:rFonts w:eastAsia="Times New Roman"/>
          <w:sz w:val="24"/>
        </w:rPr>
        <w:t>, </w:t>
      </w:r>
      <w:r>
        <w:rPr>
          <w:rFonts w:eastAsia="Times New Roman"/>
          <w:i/>
          <w:iCs/>
          <w:sz w:val="24"/>
        </w:rPr>
        <w:t>71</w:t>
      </w:r>
      <w:r>
        <w:rPr>
          <w:rFonts w:eastAsia="Times New Roman"/>
          <w:sz w:val="24"/>
        </w:rPr>
        <w:t>(2014), 24654-24660.</w:t>
      </w:r>
    </w:p>
    <w:p w:rsidR="00995829" w:rsidRDefault="00C7064C">
      <w:pPr>
        <w:spacing w:after="0" w:line="480" w:lineRule="auto"/>
        <w:ind w:left="810" w:hanging="810"/>
        <w:jc w:val="both"/>
        <w:rPr>
          <w:rFonts w:eastAsia="Times New Roman"/>
          <w:sz w:val="24"/>
        </w:rPr>
      </w:pPr>
      <w:r>
        <w:rPr>
          <w:rFonts w:eastAsia="Times New Roman"/>
          <w:sz w:val="24"/>
        </w:rPr>
        <w:t>Ezekwesili, C. N., Obiora, K. A., and Ugwu, O. P. (2004). Evaluation of Anti-Diarrhoeal Property of Crude Aqueous Extract of Ocimumgratissimum L.(Labiatae) In Rats.</w:t>
      </w:r>
    </w:p>
    <w:p w:rsidR="00995829" w:rsidRDefault="00C7064C">
      <w:pPr>
        <w:spacing w:after="0" w:line="480" w:lineRule="auto"/>
        <w:ind w:left="810" w:hanging="810"/>
        <w:jc w:val="both"/>
        <w:rPr>
          <w:rFonts w:eastAsia="Times New Roman"/>
          <w:sz w:val="24"/>
        </w:rPr>
      </w:pPr>
      <w:r>
        <w:rPr>
          <w:rFonts w:eastAsia="Times New Roman"/>
          <w:sz w:val="24"/>
        </w:rPr>
        <w:t xml:space="preserve">FAO. (2020). </w:t>
      </w:r>
      <w:r>
        <w:rPr>
          <w:rFonts w:eastAsia="Times New Roman"/>
          <w:i/>
          <w:iCs/>
          <w:sz w:val="24"/>
        </w:rPr>
        <w:t>The State of Food Security and Nutrition in the World 2020</w:t>
      </w:r>
      <w:r>
        <w:rPr>
          <w:rFonts w:eastAsia="Times New Roman"/>
          <w:sz w:val="24"/>
        </w:rPr>
        <w:t xml:space="preserve">. Food and Agriculture Organization of the United Nations. </w:t>
      </w:r>
      <w:hyperlink r:id="rId14" w:history="1">
        <w:r>
          <w:rPr>
            <w:rStyle w:val="Hyperlink"/>
            <w:rFonts w:eastAsia="Times New Roman"/>
            <w:sz w:val="24"/>
          </w:rPr>
          <w:t>https://doi.org/10.4060/</w:t>
        </w:r>
      </w:hyperlink>
      <w:r>
        <w:rPr>
          <w:rFonts w:eastAsia="Times New Roman"/>
          <w:sz w:val="24"/>
        </w:rPr>
        <w:t xml:space="preserve"> ca9692en.</w:t>
      </w:r>
    </w:p>
    <w:p w:rsidR="00995829" w:rsidRDefault="00C7064C">
      <w:pPr>
        <w:spacing w:after="0" w:line="480" w:lineRule="auto"/>
        <w:ind w:left="810" w:hanging="810"/>
        <w:jc w:val="both"/>
        <w:rPr>
          <w:rFonts w:eastAsia="Times New Roman"/>
          <w:sz w:val="24"/>
        </w:rPr>
      </w:pPr>
      <w:r>
        <w:rPr>
          <w:rFonts w:eastAsia="Times New Roman"/>
          <w:sz w:val="24"/>
          <w:lang w:val="fr-FR"/>
        </w:rPr>
        <w:t xml:space="preserve">Huang, F., Xiong, Y., Xu, L., Ma, S., and Dou, C. (2007). </w:t>
      </w:r>
      <w:r>
        <w:rPr>
          <w:rFonts w:eastAsia="Times New Roman"/>
          <w:sz w:val="24"/>
        </w:rPr>
        <w:t>Sedati</w:t>
      </w:r>
      <w:r>
        <w:rPr>
          <w:rFonts w:eastAsia="Times New Roman"/>
          <w:sz w:val="24"/>
        </w:rPr>
        <w:t>ve and hypnotic activities of the ethanol fraction from Fructus Schisandrae in mice and rats. </w:t>
      </w:r>
      <w:r>
        <w:rPr>
          <w:rFonts w:eastAsia="Times New Roman"/>
          <w:i/>
          <w:iCs/>
          <w:sz w:val="24"/>
        </w:rPr>
        <w:t>Journal of Ethnopharmacology</w:t>
      </w:r>
      <w:r>
        <w:rPr>
          <w:rFonts w:eastAsia="Times New Roman"/>
          <w:sz w:val="24"/>
        </w:rPr>
        <w:t>, </w:t>
      </w:r>
      <w:r>
        <w:rPr>
          <w:rFonts w:eastAsia="Times New Roman"/>
          <w:i/>
          <w:iCs/>
          <w:sz w:val="24"/>
        </w:rPr>
        <w:t>110</w:t>
      </w:r>
      <w:r>
        <w:rPr>
          <w:rFonts w:eastAsia="Times New Roman"/>
          <w:sz w:val="24"/>
        </w:rPr>
        <w:t>(3), 471-475.</w:t>
      </w:r>
    </w:p>
    <w:p w:rsidR="00995829" w:rsidRDefault="00C7064C">
      <w:pPr>
        <w:spacing w:after="0" w:line="480" w:lineRule="auto"/>
        <w:ind w:left="810" w:hanging="810"/>
        <w:jc w:val="both"/>
        <w:rPr>
          <w:rFonts w:eastAsia="Times New Roman"/>
          <w:sz w:val="24"/>
        </w:rPr>
      </w:pPr>
      <w:r>
        <w:rPr>
          <w:rFonts w:eastAsia="Times New Roman"/>
          <w:sz w:val="24"/>
        </w:rPr>
        <w:t xml:space="preserve">Idu, M., Ovuakporie-Uvo, O., and Erhabor, J. O. (2010). Antimicrobial activity and phytochemical screening of </w:t>
      </w:r>
      <w:r>
        <w:rPr>
          <w:rFonts w:eastAsia="Times New Roman"/>
          <w:i/>
          <w:iCs/>
          <w:sz w:val="24"/>
        </w:rPr>
        <w:t>Sidaa</w:t>
      </w:r>
      <w:r>
        <w:rPr>
          <w:rFonts w:eastAsia="Times New Roman"/>
          <w:i/>
          <w:iCs/>
          <w:sz w:val="24"/>
        </w:rPr>
        <w:t>cuta</w:t>
      </w:r>
      <w:r>
        <w:rPr>
          <w:rFonts w:eastAsia="Times New Roman"/>
          <w:sz w:val="24"/>
        </w:rPr>
        <w:t xml:space="preserve"> and </w:t>
      </w:r>
      <w:r>
        <w:rPr>
          <w:rFonts w:eastAsia="Times New Roman"/>
          <w:i/>
          <w:iCs/>
          <w:sz w:val="24"/>
        </w:rPr>
        <w:t>Ocimumgratissimum</w:t>
      </w:r>
      <w:r>
        <w:rPr>
          <w:rFonts w:eastAsia="Times New Roman"/>
          <w:sz w:val="24"/>
        </w:rPr>
        <w:t xml:space="preserve"> against some human pathogens. </w:t>
      </w:r>
      <w:r>
        <w:rPr>
          <w:rFonts w:eastAsia="Times New Roman"/>
          <w:i/>
          <w:iCs/>
          <w:sz w:val="24"/>
        </w:rPr>
        <w:t>African Journal of Traditional, Complementary and Alternative Medicines, 7</w:t>
      </w:r>
      <w:r>
        <w:rPr>
          <w:rFonts w:eastAsia="Times New Roman"/>
          <w:sz w:val="24"/>
        </w:rPr>
        <w:t>(2), 138–144.</w:t>
      </w:r>
    </w:p>
    <w:p w:rsidR="00995829" w:rsidRDefault="00C7064C">
      <w:pPr>
        <w:spacing w:after="0" w:line="480" w:lineRule="auto"/>
        <w:ind w:left="810" w:hanging="810"/>
        <w:jc w:val="both"/>
        <w:rPr>
          <w:rFonts w:eastAsia="Times New Roman"/>
          <w:sz w:val="24"/>
        </w:rPr>
      </w:pPr>
      <w:r>
        <w:rPr>
          <w:rFonts w:eastAsia="Times New Roman"/>
          <w:sz w:val="24"/>
        </w:rPr>
        <w:t>Iwu, M. M. (1993). African medicinal plants, </w:t>
      </w:r>
      <w:r>
        <w:rPr>
          <w:rFonts w:eastAsia="Times New Roman"/>
          <w:i/>
          <w:iCs/>
          <w:sz w:val="24"/>
        </w:rPr>
        <w:t>CRC Press, Maryland. Jamkhande, PG, Ajgunde, BR, and Jadge, DR (20</w:t>
      </w:r>
      <w:r>
        <w:rPr>
          <w:rFonts w:eastAsia="Times New Roman"/>
          <w:i/>
          <w:iCs/>
          <w:sz w:val="24"/>
        </w:rPr>
        <w:t>17). Annona cherimola Mill.(Custard apple): A review on its plant profile, nutritional values, traditional claims and ethnomedicinal properties. Oriental Pharmacy and Experimental Medicine</w:t>
      </w:r>
      <w:r>
        <w:rPr>
          <w:rFonts w:eastAsia="Times New Roman"/>
          <w:sz w:val="24"/>
        </w:rPr>
        <w:t>, </w:t>
      </w:r>
      <w:r>
        <w:rPr>
          <w:rFonts w:eastAsia="Times New Roman"/>
          <w:i/>
          <w:iCs/>
          <w:sz w:val="24"/>
        </w:rPr>
        <w:t>17</w:t>
      </w:r>
      <w:r>
        <w:rPr>
          <w:rFonts w:eastAsia="Times New Roman"/>
          <w:sz w:val="24"/>
        </w:rPr>
        <w:t>(3), 189-201.</w:t>
      </w:r>
    </w:p>
    <w:p w:rsidR="00995829" w:rsidRDefault="00C7064C">
      <w:pPr>
        <w:spacing w:after="0" w:line="480" w:lineRule="auto"/>
        <w:ind w:left="810" w:hanging="810"/>
        <w:jc w:val="both"/>
        <w:rPr>
          <w:sz w:val="24"/>
        </w:rPr>
      </w:pPr>
      <w:r>
        <w:rPr>
          <w:sz w:val="24"/>
        </w:rPr>
        <w:lastRenderedPageBreak/>
        <w:t xml:space="preserve">Jang, D. S., Park, E. J., Kang, Y. H., Su, B. N., </w:t>
      </w:r>
      <w:r>
        <w:rPr>
          <w:sz w:val="24"/>
        </w:rPr>
        <w:t xml:space="preserve">Hawthorne, M. E., Vigo, J. S., ... and Kinghorn, A. D. (2003). Compounds obtained from </w:t>
      </w:r>
      <w:r>
        <w:rPr>
          <w:i/>
          <w:sz w:val="24"/>
        </w:rPr>
        <w:t>Sidaacuta</w:t>
      </w:r>
      <w:r>
        <w:rPr>
          <w:sz w:val="24"/>
        </w:rPr>
        <w:t xml:space="preserve"> with the potential to induce quinone reductase and to inhibit 7, 12-dimethylbenz-[a] anthracene-induced preneoplastic lesions in a mouse mammary organ culture </w:t>
      </w:r>
      <w:r>
        <w:rPr>
          <w:sz w:val="24"/>
        </w:rPr>
        <w:t>model. </w:t>
      </w:r>
      <w:r>
        <w:rPr>
          <w:i/>
          <w:iCs/>
          <w:sz w:val="24"/>
        </w:rPr>
        <w:t>Archives of pharmacal research</w:t>
      </w:r>
      <w:r>
        <w:rPr>
          <w:sz w:val="24"/>
        </w:rPr>
        <w:t>, </w:t>
      </w:r>
      <w:r>
        <w:rPr>
          <w:i/>
          <w:iCs/>
          <w:sz w:val="24"/>
        </w:rPr>
        <w:t>26</w:t>
      </w:r>
      <w:r>
        <w:rPr>
          <w:sz w:val="24"/>
        </w:rPr>
        <w:t>, 585-590.</w:t>
      </w:r>
    </w:p>
    <w:p w:rsidR="00995829" w:rsidRDefault="00C7064C">
      <w:pPr>
        <w:spacing w:after="0" w:line="480" w:lineRule="auto"/>
        <w:ind w:left="810" w:hanging="810"/>
        <w:jc w:val="both"/>
        <w:rPr>
          <w:color w:val="222222"/>
          <w:sz w:val="24"/>
          <w:shd w:val="clear" w:color="auto" w:fill="FFFFFF"/>
        </w:rPr>
      </w:pPr>
      <w:r>
        <w:rPr>
          <w:color w:val="222222"/>
          <w:sz w:val="24"/>
          <w:shd w:val="clear" w:color="auto" w:fill="FFFFFF"/>
        </w:rPr>
        <w:t xml:space="preserve">Karou, S. D., Nadembega, W. M., Ilboudo, D. P., Ouermi, D., Gbeassor, M., De Souza, C., and Simpore, J. (2007). </w:t>
      </w:r>
      <w:r>
        <w:rPr>
          <w:i/>
          <w:color w:val="222222"/>
          <w:sz w:val="24"/>
          <w:shd w:val="clear" w:color="auto" w:fill="FFFFFF"/>
        </w:rPr>
        <w:t>Sidaacuta</w:t>
      </w:r>
      <w:r>
        <w:rPr>
          <w:color w:val="222222"/>
          <w:sz w:val="24"/>
          <w:shd w:val="clear" w:color="auto" w:fill="FFFFFF"/>
        </w:rPr>
        <w:t xml:space="preserve"> Burm. f.: a medicinal plant with numerous potencies. </w:t>
      </w:r>
      <w:r>
        <w:rPr>
          <w:i/>
          <w:iCs/>
          <w:color w:val="222222"/>
          <w:sz w:val="24"/>
          <w:shd w:val="clear" w:color="auto" w:fill="FFFFFF"/>
        </w:rPr>
        <w:t xml:space="preserve">African Journal of </w:t>
      </w:r>
      <w:r>
        <w:rPr>
          <w:i/>
          <w:iCs/>
          <w:color w:val="222222"/>
          <w:sz w:val="24"/>
          <w:shd w:val="clear" w:color="auto" w:fill="FFFFFF"/>
        </w:rPr>
        <w:t>Biotechnology</w:t>
      </w:r>
      <w:r>
        <w:rPr>
          <w:color w:val="222222"/>
          <w:sz w:val="24"/>
          <w:shd w:val="clear" w:color="auto" w:fill="FFFFFF"/>
        </w:rPr>
        <w:t>, </w:t>
      </w:r>
      <w:r>
        <w:rPr>
          <w:i/>
          <w:iCs/>
          <w:color w:val="222222"/>
          <w:sz w:val="24"/>
          <w:shd w:val="clear" w:color="auto" w:fill="FFFFFF"/>
        </w:rPr>
        <w:t>6</w:t>
      </w:r>
      <w:r>
        <w:rPr>
          <w:color w:val="222222"/>
          <w:sz w:val="24"/>
          <w:shd w:val="clear" w:color="auto" w:fill="FFFFFF"/>
        </w:rPr>
        <w:t>(25).</w:t>
      </w:r>
    </w:p>
    <w:p w:rsidR="00995829" w:rsidRDefault="00C7064C">
      <w:pPr>
        <w:spacing w:after="0" w:line="480" w:lineRule="auto"/>
        <w:ind w:left="810" w:hanging="810"/>
        <w:jc w:val="both"/>
        <w:rPr>
          <w:rFonts w:eastAsia="Times New Roman"/>
          <w:sz w:val="24"/>
        </w:rPr>
      </w:pPr>
      <w:r>
        <w:rPr>
          <w:rFonts w:eastAsia="Times New Roman"/>
          <w:sz w:val="24"/>
        </w:rPr>
        <w:t xml:space="preserve">Kirtikar, K. R., and Basu, B. D. (2006). </w:t>
      </w:r>
      <w:r>
        <w:rPr>
          <w:rFonts w:eastAsia="Times New Roman"/>
          <w:i/>
          <w:iCs/>
          <w:sz w:val="24"/>
        </w:rPr>
        <w:t>Indian Medicinal Plants</w:t>
      </w:r>
      <w:r>
        <w:rPr>
          <w:rFonts w:eastAsia="Times New Roman"/>
          <w:sz w:val="24"/>
        </w:rPr>
        <w:t xml:space="preserve"> (Vol. 2, pp. 1122–1125). Dehra Dun: International Book Distributors.</w:t>
      </w:r>
    </w:p>
    <w:p w:rsidR="00995829" w:rsidRDefault="00C7064C">
      <w:pPr>
        <w:spacing w:after="0" w:line="480" w:lineRule="auto"/>
        <w:ind w:left="810" w:hanging="810"/>
        <w:jc w:val="both"/>
        <w:rPr>
          <w:sz w:val="24"/>
        </w:rPr>
      </w:pPr>
      <w:r>
        <w:rPr>
          <w:sz w:val="24"/>
        </w:rPr>
        <w:t>Malairajan, P., Gopalakrishnan, G., Narasimhan, S., and Veni, K. J. K. (2006). Analgesic activity of</w:t>
      </w:r>
      <w:r>
        <w:rPr>
          <w:sz w:val="24"/>
        </w:rPr>
        <w:t xml:space="preserve"> some Indian medicinal plants. </w:t>
      </w:r>
      <w:r>
        <w:rPr>
          <w:i/>
          <w:iCs/>
          <w:sz w:val="24"/>
        </w:rPr>
        <w:t>Journal of ethnopharmacology</w:t>
      </w:r>
      <w:r>
        <w:rPr>
          <w:sz w:val="24"/>
        </w:rPr>
        <w:t>, </w:t>
      </w:r>
      <w:r>
        <w:rPr>
          <w:i/>
          <w:iCs/>
          <w:sz w:val="24"/>
        </w:rPr>
        <w:t>106</w:t>
      </w:r>
      <w:r>
        <w:rPr>
          <w:sz w:val="24"/>
        </w:rPr>
        <w:t>(3), 425-428.</w:t>
      </w:r>
    </w:p>
    <w:p w:rsidR="00995829" w:rsidRDefault="00C7064C">
      <w:pPr>
        <w:spacing w:after="0" w:line="480" w:lineRule="auto"/>
        <w:ind w:left="810" w:hanging="810"/>
        <w:jc w:val="both"/>
        <w:rPr>
          <w:color w:val="222222"/>
          <w:sz w:val="24"/>
          <w:shd w:val="clear" w:color="auto" w:fill="FFFFFF"/>
        </w:rPr>
      </w:pPr>
      <w:bookmarkStart w:id="48" w:name="_Hlk195550541"/>
      <w:r>
        <w:rPr>
          <w:color w:val="222222"/>
          <w:sz w:val="24"/>
          <w:shd w:val="clear" w:color="auto" w:fill="FFFFFF"/>
        </w:rPr>
        <w:t>Nwankpa, P., Chukwuemeka, O. G., Uloneme, G. C., Etteh, C. C., Ugwuezumba, P., and Nwosu, D. (2015). Phyto-nutrient composition and antioxidative potential of ethanolic leaf extr</w:t>
      </w:r>
      <w:r>
        <w:rPr>
          <w:color w:val="222222"/>
          <w:sz w:val="24"/>
          <w:shd w:val="clear" w:color="auto" w:fill="FFFFFF"/>
        </w:rPr>
        <w:t xml:space="preserve">act of </w:t>
      </w:r>
      <w:r>
        <w:rPr>
          <w:i/>
          <w:color w:val="222222"/>
          <w:sz w:val="24"/>
          <w:shd w:val="clear" w:color="auto" w:fill="FFFFFF"/>
        </w:rPr>
        <w:t>Sidaacuta</w:t>
      </w:r>
      <w:r>
        <w:rPr>
          <w:color w:val="222222"/>
          <w:sz w:val="24"/>
          <w:shd w:val="clear" w:color="auto" w:fill="FFFFFF"/>
        </w:rPr>
        <w:t xml:space="preserve"> in wistar albino rats.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14</w:t>
      </w:r>
      <w:r>
        <w:rPr>
          <w:color w:val="222222"/>
          <w:sz w:val="24"/>
          <w:shd w:val="clear" w:color="auto" w:fill="FFFFFF"/>
        </w:rPr>
        <w:t>(49), 3264-3269.</w:t>
      </w:r>
    </w:p>
    <w:bookmarkEnd w:id="48"/>
    <w:p w:rsidR="00995829" w:rsidRDefault="00C7064C">
      <w:pPr>
        <w:spacing w:after="0" w:line="480" w:lineRule="auto"/>
        <w:ind w:left="810" w:hanging="810"/>
        <w:jc w:val="both"/>
        <w:rPr>
          <w:rFonts w:eastAsia="Times New Roman"/>
          <w:sz w:val="24"/>
        </w:rPr>
      </w:pPr>
      <w:r>
        <w:rPr>
          <w:rFonts w:eastAsia="Times New Roman"/>
          <w:sz w:val="24"/>
        </w:rPr>
        <w:t xml:space="preserve">Nworu, C. S., Akah, P. A., and Okoye, F. B. C. (2011). Safety evaluation of the methanol leaf extract of </w:t>
      </w:r>
      <w:r>
        <w:rPr>
          <w:rFonts w:eastAsia="Times New Roman"/>
          <w:i/>
          <w:iCs/>
          <w:sz w:val="24"/>
        </w:rPr>
        <w:t>Sidaacuta</w:t>
      </w:r>
      <w:r>
        <w:rPr>
          <w:rFonts w:eastAsia="Times New Roman"/>
          <w:sz w:val="24"/>
        </w:rPr>
        <w:t xml:space="preserve"> in albino rats. </w:t>
      </w:r>
      <w:r>
        <w:rPr>
          <w:rFonts w:eastAsia="Times New Roman"/>
          <w:i/>
          <w:iCs/>
          <w:sz w:val="24"/>
        </w:rPr>
        <w:t>International Journal of Applied</w:t>
      </w:r>
      <w:r>
        <w:rPr>
          <w:rFonts w:eastAsia="Times New Roman"/>
          <w:i/>
          <w:iCs/>
          <w:sz w:val="24"/>
        </w:rPr>
        <w:t xml:space="preserve"> Research in Natural Products, 4</w:t>
      </w:r>
      <w:r>
        <w:rPr>
          <w:rFonts w:eastAsia="Times New Roman"/>
          <w:sz w:val="24"/>
        </w:rPr>
        <w:t>(2), 25–32.</w:t>
      </w:r>
    </w:p>
    <w:p w:rsidR="00995829" w:rsidRDefault="00C7064C">
      <w:pPr>
        <w:spacing w:after="0" w:line="480" w:lineRule="auto"/>
        <w:ind w:left="810" w:hanging="810"/>
        <w:jc w:val="both"/>
        <w:rPr>
          <w:rFonts w:eastAsia="Times New Roman"/>
          <w:sz w:val="24"/>
        </w:rPr>
      </w:pPr>
      <w:r>
        <w:rPr>
          <w:rFonts w:eastAsia="Times New Roman"/>
          <w:sz w:val="24"/>
        </w:rPr>
        <w:lastRenderedPageBreak/>
        <w:t xml:space="preserve">Nworu, C. S., Akah, P. A., Esimone, C. O., Okoli, C. O., and Ogugua, V. N. (2010). Immunomodulatory activities of </w:t>
      </w:r>
      <w:r>
        <w:rPr>
          <w:rFonts w:eastAsia="Times New Roman"/>
          <w:i/>
          <w:iCs/>
          <w:sz w:val="24"/>
        </w:rPr>
        <w:t>Sidaacuta</w:t>
      </w:r>
      <w:r>
        <w:rPr>
          <w:rFonts w:eastAsia="Times New Roman"/>
          <w:sz w:val="24"/>
        </w:rPr>
        <w:t xml:space="preserve"> in animals. </w:t>
      </w:r>
      <w:r>
        <w:rPr>
          <w:rFonts w:eastAsia="Times New Roman"/>
          <w:i/>
          <w:iCs/>
          <w:sz w:val="24"/>
        </w:rPr>
        <w:t>African Journal of Biotechnology, 9</w:t>
      </w:r>
      <w:r>
        <w:rPr>
          <w:rFonts w:eastAsia="Times New Roman"/>
          <w:sz w:val="24"/>
        </w:rPr>
        <w:t>(40), 6732–6736.</w:t>
      </w:r>
    </w:p>
    <w:p w:rsidR="00995829" w:rsidRDefault="00C7064C">
      <w:pPr>
        <w:spacing w:after="0" w:line="480" w:lineRule="auto"/>
        <w:ind w:left="810" w:hanging="810"/>
        <w:jc w:val="both"/>
        <w:rPr>
          <w:rFonts w:eastAsia="Times New Roman"/>
          <w:sz w:val="24"/>
        </w:rPr>
      </w:pPr>
      <w:r>
        <w:rPr>
          <w:rFonts w:eastAsia="Times New Roman"/>
          <w:sz w:val="24"/>
        </w:rPr>
        <w:t>Odugbemi, T. (Ed.). (200</w:t>
      </w:r>
      <w:r>
        <w:rPr>
          <w:rFonts w:eastAsia="Times New Roman"/>
          <w:sz w:val="24"/>
        </w:rPr>
        <w:t>8). </w:t>
      </w:r>
      <w:r>
        <w:rPr>
          <w:rFonts w:eastAsia="Times New Roman"/>
          <w:i/>
          <w:iCs/>
          <w:sz w:val="24"/>
        </w:rPr>
        <w:t>Outlines and pictures of medicinal plants from Nigeria</w:t>
      </w:r>
      <w:r>
        <w:rPr>
          <w:rFonts w:eastAsia="Times New Roman"/>
          <w:sz w:val="24"/>
        </w:rPr>
        <w:t>. Tolu Odugbemi.</w:t>
      </w:r>
    </w:p>
    <w:p w:rsidR="00995829" w:rsidRDefault="00C7064C">
      <w:pPr>
        <w:spacing w:after="0" w:line="480" w:lineRule="auto"/>
        <w:ind w:left="810" w:hanging="810"/>
        <w:jc w:val="both"/>
        <w:rPr>
          <w:rFonts w:eastAsia="Times New Roman"/>
          <w:sz w:val="24"/>
        </w:rPr>
      </w:pPr>
      <w:r>
        <w:rPr>
          <w:rFonts w:eastAsia="Times New Roman"/>
          <w:sz w:val="24"/>
        </w:rPr>
        <w:t xml:space="preserve">Okoli, B. E., Ezeabara, C. A., and Omaliko, C. P. (2012). Proximate and mineral composition of some traditional vegetables in Nigeria. </w:t>
      </w:r>
      <w:r>
        <w:rPr>
          <w:rFonts w:eastAsia="Times New Roman"/>
          <w:i/>
          <w:iCs/>
          <w:sz w:val="24"/>
        </w:rPr>
        <w:t>Journal of Medicinal Plants Research, 6</w:t>
      </w:r>
      <w:r>
        <w:rPr>
          <w:rFonts w:eastAsia="Times New Roman"/>
          <w:sz w:val="24"/>
        </w:rPr>
        <w:t>(6), 87</w:t>
      </w:r>
      <w:r>
        <w:rPr>
          <w:rFonts w:eastAsia="Times New Roman"/>
          <w:sz w:val="24"/>
        </w:rPr>
        <w:t>2–875.</w:t>
      </w:r>
    </w:p>
    <w:p w:rsidR="00995829" w:rsidRDefault="00C7064C">
      <w:pPr>
        <w:spacing w:after="0" w:line="480" w:lineRule="auto"/>
        <w:ind w:left="810" w:hanging="810"/>
        <w:jc w:val="both"/>
        <w:rPr>
          <w:sz w:val="24"/>
        </w:rPr>
      </w:pPr>
      <w:r>
        <w:rPr>
          <w:sz w:val="24"/>
        </w:rPr>
        <w:t>Okwu, D. E., and Josiah, C. (2006). Evaluation of the chemical composition of two Nigerian medicinal plants. </w:t>
      </w:r>
      <w:r>
        <w:rPr>
          <w:i/>
          <w:iCs/>
          <w:sz w:val="24"/>
        </w:rPr>
        <w:t>African journal of Biotechnology</w:t>
      </w:r>
      <w:r>
        <w:rPr>
          <w:sz w:val="24"/>
        </w:rPr>
        <w:t>, </w:t>
      </w:r>
      <w:r>
        <w:rPr>
          <w:i/>
          <w:iCs/>
          <w:sz w:val="24"/>
        </w:rPr>
        <w:t>5</w:t>
      </w:r>
      <w:r>
        <w:rPr>
          <w:sz w:val="24"/>
        </w:rPr>
        <w:t>(4), 357-361.</w:t>
      </w:r>
    </w:p>
    <w:p w:rsidR="00995829" w:rsidRDefault="00C7064C">
      <w:pPr>
        <w:spacing w:after="0" w:line="480" w:lineRule="auto"/>
        <w:ind w:left="810" w:hanging="810"/>
        <w:jc w:val="both"/>
        <w:rPr>
          <w:sz w:val="24"/>
        </w:rPr>
      </w:pPr>
      <w:r>
        <w:rPr>
          <w:sz w:val="24"/>
        </w:rPr>
        <w:t>Okwuosa, C. N., Azubike, N. C., and Nebo, I. I. (2011). Evaluation of the anti-hyperglycemi</w:t>
      </w:r>
      <w:r>
        <w:rPr>
          <w:sz w:val="24"/>
        </w:rPr>
        <w:t xml:space="preserve">c activity of the crude leaf extracts of </w:t>
      </w:r>
      <w:r>
        <w:rPr>
          <w:i/>
          <w:sz w:val="24"/>
        </w:rPr>
        <w:t>Sidaacuta</w:t>
      </w:r>
      <w:r>
        <w:rPr>
          <w:sz w:val="24"/>
        </w:rPr>
        <w:t xml:space="preserve"> in normal and diabetic rabbits.</w:t>
      </w:r>
    </w:p>
    <w:p w:rsidR="00995829" w:rsidRDefault="00C7064C">
      <w:pPr>
        <w:spacing w:after="0" w:line="480" w:lineRule="auto"/>
        <w:ind w:left="810" w:hanging="810"/>
        <w:jc w:val="both"/>
        <w:rPr>
          <w:sz w:val="24"/>
        </w:rPr>
      </w:pPr>
      <w:r>
        <w:rPr>
          <w:sz w:val="24"/>
        </w:rPr>
        <w:t xml:space="preserve">Olayemi, A. B., Fawole, A. O., and Adenuga, A. A. (2011). Proximate composition and antimicrobial activity of </w:t>
      </w:r>
      <w:r>
        <w:rPr>
          <w:rStyle w:val="Emphasis"/>
          <w:sz w:val="24"/>
        </w:rPr>
        <w:t xml:space="preserve">Sidaacuta </w:t>
      </w:r>
      <w:r>
        <w:rPr>
          <w:sz w:val="24"/>
        </w:rPr>
        <w:t xml:space="preserve">Burm. F. </w:t>
      </w:r>
      <w:r>
        <w:rPr>
          <w:rStyle w:val="Emphasis"/>
          <w:sz w:val="24"/>
        </w:rPr>
        <w:t>African Journal of Microbiology Research, 5</w:t>
      </w:r>
      <w:r>
        <w:rPr>
          <w:sz w:val="24"/>
        </w:rPr>
        <w:t xml:space="preserve">(18), 2590–2594. </w:t>
      </w:r>
      <w:hyperlink r:id="rId15" w:history="1">
        <w:r>
          <w:rPr>
            <w:rStyle w:val="Hyperlink"/>
            <w:sz w:val="24"/>
          </w:rPr>
          <w:t>https://doi.org/10.5897/AJMR</w:t>
        </w:r>
      </w:hyperlink>
      <w:r>
        <w:rPr>
          <w:sz w:val="24"/>
        </w:rPr>
        <w:t>. 9000310.</w:t>
      </w:r>
    </w:p>
    <w:p w:rsidR="00995829" w:rsidRDefault="00C7064C">
      <w:pPr>
        <w:spacing w:after="0" w:line="480" w:lineRule="auto"/>
        <w:ind w:left="810" w:hanging="810"/>
        <w:jc w:val="both"/>
        <w:rPr>
          <w:rFonts w:eastAsia="Times New Roman"/>
          <w:sz w:val="24"/>
        </w:rPr>
      </w:pPr>
      <w:r>
        <w:rPr>
          <w:rFonts w:eastAsia="Times New Roman"/>
          <w:sz w:val="24"/>
        </w:rPr>
        <w:t xml:space="preserve">Olayemi, A. B., Fawole, A. O., and Adenuga, A. A. (2011). Proximate composition and antimicrobial activity of </w:t>
      </w:r>
      <w:r>
        <w:rPr>
          <w:rFonts w:eastAsia="Times New Roman"/>
          <w:i/>
          <w:iCs/>
          <w:sz w:val="24"/>
        </w:rPr>
        <w:t xml:space="preserve">Sidaacuta </w:t>
      </w:r>
      <w:r>
        <w:rPr>
          <w:rFonts w:eastAsia="Times New Roman"/>
          <w:sz w:val="24"/>
        </w:rPr>
        <w:t xml:space="preserve">Burm. F. </w:t>
      </w:r>
      <w:r>
        <w:rPr>
          <w:rFonts w:eastAsia="Times New Roman"/>
          <w:i/>
          <w:iCs/>
          <w:sz w:val="24"/>
        </w:rPr>
        <w:t>African Journal of Microbio</w:t>
      </w:r>
      <w:r>
        <w:rPr>
          <w:rFonts w:eastAsia="Times New Roman"/>
          <w:i/>
          <w:iCs/>
          <w:sz w:val="24"/>
        </w:rPr>
        <w:t>logy Research, 5</w:t>
      </w:r>
      <w:r>
        <w:rPr>
          <w:rFonts w:eastAsia="Times New Roman"/>
          <w:sz w:val="24"/>
        </w:rPr>
        <w:t xml:space="preserve">(18), 2590–2594. </w:t>
      </w:r>
      <w:hyperlink r:id="rId16" w:history="1">
        <w:r>
          <w:rPr>
            <w:rStyle w:val="Hyperlink"/>
            <w:rFonts w:eastAsia="Times New Roman"/>
            <w:sz w:val="24"/>
          </w:rPr>
          <w:t>https://doi.org/10.5897/AJMR</w:t>
        </w:r>
      </w:hyperlink>
      <w:r>
        <w:rPr>
          <w:rFonts w:eastAsia="Times New Roman"/>
          <w:sz w:val="24"/>
        </w:rPr>
        <w:t>. 9000310</w:t>
      </w:r>
    </w:p>
    <w:p w:rsidR="00995829" w:rsidRDefault="00C7064C">
      <w:pPr>
        <w:spacing w:after="0" w:line="480" w:lineRule="auto"/>
        <w:ind w:left="810" w:hanging="810"/>
        <w:jc w:val="both"/>
        <w:rPr>
          <w:rFonts w:eastAsia="Times New Roman"/>
          <w:sz w:val="24"/>
        </w:rPr>
      </w:pPr>
      <w:r>
        <w:rPr>
          <w:rFonts w:eastAsia="Times New Roman"/>
          <w:sz w:val="24"/>
        </w:rPr>
        <w:lastRenderedPageBreak/>
        <w:t>Omotayo, A. O., Aremu, A. O., and Afolayan, A. J. (2017). Assessing the nutritional quality of underutilized leafy vegetables in South Africa</w:t>
      </w:r>
      <w:r>
        <w:rPr>
          <w:rFonts w:eastAsia="Times New Roman"/>
          <w:sz w:val="24"/>
        </w:rPr>
        <w:t xml:space="preserve">. </w:t>
      </w:r>
      <w:r>
        <w:rPr>
          <w:rFonts w:eastAsia="Times New Roman"/>
          <w:i/>
          <w:iCs/>
          <w:sz w:val="24"/>
        </w:rPr>
        <w:t>South African Journal of Botany, 108</w:t>
      </w:r>
      <w:r>
        <w:rPr>
          <w:rFonts w:eastAsia="Times New Roman"/>
          <w:sz w:val="24"/>
        </w:rPr>
        <w:t>, 1–6.</w:t>
      </w:r>
    </w:p>
    <w:p w:rsidR="00995829" w:rsidRDefault="00C7064C">
      <w:pPr>
        <w:spacing w:after="0" w:line="480" w:lineRule="auto"/>
        <w:ind w:left="810" w:hanging="810"/>
        <w:jc w:val="both"/>
        <w:rPr>
          <w:sz w:val="24"/>
        </w:rPr>
      </w:pPr>
      <w:r>
        <w:rPr>
          <w:sz w:val="24"/>
        </w:rPr>
        <w:t>Orech, F. O., Akenga, T., Ochora, J., Friis, H., and Aagaard-Hansen, J. (2005). Potential toxicity of some traditional leafy vegetables consumed in Nyang’oma Division, Western Kenya. </w:t>
      </w:r>
      <w:r>
        <w:rPr>
          <w:i/>
          <w:iCs/>
          <w:sz w:val="24"/>
        </w:rPr>
        <w:t>African Journal of Food, Agr</w:t>
      </w:r>
      <w:r>
        <w:rPr>
          <w:i/>
          <w:iCs/>
          <w:sz w:val="24"/>
        </w:rPr>
        <w:t>iculture, Nutrition and Development</w:t>
      </w:r>
      <w:r>
        <w:rPr>
          <w:sz w:val="24"/>
        </w:rPr>
        <w:t>, </w:t>
      </w:r>
      <w:r>
        <w:rPr>
          <w:i/>
          <w:iCs/>
          <w:sz w:val="24"/>
        </w:rPr>
        <w:t>5</w:t>
      </w:r>
      <w:r>
        <w:rPr>
          <w:sz w:val="24"/>
        </w:rPr>
        <w:t>(1).</w:t>
      </w:r>
    </w:p>
    <w:p w:rsidR="00995829" w:rsidRDefault="00C7064C">
      <w:pPr>
        <w:spacing w:after="0" w:line="480" w:lineRule="auto"/>
        <w:ind w:left="810" w:hanging="810"/>
        <w:jc w:val="both"/>
        <w:rPr>
          <w:sz w:val="24"/>
        </w:rPr>
      </w:pPr>
      <w:r>
        <w:rPr>
          <w:sz w:val="24"/>
        </w:rPr>
        <w:t xml:space="preserve">Otero, R., Núñez, V., Barona, J., Fonnegra, R., Jiménez, S. L., Osorio, R. G., ... and Dıaz, A. (2000). Snakebites and ethnobotany in the northwest region of Colombia: Part III: Neutralization of the haemorrhagic </w:t>
      </w:r>
      <w:r>
        <w:rPr>
          <w:sz w:val="24"/>
        </w:rPr>
        <w:t>effect of Bothropsatrox venom. </w:t>
      </w:r>
      <w:r>
        <w:rPr>
          <w:i/>
          <w:iCs/>
          <w:sz w:val="24"/>
        </w:rPr>
        <w:t>Journal of ethnopharmacology</w:t>
      </w:r>
      <w:r>
        <w:rPr>
          <w:sz w:val="24"/>
        </w:rPr>
        <w:t>, </w:t>
      </w:r>
      <w:r>
        <w:rPr>
          <w:i/>
          <w:iCs/>
          <w:sz w:val="24"/>
        </w:rPr>
        <w:t>73</w:t>
      </w:r>
      <w:r>
        <w:rPr>
          <w:sz w:val="24"/>
        </w:rPr>
        <w:t>(1-2), 233-241.</w:t>
      </w:r>
    </w:p>
    <w:p w:rsidR="00995829" w:rsidRDefault="00C7064C">
      <w:pPr>
        <w:spacing w:after="0" w:line="480" w:lineRule="auto"/>
        <w:ind w:left="810" w:hanging="810"/>
        <w:jc w:val="both"/>
        <w:rPr>
          <w:sz w:val="24"/>
        </w:rPr>
      </w:pPr>
      <w:r>
        <w:rPr>
          <w:sz w:val="24"/>
        </w:rPr>
        <w:t xml:space="preserve">Oyedepo, J. A., Akinyemi, K. O., and Oladele, A. O. (2016). Nutritional and phytochemical evaluation of </w:t>
      </w:r>
      <w:r>
        <w:rPr>
          <w:rStyle w:val="Emphasis"/>
          <w:sz w:val="24"/>
        </w:rPr>
        <w:t>Sidaacuta</w:t>
      </w:r>
      <w:r>
        <w:rPr>
          <w:sz w:val="24"/>
        </w:rPr>
        <w:t xml:space="preserve"> leaves. </w:t>
      </w:r>
      <w:r>
        <w:rPr>
          <w:rStyle w:val="Emphasis"/>
          <w:sz w:val="24"/>
        </w:rPr>
        <w:t>Journal of Medicinal Plants Studies, 4</w:t>
      </w:r>
      <w:r>
        <w:rPr>
          <w:sz w:val="24"/>
        </w:rPr>
        <w:t>(3), 1–5.</w:t>
      </w:r>
    </w:p>
    <w:p w:rsidR="00995829" w:rsidRDefault="00C7064C">
      <w:pPr>
        <w:spacing w:after="0" w:line="480" w:lineRule="auto"/>
        <w:ind w:left="810" w:hanging="810"/>
        <w:jc w:val="both"/>
        <w:rPr>
          <w:rFonts w:eastAsia="Times New Roman"/>
          <w:sz w:val="24"/>
        </w:rPr>
      </w:pPr>
      <w:r>
        <w:rPr>
          <w:rFonts w:eastAsia="Times New Roman"/>
          <w:sz w:val="24"/>
        </w:rPr>
        <w:t>Pimple,</w:t>
      </w:r>
      <w:r>
        <w:rPr>
          <w:rFonts w:eastAsia="Times New Roman"/>
          <w:sz w:val="24"/>
        </w:rPr>
        <w:t xml:space="preserve"> B. P., Kadam, P. V., Patil, M. J., and Kothari, R. M. (2007). Hepatoprotective and antioxidant activity of ethanolic extract of </w:t>
      </w:r>
      <w:r>
        <w:rPr>
          <w:rFonts w:eastAsia="Times New Roman"/>
          <w:i/>
          <w:iCs/>
          <w:sz w:val="24"/>
        </w:rPr>
        <w:t xml:space="preserve">Sidaacuta </w:t>
      </w:r>
      <w:r>
        <w:rPr>
          <w:rFonts w:eastAsia="Times New Roman"/>
          <w:sz w:val="24"/>
        </w:rPr>
        <w:t xml:space="preserve">Burm. </w:t>
      </w:r>
      <w:r>
        <w:rPr>
          <w:rFonts w:eastAsia="Times New Roman"/>
          <w:i/>
          <w:iCs/>
          <w:sz w:val="24"/>
        </w:rPr>
        <w:t>Journal of Ethnopharmacology, 110</w:t>
      </w:r>
      <w:r>
        <w:rPr>
          <w:rFonts w:eastAsia="Times New Roman"/>
          <w:sz w:val="24"/>
        </w:rPr>
        <w:t>(3), 486–490.</w:t>
      </w:r>
    </w:p>
    <w:p w:rsidR="00995829" w:rsidRDefault="00C7064C">
      <w:pPr>
        <w:spacing w:after="0" w:line="480" w:lineRule="auto"/>
        <w:ind w:left="810" w:hanging="810"/>
        <w:jc w:val="both"/>
        <w:rPr>
          <w:rFonts w:eastAsia="Times New Roman"/>
          <w:sz w:val="24"/>
        </w:rPr>
      </w:pPr>
      <w:r>
        <w:rPr>
          <w:rFonts w:eastAsia="Times New Roman"/>
          <w:sz w:val="24"/>
        </w:rPr>
        <w:t>Raimi, M. M., Oyekanmi, A. M., and Adegoke, B. M. (2014). Proxim</w:t>
      </w:r>
      <w:r>
        <w:rPr>
          <w:rFonts w:eastAsia="Times New Roman"/>
          <w:sz w:val="24"/>
        </w:rPr>
        <w:t xml:space="preserve">ate, phytochemical and micronutrient composition of </w:t>
      </w:r>
      <w:r>
        <w:rPr>
          <w:rFonts w:eastAsia="Times New Roman"/>
          <w:i/>
          <w:iCs/>
          <w:sz w:val="24"/>
        </w:rPr>
        <w:t>Sidaacuta.</w:t>
      </w:r>
      <w:r>
        <w:rPr>
          <w:rFonts w:eastAsia="Times New Roman"/>
          <w:sz w:val="24"/>
        </w:rPr>
        <w:t> </w:t>
      </w:r>
      <w:r>
        <w:rPr>
          <w:rFonts w:eastAsia="Times New Roman"/>
          <w:i/>
          <w:iCs/>
          <w:sz w:val="24"/>
        </w:rPr>
        <w:t>J. Appl. Chem</w:t>
      </w:r>
      <w:r>
        <w:rPr>
          <w:rFonts w:eastAsia="Times New Roman"/>
          <w:sz w:val="24"/>
        </w:rPr>
        <w:t>, </w:t>
      </w:r>
      <w:r>
        <w:rPr>
          <w:rFonts w:eastAsia="Times New Roman"/>
          <w:i/>
          <w:iCs/>
          <w:sz w:val="24"/>
        </w:rPr>
        <w:t>7</w:t>
      </w:r>
      <w:r>
        <w:rPr>
          <w:rFonts w:eastAsia="Times New Roman"/>
          <w:sz w:val="24"/>
        </w:rPr>
        <w:t>(2), 93-98.</w:t>
      </w:r>
    </w:p>
    <w:p w:rsidR="00995829" w:rsidRDefault="00C7064C">
      <w:pPr>
        <w:spacing w:after="0" w:line="480" w:lineRule="auto"/>
        <w:ind w:left="810" w:hanging="810"/>
        <w:jc w:val="both"/>
        <w:rPr>
          <w:color w:val="222222"/>
          <w:sz w:val="24"/>
          <w:shd w:val="clear" w:color="auto" w:fill="FFFFFF"/>
        </w:rPr>
      </w:pPr>
      <w:r>
        <w:rPr>
          <w:color w:val="222222"/>
          <w:sz w:val="24"/>
          <w:shd w:val="clear" w:color="auto" w:fill="FFFFFF"/>
        </w:rPr>
        <w:lastRenderedPageBreak/>
        <w:t>Shittu, M. D., and Alagbe, J. O. (2020). Phyto-nutritional profiles of broom weed (</w:t>
      </w:r>
      <w:r>
        <w:rPr>
          <w:i/>
          <w:color w:val="222222"/>
          <w:sz w:val="24"/>
          <w:shd w:val="clear" w:color="auto" w:fill="FFFFFF"/>
        </w:rPr>
        <w:t>Sidaacuta</w:t>
      </w:r>
      <w:r>
        <w:rPr>
          <w:color w:val="222222"/>
          <w:sz w:val="24"/>
          <w:shd w:val="clear" w:color="auto" w:fill="FFFFFF"/>
        </w:rPr>
        <w:t>) leaf extract. </w:t>
      </w:r>
      <w:r>
        <w:rPr>
          <w:i/>
          <w:iCs/>
          <w:color w:val="222222"/>
          <w:sz w:val="24"/>
          <w:shd w:val="clear" w:color="auto" w:fill="FFFFFF"/>
        </w:rPr>
        <w:t>Annals of Clinical Toxicology</w:t>
      </w:r>
      <w:r>
        <w:rPr>
          <w:color w:val="222222"/>
          <w:sz w:val="24"/>
          <w:shd w:val="clear" w:color="auto" w:fill="FFFFFF"/>
        </w:rPr>
        <w:t>, </w:t>
      </w:r>
      <w:r>
        <w:rPr>
          <w:i/>
          <w:iCs/>
          <w:color w:val="222222"/>
          <w:sz w:val="24"/>
          <w:shd w:val="clear" w:color="auto" w:fill="FFFFFF"/>
        </w:rPr>
        <w:t>3</w:t>
      </w:r>
      <w:r>
        <w:rPr>
          <w:color w:val="222222"/>
          <w:sz w:val="24"/>
          <w:shd w:val="clear" w:color="auto" w:fill="FFFFFF"/>
        </w:rPr>
        <w:t>(2).</w:t>
      </w:r>
    </w:p>
    <w:p w:rsidR="00995829" w:rsidRDefault="00C7064C">
      <w:pPr>
        <w:spacing w:after="0" w:line="480" w:lineRule="auto"/>
        <w:ind w:left="810" w:hanging="810"/>
        <w:jc w:val="both"/>
        <w:rPr>
          <w:rFonts w:eastAsia="Times New Roman"/>
          <w:sz w:val="24"/>
        </w:rPr>
      </w:pPr>
      <w:r>
        <w:rPr>
          <w:sz w:val="24"/>
        </w:rPr>
        <w:t xml:space="preserve">Siddhuraju, P., and </w:t>
      </w:r>
      <w:r>
        <w:rPr>
          <w:sz w:val="24"/>
        </w:rPr>
        <w:t>Becker, K. (2003). Antioxidant properties of various solvent extracts of total phenolic constituents from three different agroclimatic origins of drumstick tree (Moringa oleifera Lam.) leaves. </w:t>
      </w:r>
      <w:r>
        <w:rPr>
          <w:i/>
          <w:iCs/>
          <w:sz w:val="24"/>
        </w:rPr>
        <w:t>Journal of agricultural and food chemistry</w:t>
      </w:r>
      <w:r>
        <w:rPr>
          <w:sz w:val="24"/>
        </w:rPr>
        <w:t>, </w:t>
      </w:r>
      <w:r>
        <w:rPr>
          <w:i/>
          <w:iCs/>
          <w:sz w:val="24"/>
        </w:rPr>
        <w:t>51</w:t>
      </w:r>
      <w:r>
        <w:rPr>
          <w:sz w:val="24"/>
        </w:rPr>
        <w:t>(8), 2144-2155.</w:t>
      </w:r>
    </w:p>
    <w:p w:rsidR="00995829" w:rsidRDefault="00C7064C">
      <w:pPr>
        <w:spacing w:after="0" w:line="480" w:lineRule="auto"/>
        <w:ind w:left="810" w:hanging="810"/>
        <w:jc w:val="both"/>
        <w:rPr>
          <w:rFonts w:eastAsia="Times New Roman"/>
          <w:sz w:val="24"/>
        </w:rPr>
      </w:pPr>
      <w:r>
        <w:rPr>
          <w:rFonts w:eastAsia="Times New Roman"/>
          <w:sz w:val="24"/>
        </w:rPr>
        <w:t>S</w:t>
      </w:r>
      <w:r>
        <w:rPr>
          <w:rFonts w:eastAsia="Times New Roman"/>
          <w:sz w:val="24"/>
        </w:rPr>
        <w:t>ofowora, A. (1993). Medicinal plants and traditional medicine in Africa. Ibadan. </w:t>
      </w:r>
      <w:r>
        <w:rPr>
          <w:rFonts w:eastAsia="Times New Roman"/>
          <w:i/>
          <w:iCs/>
          <w:sz w:val="24"/>
        </w:rPr>
        <w:t>Nigeria: Spectrum Books Ltd</w:t>
      </w:r>
      <w:r>
        <w:rPr>
          <w:rFonts w:eastAsia="Times New Roman"/>
          <w:sz w:val="24"/>
        </w:rPr>
        <w:t>, 191-289.</w:t>
      </w:r>
    </w:p>
    <w:p w:rsidR="00995829" w:rsidRDefault="00C7064C">
      <w:pPr>
        <w:spacing w:after="0" w:line="480" w:lineRule="auto"/>
        <w:ind w:left="810" w:hanging="810"/>
        <w:jc w:val="both"/>
        <w:rPr>
          <w:sz w:val="24"/>
          <w:shd w:val="clear" w:color="auto" w:fill="FFFFFF"/>
        </w:rPr>
      </w:pPr>
      <w:r>
        <w:rPr>
          <w:sz w:val="24"/>
          <w:shd w:val="clear" w:color="auto" w:fill="FFFFFF"/>
        </w:rPr>
        <w:t>Stanley, M. C., Ifeanyi, O. E., Chinedum, O. K., and Chinenye, N. D. (2014). The antibacterial activity of leaf extracts of Ocimumgratiss</w:t>
      </w:r>
      <w:r>
        <w:rPr>
          <w:sz w:val="24"/>
          <w:shd w:val="clear" w:color="auto" w:fill="FFFFFF"/>
        </w:rPr>
        <w:t xml:space="preserve">imum and </w:t>
      </w:r>
      <w:r>
        <w:rPr>
          <w:i/>
          <w:sz w:val="24"/>
          <w:shd w:val="clear" w:color="auto" w:fill="FFFFFF"/>
        </w:rPr>
        <w:t>Sidaacuta</w:t>
      </w:r>
      <w:r>
        <w:rPr>
          <w:sz w:val="24"/>
          <w:shd w:val="clear" w:color="auto" w:fill="FFFFFF"/>
        </w:rPr>
        <w:t>. </w:t>
      </w:r>
      <w:r>
        <w:rPr>
          <w:i/>
          <w:iCs/>
          <w:sz w:val="24"/>
          <w:shd w:val="clear" w:color="auto" w:fill="FFFFFF"/>
        </w:rPr>
        <w:t>International Journal of Microbiological Research</w:t>
      </w:r>
      <w:r>
        <w:rPr>
          <w:sz w:val="24"/>
          <w:shd w:val="clear" w:color="auto" w:fill="FFFFFF"/>
        </w:rPr>
        <w:t>, </w:t>
      </w:r>
      <w:r>
        <w:rPr>
          <w:i/>
          <w:iCs/>
          <w:sz w:val="24"/>
          <w:shd w:val="clear" w:color="auto" w:fill="FFFFFF"/>
        </w:rPr>
        <w:t>5</w:t>
      </w:r>
      <w:r>
        <w:rPr>
          <w:sz w:val="24"/>
          <w:shd w:val="clear" w:color="auto" w:fill="FFFFFF"/>
        </w:rPr>
        <w:t>(2), 124-129.</w:t>
      </w:r>
    </w:p>
    <w:p w:rsidR="00995829" w:rsidRDefault="00C7064C">
      <w:pPr>
        <w:spacing w:after="0" w:line="480" w:lineRule="auto"/>
        <w:ind w:left="810" w:hanging="810"/>
        <w:jc w:val="both"/>
        <w:rPr>
          <w:rFonts w:eastAsia="Times New Roman"/>
          <w:sz w:val="24"/>
        </w:rPr>
      </w:pPr>
      <w:r>
        <w:rPr>
          <w:rFonts w:eastAsia="Times New Roman"/>
          <w:sz w:val="24"/>
        </w:rPr>
        <w:t>Teles, U. M., Fernandes, F. A., Rodrigues, S., Lima, A. S., Maia, G. A., and Figueiredo, R. W. (2006). Optimization of osmotic dehydration of melons followed by air-dryin</w:t>
      </w:r>
      <w:r>
        <w:rPr>
          <w:rFonts w:eastAsia="Times New Roman"/>
          <w:sz w:val="24"/>
        </w:rPr>
        <w:t>g. </w:t>
      </w:r>
      <w:r>
        <w:rPr>
          <w:rFonts w:eastAsia="Times New Roman"/>
          <w:i/>
          <w:iCs/>
          <w:sz w:val="24"/>
        </w:rPr>
        <w:t>International Journal of Food Science and Technology</w:t>
      </w:r>
      <w:r>
        <w:rPr>
          <w:rFonts w:eastAsia="Times New Roman"/>
          <w:sz w:val="24"/>
        </w:rPr>
        <w:t>, </w:t>
      </w:r>
      <w:r>
        <w:rPr>
          <w:rFonts w:eastAsia="Times New Roman"/>
          <w:i/>
          <w:iCs/>
          <w:sz w:val="24"/>
        </w:rPr>
        <w:t>41</w:t>
      </w:r>
      <w:r>
        <w:rPr>
          <w:rFonts w:eastAsia="Times New Roman"/>
          <w:sz w:val="24"/>
        </w:rPr>
        <w:t>(6), 674-680.</w:t>
      </w:r>
    </w:p>
    <w:p w:rsidR="00995829" w:rsidRDefault="00C7064C">
      <w:pPr>
        <w:spacing w:after="0" w:line="480" w:lineRule="auto"/>
        <w:ind w:left="810" w:hanging="810"/>
        <w:jc w:val="both"/>
        <w:rPr>
          <w:rFonts w:eastAsia="Times New Roman"/>
          <w:sz w:val="24"/>
        </w:rPr>
      </w:pPr>
      <w:r>
        <w:rPr>
          <w:rFonts w:eastAsia="Times New Roman"/>
          <w:sz w:val="24"/>
        </w:rPr>
        <w:t>Whitecross, M. A., Witkowski, E. T. F., and Archibald, S. (2017). Savanna tree-grass interactions: A phenological investigation of green-up in relation to water availability over thre</w:t>
      </w:r>
      <w:r>
        <w:rPr>
          <w:rFonts w:eastAsia="Times New Roman"/>
          <w:sz w:val="24"/>
        </w:rPr>
        <w:t>e seasons. </w:t>
      </w:r>
      <w:r>
        <w:rPr>
          <w:rFonts w:eastAsia="Times New Roman"/>
          <w:i/>
          <w:iCs/>
          <w:sz w:val="24"/>
        </w:rPr>
        <w:t>South African Journal of Botany</w:t>
      </w:r>
      <w:r>
        <w:rPr>
          <w:rFonts w:eastAsia="Times New Roman"/>
          <w:sz w:val="24"/>
        </w:rPr>
        <w:t>, </w:t>
      </w:r>
      <w:r>
        <w:rPr>
          <w:rFonts w:eastAsia="Times New Roman"/>
          <w:i/>
          <w:iCs/>
          <w:sz w:val="24"/>
        </w:rPr>
        <w:t>108</w:t>
      </w:r>
      <w:r>
        <w:rPr>
          <w:rFonts w:eastAsia="Times New Roman"/>
          <w:sz w:val="24"/>
        </w:rPr>
        <w:t>, 29-40.</w:t>
      </w:r>
    </w:p>
    <w:p w:rsidR="00995829" w:rsidRDefault="00995829">
      <w:pPr>
        <w:spacing w:after="0" w:line="480" w:lineRule="auto"/>
        <w:jc w:val="both"/>
        <w:rPr>
          <w:sz w:val="24"/>
        </w:rPr>
      </w:pPr>
    </w:p>
    <w:p w:rsidR="00995829" w:rsidRDefault="00995829"/>
    <w:sectPr w:rsidR="00995829" w:rsidSect="00995829">
      <w:pgSz w:w="12240" w:h="15840"/>
      <w:pgMar w:top="1440" w:right="1800" w:bottom="288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64C" w:rsidRDefault="00C7064C">
      <w:pPr>
        <w:spacing w:line="240" w:lineRule="auto"/>
      </w:pPr>
      <w:r>
        <w:separator/>
      </w:r>
    </w:p>
  </w:endnote>
  <w:endnote w:type="continuationSeparator" w:id="1">
    <w:p w:rsidR="00C7064C" w:rsidRDefault="00C706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3886"/>
      <w:docPartObj>
        <w:docPartGallery w:val="AutoText"/>
      </w:docPartObj>
    </w:sdtPr>
    <w:sdtContent>
      <w:p w:rsidR="00995829" w:rsidRDefault="00995829">
        <w:pPr>
          <w:pStyle w:val="Footer"/>
          <w:jc w:val="center"/>
        </w:pPr>
        <w:r>
          <w:rPr>
            <w:sz w:val="22"/>
            <w:szCs w:val="22"/>
          </w:rPr>
          <w:fldChar w:fldCharType="begin"/>
        </w:r>
        <w:r w:rsidR="00C7064C">
          <w:rPr>
            <w:sz w:val="22"/>
            <w:szCs w:val="22"/>
          </w:rPr>
          <w:instrText xml:space="preserve"> PAGE   \* MERGEFORMAT </w:instrText>
        </w:r>
        <w:r>
          <w:rPr>
            <w:sz w:val="22"/>
            <w:szCs w:val="22"/>
          </w:rPr>
          <w:fldChar w:fldCharType="separate"/>
        </w:r>
        <w:r w:rsidR="00433480">
          <w:rPr>
            <w:noProof/>
            <w:sz w:val="22"/>
            <w:szCs w:val="22"/>
          </w:rPr>
          <w:t>ii</w:t>
        </w:r>
        <w:r>
          <w:rPr>
            <w:sz w:val="22"/>
            <w:szCs w:val="22"/>
          </w:rPr>
          <w:fldChar w:fldCharType="end"/>
        </w:r>
      </w:p>
    </w:sdtContent>
  </w:sdt>
  <w:p w:rsidR="00995829" w:rsidRDefault="009958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64C" w:rsidRDefault="00C7064C">
      <w:pPr>
        <w:spacing w:after="0"/>
      </w:pPr>
      <w:r>
        <w:separator/>
      </w:r>
    </w:p>
  </w:footnote>
  <w:footnote w:type="continuationSeparator" w:id="1">
    <w:p w:rsidR="00C7064C" w:rsidRDefault="00C7064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7DA5AA1"/>
    <w:multiLevelType w:val="multilevel"/>
    <w:tmpl w:val="07DA5AA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73B498E"/>
    <w:multiLevelType w:val="multilevel"/>
    <w:tmpl w:val="273B49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43530B57"/>
    <w:multiLevelType w:val="multilevel"/>
    <w:tmpl w:val="43530B5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747A4E63"/>
    <w:multiLevelType w:val="multilevel"/>
    <w:tmpl w:val="747A4E63"/>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5329"/>
    <w:rsid w:val="002A796E"/>
    <w:rsid w:val="00313666"/>
    <w:rsid w:val="003908DB"/>
    <w:rsid w:val="00433480"/>
    <w:rsid w:val="004D3401"/>
    <w:rsid w:val="005C1AB2"/>
    <w:rsid w:val="006A29E2"/>
    <w:rsid w:val="007B3EFE"/>
    <w:rsid w:val="00825325"/>
    <w:rsid w:val="00995829"/>
    <w:rsid w:val="00A413E0"/>
    <w:rsid w:val="00C60AA9"/>
    <w:rsid w:val="00C7064C"/>
    <w:rsid w:val="00C76968"/>
    <w:rsid w:val="00D55B52"/>
    <w:rsid w:val="00EB4C9D"/>
    <w:rsid w:val="00F05329"/>
    <w:rsid w:val="00F5641B"/>
    <w:rsid w:val="03975F58"/>
    <w:rsid w:val="06917A78"/>
    <w:rsid w:val="41B022B1"/>
    <w:rsid w:val="49D173FC"/>
    <w:rsid w:val="4F4020DD"/>
    <w:rsid w:val="68204A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List Bullet"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9"/>
    <w:pPr>
      <w:spacing w:after="160" w:line="259" w:lineRule="auto"/>
    </w:pPr>
    <w:rPr>
      <w:rFonts w:ascii="Times New Roman" w:hAnsi="Times New Roman" w:cs="Times New Roman"/>
      <w:sz w:val="28"/>
      <w:szCs w:val="24"/>
    </w:rPr>
  </w:style>
  <w:style w:type="paragraph" w:styleId="Heading1">
    <w:name w:val="heading 1"/>
    <w:basedOn w:val="Normal"/>
    <w:next w:val="Normal"/>
    <w:link w:val="Heading1Char"/>
    <w:uiPriority w:val="9"/>
    <w:qFormat/>
    <w:rsid w:val="00995829"/>
    <w:pPr>
      <w:keepNext/>
      <w:keepLines/>
      <w:spacing w:before="240" w:after="240"/>
      <w:outlineLvl w:val="0"/>
    </w:pPr>
    <w:rPr>
      <w:rFonts w:eastAsiaTheme="majorEastAsia" w:cstheme="majorBidi"/>
      <w:b/>
      <w:szCs w:val="32"/>
    </w:rPr>
  </w:style>
  <w:style w:type="paragraph" w:styleId="Heading2">
    <w:name w:val="heading 2"/>
    <w:basedOn w:val="Normal"/>
    <w:link w:val="Heading2Char"/>
    <w:uiPriority w:val="9"/>
    <w:qFormat/>
    <w:rsid w:val="00995829"/>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995829"/>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9958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95829"/>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995829"/>
    <w:pPr>
      <w:spacing w:after="200" w:line="240" w:lineRule="auto"/>
    </w:pPr>
    <w:rPr>
      <w:i/>
      <w:iCs/>
      <w:color w:val="1F497D" w:themeColor="text2"/>
      <w:sz w:val="18"/>
      <w:szCs w:val="18"/>
    </w:rPr>
  </w:style>
  <w:style w:type="character" w:styleId="Emphasis">
    <w:name w:val="Emphasis"/>
    <w:basedOn w:val="DefaultParagraphFont"/>
    <w:uiPriority w:val="20"/>
    <w:qFormat/>
    <w:rsid w:val="00995829"/>
    <w:rPr>
      <w:i/>
      <w:iCs/>
    </w:rPr>
  </w:style>
  <w:style w:type="paragraph" w:styleId="Footer">
    <w:name w:val="footer"/>
    <w:basedOn w:val="Normal"/>
    <w:link w:val="FooterChar"/>
    <w:uiPriority w:val="99"/>
    <w:unhideWhenUsed/>
    <w:qFormat/>
    <w:rsid w:val="00995829"/>
    <w:pPr>
      <w:tabs>
        <w:tab w:val="center" w:pos="4680"/>
        <w:tab w:val="right" w:pos="9360"/>
      </w:tabs>
      <w:spacing w:after="0" w:line="240" w:lineRule="auto"/>
    </w:pPr>
  </w:style>
  <w:style w:type="paragraph" w:styleId="Header">
    <w:name w:val="header"/>
    <w:basedOn w:val="Normal"/>
    <w:link w:val="HeaderChar"/>
    <w:uiPriority w:val="99"/>
    <w:unhideWhenUsed/>
    <w:qFormat/>
    <w:rsid w:val="00995829"/>
    <w:pPr>
      <w:tabs>
        <w:tab w:val="center" w:pos="4680"/>
        <w:tab w:val="right" w:pos="9360"/>
      </w:tabs>
      <w:spacing w:after="0" w:line="240" w:lineRule="auto"/>
    </w:pPr>
  </w:style>
  <w:style w:type="character" w:styleId="Hyperlink">
    <w:name w:val="Hyperlink"/>
    <w:basedOn w:val="DefaultParagraphFont"/>
    <w:uiPriority w:val="99"/>
    <w:unhideWhenUsed/>
    <w:qFormat/>
    <w:rsid w:val="00995829"/>
    <w:rPr>
      <w:color w:val="0000FF" w:themeColor="hyperlink"/>
      <w:u w:val="single"/>
    </w:rPr>
  </w:style>
  <w:style w:type="paragraph" w:styleId="ListBullet">
    <w:name w:val="List Bullet"/>
    <w:basedOn w:val="Normal"/>
    <w:uiPriority w:val="99"/>
    <w:unhideWhenUsed/>
    <w:qFormat/>
    <w:rsid w:val="00995829"/>
    <w:pPr>
      <w:numPr>
        <w:numId w:val="1"/>
      </w:numPr>
      <w:spacing w:after="200" w:line="276" w:lineRule="auto"/>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995829"/>
    <w:pPr>
      <w:spacing w:before="100" w:beforeAutospacing="1" w:after="100" w:afterAutospacing="1" w:line="240" w:lineRule="auto"/>
    </w:pPr>
    <w:rPr>
      <w:rFonts w:eastAsia="Times New Roman"/>
      <w:sz w:val="24"/>
    </w:rPr>
  </w:style>
  <w:style w:type="character" w:styleId="Strong">
    <w:name w:val="Strong"/>
    <w:basedOn w:val="DefaultParagraphFont"/>
    <w:uiPriority w:val="22"/>
    <w:qFormat/>
    <w:rsid w:val="00995829"/>
    <w:rPr>
      <w:b/>
      <w:bCs/>
    </w:rPr>
  </w:style>
  <w:style w:type="table" w:styleId="TableGrid">
    <w:name w:val="Table Grid"/>
    <w:basedOn w:val="TableNormal"/>
    <w:uiPriority w:val="39"/>
    <w:qFormat/>
    <w:rsid w:val="00995829"/>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995829"/>
    <w:pPr>
      <w:spacing w:after="0" w:line="480" w:lineRule="auto"/>
    </w:pPr>
  </w:style>
  <w:style w:type="paragraph" w:styleId="TOC2">
    <w:name w:val="toc 2"/>
    <w:basedOn w:val="Normal"/>
    <w:next w:val="Normal"/>
    <w:autoRedefine/>
    <w:uiPriority w:val="39"/>
    <w:unhideWhenUsed/>
    <w:qFormat/>
    <w:rsid w:val="00995829"/>
    <w:pPr>
      <w:spacing w:after="100"/>
      <w:ind w:left="280"/>
    </w:pPr>
  </w:style>
  <w:style w:type="character" w:customStyle="1" w:styleId="Heading1Char">
    <w:name w:val="Heading 1 Char"/>
    <w:basedOn w:val="DefaultParagraphFont"/>
    <w:link w:val="Heading1"/>
    <w:uiPriority w:val="9"/>
    <w:rsid w:val="0099582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qFormat/>
    <w:rsid w:val="009958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9582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qFormat/>
    <w:rsid w:val="00995829"/>
    <w:rPr>
      <w:rFonts w:asciiTheme="majorHAnsi" w:eastAsiaTheme="majorEastAsia" w:hAnsiTheme="majorHAnsi" w:cstheme="majorBidi"/>
      <w:i/>
      <w:iCs/>
      <w:color w:val="365F91" w:themeColor="accent1" w:themeShade="BF"/>
      <w:sz w:val="28"/>
      <w:szCs w:val="24"/>
    </w:rPr>
  </w:style>
  <w:style w:type="paragraph" w:styleId="ListParagraph">
    <w:name w:val="List Paragraph"/>
    <w:basedOn w:val="Normal"/>
    <w:uiPriority w:val="34"/>
    <w:qFormat/>
    <w:rsid w:val="00995829"/>
    <w:pPr>
      <w:ind w:left="720"/>
      <w:contextualSpacing/>
    </w:pPr>
  </w:style>
  <w:style w:type="character" w:customStyle="1" w:styleId="mord">
    <w:name w:val="mord"/>
    <w:basedOn w:val="DefaultParagraphFont"/>
    <w:rsid w:val="00995829"/>
  </w:style>
  <w:style w:type="character" w:customStyle="1" w:styleId="mrel">
    <w:name w:val="mrel"/>
    <w:basedOn w:val="DefaultParagraphFont"/>
    <w:qFormat/>
    <w:rsid w:val="00995829"/>
  </w:style>
  <w:style w:type="character" w:customStyle="1" w:styleId="mbin">
    <w:name w:val="mbin"/>
    <w:basedOn w:val="DefaultParagraphFont"/>
    <w:qFormat/>
    <w:rsid w:val="00995829"/>
  </w:style>
  <w:style w:type="character" w:customStyle="1" w:styleId="vlist-s">
    <w:name w:val="vlist-s"/>
    <w:basedOn w:val="DefaultParagraphFont"/>
    <w:qFormat/>
    <w:rsid w:val="00995829"/>
  </w:style>
  <w:style w:type="character" w:styleId="PlaceholderText">
    <w:name w:val="Placeholder Text"/>
    <w:basedOn w:val="DefaultParagraphFont"/>
    <w:uiPriority w:val="99"/>
    <w:semiHidden/>
    <w:qFormat/>
    <w:rsid w:val="00995829"/>
    <w:rPr>
      <w:color w:val="666666"/>
    </w:rPr>
  </w:style>
  <w:style w:type="character" w:customStyle="1" w:styleId="katex-mathml">
    <w:name w:val="katex-mathml"/>
    <w:basedOn w:val="DefaultParagraphFont"/>
    <w:rsid w:val="00995829"/>
  </w:style>
  <w:style w:type="character" w:customStyle="1" w:styleId="mopen">
    <w:name w:val="mopen"/>
    <w:basedOn w:val="DefaultParagraphFont"/>
    <w:qFormat/>
    <w:rsid w:val="00995829"/>
  </w:style>
  <w:style w:type="character" w:customStyle="1" w:styleId="mclose">
    <w:name w:val="mclose"/>
    <w:basedOn w:val="DefaultParagraphFont"/>
    <w:qFormat/>
    <w:rsid w:val="00995829"/>
  </w:style>
  <w:style w:type="paragraph" w:customStyle="1" w:styleId="TOCHeading1">
    <w:name w:val="TOC Heading1"/>
    <w:basedOn w:val="Heading1"/>
    <w:next w:val="Normal"/>
    <w:uiPriority w:val="39"/>
    <w:unhideWhenUsed/>
    <w:qFormat/>
    <w:rsid w:val="00995829"/>
    <w:pPr>
      <w:spacing w:after="0"/>
      <w:outlineLvl w:val="9"/>
    </w:pPr>
    <w:rPr>
      <w:rFonts w:asciiTheme="majorHAnsi" w:hAnsiTheme="majorHAnsi"/>
      <w:b w:val="0"/>
      <w:color w:val="365F91" w:themeColor="accent1" w:themeShade="BF"/>
      <w:sz w:val="32"/>
    </w:rPr>
  </w:style>
  <w:style w:type="character" w:customStyle="1" w:styleId="HeaderChar">
    <w:name w:val="Header Char"/>
    <w:basedOn w:val="DefaultParagraphFont"/>
    <w:link w:val="Header"/>
    <w:uiPriority w:val="99"/>
    <w:qFormat/>
    <w:rsid w:val="00995829"/>
    <w:rPr>
      <w:rFonts w:ascii="Times New Roman" w:hAnsi="Times New Roman" w:cs="Times New Roman"/>
      <w:sz w:val="28"/>
      <w:szCs w:val="24"/>
    </w:rPr>
  </w:style>
  <w:style w:type="character" w:customStyle="1" w:styleId="FooterChar">
    <w:name w:val="Footer Char"/>
    <w:basedOn w:val="DefaultParagraphFont"/>
    <w:link w:val="Footer"/>
    <w:uiPriority w:val="99"/>
    <w:qFormat/>
    <w:rsid w:val="00995829"/>
    <w:rPr>
      <w:rFonts w:ascii="Times New Roman" w:hAnsi="Times New Roman" w:cs="Times New Roman"/>
      <w:sz w:val="28"/>
      <w:szCs w:val="24"/>
    </w:rPr>
  </w:style>
  <w:style w:type="character" w:customStyle="1" w:styleId="BalloonTextChar">
    <w:name w:val="Balloon Text Char"/>
    <w:basedOn w:val="DefaultParagraphFont"/>
    <w:link w:val="BalloonText"/>
    <w:uiPriority w:val="99"/>
    <w:semiHidden/>
    <w:qFormat/>
    <w:rsid w:val="009958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hdphoto" Target="media/image4.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897/AJM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5897/AJMR"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71</Pages>
  <Words>13410</Words>
  <Characters>76437</Characters>
  <Application>Microsoft Office Word</Application>
  <DocSecurity>0</DocSecurity>
  <Lines>636</Lines>
  <Paragraphs>179</Paragraphs>
  <ScaleCrop>false</ScaleCrop>
  <Company/>
  <LinksUpToDate>false</LinksUpToDate>
  <CharactersWithSpaces>89668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USER</cp:lastModifiedBy>
  <cp:revision>4</cp:revision>
  <dcterms:created xsi:type="dcterms:W3CDTF">2025-07-12T12:11:00Z</dcterms:created>
  <dcterms:modified xsi:type="dcterms:W3CDTF">2025-08-01T11:38:00Z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845C68292DE443BE922E6E7BA56E20E3_12</vt:lpwstr>
  </property>
</Properties>
</file>