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876300" cy="638175"/>
                    </a:xfrm>
                    <a:prstGeom prst="rect">
                      <a:avLst/>
                    </a:prstGeom>
                    <a:noFill/>
                    <a:ln w="9525">
                      <a:noFill/>
                      <a:miter lim="800000"/>
                      <a:headEnd/>
                      <a:tailEnd/>
                    </a:ln>
                  </pic:spPr>
                </pic:pic>
              </a:graphicData>
            </a:graphic>
          </wp:anchor>
        </w:drawing>
      </w:r>
    </w:p>
    <w:p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sidR="004C682A">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E5296B" w:rsidRPr="005431D9" w:rsidRDefault="00DA7019" w:rsidP="00E5296B">
      <w:pPr>
        <w:jc w:val="center"/>
        <w:rPr>
          <w:rFonts w:ascii="Tahoma" w:hAnsi="Tahoma" w:cs="Tahoma"/>
          <w:b/>
          <w:bCs/>
          <w:sz w:val="42"/>
          <w:szCs w:val="26"/>
        </w:rPr>
      </w:pPr>
      <w:r>
        <w:rPr>
          <w:rFonts w:ascii="Tahoma" w:hAnsi="Tahoma" w:cs="Tahoma"/>
          <w:b/>
          <w:bCs/>
          <w:sz w:val="42"/>
          <w:szCs w:val="26"/>
        </w:rPr>
        <w:t>ADEKUNLE</w:t>
      </w:r>
      <w:r w:rsidR="00131F2C">
        <w:rPr>
          <w:rFonts w:ascii="Tahoma" w:hAnsi="Tahoma" w:cs="Tahoma"/>
          <w:b/>
          <w:bCs/>
          <w:sz w:val="42"/>
          <w:szCs w:val="26"/>
        </w:rPr>
        <w:t xml:space="preserve"> </w:t>
      </w:r>
      <w:r>
        <w:rPr>
          <w:rFonts w:ascii="Tahoma" w:hAnsi="Tahoma" w:cs="Tahoma"/>
          <w:b/>
          <w:bCs/>
          <w:sz w:val="42"/>
          <w:szCs w:val="26"/>
        </w:rPr>
        <w:t>ZAINAB</w:t>
      </w:r>
      <w:r w:rsidR="00131F2C">
        <w:rPr>
          <w:rFonts w:ascii="Tahoma" w:hAnsi="Tahoma" w:cs="Tahoma"/>
          <w:b/>
          <w:bCs/>
          <w:sz w:val="42"/>
          <w:szCs w:val="26"/>
        </w:rPr>
        <w:t xml:space="preserve"> </w:t>
      </w:r>
      <w:r>
        <w:rPr>
          <w:rFonts w:ascii="Tahoma" w:hAnsi="Tahoma" w:cs="Tahoma"/>
          <w:b/>
          <w:bCs/>
          <w:sz w:val="42"/>
          <w:szCs w:val="26"/>
        </w:rPr>
        <w:t>ADEOLA</w:t>
      </w:r>
    </w:p>
    <w:p w:rsidR="00E5296B" w:rsidRPr="005431D9" w:rsidRDefault="00DA7019" w:rsidP="00E5296B">
      <w:pPr>
        <w:jc w:val="center"/>
        <w:rPr>
          <w:rFonts w:ascii="Tahoma" w:hAnsi="Tahoma" w:cs="Tahoma"/>
          <w:b/>
          <w:bCs/>
          <w:sz w:val="36"/>
          <w:szCs w:val="26"/>
        </w:rPr>
      </w:pPr>
      <w:r>
        <w:rPr>
          <w:rFonts w:ascii="Tahoma" w:hAnsi="Tahoma" w:cs="Tahoma"/>
          <w:b/>
          <w:bCs/>
          <w:sz w:val="36"/>
          <w:szCs w:val="26"/>
        </w:rPr>
        <w:t>HND/23/SLT/FT/0155</w:t>
      </w:r>
    </w:p>
    <w:p w:rsidR="00E5296B" w:rsidRPr="003B1B47" w:rsidRDefault="00E5296B" w:rsidP="00E5296B">
      <w:pPr>
        <w:spacing w:line="480" w:lineRule="auto"/>
        <w:jc w:val="center"/>
        <w:rPr>
          <w:rFonts w:ascii="Tahoma" w:hAnsi="Tahoma" w:cs="Tahoma"/>
          <w:b/>
          <w:bCs/>
          <w:sz w:val="26"/>
          <w:szCs w:val="26"/>
        </w:rPr>
      </w:pPr>
    </w:p>
    <w:p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INSTITUTE OF APPLIED SCIENCES, (IAS) KWARA STATE POLYTECHNIC, ILORIN.</w:t>
      </w:r>
    </w:p>
    <w:p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IN PARTIAL FULFUILMENT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
    <w:p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rsidR="005431D9" w:rsidRDefault="00D471D0" w:rsidP="005431D9">
      <w:pPr>
        <w:jc w:val="center"/>
        <w:rPr>
          <w:b/>
          <w:color w:val="000000"/>
          <w:sz w:val="26"/>
        </w:rPr>
      </w:pPr>
      <w:r w:rsidRPr="00E5296B">
        <w:rPr>
          <w:b/>
          <w:color w:val="000000"/>
          <w:sz w:val="26"/>
        </w:rPr>
        <w:t>DR. (MRS.) HASSAN, I.R.</w:t>
      </w:r>
    </w:p>
    <w:p w:rsidR="004C682A" w:rsidRPr="005431D9" w:rsidRDefault="00E5296B" w:rsidP="005431D9">
      <w:pPr>
        <w:ind w:left="5760" w:firstLine="720"/>
        <w:jc w:val="center"/>
        <w:rPr>
          <w:b/>
          <w:color w:val="000000"/>
          <w:sz w:val="26"/>
        </w:rPr>
      </w:pPr>
      <w:r w:rsidRPr="005431D9">
        <w:rPr>
          <w:rFonts w:ascii="Tahoma" w:hAnsi="Tahoma" w:cs="Tahoma"/>
          <w:b/>
          <w:color w:val="000000"/>
          <w:szCs w:val="38"/>
        </w:rPr>
        <w:t>JULY, 2025</w:t>
      </w:r>
    </w:p>
    <w:p w:rsidR="00E5296B" w:rsidRPr="00E5296B" w:rsidRDefault="00E5296B" w:rsidP="00E5296B">
      <w:pPr>
        <w:spacing w:line="360" w:lineRule="auto"/>
        <w:jc w:val="center"/>
        <w:rPr>
          <w:b/>
          <w:color w:val="000000"/>
          <w:sz w:val="26"/>
        </w:rPr>
      </w:pPr>
      <w:r w:rsidRPr="00E5296B">
        <w:rPr>
          <w:b/>
          <w:color w:val="000000"/>
          <w:sz w:val="26"/>
        </w:rPr>
        <w:lastRenderedPageBreak/>
        <w:t>CERTIFICATION</w:t>
      </w:r>
    </w:p>
    <w:p w:rsidR="00E5296B" w:rsidRPr="00E5296B" w:rsidRDefault="00E5296B" w:rsidP="00E5296B">
      <w:pPr>
        <w:spacing w:line="360" w:lineRule="auto"/>
        <w:ind w:left="-90" w:firstLine="90"/>
        <w:jc w:val="both"/>
        <w:rPr>
          <w:color w:val="000000"/>
          <w:sz w:val="26"/>
        </w:rPr>
      </w:pPr>
      <w:r w:rsidRPr="00E5296B">
        <w:rPr>
          <w:color w:val="000000"/>
          <w:sz w:val="26"/>
        </w:rPr>
        <w:t>This project work has been read and approved as meeting part of the requirements of the Department of Science Laboratory Technology (SLT) for the award of Higher National Diploma (HND) in Science Laboratory Technology (SLT).</w:t>
      </w:r>
    </w:p>
    <w:p w:rsidR="00E5296B" w:rsidRPr="00E5296B" w:rsidRDefault="00E5296B" w:rsidP="00E5296B">
      <w:pPr>
        <w:spacing w:line="360" w:lineRule="auto"/>
        <w:ind w:left="-90" w:firstLine="90"/>
        <w:jc w:val="both"/>
        <w:rPr>
          <w:color w:val="000000"/>
          <w:sz w:val="26"/>
        </w:rPr>
      </w:pPr>
    </w:p>
    <w:p w:rsidR="00E5296B" w:rsidRDefault="00131F2C" w:rsidP="00E5296B">
      <w:pPr>
        <w:spacing w:line="480" w:lineRule="auto"/>
        <w:jc w:val="center"/>
        <w:rPr>
          <w:b/>
          <w:sz w:val="26"/>
          <w:szCs w:val="26"/>
        </w:rPr>
      </w:pPr>
      <w:r>
        <w:rPr>
          <w:b/>
          <w:noProof/>
          <w:sz w:val="26"/>
          <w:szCs w:val="26"/>
        </w:rPr>
        <w:drawing>
          <wp:inline distT="0" distB="0" distL="0" distR="0">
            <wp:extent cx="5486400" cy="4556375"/>
            <wp:effectExtent l="19050" t="0" r="0" b="0"/>
            <wp:docPr id="28" name="Picture 28" descr="C:\Users\USER\Downloads\WhatsApp Image 2025-08-01 at 12.0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5-08-01 at 12.01.56.jpeg"/>
                    <pic:cNvPicPr>
                      <a:picLocks noChangeAspect="1" noChangeArrowheads="1"/>
                    </pic:cNvPicPr>
                  </pic:nvPicPr>
                  <pic:blipFill>
                    <a:blip r:embed="rId9"/>
                    <a:srcRect/>
                    <a:stretch>
                      <a:fillRect/>
                    </a:stretch>
                  </pic:blipFill>
                  <pic:spPr bwMode="auto">
                    <a:xfrm>
                      <a:off x="0" y="0"/>
                      <a:ext cx="5486400" cy="4556375"/>
                    </a:xfrm>
                    <a:prstGeom prst="rect">
                      <a:avLst/>
                    </a:prstGeom>
                    <a:noFill/>
                    <a:ln w="9525">
                      <a:noFill/>
                      <a:miter lim="800000"/>
                      <a:headEnd/>
                      <a:tailEnd/>
                    </a:ln>
                  </pic:spPr>
                </pic:pic>
              </a:graphicData>
            </a:graphic>
          </wp:inline>
        </w:drawing>
      </w:r>
    </w:p>
    <w:p w:rsidR="00131F2C" w:rsidRDefault="00131F2C" w:rsidP="00E5296B">
      <w:pPr>
        <w:spacing w:line="480" w:lineRule="auto"/>
        <w:jc w:val="center"/>
        <w:rPr>
          <w:b/>
          <w:sz w:val="26"/>
          <w:szCs w:val="26"/>
        </w:rPr>
      </w:pPr>
    </w:p>
    <w:p w:rsidR="00E5296B" w:rsidRPr="00263CF4" w:rsidRDefault="00E5296B" w:rsidP="00E5296B">
      <w:pPr>
        <w:spacing w:line="480" w:lineRule="auto"/>
        <w:jc w:val="center"/>
        <w:rPr>
          <w:sz w:val="26"/>
          <w:szCs w:val="26"/>
        </w:rPr>
      </w:pPr>
      <w:r w:rsidRPr="00263CF4">
        <w:rPr>
          <w:b/>
          <w:sz w:val="26"/>
          <w:szCs w:val="26"/>
        </w:rPr>
        <w:lastRenderedPageBreak/>
        <w:t>DEDICATION</w:t>
      </w:r>
    </w:p>
    <w:p w:rsidR="00E5296B" w:rsidRPr="00263CF4" w:rsidRDefault="00E5296B" w:rsidP="00E5296B">
      <w:pPr>
        <w:spacing w:before="240" w:line="480" w:lineRule="auto"/>
        <w:jc w:val="both"/>
        <w:rPr>
          <w:sz w:val="26"/>
          <w:szCs w:val="26"/>
        </w:rPr>
      </w:pPr>
      <w:r w:rsidRPr="00263CF4">
        <w:rPr>
          <w:sz w:val="26"/>
          <w:szCs w:val="26"/>
        </w:rPr>
        <w:tab/>
        <w:t>This project is dedicated to Almighty God, the beneficent, the most merciful who has been supplying me with abundance wisdom, knowledge, understanding and for his love, kindness, favor, grace and mercy over me throughout this course of study and for giving me the privilege and strength to successfully complete this course.</w:t>
      </w:r>
    </w:p>
    <w:p w:rsidR="00E5296B" w:rsidRPr="00263CF4" w:rsidRDefault="00E5296B" w:rsidP="00E5296B">
      <w:pPr>
        <w:spacing w:line="360" w:lineRule="auto"/>
        <w:jc w:val="center"/>
        <w:rPr>
          <w:b/>
        </w:rPr>
      </w:pPr>
    </w:p>
    <w:p w:rsidR="00E5296B" w:rsidRPr="00263CF4" w:rsidRDefault="00E5296B" w:rsidP="00E5296B">
      <w:pPr>
        <w:spacing w:line="480" w:lineRule="auto"/>
        <w:jc w:val="center"/>
        <w:rPr>
          <w:b/>
          <w:sz w:val="2"/>
          <w:szCs w:val="26"/>
        </w:rPr>
      </w:pPr>
    </w:p>
    <w:p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Default="00E5296B" w:rsidP="00E5296B">
      <w:pPr>
        <w:jc w:val="center"/>
        <w:rPr>
          <w:b/>
          <w:sz w:val="26"/>
          <w:szCs w:val="26"/>
        </w:rPr>
      </w:pPr>
      <w:r w:rsidRPr="00263CF4">
        <w:rPr>
          <w:b/>
          <w:sz w:val="26"/>
          <w:szCs w:val="26"/>
        </w:rPr>
        <w:lastRenderedPageBreak/>
        <w:t>ACKNOWLEDGEMENT</w:t>
      </w:r>
    </w:p>
    <w:p w:rsidR="00DA7019" w:rsidRPr="00DA7019" w:rsidRDefault="00DA7019" w:rsidP="00DA7019">
      <w:pPr>
        <w:spacing w:line="360" w:lineRule="auto"/>
        <w:jc w:val="both"/>
        <w:rPr>
          <w:sz w:val="26"/>
          <w:szCs w:val="26"/>
        </w:rPr>
      </w:pPr>
      <w:r w:rsidRPr="00DA7019">
        <w:rPr>
          <w:sz w:val="26"/>
          <w:szCs w:val="26"/>
        </w:rPr>
        <w:t>All praise and gratitude are due to the ALMIGHTY ALLAH, the MOST MERCIFUL, the BESTOWER of wisdom and strength. Without HIS divine guidance, this project would not have been possible.</w:t>
      </w:r>
    </w:p>
    <w:p w:rsidR="00DA7019" w:rsidRPr="00DA7019" w:rsidRDefault="00DA7019" w:rsidP="00DA7019">
      <w:pPr>
        <w:spacing w:line="360" w:lineRule="auto"/>
        <w:jc w:val="both"/>
        <w:rPr>
          <w:sz w:val="26"/>
          <w:szCs w:val="26"/>
        </w:rPr>
      </w:pPr>
      <w:r w:rsidRPr="00DA7019">
        <w:rPr>
          <w:sz w:val="26"/>
          <w:szCs w:val="26"/>
        </w:rPr>
        <w:t xml:space="preserve">I am deeply grateful to my project supervisor, </w:t>
      </w:r>
      <w:r w:rsidRPr="00DA7019">
        <w:rPr>
          <w:b/>
          <w:sz w:val="26"/>
          <w:szCs w:val="26"/>
        </w:rPr>
        <w:t>DR. MRS. HASSAN I.R,</w:t>
      </w:r>
      <w:r w:rsidRPr="00DA7019">
        <w:rPr>
          <w:sz w:val="26"/>
          <w:szCs w:val="26"/>
        </w:rPr>
        <w:t xml:space="preserve"> for her invaluable guidance, support, and mentorship throughout the course of this work. Her expertise and encouragement were essential </w:t>
      </w:r>
      <w:r>
        <w:rPr>
          <w:sz w:val="26"/>
          <w:szCs w:val="26"/>
        </w:rPr>
        <w:t>to the success of this project.</w:t>
      </w:r>
    </w:p>
    <w:p w:rsidR="00DA7019" w:rsidRPr="00DA7019" w:rsidRDefault="00DA7019" w:rsidP="00DA7019">
      <w:pPr>
        <w:spacing w:line="360" w:lineRule="auto"/>
        <w:jc w:val="both"/>
        <w:rPr>
          <w:sz w:val="26"/>
          <w:szCs w:val="26"/>
        </w:rPr>
      </w:pPr>
      <w:r w:rsidRPr="00DA7019">
        <w:rPr>
          <w:sz w:val="26"/>
          <w:szCs w:val="26"/>
        </w:rPr>
        <w:t xml:space="preserve">My heartfelt appreciation goes to my beloved parents, </w:t>
      </w:r>
      <w:r w:rsidRPr="00DA7019">
        <w:rPr>
          <w:b/>
          <w:sz w:val="26"/>
          <w:szCs w:val="26"/>
        </w:rPr>
        <w:t>MR. AND MRS. ADEKUNLE,</w:t>
      </w:r>
      <w:r w:rsidRPr="00DA7019">
        <w:rPr>
          <w:sz w:val="26"/>
          <w:szCs w:val="26"/>
        </w:rPr>
        <w:t xml:space="preserve"> for their endless love, unwavering support, and constant prayers. Your encouragement has been the backbone of my journey — I am truly grateful. May GO</w:t>
      </w:r>
      <w:r>
        <w:rPr>
          <w:sz w:val="26"/>
          <w:szCs w:val="26"/>
        </w:rPr>
        <w:t>D continue to bless you always.</w:t>
      </w:r>
    </w:p>
    <w:p w:rsidR="00DA7019" w:rsidRPr="00DA7019" w:rsidRDefault="00DA7019" w:rsidP="00DA7019">
      <w:pPr>
        <w:spacing w:line="360" w:lineRule="auto"/>
        <w:jc w:val="both"/>
        <w:rPr>
          <w:sz w:val="26"/>
          <w:szCs w:val="26"/>
        </w:rPr>
      </w:pPr>
      <w:r w:rsidRPr="00DA7019">
        <w:rPr>
          <w:sz w:val="26"/>
          <w:szCs w:val="26"/>
        </w:rPr>
        <w:t>To my wonderful siblings, thank you for your motivation, understanding, and the joy you bring into my life. Your support mea</w:t>
      </w:r>
      <w:r>
        <w:rPr>
          <w:sz w:val="26"/>
          <w:szCs w:val="26"/>
        </w:rPr>
        <w:t>ns more than words can express.</w:t>
      </w:r>
    </w:p>
    <w:p w:rsidR="00DA7019" w:rsidRPr="00DA7019" w:rsidRDefault="00DA7019" w:rsidP="00DA7019">
      <w:pPr>
        <w:spacing w:line="360" w:lineRule="auto"/>
        <w:jc w:val="both"/>
        <w:rPr>
          <w:sz w:val="26"/>
          <w:szCs w:val="26"/>
        </w:rPr>
      </w:pPr>
      <w:r w:rsidRPr="00DA7019">
        <w:rPr>
          <w:sz w:val="26"/>
          <w:szCs w:val="26"/>
        </w:rPr>
        <w:t xml:space="preserve">I also extend my sincere appreciation to my amiable lecturers, the entire Science Laboratory Technology Department, Biochemistry Unit, and to my school at large, KWARA STATE POLYTECHNIC for the solid academic foundation and </w:t>
      </w:r>
      <w:r>
        <w:rPr>
          <w:sz w:val="26"/>
          <w:szCs w:val="26"/>
        </w:rPr>
        <w:t>meaningful learning experience.</w:t>
      </w:r>
    </w:p>
    <w:p w:rsidR="00DA7019" w:rsidRPr="00DA7019" w:rsidRDefault="00DA7019" w:rsidP="00DA7019">
      <w:pPr>
        <w:spacing w:line="360" w:lineRule="auto"/>
        <w:jc w:val="both"/>
        <w:rPr>
          <w:sz w:val="26"/>
          <w:szCs w:val="26"/>
        </w:rPr>
      </w:pPr>
      <w:r w:rsidRPr="00DA7019">
        <w:rPr>
          <w:sz w:val="26"/>
          <w:szCs w:val="26"/>
        </w:rPr>
        <w:t>To my colleagues, thank you for your cooperation, shared ideas, and team spirit throughout this academic journey. I appreciate the spirit of collaboration we shared. By His grace</w:t>
      </w:r>
      <w:r>
        <w:rPr>
          <w:sz w:val="26"/>
          <w:szCs w:val="26"/>
        </w:rPr>
        <w:t>, we shall all meet at the top.</w:t>
      </w:r>
    </w:p>
    <w:p w:rsidR="00E5296B" w:rsidRDefault="00DA7019" w:rsidP="00DA7019">
      <w:pPr>
        <w:spacing w:line="360" w:lineRule="auto"/>
        <w:jc w:val="both"/>
        <w:rPr>
          <w:b/>
          <w:sz w:val="26"/>
          <w:szCs w:val="26"/>
        </w:rPr>
      </w:pPr>
      <w:r w:rsidRPr="00DA7019">
        <w:rPr>
          <w:sz w:val="26"/>
          <w:szCs w:val="26"/>
        </w:rPr>
        <w:t>May the ALMIGHTY bless and reward you all abundantly. GOD bless you all.</w:t>
      </w:r>
    </w:p>
    <w:p w:rsidR="00DA7019" w:rsidRDefault="00DA7019" w:rsidP="00E5296B">
      <w:pPr>
        <w:rPr>
          <w:b/>
          <w:sz w:val="26"/>
          <w:szCs w:val="26"/>
        </w:rPr>
      </w:pPr>
    </w:p>
    <w:p w:rsidR="00B95E43" w:rsidRPr="004C682A" w:rsidRDefault="00B95E43" w:rsidP="00B95E43">
      <w:pPr>
        <w:jc w:val="center"/>
        <w:rPr>
          <w:b/>
          <w:sz w:val="24"/>
          <w:szCs w:val="26"/>
        </w:rPr>
      </w:pPr>
      <w:r w:rsidRPr="004C682A">
        <w:rPr>
          <w:b/>
          <w:sz w:val="24"/>
          <w:szCs w:val="26"/>
        </w:rPr>
        <w:lastRenderedPageBreak/>
        <w:t>TABLE OF CONTENTS</w:t>
      </w:r>
      <w:bookmarkStart w:id="0" w:name="_GoBack"/>
      <w:bookmarkEnd w:id="0"/>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r w:rsidRPr="004C682A">
        <w:rPr>
          <w:b/>
          <w:sz w:val="24"/>
          <w:szCs w:val="26"/>
        </w:rPr>
        <w:t>iv</w:t>
      </w:r>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1.1 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1.2 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131F2C">
      <w:pPr>
        <w:pStyle w:val="NormalWeb"/>
        <w:spacing w:after="0" w:afterAutospacing="0" w:line="480" w:lineRule="auto"/>
        <w:jc w:val="both"/>
        <w:rPr>
          <w:color w:val="000000" w:themeColor="text1"/>
          <w:szCs w:val="26"/>
        </w:rPr>
      </w:pPr>
      <w:r w:rsidRPr="004C682A">
        <w:rPr>
          <w:color w:val="000000" w:themeColor="text1"/>
          <w:szCs w:val="26"/>
        </w:rPr>
        <w:t>1.2 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1.3 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2.1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2.2.2 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2.2.3 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2.2.4 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2.2.5 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2.2.6 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2.3 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2.3.1 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2.3.3 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2.4 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Pr="004C682A">
        <w:rPr>
          <w:i/>
          <w:sz w:val="24"/>
          <w:szCs w:val="26"/>
        </w:rPr>
        <w:t>Sida acuta</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2.5.2 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2.5.4 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2.8 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2.8.2 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2.8.3 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2.8.4 2,2-azino-bis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2.8.5 2,2-dipheny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2.12 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2.12.3 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2.12.7 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131F2C">
      <w:pPr>
        <w:pStyle w:val="NormalWeb"/>
        <w:spacing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3.1 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3.1.1 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3.1.2 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 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1 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.3 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.4 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.5 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.1 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.2 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.3 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.1 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.2 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.3 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.4 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.5 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.6 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.1 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.2 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.3 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.4 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.5 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131F2C">
      <w:pPr>
        <w:pStyle w:val="NormalWeb"/>
        <w:spacing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131F2C">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131F2C">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sidRPr="00D471D0">
        <w:rPr>
          <w:szCs w:val="26"/>
        </w:rPr>
        <w:t>120</w:t>
      </w:r>
    </w:p>
    <w:p w:rsidR="00B95E43" w:rsidRPr="004C682A" w:rsidRDefault="00B95E43" w:rsidP="00F6717C">
      <w:pPr>
        <w:pStyle w:val="NormalWeb"/>
        <w:rPr>
          <w:szCs w:val="26"/>
        </w:rPr>
      </w:pPr>
      <w:r w:rsidRPr="004C682A">
        <w:rPr>
          <w:szCs w:val="26"/>
        </w:rPr>
        <w:t>5.1 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5.3 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5.4 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5.5 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5.7 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5.8 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131F2C" w:rsidRPr="004C682A" w:rsidRDefault="00131F2C"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ABSTRACT</w:t>
      </w:r>
    </w:p>
    <w:p w:rsidR="001E54F8" w:rsidRPr="004C682A" w:rsidRDefault="001E54F8" w:rsidP="00131F2C">
      <w:pPr>
        <w:spacing w:before="100" w:beforeAutospacing="1" w:after="100" w:afterAutospacing="1" w:line="360" w:lineRule="auto"/>
        <w:jc w:val="both"/>
        <w:rPr>
          <w:rFonts w:eastAsia="Times New Roman"/>
          <w:i/>
          <w:sz w:val="24"/>
          <w:szCs w:val="24"/>
        </w:rPr>
      </w:pPr>
      <w:r w:rsidRPr="004C682A">
        <w:rPr>
          <w:rFonts w:eastAsia="Times New Roman"/>
          <w:i/>
          <w:sz w:val="24"/>
          <w:szCs w:val="24"/>
        </w:rPr>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131F2C">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1.1 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131F2C">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131F2C">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131F2C">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131F2C">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may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access to healthcare and eradication programs for </w:t>
      </w:r>
      <w:r w:rsidRPr="004C682A">
        <w:rPr>
          <w:i/>
          <w:color w:val="000000" w:themeColor="text1"/>
          <w:sz w:val="24"/>
          <w:szCs w:val="26"/>
        </w:rPr>
        <w:t>H. pylori</w:t>
      </w:r>
      <w:r w:rsidRPr="004C682A">
        <w:rPr>
          <w:color w:val="000000" w:themeColor="text1"/>
          <w:sz w:val="24"/>
          <w:szCs w:val="26"/>
        </w:rPr>
        <w:t xml:space="preserve"> are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Helicobacter pylori</w:t>
      </w:r>
      <w:r w:rsidRPr="004C682A">
        <w:rPr>
          <w:color w:val="000000" w:themeColor="text1"/>
          <w:sz w:val="24"/>
          <w:szCs w:val="26"/>
        </w:rPr>
        <w:t xml:space="preserve"> is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C682A">
        <w:rPr>
          <w:b/>
          <w:noProof/>
          <w:color w:val="000000" w:themeColor="text1"/>
          <w:sz w:val="24"/>
          <w:szCs w:val="26"/>
        </w:rPr>
        <w:drawing>
          <wp:inline distT="0" distB="0" distL="0" distR="0">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Venous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8553" cy="2345787"/>
                    </a:xfrm>
                    <a:prstGeom prst="rect">
                      <a:avLst/>
                    </a:prstGeom>
                  </pic:spPr>
                </pic:pic>
              </a:graphicData>
            </a:graphic>
          </wp:inline>
        </w:drawing>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occur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Helicobacter pylori</w:t>
      </w:r>
      <w:r w:rsidRPr="004C682A">
        <w:rPr>
          <w:color w:val="000000" w:themeColor="text1"/>
          <w:szCs w:val="26"/>
        </w:rPr>
        <w:t xml:space="preserve"> colonizes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drawing>
          <wp:inline distT="0" distB="0" distL="0" distR="0">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9257" cy="2345240"/>
                    </a:xfrm>
                    <a:prstGeom prst="rect">
                      <a:avLst/>
                    </a:prstGeom>
                    <a:noFill/>
                    <a:ln>
                      <a:noFill/>
                    </a:ln>
                  </pic:spPr>
                </pic:pic>
              </a:graphicData>
            </a:graphic>
          </wp:inline>
        </w:drawing>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relationshipsbetween physical disorders and psychologic states. Observations of the roleof psychologic processes in the pathogenesis and course of medical diseaseshave been shown by many researchers. Some illnesses, recognized as the classicpsychosomatic disorders in the 1930s, appear to be directly affected by theimpact of psychosocial factors. Peptic ulcer disease is regarded as one ofthe psychosomatic disorders. Alexander's initial psychologic constructs,based on retrospective data, were elaborated by the prospective studies ofMirsky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have normal levels. Elevated serum levels have been found in peptic ulcer disease patients with increased psychopathology, especially poor coping ability, hostility, and hypersensitivity.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ulceration,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Ulceration on the left tongue margin with no induration.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13: Oral ulcerations due to nicorandil. Multiple ulcers on bilateral buccal mucosa and bilateral tongue margins.</w:t>
      </w:r>
    </w:p>
    <w:p w:rsidR="005F3A20" w:rsidRPr="004C682A" w:rsidRDefault="005F3A20" w:rsidP="005F3A20">
      <w:pPr>
        <w:spacing w:after="0" w:line="480" w:lineRule="auto"/>
        <w:jc w:val="both"/>
        <w:rPr>
          <w:color w:val="000000" w:themeColor="text1"/>
          <w:sz w:val="24"/>
          <w:szCs w:val="26"/>
          <w:shd w:val="clear" w:color="auto" w:fill="FFFFFF"/>
        </w:rPr>
      </w:pP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2017). Additionally, H. pylori releases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tetracycline and bismuth citrate. Ranitidine has been combined with bismuth citrate </w:t>
      </w:r>
      <w:r w:rsidRPr="004C682A">
        <w:rPr>
          <w:color w:val="000000" w:themeColor="text1"/>
          <w:sz w:val="24"/>
          <w:szCs w:val="26"/>
        </w:rPr>
        <w:lastRenderedPageBreak/>
        <w:t>(RBC), clarithromycin or amoxycillin. In 70% of patients the peptic 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Burm.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2019). 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contribute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high,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a relatively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a high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2,2-azino-bis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[2,2′-azino-bis(3-ethylbenzothiazoline-6-sulphonic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2,2-diphenyl-1-pycrylhydraxyl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bleeding,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kD.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an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form,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 xml:space="preserve">and psychiatric disorders, including schizophrenia.Assesment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r w:rsidRPr="004C682A">
        <w:rPr>
          <w:rStyle w:val="A0"/>
          <w:color w:val="000000" w:themeColor="text1"/>
          <w:sz w:val="24"/>
          <w:szCs w:val="26"/>
        </w:rPr>
        <w:t>Therefore,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3.0 MATERIALS AND METHODS</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obtained from the Animal Laboratory House, Kwara State Polytechnic, Ilorin Kwara State, Nigeria.</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6578E0" w:rsidRPr="004C682A">
        <w:rPr>
          <w:color w:val="000000" w:themeColor="text1"/>
          <w:sz w:val="24"/>
          <w:szCs w:val="26"/>
        </w:rPr>
        <w:t xml:space="preserve">Indomethacin by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Chemical, </w:t>
      </w:r>
      <w:r w:rsidR="001258F3" w:rsidRPr="004C682A">
        <w:rPr>
          <w:rFonts w:eastAsia="Times New Roman"/>
          <w:color w:val="000000" w:themeColor="text1"/>
          <w:sz w:val="24"/>
          <w:szCs w:val="26"/>
        </w:rPr>
        <w:t xml:space="preserve">Potassium </w:t>
      </w:r>
      <w:r w:rsidR="001258F3" w:rsidRPr="004C682A">
        <w:rPr>
          <w:rFonts w:eastAsia="Times New Roman"/>
          <w:color w:val="000000" w:themeColor="text1"/>
          <w:sz w:val="24"/>
          <w:szCs w:val="26"/>
        </w:rPr>
        <w:lastRenderedPageBreak/>
        <w:t>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6578E0" w:rsidRPr="004C682A">
        <w:rPr>
          <w:rFonts w:eastAsia="Times New Roman"/>
          <w:color w:val="000000" w:themeColor="text1"/>
          <w:sz w:val="24"/>
          <w:szCs w:val="26"/>
        </w:rPr>
        <w:t>by</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washed,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500g of blended stubborn grass was weighed into a bowl and dissolved with 2.5mL of ethanol. The mixture was left for 72 hours, then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Rats </w:t>
      </w:r>
      <w:r w:rsidR="0093611B" w:rsidRPr="004C682A">
        <w:rPr>
          <w:color w:val="000000" w:themeColor="text1"/>
          <w:sz w:val="24"/>
          <w:szCs w:val="26"/>
        </w:rPr>
        <w:t>.</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We ensured the groups had similar average weights at the start of the experiment to eliminate initial weight disparities as a confounding factor. we recorded each rat’s weight weekly throughout the study to monitor changes over time and wecompared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Wtofsampletaken</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basis.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2g of the sample was weighed into kjeldahl flask and 25ml of concentrated sulphuric acid, 0.5g of copper sulphate 5g of sodium sulphate and a speck of selenium tablet were added. Heat in a fume cupboard was applied slowly at first to prevent undue frothing, digestion continued for 45 minutes until the digester became clear pale green. It was left until completely cooled and 250ml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times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10ml of the digest was added</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into, the apparatus via a f</w:t>
      </w:r>
      <w:r w:rsidR="00BB4E23" w:rsidRPr="004C682A">
        <w:rPr>
          <w:color w:val="000000" w:themeColor="text1"/>
          <w:sz w:val="24"/>
          <w:szCs w:val="26"/>
        </w:rPr>
        <w:t>unnel and allowed to boil. 10ml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was distilled into 50ml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volume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4hours. 2g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150ml of an anhydrous diethyl ether (petroleum ether) of boiling point of 40°-60°C was placed in the flask. 2-5g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bCs/>
          <w:color w:val="000000" w:themeColor="text1"/>
          <w:sz w:val="24"/>
          <w:szCs w:val="26"/>
        </w:rPr>
        <w:t>presence</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NB;Tetraphenylboron reagent contains 0.6mol/L NaOH and 250mmol/L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The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2ml buffer, 0.1ml of reductant and 0.5ml of iron-free water was subsequently added to it. The initial absorbance was immediately taken after which the 0.1ml of chromogen was added to the mixture. The mixture was then incubated for 5minutes at 37ᶿC after which the final absorbance value was taken. The absorbance values were read at 590</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12) was used to assayed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(2,4,6-tripyridyl-s-triazine),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2,2'-Azino-bis(3-ethylbenzothiazoline-6-sulfonic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2,2-Diphenyl-1-picrylhydrazyl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color w:val="000000" w:themeColor="text1"/>
          <w:sz w:val="24"/>
          <w:szCs w:val="26"/>
        </w:rPr>
        <w:t>where</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  treatment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Preparing the Indomethacin Solution: We measured out the indomethacin, then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Then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Total Tannin Result Using Uv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r w:rsidRPr="004C682A">
        <w:rPr>
          <w:b/>
          <w:bCs/>
          <w:color w:val="000000" w:themeColor="text1"/>
          <w:szCs w:val="26"/>
        </w:rPr>
        <w:t>Conc(ppm)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high,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content.Sample</w:t>
      </w:r>
      <w:r w:rsidRPr="004C682A">
        <w:rPr>
          <w:rFonts w:eastAsia="Times New Roman"/>
          <w:color w:val="000000" w:themeColor="text1"/>
          <w:sz w:val="24"/>
          <w:szCs w:val="26"/>
        </w:rPr>
        <w:t xml:space="preserve"> have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Moisture Content: Moisture content in both samples is low, which is ideal for preserving the quality and shelf life of the samples. t</w:t>
      </w:r>
      <w:r w:rsidR="00C42904">
        <w:rPr>
          <w:rFonts w:eastAsia="Times New Roman"/>
          <w:color w:val="000000" w:themeColor="text1"/>
          <w:sz w:val="24"/>
          <w:szCs w:val="26"/>
        </w:rPr>
        <w:t xml:space="preserve">he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ash contents, This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This</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5555885"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5555886"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5555887"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5555888"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5555889"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5555890"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5555891"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5555892"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5555893"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5555894"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5555895"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5555896"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5555897"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8" type="#_x0000_t75" style="width:412.5pt;height:251.25pt" o:ole="">
            <v:imagedata r:id="rId62" o:title=""/>
          </v:shape>
          <o:OLEObject Type="Embed" ProgID="Prism8.Document" ShapeID="_x0000_i1038" DrawAspect="Content" ObjectID="_1815555898" r:id="rId63"/>
        </w:object>
      </w:r>
      <w:r w:rsidRPr="004C682A">
        <w:rPr>
          <w:sz w:val="26"/>
        </w:rPr>
        <w:object w:dxaOrig="8734" w:dyaOrig="6300">
          <v:shape id="_x0000_i1039" type="#_x0000_t75" style="width:409.5pt;height:277.5pt" o:ole="">
            <v:imagedata r:id="rId64" o:title=""/>
          </v:shape>
          <o:OLEObject Type="Embed" ProgID="Prism8.Document" ShapeID="_x0000_i1039" DrawAspect="Content" ObjectID="_1815555899"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0" type="#_x0000_t75" style="width:393pt;height:247.5pt" o:ole="">
            <v:imagedata r:id="rId66" o:title=""/>
          </v:shape>
          <o:OLEObject Type="Embed" ProgID="Prism8.Document" ShapeID="_x0000_i1040" DrawAspect="Content" ObjectID="_1815555900" r:id="rId67"/>
        </w:object>
      </w:r>
      <w:r w:rsidRPr="004C682A">
        <w:rPr>
          <w:sz w:val="26"/>
        </w:rPr>
        <w:object w:dxaOrig="8446" w:dyaOrig="6034">
          <v:shape id="_x0000_i1041" type="#_x0000_t75" style="width:390pt;height:272.25pt" o:ole="">
            <v:imagedata r:id="rId68" o:title=""/>
          </v:shape>
          <o:OLEObject Type="Embed" ProgID="Prism8.Document" ShapeID="_x0000_i1041" DrawAspect="Content" ObjectID="_1815555901"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2" type="#_x0000_t75" style="width:415.5pt;height:330.75pt" o:ole="">
            <v:imagedata r:id="rId70" o:title=""/>
          </v:shape>
          <o:OLEObject Type="Embed" ProgID="Prism8.Document" ShapeID="_x0000_i1042" DrawAspect="Content" ObjectID="_1815555902" r:id="rId71"/>
        </w:object>
      </w:r>
      <w:r w:rsidR="007E70D5" w:rsidRPr="004C682A">
        <w:rPr>
          <w:sz w:val="26"/>
        </w:rPr>
        <w:object w:dxaOrig="8842" w:dyaOrig="6034">
          <v:shape id="_x0000_i1043" type="#_x0000_t75" style="width:429.75pt;height:261pt" o:ole="">
            <v:imagedata r:id="rId72" o:title=""/>
          </v:shape>
          <o:OLEObject Type="Embed" ProgID="Prism8.Document" ShapeID="_x0000_i1043" DrawAspect="Content" ObjectID="_1815555903" r:id="rId73"/>
        </w:object>
      </w:r>
      <w:r w:rsidRPr="004C682A">
        <w:rPr>
          <w:sz w:val="26"/>
        </w:rPr>
        <w:object w:dxaOrig="8453" w:dyaOrig="6034">
          <v:shape id="_x0000_i1044" type="#_x0000_t75" style="width:393pt;height:246.75pt" o:ole="">
            <v:imagedata r:id="rId74" o:title=""/>
          </v:shape>
          <o:OLEObject Type="Embed" ProgID="Prism8.Document" ShapeID="_x0000_i1044" DrawAspect="Content" ObjectID="_1815555904"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5" type="#_x0000_t75" style="width:411.75pt;height:285pt" o:ole="">
            <v:imagedata r:id="rId40" o:title=""/>
          </v:shape>
          <o:OLEObject Type="Embed" ProgID="Prism8.Document" ShapeID="_x0000_i1045" DrawAspect="Content" ObjectID="_1815555905" r:id="rId76"/>
        </w:object>
      </w:r>
      <w:r w:rsidRPr="004C682A">
        <w:rPr>
          <w:sz w:val="26"/>
        </w:rPr>
        <w:object w:dxaOrig="8623" w:dyaOrig="6034">
          <v:shape id="_x0000_i1046" type="#_x0000_t75" style="width:411.75pt;height:262.5pt" o:ole="">
            <v:imagedata r:id="rId77" o:title=""/>
          </v:shape>
          <o:OLEObject Type="Embed" ProgID="Prism8.Document" ShapeID="_x0000_i1046" DrawAspect="Content" ObjectID="_1815555906"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5555907"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5555908"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5555909"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5555910"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5555911"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 indicating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Red blood cell (RBC) counts showed notable stability across the groups, ranging from 5.00 × 10¹²/L to 6.00 × 10¹²/L. Groups 1 is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Saponins was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was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exhibited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weight gain</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Ca)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Mineral composition and nutritional evaluation of </w:t>
      </w:r>
      <w:r w:rsidRPr="004C682A">
        <w:rPr>
          <w:rStyle w:val="Emphasis"/>
          <w:color w:val="000000" w:themeColor="text1"/>
          <w:szCs w:val="26"/>
        </w:rPr>
        <w:t>Sida acuta</w:t>
      </w:r>
      <w:r w:rsidRPr="004C682A">
        <w:rPr>
          <w:color w:val="000000" w:themeColor="text1"/>
          <w:szCs w:val="26"/>
        </w:rPr>
        <w:t>.</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Oladipo, J. O., &amp; Oloyede, F. A. (2021).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Adeniyi, S., Orjiekwe, C., Ehiagbonare, J. and Arimah, B. (2010).Preliminary phytochemical analysis and insecticidal activity of ethanolic extracts of four tropical plants (</w:t>
      </w:r>
      <w:r w:rsidRPr="004C682A">
        <w:rPr>
          <w:i/>
          <w:color w:val="000000" w:themeColor="text1"/>
          <w:sz w:val="24"/>
          <w:szCs w:val="26"/>
        </w:rPr>
        <w:t>Vernonia amygdalina, Sida acuta, Ocimum gratissimumand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(2023). Clinical and demographic review of corneal ulcers in University of Ilorin Teaching Hospital. </w:t>
      </w:r>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Towards a healthy stomach? Helicobacter pylori prevalence has dramatically decreased over 23 years in adults in a Swedish community. </w:t>
      </w:r>
      <w:r w:rsidRPr="004C682A">
        <w:rPr>
          <w:i/>
          <w:color w:val="000000" w:themeColor="text1"/>
          <w:sz w:val="24"/>
          <w:szCs w:val="26"/>
        </w:rPr>
        <w:t>United European Gastroenterol.</w:t>
      </w:r>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Ajayi, T. O., Adebayo, O. A., &amp; Ojo, A. A. (2022).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Akilandeswari, S., Senthamarai, R., Valarmathi, R., Shanthi, S., Prema, S., (2010).Screening of gastric antiulcer activity of Sida acuta Burm.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Akinpelu, B. A., Odetunde, J. A., &amp; Adeyemi, F. O. (2021).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Armstrong, D. G., Boulton, A. J., &amp; Bus, S. A. (2020). Diabetic foot ulcers and their recurrence.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Armstrong, D. G., Boulton, A. J., &amp; Bus, S. A. (2021). Diabetic foot ulcers and their recurrence.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Asha A, Farsana S. and Baiju EC. (2018). Phytochemical profiling and antibacterial activity of selected Sida species against common human pathogenic bacteria: An in vitro study. </w:t>
      </w:r>
      <w:r w:rsidRPr="004C682A">
        <w:rPr>
          <w:i/>
          <w:color w:val="000000" w:themeColor="text1"/>
          <w:sz w:val="24"/>
          <w:szCs w:val="26"/>
        </w:rPr>
        <w:t>Journal of Pharmacognosy and Phytochemistry.</w:t>
      </w:r>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Atkin, L. (2019). Understanding the role of dressings in pressure ulcer prevention and management.</w:t>
      </w:r>
      <w:r w:rsidRPr="004C682A">
        <w:rPr>
          <w:i/>
          <w:color w:val="000000" w:themeColor="text1"/>
          <w:sz w:val="24"/>
          <w:szCs w:val="26"/>
        </w:rPr>
        <w:t>British Journal of Community Nursing,</w:t>
      </w:r>
      <w:r w:rsidRPr="004C682A">
        <w:rPr>
          <w:color w:val="000000" w:themeColor="text1"/>
          <w:sz w:val="24"/>
          <w:szCs w:val="26"/>
        </w:rPr>
        <w:t xml:space="preserve"> 24(6), S6-S10.</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.(2022). Corneal ulcers.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Baranoski, S., &amp; Ayello, E. A. (2020). Wound care essentials: Practice principles. Lippincott Williams &amp; Wilkins.</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 .Le Infezioni in Medicina.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Bennett, R. N., &amp; Wallsgrove, R. M. (2019).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Bergstrom, N., Braden, B. J., &amp; Laguzza, A. (2018).The Braden Scale for Predicting Pressure Sore Risk.Nursing Research, 41(2),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Boateng, J. S., &amp; Catanzano, O. (2015).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Conte, M. S., Bradbury, A. W., Kolh, P., White, J. V., Dick, F., Fitridge, R., ... &amp; Mills, J. L. (2019). Global vascular guidelines on chronic limb-threatening ischemia.European Journal of Vascular and Endovascular Surgery, 58(1), S1-S109.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Crispian Scully and Rosemary Shotts (2000).Mouth ulcers and other causes of orofacial soreness and pain.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Daglia, M. (2017).Polyphenols as antimicrobial agents.</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Dinda, B., Das, N., Dinda, S., Dinda, M., &amp; SilSarma, I. (2015).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Edeoga, H. O., Okwu, D. E., &amp; Mbaebie, B. O. (2020). Phytochemical constituents of some Nigerian medicinal plants.</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Edeoga, H. O., Okwu, D. E., &amp; Mbaebie, B. O. (2020). Phytochemical constituents of some Nigerian medicinal plants.</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and mineral composition of </w:t>
      </w:r>
      <w:r w:rsidRPr="004C682A">
        <w:rPr>
          <w:rStyle w:val="Emphasis"/>
          <w:color w:val="000000" w:themeColor="text1"/>
          <w:szCs w:val="26"/>
        </w:rPr>
        <w:t>Sida acuta</w:t>
      </w:r>
      <w:r w:rsidRPr="004C682A">
        <w:rPr>
          <w:color w:val="000000" w:themeColor="text1"/>
          <w:szCs w:val="26"/>
        </w:rPr>
        <w:t>.</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Edwards, R., &amp; Harding, K. G. (2020).Bacteria and wound healing.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2009;3(9):621-24.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Eming, S. A., Martin, P., &amp; Tomic-Canic, M. (2014). Wound repair and regeneration: Mechanisms, signaling, and translation. Science Translational Medicine, 6(265), 265sr6.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Eming, S. A., Martin, P., &amp; Tomic-Canic, M. (2019). Wound repair and regeneration: Mechanisms, signaling, and translation. Science Translational Medicine, 6(265), 265sr6.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1;2(4):89.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Ezekwesili, C. N., Nwodo, O. F., Obidoa, O., &amp; Aboh, F. O. (2018).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Nwodo, O. F., Obidoa, O., &amp; Aboh, F. O. (2018).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Nwodo, O. F., Obidoa, O., &amp; Aboh, F. O. (2018).Selenium and antioxidant properties of </w:t>
      </w:r>
      <w:r w:rsidRPr="004C682A">
        <w:rPr>
          <w:rStyle w:val="Emphasis"/>
          <w:color w:val="000000" w:themeColor="text1"/>
          <w:szCs w:val="26"/>
        </w:rPr>
        <w:t>Sida acuta</w:t>
      </w:r>
      <w:r w:rsidRPr="004C682A">
        <w:rPr>
          <w:color w:val="000000" w:themeColor="text1"/>
          <w:szCs w:val="26"/>
        </w:rPr>
        <w:t>.</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Fitzpatrick, S. G., Cohen, D. M., &amp; Clark, A. N. (2019).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2014;348:g3174.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 ...&amp; Criqui, M. H. (2020). Comparison of global estimates of prevalence and risk factors for peripheral artery disease.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Fraga, C. G., Croft, K. D., &amp; Kennedy, D. O. (2019).The role of tannins in health benefits.</w:t>
      </w:r>
      <w:r w:rsidRPr="004C682A">
        <w:rPr>
          <w:rStyle w:val="Emphasis"/>
          <w:color w:val="000000" w:themeColor="text1"/>
          <w:szCs w:val="26"/>
        </w:rPr>
        <w:t>Molecular Nutrition &amp; Food Research, 63</w:t>
      </w:r>
      <w:r w:rsidRPr="004C682A">
        <w:rPr>
          <w:color w:val="000000" w:themeColor="text1"/>
          <w:szCs w:val="26"/>
        </w:rPr>
        <w:t>(8), 1801234.</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Fraga, C. G., Croft, K. D., Kennedy, D. O., &amp; Tomás-Barberán, F. A. (2019).The role of flavonoids in disease prevention and health promotion.</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Fraga, C. G., Croft, K. D., Kennedy, D. O., &amp; Tomás-Barberán, F. A. (2019).The role of phenolic compounds in disease prevention and health promotion.</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Fraga, C. G., Croft, K. D., Kennedy, D. O., &amp; Tomás-Barberán, F. A. (2019).Role of minerals in plant-derived nutrition and disease prevention.</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Gorecki, C., Closs, S. J., Nixon, J., &amp; Briggs, M. (2019).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Gorecki, C., Closs, S. J., Nixon, J., &amp; Briggs, M. (2019).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Goren, A., Ruppert, K., Degenholtz, H. B., &amp; Greer, N. (2019).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 ...&amp; Vowden, P. (2015). Health economic burden that wounds impose on the National Health Service in the UK.BMJ Open, 5(12), e009283.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Guo, S., &amp; DiPietro, L. A. (2010).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Hagerman, A. E., &amp; Butler, L. G. (2020).The role of flavonoids in cardiovascular health.</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Hagerman, A. E., &amp; Butler, L. G. (2020).The role of phenols in cardiovascular health.</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Jaul, E., Barron, J., Rosenzweig, J. P., &amp; Menczel, J. (2018).An overview of comorbidities and the development of pressure ulcers among older adults.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KALYANAKRISHNAN RAMAKRISHNAN, MD, FRCSE, and ROBERT C. SALINAS, MD (2007).Peptic Ulcer Disease.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r w:rsidRPr="004C682A">
        <w:rPr>
          <w:color w:val="000000" w:themeColor="text1"/>
          <w:sz w:val="24"/>
          <w:szCs w:val="26"/>
          <w:shd w:val="clear" w:color="auto" w:fill="FFFFFF"/>
        </w:rPr>
        <w:t>Sida acuta Burm. f.: a medicinal plant with numerous potencies. </w:t>
      </w:r>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Kayode, J. (2006). Conservation of indigenous medicinal botanicals in Ekiti State, Nigeria.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Khare, C.P. (2008). Indian medicinal plants: an illustrated dictionary (Vol. I). Springer Science and Business Media.</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Khare, M., Srivastava, S.K., Singh, A.K., 2002.Chemistry and pharmacology of genus Sida (Malvaceae)—a review.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ed.). Saunders. p. 1230.ISBN 0-7216-0187-1.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ed.). Saunders. p. 1230.ISBN 0-7216-0187-1.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Kurata JH, Nogawa AN. Meta-analysis of risk factors for peptic ulcer. Nonsteroidal anti-inflammatory drugs, Helicobacter pylori, and smoking. J Clin Gastroenterol 1997;24:2-17.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Laine, L., Jensen, D. M., &amp; Saini, S. D. (2021).Clinical practice guidelines for the management of peptic ulcer disease. Gastroenterology, 160(6), 1832-1851.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Laine, L., Jensen, D. M., &amp; Saini, S. D. (2021).Clinical practice guidelines for the management of peptic ulcer disease. Gastroenterology, 160(6), 1832-1851.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(2017).Peptic ulcer disease. The Lancet, 390(10094), 613-624.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(2017).Peptic ulcer disease. The Lancet, 390(10094), 613-624.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Lauret ME, Rodriguez-Pelaez M, Perez I, Rodrigo L (2015) Peptic Ulcer Disease.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Liesegang, T. J. (2019). Bacterial and fungal keratitis.Clinical Microbiology Reviews, 32(3), e00103-18.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Liesegang, T. J. (2019). Bacterial and fungal keratitis.Clinical Microbiology Reviews, 32(3), e00103-18.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Malairajan, P., Gopalakrishnan, G., Narasimhan, S., JessikalaVeni, K., 2006.Antiulcer activity of Sida acuta Burm. Natural Product Sciences 12, 150-152.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Malfertheiner, P., Kandulski, A., &amp; Venerito, M. (2017).Helicobacter pylori infection and the pathophysiology of peptic ulcer disease.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Malfertheiner, P., Kandulski, A., &amp; Venerito, M. (2017).Helicobacter pylori infection and the pathophysiology of peptic ulcer disease.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Mann A, Gbate M, Umar AN (2003).Sida acuta subspecie acuta.Medicinal and economic palnt of Nupeland, Jube Evans Books and Publication, p. 241.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Martin, P. (1997). Wound healing—aiming for perfect skin regeneration. Science, 276(5309), 75-81.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Máthé, Á. and Khan, I.A. (2022).Introduction to Medicinal and Aromatic Plants in India.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Mbagwu, F. N., &amp; Okoro, U. M. (2017).Anti-inflammatory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F. N., &amp; Okoro, U. M. (2017).Anti-inflammatory and analgesic effects of </w:t>
      </w:r>
      <w:r w:rsidRPr="004C682A">
        <w:rPr>
          <w:rStyle w:val="Emphasis"/>
          <w:color w:val="000000" w:themeColor="text1"/>
          <w:szCs w:val="26"/>
        </w:rPr>
        <w:t>Sida acuta</w:t>
      </w:r>
      <w:r w:rsidRPr="004C682A">
        <w:rPr>
          <w:color w:val="000000" w:themeColor="text1"/>
          <w:szCs w:val="26"/>
        </w:rPr>
        <w:t xml:space="preserve"> phenols.</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F. N., &amp; Okoro, U. M. (2017).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H. O., &amp; Okoro, F. A. (2017).Anti-inflammatory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H. O., &amp; Okoro, F. A. (2017).Anti-inflammatory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2023;61:396-407.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Mohideen, S., Sasikala, E., &amp; Gopal, V. (2002).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Mustoe, T. A., O’Shaughnessy, K., &amp; Kloeters, O. (2006). Chronic wound pathogenesis and current treatment strategies: A unifying hypothesis. Plastic and Reconstructive Surgery, 117(7S), 35S-41S.</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2003;71:6573-81.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Nussbaum, S. R., Carter, M. J., Fife, C. E., DaVanzo, J., Haught, R., Nusgart, M., &amp; Cartwright, D. (2018).An economic evaluation of the impact, cost, and Medicare policy implications of chronic nonhealing wounds.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E. A., Salawu, O. T., &amp; Adebayo, A. M. (2019).Chemical composition and medicinal potentials of </w:t>
      </w:r>
      <w:r w:rsidRPr="004C682A">
        <w:rPr>
          <w:rStyle w:val="Emphasis"/>
          <w:color w:val="000000" w:themeColor="text1"/>
          <w:szCs w:val="26"/>
        </w:rPr>
        <w:t>Sida acuta</w:t>
      </w:r>
      <w:r w:rsidRPr="004C682A">
        <w:rPr>
          <w:color w:val="000000" w:themeColor="text1"/>
          <w:szCs w:val="26"/>
        </w:rPr>
        <w:t>.</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E. A., Salawu, O. T., &amp; Adebayo, A. M. (2019).Chemical composition and medicinal potentials of </w:t>
      </w:r>
      <w:r w:rsidRPr="004C682A">
        <w:rPr>
          <w:rStyle w:val="Emphasis"/>
          <w:color w:val="000000" w:themeColor="text1"/>
          <w:szCs w:val="26"/>
        </w:rPr>
        <w:t>Sida acuta</w:t>
      </w:r>
      <w:r w:rsidRPr="004C682A">
        <w:rPr>
          <w:color w:val="000000" w:themeColor="text1"/>
          <w:szCs w:val="26"/>
        </w:rPr>
        <w:t>.</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Ogunyemi, O. M., Adewoyin, F. B., &amp; Olukemi, O. A. (2019).Phytochemical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O. M., Adewoyin, F. B., &amp; Olukemi, O. A. (2019).Phytochemical screening and biological activities of </w:t>
      </w:r>
      <w:r w:rsidRPr="004C682A">
        <w:rPr>
          <w:rStyle w:val="Emphasis"/>
          <w:color w:val="000000" w:themeColor="text1"/>
          <w:szCs w:val="26"/>
        </w:rPr>
        <w:t>Sida acuta</w:t>
      </w:r>
      <w:r w:rsidRPr="004C682A">
        <w:rPr>
          <w:color w:val="000000" w:themeColor="text1"/>
          <w:szCs w:val="26"/>
        </w:rPr>
        <w:t>.</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O. M., Adewoyin, F. B., &amp; Olukemi, O. A. (2019).Phytochemical screening and mineral analysis of </w:t>
      </w:r>
      <w:r w:rsidRPr="004C682A">
        <w:rPr>
          <w:rStyle w:val="Emphasis"/>
          <w:color w:val="000000" w:themeColor="text1"/>
          <w:szCs w:val="26"/>
        </w:rPr>
        <w:t>Sida acuta</w:t>
      </w:r>
      <w:r w:rsidRPr="004C682A">
        <w:rPr>
          <w:color w:val="000000" w:themeColor="text1"/>
          <w:szCs w:val="26"/>
        </w:rPr>
        <w:t>.</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Okokon, J. E., Udoh, A. M., &amp; Akpan, A. B. (2018).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Olajide, O. A., Awe, S. O., &amp; Makinde, J. M. (2019).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O. A., Awe, S. O., &amp; Makinde, J. M. (2019).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O. A., Awe, S. O., &amp; Makinde, J. M. (2019).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S. O., Balogun, A. G., &amp; Adeyeye, O. T. (2019).Antifungal activity of </w:t>
      </w:r>
      <w:r w:rsidRPr="004C682A">
        <w:rPr>
          <w:rStyle w:val="Emphasis"/>
          <w:color w:val="000000" w:themeColor="text1"/>
          <w:szCs w:val="26"/>
        </w:rPr>
        <w:t>Sida acuta</w:t>
      </w:r>
      <w:r w:rsidRPr="004C682A">
        <w:rPr>
          <w:color w:val="000000" w:themeColor="text1"/>
          <w:szCs w:val="26"/>
        </w:rPr>
        <w:t xml:space="preserve"> against pathogenic fungi.</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S. O., Balogun, A. G., &amp; Adeyeye, O. T. (2019).Antifungal activity of </w:t>
      </w:r>
      <w:r w:rsidRPr="004C682A">
        <w:rPr>
          <w:rStyle w:val="Emphasis"/>
          <w:color w:val="000000" w:themeColor="text1"/>
          <w:szCs w:val="26"/>
        </w:rPr>
        <w:t>Sida acuta</w:t>
      </w:r>
      <w:r w:rsidRPr="004C682A">
        <w:rPr>
          <w:color w:val="000000" w:themeColor="text1"/>
          <w:szCs w:val="26"/>
        </w:rPr>
        <w:t xml:space="preserve"> against pathogenic fungi.</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Philip, B. K., Muralidharan, A., Natarajan, B., Varadamurthy, S., Venkataraman, S., 2008.Preliminary evaluation of anti-pyretic and anti-ulcerogenic activities of Sida cordifolia methanolic extract.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Porter, S. R., &amp; Leao, J. C. (2005).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Raimi, M.M.; Oyekanmi, A.M. and Adegoke, B.M. (2014).Proximate, phytochemical and micronutrient composition of Sida acuta.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.(2023). Treatment approach to corneal ulcer- Major Review.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Sadeghian, G., Ziaei, H., &amp; Nilforoushzadeh, M. A. (2020).Cutaneous infections leading to ulceration.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Epstein J, Sonis S. Oral mucositis: a challenging complication of radiotherapy, chemotherapy, and radiochemotherapy: Part 2. diagnosis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r w:rsidRPr="004C682A">
        <w:rPr>
          <w:i/>
          <w:iCs/>
          <w:color w:val="000000" w:themeColor="text1"/>
          <w:sz w:val="24"/>
          <w:szCs w:val="26"/>
          <w:shd w:val="clear" w:color="auto" w:fill="FFFFFF"/>
        </w:rPr>
        <w:t>Sida acuta Burm.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 …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rPr>
        <w:t>Srinivasan, N., &amp; Murali, R. (2022).An overview of the traditional importance, phytochemistry, and pharmacological properties of Sida acuta Burm.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.(2023). Corneal Ulcer.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Stern, A., &amp; Neuman, M. (2019).Pathophysiology and prevention of pressure ulcers.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Sung JJ, Kuipers EJ, El-Serag HB. Systematic review: the global incidence and prevalence of peptic ulcer disease. Aliment Pharmacol Ther 2009;29:938-46.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Sung, J. J. Y., Kuipers, E. J., &amp; El-Serag, H. B. (2020).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Sung, J. J. Y., Kuipers, E. J., &amp; El-Serag, H. B. (2020).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Tcheghebe, O. T., Seukep, A. J., &amp; Tatong, F. N. (2017). Ethnomedicinal uses, phytochemical and pharmacological profiles, and toxicity of Sida acuta Burm. F.: a review article. </w:t>
      </w:r>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Pimple*1 , Sakshi N. Nagre1 , Bhushan R. Gandhare2 , Sadhana P. Gautam3 , Pooja P. Hulke4 (2024). A Systematic Review On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Uche, C. Z., Nwafor, I. G., &amp; Ekong, U. S. (2020).Antioxidant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C. Z., Nwafor, I. G., &amp; Ekong, U. S. (2020).Antioxidant properties of phenol-rich </w:t>
      </w:r>
      <w:r w:rsidRPr="004C682A">
        <w:rPr>
          <w:rStyle w:val="Emphasis"/>
          <w:color w:val="000000" w:themeColor="text1"/>
          <w:szCs w:val="26"/>
        </w:rPr>
        <w:t>Sida acuta</w:t>
      </w:r>
      <w:r w:rsidRPr="004C682A">
        <w:rPr>
          <w:color w:val="000000" w:themeColor="text1"/>
          <w:szCs w:val="26"/>
        </w:rPr>
        <w:t xml:space="preserve"> extracts.</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C. Z., Nwafor, I. G., &amp; Ekong, U. S. (2020).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.(2015). Guidelines for the Management of Corneal Ulcer.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Yogarajah, S., &amp; Setterfield, J. (2021). </w:t>
      </w:r>
      <w:r w:rsidRPr="004C682A">
        <w:rPr>
          <w:rFonts w:eastAsia="Times New Roman"/>
          <w:i/>
          <w:iCs/>
          <w:color w:val="000000" w:themeColor="text1"/>
          <w:sz w:val="24"/>
          <w:szCs w:val="26"/>
        </w:rPr>
        <w:t>Mouth ulcers and diseases of the oral cavity.Medicine.</w:t>
      </w:r>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Zeouk, I. and Bekhti, K. (2020).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Beakers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3FF" w:rsidRDefault="004003FF" w:rsidP="00E45839">
      <w:pPr>
        <w:spacing w:after="0" w:line="240" w:lineRule="auto"/>
      </w:pPr>
      <w:r>
        <w:separator/>
      </w:r>
    </w:p>
  </w:endnote>
  <w:endnote w:type="continuationSeparator" w:id="1">
    <w:p w:rsidR="004003FF" w:rsidRDefault="004003FF" w:rsidP="00E458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290341"/>
      <w:docPartObj>
        <w:docPartGallery w:val="Page Numbers (Bottom of Page)"/>
        <w:docPartUnique/>
      </w:docPartObj>
    </w:sdtPr>
    <w:sdtEndPr>
      <w:rPr>
        <w:noProof/>
      </w:rPr>
    </w:sdtEndPr>
    <w:sdtContent>
      <w:p w:rsidR="00044078" w:rsidRDefault="00E44F00">
        <w:pPr>
          <w:pStyle w:val="Footer"/>
          <w:jc w:val="center"/>
        </w:pPr>
        <w:r>
          <w:fldChar w:fldCharType="begin"/>
        </w:r>
        <w:r w:rsidR="00044078">
          <w:instrText xml:space="preserve"> PAGE   \* MERGEFORMAT </w:instrText>
        </w:r>
        <w:r>
          <w:fldChar w:fldCharType="separate"/>
        </w:r>
        <w:r w:rsidR="00131F2C">
          <w:rPr>
            <w:noProof/>
          </w:rPr>
          <w:t>11</w:t>
        </w:r>
        <w:r>
          <w:rPr>
            <w:noProof/>
          </w:rPr>
          <w:fldChar w:fldCharType="end"/>
        </w:r>
      </w:p>
    </w:sdtContent>
  </w:sdt>
  <w:p w:rsidR="00044078" w:rsidRDefault="000440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3FF" w:rsidRDefault="004003FF" w:rsidP="00E45839">
      <w:pPr>
        <w:spacing w:after="0" w:line="240" w:lineRule="auto"/>
      </w:pPr>
      <w:r>
        <w:separator/>
      </w:r>
    </w:p>
  </w:footnote>
  <w:footnote w:type="continuationSeparator" w:id="1">
    <w:p w:rsidR="004003FF" w:rsidRDefault="004003FF" w:rsidP="00E458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93611B"/>
    <w:rsid w:val="00017807"/>
    <w:rsid w:val="00044078"/>
    <w:rsid w:val="00062DA5"/>
    <w:rsid w:val="000C1E66"/>
    <w:rsid w:val="000C6316"/>
    <w:rsid w:val="001258F3"/>
    <w:rsid w:val="00131F2C"/>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03FF"/>
    <w:rsid w:val="00402D1A"/>
    <w:rsid w:val="0040427A"/>
    <w:rsid w:val="004376B0"/>
    <w:rsid w:val="004C682A"/>
    <w:rsid w:val="004C6FDE"/>
    <w:rsid w:val="004D60C9"/>
    <w:rsid w:val="004D69EB"/>
    <w:rsid w:val="004F4F53"/>
    <w:rsid w:val="005431D9"/>
    <w:rsid w:val="00552A1D"/>
    <w:rsid w:val="005963F5"/>
    <w:rsid w:val="005B42D1"/>
    <w:rsid w:val="005E6160"/>
    <w:rsid w:val="005F3A20"/>
    <w:rsid w:val="00636657"/>
    <w:rsid w:val="006578E0"/>
    <w:rsid w:val="00666471"/>
    <w:rsid w:val="00686071"/>
    <w:rsid w:val="0069571C"/>
    <w:rsid w:val="006B7EA5"/>
    <w:rsid w:val="006C3F71"/>
    <w:rsid w:val="007108A0"/>
    <w:rsid w:val="0073533B"/>
    <w:rsid w:val="007411D1"/>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87726"/>
    <w:rsid w:val="00B95E43"/>
    <w:rsid w:val="00BB4E23"/>
    <w:rsid w:val="00BF2998"/>
    <w:rsid w:val="00C01D9C"/>
    <w:rsid w:val="00C42904"/>
    <w:rsid w:val="00C6447B"/>
    <w:rsid w:val="00C7577C"/>
    <w:rsid w:val="00C8717E"/>
    <w:rsid w:val="00C972A5"/>
    <w:rsid w:val="00CE0931"/>
    <w:rsid w:val="00D375FD"/>
    <w:rsid w:val="00D427CB"/>
    <w:rsid w:val="00D471D0"/>
    <w:rsid w:val="00D76801"/>
    <w:rsid w:val="00D80C6B"/>
    <w:rsid w:val="00DA6115"/>
    <w:rsid w:val="00DA7019"/>
    <w:rsid w:val="00DC1BC1"/>
    <w:rsid w:val="00E116A2"/>
    <w:rsid w:val="00E13104"/>
    <w:rsid w:val="00E44F00"/>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r="http://schemas.openxmlformats.org/officeDocument/2006/relationships" xmlns:w="http://schemas.openxmlformats.org/wordprocessingml/2006/main">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6.emf"/><Relationship Id="rId47" Type="http://schemas.openxmlformats.org/officeDocument/2006/relationships/oleObject" Target="embeddings/oleObject6.bin"/><Relationship Id="rId50" Type="http://schemas.openxmlformats.org/officeDocument/2006/relationships/image" Target="media/image30.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9.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5.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4.emf"/><Relationship Id="rId66" Type="http://schemas.openxmlformats.org/officeDocument/2006/relationships/image" Target="media/image38.emf"/><Relationship Id="rId74" Type="http://schemas.openxmlformats.org/officeDocument/2006/relationships/image" Target="media/image42.emf"/><Relationship Id="rId79" Type="http://schemas.openxmlformats.org/officeDocument/2006/relationships/image" Target="media/image44.emf"/><Relationship Id="rId87" Type="http://schemas.openxmlformats.org/officeDocument/2006/relationships/image" Target="media/image48.emf"/><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50.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microsoft.com/office/2007/relationships/hdphoto" Target="media/hdphoto2.wdp"/><Relationship Id="rId30" Type="http://schemas.openxmlformats.org/officeDocument/2006/relationships/image" Target="media/image20.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image" Target="media/image37.emf"/><Relationship Id="rId69" Type="http://schemas.openxmlformats.org/officeDocument/2006/relationships/oleObject" Target="embeddings/oleObject17.bin"/><Relationship Id="rId77" Type="http://schemas.openxmlformats.org/officeDocument/2006/relationships/image" Target="media/image43.emf"/><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image" Target="media/image41.emf"/><Relationship Id="rId80" Type="http://schemas.openxmlformats.org/officeDocument/2006/relationships/oleObject" Target="embeddings/oleObject23.bin"/><Relationship Id="rId85" Type="http://schemas.openxmlformats.org/officeDocument/2006/relationships/image" Target="media/image47.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4.emf"/><Relationship Id="rId46" Type="http://schemas.openxmlformats.org/officeDocument/2006/relationships/image" Target="media/image28.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2.jpeg"/><Relationship Id="rId41" Type="http://schemas.openxmlformats.org/officeDocument/2006/relationships/oleObject" Target="embeddings/oleObject3.bin"/><Relationship Id="rId54" Type="http://schemas.openxmlformats.org/officeDocument/2006/relationships/image" Target="media/image32.emf"/><Relationship Id="rId62" Type="http://schemas.openxmlformats.org/officeDocument/2006/relationships/image" Target="media/image36.emf"/><Relationship Id="rId70" Type="http://schemas.openxmlformats.org/officeDocument/2006/relationships/image" Target="media/image40.emf"/><Relationship Id="rId75" Type="http://schemas.openxmlformats.org/officeDocument/2006/relationships/oleObject" Target="embeddings/oleObject20.bin"/><Relationship Id="rId83" Type="http://schemas.openxmlformats.org/officeDocument/2006/relationships/image" Target="media/image46.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image" Target="media/image23.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7.emf"/><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5.emf"/><Relationship Id="rId86" Type="http://schemas.openxmlformats.org/officeDocument/2006/relationships/oleObject" Target="embeddings/oleObject26.bin"/><Relationship Id="rId94" Type="http://schemas.openxmlformats.org/officeDocument/2006/relationships/image" Target="media/image49.jpeg"/><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8.0400000000000041E-2</c:v>
                </c:pt>
                <c:pt idx="1">
                  <c:v>0.18960000000000005</c:v>
                </c:pt>
                <c:pt idx="2">
                  <c:v>0.27100000000000002</c:v>
                </c:pt>
                <c:pt idx="3">
                  <c:v>0.41130000000000011</c:v>
                </c:pt>
              </c:numCache>
            </c:numRef>
          </c:yVal>
        </c:ser>
        <c:axId val="634091008"/>
        <c:axId val="634092544"/>
      </c:scatterChart>
      <c:valAx>
        <c:axId val="634091008"/>
        <c:scaling>
          <c:orientation val="minMax"/>
        </c:scaling>
        <c:axPos val="b"/>
        <c:numFmt formatCode="General" sourceLinked="1"/>
        <c:tickLblPos val="nextTo"/>
        <c:crossAx val="634092544"/>
        <c:crosses val="autoZero"/>
        <c:crossBetween val="midCat"/>
      </c:valAx>
      <c:valAx>
        <c:axId val="634092544"/>
        <c:scaling>
          <c:orientation val="minMax"/>
        </c:scaling>
        <c:axPos val="l"/>
        <c:majorGridlines/>
        <c:numFmt formatCode="General" sourceLinked="1"/>
        <c:tickLblPos val="nextTo"/>
        <c:crossAx val="634091008"/>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E3C69-4AE1-45CF-A468-9F85CDE16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168</Pages>
  <Words>28021</Words>
  <Characters>159721</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18</cp:revision>
  <cp:lastPrinted>2025-07-10T10:36:00Z</cp:lastPrinted>
  <dcterms:created xsi:type="dcterms:W3CDTF">2025-07-09T10:08:00Z</dcterms:created>
  <dcterms:modified xsi:type="dcterms:W3CDTF">2025-08-01T11:18:00Z</dcterms:modified>
</cp:coreProperties>
</file>