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56" w:rsidRPr="00F43835" w:rsidRDefault="006F3856" w:rsidP="00273608">
      <w:pPr>
        <w:spacing w:before="100" w:beforeAutospacing="1" w:after="100" w:afterAutospacing="1" w:line="240" w:lineRule="auto"/>
        <w:jc w:val="center"/>
        <w:rPr>
          <w:rFonts w:ascii="Times New Roman" w:eastAsia="Times New Roman" w:hAnsi="Times New Roman" w:cs="Times New Roman"/>
          <w:b/>
          <w:sz w:val="36"/>
          <w:szCs w:val="24"/>
        </w:rPr>
      </w:pPr>
      <w:r w:rsidRPr="00F43835">
        <w:rPr>
          <w:rFonts w:ascii="Times New Roman" w:eastAsia="Times New Roman" w:hAnsi="Times New Roman" w:cs="Times New Roman"/>
          <w:b/>
          <w:sz w:val="36"/>
          <w:szCs w:val="24"/>
        </w:rPr>
        <w:t xml:space="preserve">ANALYSIS OF PRICES OF SELECTED FOOD ITEMS IN ILORIN </w:t>
      </w:r>
      <w:bookmarkStart w:id="0" w:name="_GoBack"/>
      <w:bookmarkEnd w:id="0"/>
      <w:r w:rsidRPr="00F43835">
        <w:rPr>
          <w:rFonts w:ascii="Times New Roman" w:eastAsia="Times New Roman" w:hAnsi="Times New Roman" w:cs="Times New Roman"/>
          <w:b/>
          <w:sz w:val="36"/>
          <w:szCs w:val="24"/>
        </w:rPr>
        <w:t>MARKET</w:t>
      </w:r>
    </w:p>
    <w:p w:rsidR="006F3856" w:rsidRPr="00F43835" w:rsidRDefault="006F3856" w:rsidP="00273608">
      <w:pPr>
        <w:spacing w:before="100" w:beforeAutospacing="1" w:after="100" w:afterAutospacing="1" w:line="240" w:lineRule="auto"/>
        <w:jc w:val="center"/>
        <w:rPr>
          <w:rFonts w:ascii="Times New Roman" w:eastAsia="Times New Roman" w:hAnsi="Times New Roman" w:cs="Times New Roman"/>
          <w:b/>
          <w:sz w:val="36"/>
          <w:szCs w:val="24"/>
        </w:rPr>
      </w:pPr>
      <w:r w:rsidRPr="00F43835">
        <w:rPr>
          <w:rFonts w:ascii="Times New Roman" w:eastAsia="Times New Roman" w:hAnsi="Times New Roman" w:cs="Times New Roman"/>
          <w:b/>
          <w:sz w:val="36"/>
          <w:szCs w:val="24"/>
        </w:rPr>
        <w:t>(A CASE STUDY OF</w:t>
      </w:r>
      <w:r w:rsidR="00427EE9">
        <w:rPr>
          <w:rFonts w:ascii="Times New Roman" w:eastAsia="Times New Roman" w:hAnsi="Times New Roman" w:cs="Times New Roman"/>
          <w:b/>
          <w:sz w:val="36"/>
          <w:szCs w:val="24"/>
        </w:rPr>
        <w:t xml:space="preserve"> </w:t>
      </w:r>
      <w:r w:rsidR="0077524D" w:rsidRPr="00F43835">
        <w:rPr>
          <w:rFonts w:ascii="Times New Roman" w:eastAsia="Times New Roman" w:hAnsi="Times New Roman" w:cs="Times New Roman"/>
          <w:b/>
          <w:sz w:val="36"/>
          <w:szCs w:val="24"/>
        </w:rPr>
        <w:t>MANDATE</w:t>
      </w:r>
      <w:r w:rsidRPr="00F43835">
        <w:rPr>
          <w:rFonts w:ascii="Times New Roman" w:eastAsia="Times New Roman" w:hAnsi="Times New Roman" w:cs="Times New Roman"/>
          <w:b/>
          <w:sz w:val="36"/>
          <w:szCs w:val="24"/>
        </w:rPr>
        <w:t xml:space="preserve"> MARKET</w:t>
      </w:r>
      <w:r w:rsidR="0081595B" w:rsidRPr="00F43835">
        <w:rPr>
          <w:rFonts w:ascii="Times New Roman" w:eastAsia="Times New Roman" w:hAnsi="Times New Roman" w:cs="Times New Roman"/>
          <w:b/>
          <w:sz w:val="36"/>
          <w:szCs w:val="24"/>
        </w:rPr>
        <w:t>, ILORIN</w:t>
      </w:r>
      <w:r w:rsidRPr="00F43835">
        <w:rPr>
          <w:rFonts w:ascii="Times New Roman" w:eastAsia="Times New Roman" w:hAnsi="Times New Roman" w:cs="Times New Roman"/>
          <w:b/>
          <w:sz w:val="36"/>
          <w:szCs w:val="24"/>
        </w:rPr>
        <w:t>)</w:t>
      </w:r>
    </w:p>
    <w:p w:rsidR="006F3856" w:rsidRDefault="006F3856" w:rsidP="00273608">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rsidR="006F3856" w:rsidRDefault="006F3856" w:rsidP="00273608">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rsidR="006F3856" w:rsidRPr="00406245" w:rsidRDefault="006F3856" w:rsidP="00273608">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rsidR="006F3856" w:rsidRDefault="00E84524" w:rsidP="00273608">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PRESENTED </w:t>
      </w:r>
      <w:r w:rsidR="006F3856" w:rsidRPr="00406245">
        <w:rPr>
          <w:rFonts w:ascii="Times New Roman" w:eastAsia="Times New Roman" w:hAnsi="Times New Roman" w:cs="Times New Roman"/>
          <w:b/>
          <w:bCs/>
          <w:sz w:val="24"/>
          <w:szCs w:val="24"/>
        </w:rPr>
        <w:t>BY</w:t>
      </w:r>
    </w:p>
    <w:p w:rsidR="006F3856" w:rsidRPr="00406245" w:rsidRDefault="006F3856" w:rsidP="00273608">
      <w:pPr>
        <w:tabs>
          <w:tab w:val="left" w:pos="4140"/>
        </w:tabs>
        <w:spacing w:before="100" w:beforeAutospacing="1" w:after="100" w:afterAutospacing="1" w:line="240" w:lineRule="auto"/>
        <w:jc w:val="center"/>
        <w:rPr>
          <w:rFonts w:ascii="Times New Roman" w:eastAsia="Times New Roman" w:hAnsi="Times New Roman" w:cs="Times New Roman"/>
          <w:b/>
          <w:bCs/>
          <w:sz w:val="24"/>
          <w:szCs w:val="24"/>
        </w:rPr>
      </w:pPr>
    </w:p>
    <w:p w:rsidR="006F3856" w:rsidRDefault="006F3856" w:rsidP="00273608">
      <w:pPr>
        <w:tabs>
          <w:tab w:val="left" w:pos="4140"/>
        </w:tabs>
        <w:spacing w:after="0" w:line="240" w:lineRule="auto"/>
        <w:ind w:left="10"/>
        <w:jc w:val="center"/>
        <w:rPr>
          <w:rFonts w:ascii="Times New Roman" w:hAnsi="Times New Roman" w:cs="Times New Roman"/>
          <w:b/>
          <w:sz w:val="24"/>
          <w:szCs w:val="24"/>
        </w:rPr>
      </w:pPr>
    </w:p>
    <w:p w:rsidR="0077524D" w:rsidRPr="00BC7F27" w:rsidRDefault="00797D96" w:rsidP="00273608">
      <w:pPr>
        <w:tabs>
          <w:tab w:val="left" w:pos="4140"/>
        </w:tabs>
        <w:spacing w:after="0" w:line="240" w:lineRule="auto"/>
        <w:jc w:val="center"/>
        <w:rPr>
          <w:rFonts w:ascii="Times New Roman" w:hAnsi="Times New Roman" w:cs="Times New Roman"/>
          <w:b/>
          <w:sz w:val="38"/>
          <w:szCs w:val="24"/>
        </w:rPr>
      </w:pPr>
      <w:r w:rsidRPr="00BC7F27">
        <w:rPr>
          <w:rFonts w:ascii="Times New Roman" w:hAnsi="Times New Roman" w:cs="Times New Roman"/>
          <w:b/>
          <w:sz w:val="38"/>
          <w:szCs w:val="24"/>
        </w:rPr>
        <w:t>SAAD IBRAHIM IYANDA</w:t>
      </w:r>
    </w:p>
    <w:p w:rsidR="006F3856" w:rsidRPr="00BC7F27" w:rsidRDefault="006F3856" w:rsidP="00E84524">
      <w:pPr>
        <w:tabs>
          <w:tab w:val="left" w:pos="4140"/>
        </w:tabs>
        <w:spacing w:after="0" w:line="240" w:lineRule="auto"/>
        <w:jc w:val="center"/>
        <w:rPr>
          <w:rFonts w:ascii="Times New Roman" w:hAnsi="Times New Roman" w:cs="Times New Roman"/>
          <w:b/>
          <w:sz w:val="38"/>
          <w:szCs w:val="24"/>
        </w:rPr>
      </w:pPr>
      <w:r w:rsidRPr="00BC7F27">
        <w:rPr>
          <w:rFonts w:ascii="Times New Roman" w:hAnsi="Times New Roman" w:cs="Times New Roman"/>
          <w:b/>
          <w:sz w:val="38"/>
          <w:szCs w:val="24"/>
        </w:rPr>
        <w:t>ND/23/STA/</w:t>
      </w:r>
      <w:r w:rsidR="00797D96" w:rsidRPr="00BC7F27">
        <w:rPr>
          <w:rFonts w:ascii="Times New Roman" w:hAnsi="Times New Roman" w:cs="Times New Roman"/>
          <w:b/>
          <w:sz w:val="38"/>
          <w:szCs w:val="24"/>
        </w:rPr>
        <w:t>FT/0015</w:t>
      </w:r>
    </w:p>
    <w:p w:rsidR="006F3856" w:rsidRPr="00406245" w:rsidRDefault="006F3856" w:rsidP="00273608">
      <w:pPr>
        <w:tabs>
          <w:tab w:val="left" w:pos="4140"/>
        </w:tabs>
        <w:spacing w:after="271" w:line="240" w:lineRule="auto"/>
        <w:ind w:left="10"/>
        <w:jc w:val="center"/>
        <w:rPr>
          <w:rFonts w:ascii="Times New Roman" w:hAnsi="Times New Roman" w:cs="Times New Roman"/>
          <w:b/>
          <w:sz w:val="24"/>
          <w:szCs w:val="24"/>
        </w:rPr>
      </w:pPr>
    </w:p>
    <w:p w:rsidR="006F3856" w:rsidRPr="00406245" w:rsidRDefault="006F3856" w:rsidP="00273608">
      <w:pPr>
        <w:tabs>
          <w:tab w:val="left" w:pos="4140"/>
        </w:tabs>
        <w:spacing w:after="271" w:line="240" w:lineRule="auto"/>
        <w:ind w:left="10"/>
        <w:jc w:val="center"/>
        <w:rPr>
          <w:rFonts w:ascii="Times New Roman" w:hAnsi="Times New Roman" w:cs="Times New Roman"/>
          <w:b/>
          <w:sz w:val="24"/>
          <w:szCs w:val="24"/>
        </w:rPr>
      </w:pPr>
    </w:p>
    <w:p w:rsidR="006F3856" w:rsidRPr="00406245" w:rsidRDefault="006F3856" w:rsidP="00273608">
      <w:pPr>
        <w:tabs>
          <w:tab w:val="left" w:pos="4140"/>
        </w:tabs>
        <w:spacing w:after="271" w:line="240" w:lineRule="auto"/>
        <w:ind w:left="10"/>
        <w:jc w:val="center"/>
        <w:rPr>
          <w:rFonts w:ascii="Times New Roman" w:hAnsi="Times New Roman" w:cs="Times New Roman"/>
          <w:sz w:val="24"/>
          <w:szCs w:val="24"/>
        </w:rPr>
      </w:pPr>
      <w:r w:rsidRPr="00406245">
        <w:rPr>
          <w:rFonts w:ascii="Times New Roman" w:hAnsi="Times New Roman" w:cs="Times New Roman"/>
          <w:b/>
          <w:sz w:val="24"/>
          <w:szCs w:val="24"/>
        </w:rPr>
        <w:t>BEING A RESEARCH WORK SUBMITTED TO THE</w:t>
      </w:r>
    </w:p>
    <w:p w:rsidR="006F3856" w:rsidRPr="00406245" w:rsidRDefault="006F3856" w:rsidP="00273608">
      <w:pPr>
        <w:tabs>
          <w:tab w:val="left" w:pos="4140"/>
        </w:tabs>
        <w:spacing w:after="821" w:line="240" w:lineRule="auto"/>
        <w:ind w:left="10"/>
        <w:jc w:val="center"/>
        <w:rPr>
          <w:rFonts w:ascii="Times New Roman" w:hAnsi="Times New Roman" w:cs="Times New Roman"/>
          <w:sz w:val="24"/>
          <w:szCs w:val="24"/>
        </w:rPr>
      </w:pPr>
      <w:r w:rsidRPr="00406245">
        <w:rPr>
          <w:rFonts w:ascii="Times New Roman" w:hAnsi="Times New Roman" w:cs="Times New Roman"/>
          <w:b/>
          <w:sz w:val="24"/>
          <w:szCs w:val="24"/>
        </w:rPr>
        <w:t>DEPARTMENT OF STATISTICS, INSTITUTE OF APPLIED SCIENCES, KWARA STATE POLYTECHNIC, ILORIN.</w:t>
      </w:r>
    </w:p>
    <w:p w:rsidR="006F3856" w:rsidRPr="005C0F51" w:rsidRDefault="006F3856" w:rsidP="00273608">
      <w:pPr>
        <w:pStyle w:val="Heading2"/>
        <w:tabs>
          <w:tab w:val="left" w:pos="4140"/>
        </w:tabs>
        <w:spacing w:after="271" w:line="240" w:lineRule="auto"/>
        <w:ind w:firstLine="725"/>
        <w:jc w:val="center"/>
        <w:rPr>
          <w:rFonts w:ascii="Times New Roman" w:hAnsi="Times New Roman" w:cs="Times New Roman"/>
          <w:b w:val="0"/>
          <w:bCs w:val="0"/>
          <w:color w:val="000000" w:themeColor="text1"/>
          <w:sz w:val="24"/>
          <w:szCs w:val="24"/>
        </w:rPr>
      </w:pPr>
      <w:r w:rsidRPr="005C0F51">
        <w:rPr>
          <w:rFonts w:ascii="Times New Roman" w:hAnsi="Times New Roman" w:cs="Times New Roman"/>
          <w:color w:val="000000" w:themeColor="text1"/>
          <w:sz w:val="24"/>
          <w:szCs w:val="24"/>
        </w:rPr>
        <w:t>IN PARTIAL FULFILMENT OF THE REQUIREMENT FOR THE AWARD OF NATIONAL DIPLOMA (ND) IN STATISTICS</w:t>
      </w:r>
    </w:p>
    <w:p w:rsidR="00273608" w:rsidRDefault="00273608" w:rsidP="00273608">
      <w:pPr>
        <w:tabs>
          <w:tab w:val="left" w:pos="4140"/>
        </w:tabs>
        <w:spacing w:after="0" w:line="240" w:lineRule="auto"/>
        <w:ind w:left="10"/>
        <w:jc w:val="center"/>
        <w:rPr>
          <w:rFonts w:ascii="Times New Roman" w:hAnsi="Times New Roman" w:cs="Times New Roman"/>
          <w:b/>
          <w:sz w:val="24"/>
          <w:szCs w:val="24"/>
        </w:rPr>
      </w:pPr>
    </w:p>
    <w:p w:rsidR="00273608" w:rsidRDefault="00273608" w:rsidP="00273608">
      <w:pPr>
        <w:tabs>
          <w:tab w:val="left" w:pos="4140"/>
        </w:tabs>
        <w:spacing w:after="0" w:line="240" w:lineRule="auto"/>
        <w:ind w:left="10"/>
        <w:jc w:val="center"/>
        <w:rPr>
          <w:rFonts w:ascii="Times New Roman" w:hAnsi="Times New Roman" w:cs="Times New Roman"/>
          <w:b/>
          <w:sz w:val="24"/>
          <w:szCs w:val="24"/>
        </w:rPr>
      </w:pPr>
    </w:p>
    <w:p w:rsidR="00273608" w:rsidRDefault="00273608" w:rsidP="00273608">
      <w:pPr>
        <w:tabs>
          <w:tab w:val="left" w:pos="4140"/>
        </w:tabs>
        <w:spacing w:after="0" w:line="240" w:lineRule="auto"/>
        <w:ind w:left="10"/>
        <w:jc w:val="center"/>
        <w:rPr>
          <w:rFonts w:ascii="Times New Roman" w:hAnsi="Times New Roman" w:cs="Times New Roman"/>
          <w:b/>
          <w:sz w:val="24"/>
          <w:szCs w:val="24"/>
        </w:rPr>
      </w:pPr>
    </w:p>
    <w:p w:rsidR="006F3856" w:rsidRPr="00406245" w:rsidRDefault="006F3856" w:rsidP="00273608">
      <w:pPr>
        <w:tabs>
          <w:tab w:val="left" w:pos="4140"/>
        </w:tabs>
        <w:spacing w:after="0" w:line="240" w:lineRule="auto"/>
        <w:ind w:left="10"/>
        <w:jc w:val="right"/>
        <w:rPr>
          <w:rFonts w:ascii="Times New Roman" w:hAnsi="Times New Roman" w:cs="Times New Roman"/>
          <w:b/>
          <w:sz w:val="24"/>
          <w:szCs w:val="24"/>
        </w:rPr>
      </w:pPr>
      <w:r w:rsidRPr="00406245">
        <w:rPr>
          <w:rFonts w:ascii="Times New Roman" w:hAnsi="Times New Roman" w:cs="Times New Roman"/>
          <w:b/>
          <w:sz w:val="24"/>
          <w:szCs w:val="24"/>
        </w:rPr>
        <w:t>JU</w:t>
      </w:r>
      <w:r>
        <w:rPr>
          <w:rFonts w:ascii="Times New Roman" w:hAnsi="Times New Roman" w:cs="Times New Roman"/>
          <w:b/>
          <w:sz w:val="24"/>
          <w:szCs w:val="24"/>
        </w:rPr>
        <w:t>LY</w:t>
      </w:r>
      <w:r w:rsidRPr="00406245">
        <w:rPr>
          <w:rFonts w:ascii="Times New Roman" w:hAnsi="Times New Roman" w:cs="Times New Roman"/>
          <w:b/>
          <w:sz w:val="24"/>
          <w:szCs w:val="24"/>
        </w:rPr>
        <w:t>, 2025</w:t>
      </w:r>
    </w:p>
    <w:p w:rsidR="006F3856" w:rsidRPr="00406245" w:rsidRDefault="006F3856" w:rsidP="00EB1A49">
      <w:pPr>
        <w:tabs>
          <w:tab w:val="left" w:pos="4140"/>
        </w:tabs>
        <w:spacing w:after="0" w:line="240" w:lineRule="auto"/>
        <w:ind w:left="10"/>
        <w:jc w:val="both"/>
        <w:rPr>
          <w:rFonts w:ascii="Times New Roman" w:hAnsi="Times New Roman" w:cs="Times New Roman"/>
          <w:b/>
          <w:sz w:val="24"/>
          <w:szCs w:val="24"/>
        </w:rPr>
      </w:pPr>
    </w:p>
    <w:p w:rsidR="006F3856" w:rsidRPr="00406245" w:rsidRDefault="006F3856" w:rsidP="00EB1A49">
      <w:pPr>
        <w:tabs>
          <w:tab w:val="left" w:pos="4140"/>
        </w:tabs>
        <w:spacing w:line="240" w:lineRule="auto"/>
        <w:jc w:val="both"/>
        <w:rPr>
          <w:rFonts w:ascii="Times New Roman" w:hAnsi="Times New Roman" w:cs="Times New Roman"/>
          <w:b/>
          <w:sz w:val="24"/>
          <w:szCs w:val="24"/>
        </w:rPr>
      </w:pPr>
    </w:p>
    <w:p w:rsidR="00C272E1" w:rsidRDefault="00C272E1" w:rsidP="00C272E1">
      <w:pPr>
        <w:jc w:val="center"/>
        <w:rPr>
          <w:rFonts w:ascii="Times New Roman" w:eastAsia="Calibri" w:hAnsi="Times New Roman"/>
          <w:b/>
          <w:sz w:val="24"/>
          <w:szCs w:val="24"/>
        </w:rPr>
      </w:pPr>
      <w:r>
        <w:rPr>
          <w:rFonts w:ascii="Times New Roman" w:eastAsia="Calibri" w:hAnsi="Times New Roman"/>
          <w:b/>
          <w:sz w:val="24"/>
          <w:szCs w:val="24"/>
        </w:rPr>
        <w:lastRenderedPageBreak/>
        <w:t xml:space="preserve">CERTIFICATION </w:t>
      </w:r>
    </w:p>
    <w:p w:rsidR="00C272E1" w:rsidRPr="00C272E1" w:rsidRDefault="00C272E1" w:rsidP="00C272E1">
      <w:pPr>
        <w:tabs>
          <w:tab w:val="left" w:pos="4140"/>
        </w:tabs>
        <w:spacing w:after="0" w:line="480" w:lineRule="auto"/>
        <w:jc w:val="both"/>
        <w:rPr>
          <w:rFonts w:ascii="Times New Roman" w:hAnsi="Times New Roman" w:cs="Times New Roman"/>
          <w:b/>
          <w:sz w:val="24"/>
          <w:szCs w:val="24"/>
        </w:rPr>
      </w:pPr>
      <w:r>
        <w:rPr>
          <w:rFonts w:ascii="Times New Roman" w:eastAsia="Calibri" w:hAnsi="Times New Roman"/>
          <w:bCs/>
          <w:sz w:val="24"/>
          <w:szCs w:val="24"/>
        </w:rPr>
        <w:t xml:space="preserve">This is to certify that this project work was carried out by </w:t>
      </w:r>
      <w:r w:rsidR="00863BFB">
        <w:rPr>
          <w:rFonts w:ascii="Times New Roman" w:hAnsi="Times New Roman" w:cs="Times New Roman"/>
          <w:b/>
          <w:sz w:val="24"/>
          <w:szCs w:val="24"/>
        </w:rPr>
        <w:t xml:space="preserve">SAAD IBRAHIM IYANDA </w:t>
      </w:r>
      <w:r>
        <w:rPr>
          <w:rFonts w:ascii="Times New Roman" w:eastAsia="Calibri" w:hAnsi="Times New Roman"/>
          <w:bCs/>
          <w:sz w:val="24"/>
          <w:szCs w:val="24"/>
        </w:rPr>
        <w:t xml:space="preserve">with Matric No: </w:t>
      </w:r>
      <w:r w:rsidRPr="00611F5A">
        <w:rPr>
          <w:rFonts w:ascii="Times New Roman" w:eastAsia="Calibri" w:hAnsi="Times New Roman"/>
          <w:b/>
          <w:bCs/>
          <w:sz w:val="24"/>
          <w:szCs w:val="24"/>
        </w:rPr>
        <w:t>ND/23/STA/FT/0</w:t>
      </w:r>
      <w:r>
        <w:rPr>
          <w:rFonts w:ascii="Times New Roman" w:eastAsia="Calibri" w:hAnsi="Times New Roman"/>
          <w:b/>
          <w:bCs/>
          <w:sz w:val="24"/>
          <w:szCs w:val="24"/>
        </w:rPr>
        <w:t>0</w:t>
      </w:r>
      <w:r w:rsidR="00863BFB">
        <w:rPr>
          <w:rFonts w:ascii="Times New Roman" w:eastAsia="Calibri" w:hAnsi="Times New Roman"/>
          <w:b/>
          <w:bCs/>
          <w:sz w:val="24"/>
          <w:szCs w:val="24"/>
        </w:rPr>
        <w:t>15</w:t>
      </w:r>
      <w:r>
        <w:rPr>
          <w:rFonts w:ascii="Times New Roman" w:eastAsia="Calibri" w:hAnsi="Times New Roman"/>
          <w:bCs/>
          <w:sz w:val="24"/>
          <w:szCs w:val="24"/>
        </w:rPr>
        <w:t xml:space="preserve"> has been read and approved as meeting part of the requirements for the award of National Diploma in Statistics, Institute of Applied Sciences (IAS), Kwara State Polytechnic, Ilorin, Kwara State</w:t>
      </w:r>
    </w:p>
    <w:p w:rsidR="00C272E1" w:rsidRDefault="00C272E1" w:rsidP="00C272E1">
      <w:pPr>
        <w:jc w:val="both"/>
        <w:rPr>
          <w:rFonts w:ascii="Times New Roman" w:eastAsia="Calibri" w:hAnsi="Times New Roman"/>
          <w:bCs/>
          <w:sz w:val="24"/>
          <w:szCs w:val="24"/>
        </w:rPr>
      </w:pPr>
      <w:r>
        <w:rPr>
          <w:rFonts w:ascii="Times New Roman" w:eastAsia="Calibri" w:hAnsi="Times New Roman"/>
          <w:bCs/>
          <w:sz w:val="24"/>
          <w:szCs w:val="24"/>
        </w:rPr>
        <w:t xml:space="preserve"> </w:t>
      </w:r>
    </w:p>
    <w:p w:rsidR="00C272E1" w:rsidRDefault="00C272E1" w:rsidP="00C272E1">
      <w:pPr>
        <w:rPr>
          <w:rFonts w:ascii="Times New Roman" w:eastAsia="Calibri" w:hAnsi="Times New Roman"/>
          <w:sz w:val="24"/>
          <w:szCs w:val="24"/>
        </w:rPr>
      </w:pPr>
    </w:p>
    <w:p w:rsidR="00C272E1" w:rsidRDefault="00C272E1" w:rsidP="00C272E1">
      <w:pPr>
        <w:rPr>
          <w:rFonts w:ascii="Times New Roman" w:eastAsia="Calibri" w:hAnsi="Times New Roman"/>
          <w:sz w:val="24"/>
          <w:szCs w:val="24"/>
        </w:rPr>
      </w:pP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834FF0" w:rsidRDefault="00834FF0" w:rsidP="00834FF0">
      <w:pPr>
        <w:spacing w:after="0" w:line="240" w:lineRule="auto"/>
        <w:rPr>
          <w:rFonts w:ascii="Times New Roman" w:eastAsia="Calibri" w:hAnsi="Times New Roman"/>
          <w:b/>
          <w:sz w:val="24"/>
          <w:szCs w:val="24"/>
        </w:rPr>
      </w:pPr>
      <w:r>
        <w:rPr>
          <w:rFonts w:ascii="Times New Roman" w:eastAsia="Calibri" w:hAnsi="Times New Roman"/>
          <w:b/>
          <w:sz w:val="24"/>
          <w:szCs w:val="24"/>
        </w:rPr>
        <w:t>MRS. ELEPO, T.A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C272E1" w:rsidRDefault="00C272E1" w:rsidP="00C272E1">
      <w:pPr>
        <w:spacing w:after="0" w:line="240" w:lineRule="auto"/>
        <w:rPr>
          <w:rFonts w:ascii="Times New Roman" w:eastAsia="Calibri" w:hAnsi="Times New Roman"/>
          <w:b/>
          <w:sz w:val="24"/>
          <w:szCs w:val="24"/>
        </w:rPr>
      </w:pPr>
      <w:r>
        <w:rPr>
          <w:rFonts w:ascii="Times New Roman" w:eastAsia="Calibri" w:hAnsi="Times New Roman"/>
          <w:b/>
          <w:sz w:val="24"/>
          <w:szCs w:val="24"/>
        </w:rPr>
        <w:t>Project Supervisor</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b/>
          <w:sz w:val="24"/>
          <w:szCs w:val="24"/>
        </w:rPr>
      </w:pPr>
    </w:p>
    <w:p w:rsidR="00C272E1" w:rsidRDefault="00C272E1" w:rsidP="00C272E1">
      <w:pPr>
        <w:spacing w:after="0" w:line="240" w:lineRule="auto"/>
        <w:rPr>
          <w:rFonts w:ascii="Times New Roman" w:eastAsia="Calibri" w:hAnsi="Times New Roman"/>
          <w:b/>
          <w:sz w:val="24"/>
          <w:szCs w:val="24"/>
        </w:rPr>
      </w:pPr>
    </w:p>
    <w:p w:rsidR="00C272E1" w:rsidRDefault="00C272E1" w:rsidP="00C272E1">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C272E1" w:rsidRDefault="00C272E1" w:rsidP="00C272E1">
      <w:pPr>
        <w:spacing w:after="0" w:line="240" w:lineRule="auto"/>
        <w:rPr>
          <w:rFonts w:ascii="Times New Roman" w:eastAsia="Calibri" w:hAnsi="Times New Roman"/>
          <w:b/>
          <w:sz w:val="24"/>
          <w:szCs w:val="24"/>
        </w:rPr>
      </w:pPr>
      <w:r>
        <w:rPr>
          <w:rFonts w:ascii="Times New Roman" w:eastAsia="Calibri" w:hAnsi="Times New Roman"/>
          <w:b/>
          <w:sz w:val="24"/>
          <w:szCs w:val="24"/>
        </w:rPr>
        <w:t>MRS. ELEPO, T.A</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C272E1" w:rsidRDefault="00C272E1" w:rsidP="00C272E1">
      <w:pPr>
        <w:spacing w:after="0" w:line="240" w:lineRule="auto"/>
        <w:rPr>
          <w:rFonts w:ascii="Times New Roman" w:eastAsia="Calibri" w:hAnsi="Times New Roman"/>
          <w:b/>
          <w:sz w:val="24"/>
          <w:szCs w:val="24"/>
        </w:rPr>
      </w:pPr>
      <w:r>
        <w:rPr>
          <w:rFonts w:ascii="Times New Roman" w:eastAsia="Calibri" w:hAnsi="Times New Roman"/>
          <w:b/>
          <w:sz w:val="24"/>
          <w:szCs w:val="24"/>
        </w:rPr>
        <w:t>Head of Department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p>
    <w:p w:rsidR="00C272E1" w:rsidRDefault="00C272E1" w:rsidP="00C272E1">
      <w:pPr>
        <w:spacing w:after="0" w:line="240" w:lineRule="auto"/>
        <w:rPr>
          <w:rFonts w:ascii="Times New Roman" w:eastAsia="Calibri" w:hAnsi="Times New Roman"/>
          <w:sz w:val="24"/>
          <w:szCs w:val="24"/>
        </w:rPr>
      </w:pPr>
    </w:p>
    <w:p w:rsidR="00C272E1" w:rsidRDefault="00C272E1" w:rsidP="00C272E1">
      <w:pPr>
        <w:spacing w:after="0" w:line="240" w:lineRule="auto"/>
        <w:rPr>
          <w:rFonts w:ascii="Times New Roman" w:eastAsia="Calibri" w:hAnsi="Times New Roman"/>
          <w:b/>
          <w:sz w:val="24"/>
          <w:szCs w:val="24"/>
        </w:rPr>
      </w:pPr>
      <w:r>
        <w:rPr>
          <w:rFonts w:ascii="Times New Roman" w:eastAsia="Calibri" w:hAnsi="Times New Roman"/>
          <w:b/>
          <w:sz w:val="24"/>
          <w:szCs w:val="24"/>
        </w:rPr>
        <w:t>……………………………………</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w:t>
      </w:r>
    </w:p>
    <w:p w:rsidR="00C272E1" w:rsidRDefault="00C272E1" w:rsidP="00C272E1">
      <w:pPr>
        <w:spacing w:after="0" w:line="240" w:lineRule="auto"/>
        <w:rPr>
          <w:rFonts w:ascii="Times New Roman" w:eastAsia="Calibri" w:hAnsi="Times New Roman"/>
          <w:b/>
          <w:sz w:val="24"/>
          <w:szCs w:val="24"/>
        </w:rPr>
      </w:pPr>
      <w:r>
        <w:rPr>
          <w:rFonts w:ascii="Times New Roman" w:eastAsia="Calibri" w:hAnsi="Times New Roman"/>
          <w:b/>
          <w:sz w:val="24"/>
          <w:szCs w:val="24"/>
        </w:rPr>
        <w:t>External Examiner</w:t>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r>
      <w:r>
        <w:rPr>
          <w:rFonts w:ascii="Times New Roman" w:eastAsia="Calibri" w:hAnsi="Times New Roman"/>
          <w:b/>
          <w:sz w:val="24"/>
          <w:szCs w:val="24"/>
        </w:rPr>
        <w:tab/>
        <w:t>Signature &amp; Date</w:t>
      </w:r>
    </w:p>
    <w:p w:rsidR="006F3856" w:rsidRPr="00406245" w:rsidRDefault="006F3856" w:rsidP="00EB1A49">
      <w:pPr>
        <w:tabs>
          <w:tab w:val="left" w:pos="4140"/>
        </w:tabs>
        <w:spacing w:line="480" w:lineRule="auto"/>
        <w:jc w:val="both"/>
        <w:rPr>
          <w:rFonts w:ascii="Times New Roman" w:hAnsi="Times New Roman" w:cs="Times New Roman"/>
          <w:b/>
          <w:sz w:val="24"/>
          <w:szCs w:val="24"/>
        </w:rPr>
      </w:pPr>
      <w:r w:rsidRPr="00406245">
        <w:rPr>
          <w:rFonts w:ascii="Times New Roman" w:hAnsi="Times New Roman" w:cs="Times New Roman"/>
          <w:b/>
          <w:sz w:val="24"/>
          <w:szCs w:val="24"/>
        </w:rPr>
        <w:br w:type="page"/>
      </w:r>
    </w:p>
    <w:p w:rsidR="006F3856" w:rsidRPr="00F44081" w:rsidRDefault="006F3856" w:rsidP="00273608">
      <w:pPr>
        <w:tabs>
          <w:tab w:val="left" w:pos="4140"/>
        </w:tabs>
        <w:spacing w:after="0" w:line="240" w:lineRule="auto"/>
        <w:ind w:left="10"/>
        <w:jc w:val="center"/>
        <w:rPr>
          <w:rFonts w:ascii="Times New Roman" w:hAnsi="Times New Roman" w:cs="Times New Roman"/>
          <w:b/>
          <w:sz w:val="24"/>
          <w:szCs w:val="24"/>
        </w:rPr>
      </w:pPr>
      <w:r w:rsidRPr="00F44081">
        <w:rPr>
          <w:rFonts w:ascii="Times New Roman" w:hAnsi="Times New Roman" w:cs="Times New Roman"/>
          <w:b/>
          <w:sz w:val="24"/>
          <w:szCs w:val="24"/>
        </w:rPr>
        <w:lastRenderedPageBreak/>
        <w:t>Dedication</w:t>
      </w:r>
    </w:p>
    <w:p w:rsidR="006F3856" w:rsidRPr="00485CC5" w:rsidRDefault="006F3856" w:rsidP="00C272E1">
      <w:pPr>
        <w:tabs>
          <w:tab w:val="left" w:pos="3960"/>
        </w:tabs>
        <w:spacing w:before="100" w:beforeAutospacing="1" w:after="100" w:afterAutospacing="1" w:line="480" w:lineRule="auto"/>
        <w:jc w:val="center"/>
        <w:rPr>
          <w:rFonts w:ascii="Times New Roman" w:eastAsia="Times New Roman" w:hAnsi="Times New Roman" w:cs="Times New Roman"/>
        </w:rPr>
      </w:pPr>
      <w:r w:rsidRPr="00485CC5">
        <w:rPr>
          <w:rFonts w:ascii="Times New Roman" w:eastAsia="Times New Roman" w:hAnsi="Times New Roman" w:cs="Times New Roman"/>
        </w:rPr>
        <w:t>This research work is dedicated to Almighty Allah</w:t>
      </w:r>
    </w:p>
    <w:p w:rsidR="006F3856" w:rsidRPr="00406245" w:rsidRDefault="006F3856" w:rsidP="00EB1A49">
      <w:pPr>
        <w:tabs>
          <w:tab w:val="left" w:pos="4140"/>
        </w:tabs>
        <w:spacing w:after="468" w:line="480" w:lineRule="auto"/>
        <w:ind w:left="10"/>
        <w:jc w:val="both"/>
        <w:rPr>
          <w:rFonts w:ascii="Times New Roman" w:hAnsi="Times New Roman" w:cs="Times New Roman"/>
          <w:bCs/>
          <w:sz w:val="24"/>
          <w:szCs w:val="24"/>
        </w:rPr>
      </w:pPr>
    </w:p>
    <w:p w:rsidR="006F3856" w:rsidRPr="00406245" w:rsidRDefault="006F3856" w:rsidP="00EB1A49">
      <w:pPr>
        <w:tabs>
          <w:tab w:val="left" w:pos="4140"/>
        </w:tabs>
        <w:spacing w:after="468" w:line="480" w:lineRule="auto"/>
        <w:ind w:left="10"/>
        <w:jc w:val="both"/>
        <w:rPr>
          <w:rFonts w:ascii="Times New Roman" w:hAnsi="Times New Roman" w:cs="Times New Roman"/>
          <w:bCs/>
          <w:sz w:val="24"/>
          <w:szCs w:val="24"/>
        </w:rPr>
      </w:pPr>
    </w:p>
    <w:p w:rsidR="006F3856" w:rsidRPr="00406245" w:rsidRDefault="006F3856" w:rsidP="00EB1A49">
      <w:pPr>
        <w:tabs>
          <w:tab w:val="left" w:pos="4140"/>
        </w:tabs>
        <w:spacing w:after="468" w:line="480" w:lineRule="auto"/>
        <w:ind w:left="10"/>
        <w:jc w:val="both"/>
        <w:rPr>
          <w:rFonts w:ascii="Times New Roman" w:hAnsi="Times New Roman" w:cs="Times New Roman"/>
          <w:bCs/>
          <w:sz w:val="24"/>
          <w:szCs w:val="24"/>
        </w:rPr>
      </w:pPr>
    </w:p>
    <w:p w:rsidR="006F3856" w:rsidRPr="00406245" w:rsidRDefault="006F3856" w:rsidP="00EB1A49">
      <w:pPr>
        <w:tabs>
          <w:tab w:val="left" w:pos="4140"/>
        </w:tabs>
        <w:spacing w:after="468" w:line="480" w:lineRule="auto"/>
        <w:ind w:left="10"/>
        <w:jc w:val="both"/>
        <w:rPr>
          <w:rFonts w:ascii="Times New Roman" w:hAnsi="Times New Roman" w:cs="Times New Roman"/>
          <w:bCs/>
          <w:sz w:val="24"/>
          <w:szCs w:val="24"/>
        </w:rPr>
      </w:pPr>
    </w:p>
    <w:p w:rsidR="006F3856" w:rsidRPr="00406245" w:rsidRDefault="006F3856" w:rsidP="00EB1A49">
      <w:pPr>
        <w:tabs>
          <w:tab w:val="left" w:pos="4140"/>
        </w:tabs>
        <w:spacing w:after="468" w:line="480" w:lineRule="auto"/>
        <w:ind w:left="10"/>
        <w:jc w:val="both"/>
        <w:rPr>
          <w:rFonts w:ascii="Times New Roman" w:hAnsi="Times New Roman" w:cs="Times New Roman"/>
          <w:bCs/>
          <w:sz w:val="24"/>
          <w:szCs w:val="24"/>
        </w:rPr>
      </w:pPr>
    </w:p>
    <w:p w:rsidR="006F3856" w:rsidRPr="00406245" w:rsidRDefault="006F3856" w:rsidP="00EB1A49">
      <w:pPr>
        <w:tabs>
          <w:tab w:val="left" w:pos="4140"/>
        </w:tabs>
        <w:spacing w:after="468" w:line="480" w:lineRule="auto"/>
        <w:ind w:left="10"/>
        <w:jc w:val="both"/>
        <w:rPr>
          <w:rFonts w:ascii="Times New Roman" w:hAnsi="Times New Roman" w:cs="Times New Roman"/>
          <w:bCs/>
          <w:sz w:val="24"/>
          <w:szCs w:val="24"/>
        </w:rPr>
      </w:pPr>
    </w:p>
    <w:p w:rsidR="006F3856" w:rsidRPr="00406245" w:rsidRDefault="006F3856" w:rsidP="00EB1A49">
      <w:pPr>
        <w:tabs>
          <w:tab w:val="left" w:pos="4140"/>
        </w:tabs>
        <w:spacing w:after="468" w:line="480" w:lineRule="auto"/>
        <w:ind w:left="10"/>
        <w:jc w:val="both"/>
        <w:rPr>
          <w:rFonts w:ascii="Times New Roman" w:hAnsi="Times New Roman" w:cs="Times New Roman"/>
          <w:bCs/>
          <w:sz w:val="24"/>
          <w:szCs w:val="24"/>
        </w:rPr>
      </w:pPr>
    </w:p>
    <w:p w:rsidR="006F3856" w:rsidRPr="00406245" w:rsidRDefault="006F3856" w:rsidP="00EB1A49">
      <w:pPr>
        <w:tabs>
          <w:tab w:val="left" w:pos="4140"/>
        </w:tabs>
        <w:spacing w:after="468" w:line="480" w:lineRule="auto"/>
        <w:jc w:val="both"/>
        <w:rPr>
          <w:rFonts w:ascii="Times New Roman" w:hAnsi="Times New Roman" w:cs="Times New Roman"/>
          <w:bCs/>
          <w:sz w:val="24"/>
          <w:szCs w:val="24"/>
        </w:rPr>
      </w:pPr>
    </w:p>
    <w:p w:rsidR="006F3856" w:rsidRPr="00406245" w:rsidRDefault="006F3856" w:rsidP="00EB1A49">
      <w:pPr>
        <w:spacing w:line="480" w:lineRule="auto"/>
        <w:jc w:val="both"/>
        <w:rPr>
          <w:rFonts w:ascii="Times New Roman" w:hAnsi="Times New Roman" w:cs="Times New Roman"/>
          <w:bCs/>
          <w:sz w:val="24"/>
          <w:szCs w:val="24"/>
        </w:rPr>
      </w:pPr>
      <w:r w:rsidRPr="00406245">
        <w:rPr>
          <w:rFonts w:ascii="Times New Roman" w:hAnsi="Times New Roman" w:cs="Times New Roman"/>
          <w:bCs/>
          <w:sz w:val="24"/>
          <w:szCs w:val="24"/>
        </w:rPr>
        <w:br w:type="page"/>
      </w:r>
    </w:p>
    <w:p w:rsidR="006F3856" w:rsidRPr="007E7E37" w:rsidRDefault="00C272E1" w:rsidP="00273608">
      <w:pPr>
        <w:tabs>
          <w:tab w:val="left" w:pos="4140"/>
        </w:tabs>
        <w:spacing w:after="0" w:line="480" w:lineRule="auto"/>
        <w:ind w:left="10"/>
        <w:jc w:val="center"/>
        <w:rPr>
          <w:rFonts w:ascii="Times New Roman" w:hAnsi="Times New Roman" w:cs="Times New Roman"/>
          <w:b/>
          <w:sz w:val="24"/>
          <w:szCs w:val="24"/>
        </w:rPr>
      </w:pPr>
      <w:r w:rsidRPr="007E7E37">
        <w:rPr>
          <w:rFonts w:ascii="Times New Roman" w:hAnsi="Times New Roman" w:cs="Times New Roman"/>
          <w:b/>
          <w:sz w:val="24"/>
          <w:szCs w:val="24"/>
        </w:rPr>
        <w:lastRenderedPageBreak/>
        <w:t>ACKNOWLEDGMENT</w:t>
      </w:r>
    </w:p>
    <w:p w:rsidR="006F3856" w:rsidRDefault="00E14F37" w:rsidP="00E14F37">
      <w:pPr>
        <w:tabs>
          <w:tab w:val="left" w:pos="851"/>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ab/>
      </w:r>
      <w:r w:rsidR="006F3856" w:rsidRPr="00406245">
        <w:rPr>
          <w:rFonts w:ascii="Times New Roman" w:hAnsi="Times New Roman" w:cs="Times New Roman"/>
          <w:bCs/>
          <w:sz w:val="24"/>
          <w:szCs w:val="24"/>
        </w:rPr>
        <w:t>I would like to express my deepest gratitude to all those who have contributed to the successful completion of this project</w:t>
      </w:r>
      <w:r w:rsidR="006F3856">
        <w:rPr>
          <w:rFonts w:ascii="Times New Roman" w:hAnsi="Times New Roman" w:cs="Times New Roman"/>
          <w:bCs/>
          <w:sz w:val="24"/>
          <w:szCs w:val="24"/>
        </w:rPr>
        <w:t>.</w:t>
      </w:r>
    </w:p>
    <w:p w:rsidR="006F3856" w:rsidRDefault="00E14F37" w:rsidP="00E14F37">
      <w:pPr>
        <w:tabs>
          <w:tab w:val="left" w:pos="851"/>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ab/>
      </w:r>
      <w:r w:rsidR="006F3856" w:rsidRPr="00406245">
        <w:rPr>
          <w:rFonts w:ascii="Times New Roman" w:hAnsi="Times New Roman" w:cs="Times New Roman"/>
          <w:bCs/>
          <w:sz w:val="24"/>
          <w:szCs w:val="24"/>
        </w:rPr>
        <w:t>Special thanks go to my supervisor, M</w:t>
      </w:r>
      <w:r w:rsidR="00CF389B">
        <w:rPr>
          <w:rFonts w:ascii="Times New Roman" w:hAnsi="Times New Roman" w:cs="Times New Roman"/>
          <w:bCs/>
          <w:sz w:val="24"/>
          <w:szCs w:val="24"/>
        </w:rPr>
        <w:t>rs</w:t>
      </w:r>
      <w:r w:rsidR="00C272E1">
        <w:rPr>
          <w:rFonts w:ascii="Times New Roman" w:hAnsi="Times New Roman" w:cs="Times New Roman"/>
          <w:bCs/>
          <w:sz w:val="24"/>
          <w:szCs w:val="24"/>
        </w:rPr>
        <w:t xml:space="preserve">. </w:t>
      </w:r>
      <w:r w:rsidR="00CF389B">
        <w:rPr>
          <w:rFonts w:ascii="Times New Roman" w:hAnsi="Times New Roman" w:cs="Times New Roman"/>
          <w:bCs/>
          <w:sz w:val="24"/>
          <w:szCs w:val="24"/>
        </w:rPr>
        <w:t>Elepo T.A</w:t>
      </w:r>
      <w:r w:rsidR="006F3856" w:rsidRPr="00406245">
        <w:rPr>
          <w:rFonts w:ascii="Times New Roman" w:hAnsi="Times New Roman" w:cs="Times New Roman"/>
          <w:bCs/>
          <w:sz w:val="24"/>
          <w:szCs w:val="24"/>
        </w:rPr>
        <w:t xml:space="preserve">, for </w:t>
      </w:r>
      <w:r w:rsidR="006F3856">
        <w:rPr>
          <w:rFonts w:ascii="Times New Roman" w:hAnsi="Times New Roman" w:cs="Times New Roman"/>
          <w:bCs/>
          <w:sz w:val="24"/>
          <w:szCs w:val="24"/>
        </w:rPr>
        <w:t xml:space="preserve">his </w:t>
      </w:r>
      <w:r w:rsidR="006F3856" w:rsidRPr="00406245">
        <w:rPr>
          <w:rFonts w:ascii="Times New Roman" w:hAnsi="Times New Roman" w:cs="Times New Roman"/>
          <w:bCs/>
          <w:sz w:val="24"/>
          <w:szCs w:val="24"/>
        </w:rPr>
        <w:t>invaluable guidance, patience, and support</w:t>
      </w:r>
      <w:r w:rsidR="006F3856">
        <w:rPr>
          <w:rFonts w:ascii="Times New Roman" w:hAnsi="Times New Roman" w:cs="Times New Roman"/>
          <w:bCs/>
          <w:sz w:val="24"/>
          <w:szCs w:val="24"/>
        </w:rPr>
        <w:t xml:space="preserve">, may </w:t>
      </w:r>
      <w:r w:rsidR="00C272E1">
        <w:rPr>
          <w:rFonts w:ascii="Times New Roman" w:hAnsi="Times New Roman" w:cs="Times New Roman"/>
          <w:bCs/>
          <w:sz w:val="24"/>
          <w:szCs w:val="24"/>
        </w:rPr>
        <w:t xml:space="preserve">Allah </w:t>
      </w:r>
      <w:r w:rsidR="006F3856">
        <w:rPr>
          <w:rFonts w:ascii="Times New Roman" w:hAnsi="Times New Roman" w:cs="Times New Roman"/>
          <w:bCs/>
          <w:sz w:val="24"/>
          <w:szCs w:val="24"/>
        </w:rPr>
        <w:t>continue to bless you.</w:t>
      </w:r>
    </w:p>
    <w:p w:rsidR="006F3856" w:rsidRPr="00406245" w:rsidRDefault="00E14F37" w:rsidP="00E14F37">
      <w:pPr>
        <w:tabs>
          <w:tab w:val="left" w:pos="851"/>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ab/>
      </w:r>
      <w:r w:rsidR="006F3856">
        <w:rPr>
          <w:rFonts w:ascii="Times New Roman" w:hAnsi="Times New Roman" w:cs="Times New Roman"/>
          <w:bCs/>
          <w:sz w:val="24"/>
          <w:szCs w:val="24"/>
        </w:rPr>
        <w:t>I am grateful to the head of department (HOD) Mrs. Elepo</w:t>
      </w:r>
      <w:r w:rsidR="006F3856" w:rsidRPr="00406245">
        <w:rPr>
          <w:rFonts w:ascii="Times New Roman" w:hAnsi="Times New Roman" w:cs="Times New Roman"/>
          <w:bCs/>
          <w:sz w:val="24"/>
          <w:szCs w:val="24"/>
        </w:rPr>
        <w:t>. I am also grateful to my lecturers for their insightful advice and encouragement.</w:t>
      </w:r>
    </w:p>
    <w:p w:rsidR="006F3856" w:rsidRPr="00406245" w:rsidRDefault="00E14F37" w:rsidP="00E14F37">
      <w:pPr>
        <w:tabs>
          <w:tab w:val="left" w:pos="709"/>
        </w:tabs>
        <w:spacing w:after="0" w:line="480" w:lineRule="auto"/>
        <w:ind w:left="10"/>
        <w:jc w:val="both"/>
        <w:rPr>
          <w:rFonts w:ascii="Times New Roman" w:hAnsi="Times New Roman" w:cs="Times New Roman"/>
          <w:bCs/>
          <w:sz w:val="24"/>
          <w:szCs w:val="24"/>
        </w:rPr>
      </w:pPr>
      <w:r>
        <w:rPr>
          <w:rFonts w:ascii="Times New Roman" w:hAnsi="Times New Roman" w:cs="Times New Roman"/>
          <w:bCs/>
          <w:sz w:val="24"/>
          <w:szCs w:val="24"/>
        </w:rPr>
        <w:tab/>
      </w:r>
      <w:r w:rsidR="006F3856" w:rsidRPr="00406245">
        <w:rPr>
          <w:rFonts w:ascii="Times New Roman" w:hAnsi="Times New Roman" w:cs="Times New Roman"/>
          <w:bCs/>
          <w:sz w:val="24"/>
          <w:szCs w:val="24"/>
        </w:rPr>
        <w:t>I extend my appreciation to my family and friends for their continuous moral support and understanding during the course of this work. Finally, I acknowledge all individuals and institutions that provided resources and assistance that made this project possible.</w:t>
      </w:r>
    </w:p>
    <w:p w:rsidR="006F3856" w:rsidRPr="00406245" w:rsidRDefault="006F3856" w:rsidP="00C272E1">
      <w:pPr>
        <w:tabs>
          <w:tab w:val="left" w:pos="4140"/>
        </w:tabs>
        <w:spacing w:after="0" w:line="480" w:lineRule="auto"/>
        <w:ind w:left="10"/>
        <w:jc w:val="both"/>
        <w:rPr>
          <w:rFonts w:ascii="Times New Roman" w:hAnsi="Times New Roman" w:cs="Times New Roman"/>
          <w:bCs/>
          <w:sz w:val="24"/>
          <w:szCs w:val="24"/>
        </w:rPr>
      </w:pPr>
    </w:p>
    <w:p w:rsidR="006F3856" w:rsidRPr="00406245" w:rsidRDefault="006F3856" w:rsidP="00C272E1">
      <w:pPr>
        <w:tabs>
          <w:tab w:val="left" w:pos="4140"/>
        </w:tabs>
        <w:spacing w:after="0" w:line="480" w:lineRule="auto"/>
        <w:ind w:left="10"/>
        <w:jc w:val="both"/>
        <w:rPr>
          <w:rFonts w:ascii="Times New Roman" w:hAnsi="Times New Roman" w:cs="Times New Roman"/>
          <w:bCs/>
          <w:sz w:val="24"/>
          <w:szCs w:val="24"/>
        </w:rPr>
      </w:pPr>
    </w:p>
    <w:p w:rsidR="006F3856" w:rsidRPr="00406245" w:rsidRDefault="006F3856" w:rsidP="00014BF4">
      <w:pPr>
        <w:tabs>
          <w:tab w:val="left" w:pos="4140"/>
        </w:tabs>
        <w:spacing w:after="0" w:line="360" w:lineRule="auto"/>
        <w:jc w:val="center"/>
        <w:rPr>
          <w:rFonts w:ascii="Times New Roman" w:eastAsia="Times New Roman" w:hAnsi="Times New Roman" w:cs="Times New Roman"/>
          <w:sz w:val="24"/>
          <w:szCs w:val="24"/>
        </w:rPr>
      </w:pPr>
      <w:r w:rsidRPr="00406245">
        <w:rPr>
          <w:rFonts w:ascii="Times New Roman" w:hAnsi="Times New Roman" w:cs="Times New Roman"/>
          <w:bCs/>
          <w:sz w:val="24"/>
          <w:szCs w:val="24"/>
        </w:rPr>
        <w:br w:type="page"/>
      </w:r>
      <w:r w:rsidRPr="00406245">
        <w:rPr>
          <w:rFonts w:ascii="Times New Roman" w:eastAsia="Times New Roman" w:hAnsi="Times New Roman" w:cs="Times New Roman"/>
          <w:b/>
          <w:bCs/>
          <w:sz w:val="24"/>
          <w:szCs w:val="24"/>
        </w:rPr>
        <w:lastRenderedPageBreak/>
        <w:t>ABSTRACT</w:t>
      </w:r>
    </w:p>
    <w:p w:rsidR="00C32529" w:rsidRPr="00C32529" w:rsidRDefault="00C32529" w:rsidP="00C32529">
      <w:pPr>
        <w:tabs>
          <w:tab w:val="left" w:pos="4140"/>
        </w:tabs>
        <w:spacing w:before="100" w:beforeAutospacing="1" w:after="100" w:afterAutospacing="1" w:line="360" w:lineRule="auto"/>
        <w:jc w:val="both"/>
        <w:rPr>
          <w:rFonts w:ascii="Times New Roman" w:eastAsia="Times New Roman" w:hAnsi="Times New Roman" w:cs="Times New Roman"/>
          <w:i/>
          <w:iCs/>
          <w:sz w:val="24"/>
          <w:szCs w:val="24"/>
        </w:rPr>
      </w:pPr>
      <w:r w:rsidRPr="00C32529">
        <w:rPr>
          <w:rFonts w:ascii="Times New Roman" w:eastAsia="Times New Roman" w:hAnsi="Times New Roman" w:cs="Times New Roman"/>
          <w:i/>
          <w:iCs/>
          <w:sz w:val="24"/>
          <w:szCs w:val="24"/>
        </w:rPr>
        <w:t>This study examined the in</w:t>
      </w:r>
      <w:r>
        <w:rPr>
          <w:rFonts w:ascii="Times New Roman" w:eastAsia="Times New Roman" w:hAnsi="Times New Roman" w:cs="Times New Roman"/>
          <w:i/>
          <w:iCs/>
          <w:sz w:val="24"/>
          <w:szCs w:val="24"/>
        </w:rPr>
        <w:t xml:space="preserve">flationary trend of staple food </w:t>
      </w:r>
      <w:r w:rsidRPr="00C32529">
        <w:rPr>
          <w:rFonts w:ascii="Times New Roman" w:eastAsia="Times New Roman" w:hAnsi="Times New Roman" w:cs="Times New Roman"/>
          <w:i/>
          <w:iCs/>
          <w:sz w:val="24"/>
          <w:szCs w:val="24"/>
        </w:rPr>
        <w:t>prices in Ilorin, Kwara Sta</w:t>
      </w:r>
      <w:r>
        <w:rPr>
          <w:rFonts w:ascii="Times New Roman" w:eastAsia="Times New Roman" w:hAnsi="Times New Roman" w:cs="Times New Roman"/>
          <w:i/>
          <w:iCs/>
          <w:sz w:val="24"/>
          <w:szCs w:val="24"/>
        </w:rPr>
        <w:t xml:space="preserve">te, using the Mandate Market as </w:t>
      </w:r>
      <w:r w:rsidRPr="00C32529">
        <w:rPr>
          <w:rFonts w:ascii="Times New Roman" w:eastAsia="Times New Roman" w:hAnsi="Times New Roman" w:cs="Times New Roman"/>
          <w:i/>
          <w:iCs/>
          <w:sz w:val="24"/>
          <w:szCs w:val="24"/>
        </w:rPr>
        <w:t>a case study between 20</w:t>
      </w:r>
      <w:r>
        <w:rPr>
          <w:rFonts w:ascii="Times New Roman" w:eastAsia="Times New Roman" w:hAnsi="Times New Roman" w:cs="Times New Roman"/>
          <w:i/>
          <w:iCs/>
          <w:sz w:val="24"/>
          <w:szCs w:val="24"/>
        </w:rPr>
        <w:t xml:space="preserve">24 and 2025. Six essential food </w:t>
      </w:r>
      <w:r w:rsidRPr="00C32529">
        <w:rPr>
          <w:rFonts w:ascii="Times New Roman" w:eastAsia="Times New Roman" w:hAnsi="Times New Roman" w:cs="Times New Roman"/>
          <w:i/>
          <w:iCs/>
          <w:sz w:val="24"/>
          <w:szCs w:val="24"/>
        </w:rPr>
        <w:t>items</w:t>
      </w:r>
      <w:r>
        <w:rPr>
          <w:rFonts w:ascii="Times New Roman" w:eastAsia="Times New Roman" w:hAnsi="Times New Roman" w:cs="Times New Roman"/>
          <w:i/>
          <w:iCs/>
          <w:sz w:val="24"/>
          <w:szCs w:val="24"/>
        </w:rPr>
        <w:t xml:space="preserve"> </w:t>
      </w:r>
      <w:r w:rsidRPr="00C32529">
        <w:rPr>
          <w:rFonts w:ascii="Times New Roman" w:eastAsia="Times New Roman" w:hAnsi="Times New Roman" w:cs="Times New Roman"/>
          <w:i/>
          <w:iCs/>
          <w:sz w:val="24"/>
          <w:szCs w:val="24"/>
        </w:rPr>
        <w:t>rice, beans</w:t>
      </w:r>
      <w:r>
        <w:rPr>
          <w:rFonts w:ascii="Times New Roman" w:eastAsia="Times New Roman" w:hAnsi="Times New Roman" w:cs="Times New Roman"/>
          <w:i/>
          <w:iCs/>
          <w:sz w:val="24"/>
          <w:szCs w:val="24"/>
        </w:rPr>
        <w:t xml:space="preserve">, garri, semovita, noodies, and </w:t>
      </w:r>
      <w:r w:rsidRPr="00C32529">
        <w:rPr>
          <w:rFonts w:ascii="Times New Roman" w:eastAsia="Times New Roman" w:hAnsi="Times New Roman" w:cs="Times New Roman"/>
          <w:i/>
          <w:iCs/>
          <w:sz w:val="24"/>
          <w:szCs w:val="24"/>
        </w:rPr>
        <w:t>spaghetti were selected bas</w:t>
      </w:r>
      <w:r>
        <w:rPr>
          <w:rFonts w:ascii="Times New Roman" w:eastAsia="Times New Roman" w:hAnsi="Times New Roman" w:cs="Times New Roman"/>
          <w:i/>
          <w:iCs/>
          <w:sz w:val="24"/>
          <w:szCs w:val="24"/>
        </w:rPr>
        <w:t xml:space="preserve">ed on their significance in the </w:t>
      </w:r>
      <w:r w:rsidRPr="00C32529">
        <w:rPr>
          <w:rFonts w:ascii="Times New Roman" w:eastAsia="Times New Roman" w:hAnsi="Times New Roman" w:cs="Times New Roman"/>
          <w:i/>
          <w:iCs/>
          <w:sz w:val="24"/>
          <w:szCs w:val="24"/>
        </w:rPr>
        <w:t>Nigerian diet. Price data f</w:t>
      </w:r>
      <w:r>
        <w:rPr>
          <w:rFonts w:ascii="Times New Roman" w:eastAsia="Times New Roman" w:hAnsi="Times New Roman" w:cs="Times New Roman"/>
          <w:i/>
          <w:iCs/>
          <w:sz w:val="24"/>
          <w:szCs w:val="24"/>
        </w:rPr>
        <w:t xml:space="preserve">or the base year (2024) and the </w:t>
      </w:r>
      <w:r w:rsidRPr="00C32529">
        <w:rPr>
          <w:rFonts w:ascii="Times New Roman" w:eastAsia="Times New Roman" w:hAnsi="Times New Roman" w:cs="Times New Roman"/>
          <w:i/>
          <w:iCs/>
          <w:sz w:val="24"/>
          <w:szCs w:val="24"/>
        </w:rPr>
        <w:t>current year (2025) were c</w:t>
      </w:r>
      <w:r>
        <w:rPr>
          <w:rFonts w:ascii="Times New Roman" w:eastAsia="Times New Roman" w:hAnsi="Times New Roman" w:cs="Times New Roman"/>
          <w:i/>
          <w:iCs/>
          <w:sz w:val="24"/>
          <w:szCs w:val="24"/>
        </w:rPr>
        <w:t xml:space="preserve">ollected and analyzed using the </w:t>
      </w:r>
      <w:r w:rsidRPr="00C32529">
        <w:rPr>
          <w:rFonts w:ascii="Times New Roman" w:eastAsia="Times New Roman" w:hAnsi="Times New Roman" w:cs="Times New Roman"/>
          <w:i/>
          <w:iCs/>
          <w:sz w:val="24"/>
          <w:szCs w:val="24"/>
        </w:rPr>
        <w:t>Laspeyres, Paasche, and Fisher l</w:t>
      </w:r>
      <w:r>
        <w:rPr>
          <w:rFonts w:ascii="Times New Roman" w:eastAsia="Times New Roman" w:hAnsi="Times New Roman" w:cs="Times New Roman"/>
          <w:i/>
          <w:iCs/>
          <w:sz w:val="24"/>
          <w:szCs w:val="24"/>
        </w:rPr>
        <w:t xml:space="preserve">deal Price Indices. The </w:t>
      </w:r>
      <w:r w:rsidRPr="00C32529">
        <w:rPr>
          <w:rFonts w:ascii="Times New Roman" w:eastAsia="Times New Roman" w:hAnsi="Times New Roman" w:cs="Times New Roman"/>
          <w:i/>
          <w:iCs/>
          <w:sz w:val="24"/>
          <w:szCs w:val="24"/>
        </w:rPr>
        <w:t>results revealed that</w:t>
      </w:r>
      <w:r>
        <w:rPr>
          <w:rFonts w:ascii="Times New Roman" w:eastAsia="Times New Roman" w:hAnsi="Times New Roman" w:cs="Times New Roman"/>
          <w:i/>
          <w:iCs/>
          <w:sz w:val="24"/>
          <w:szCs w:val="24"/>
        </w:rPr>
        <w:t xml:space="preserve"> all selected items experienced </w:t>
      </w:r>
      <w:r w:rsidRPr="00C32529">
        <w:rPr>
          <w:rFonts w:ascii="Times New Roman" w:eastAsia="Times New Roman" w:hAnsi="Times New Roman" w:cs="Times New Roman"/>
          <w:i/>
          <w:iCs/>
          <w:sz w:val="24"/>
          <w:szCs w:val="24"/>
        </w:rPr>
        <w:t>significant price increas</w:t>
      </w:r>
      <w:r>
        <w:rPr>
          <w:rFonts w:ascii="Times New Roman" w:eastAsia="Times New Roman" w:hAnsi="Times New Roman" w:cs="Times New Roman"/>
          <w:i/>
          <w:iCs/>
          <w:sz w:val="24"/>
          <w:szCs w:val="24"/>
        </w:rPr>
        <w:t xml:space="preserve">es, ranging from 28.57% to 50%, </w:t>
      </w:r>
      <w:r w:rsidRPr="00C32529">
        <w:rPr>
          <w:rFonts w:ascii="Times New Roman" w:eastAsia="Times New Roman" w:hAnsi="Times New Roman" w:cs="Times New Roman"/>
          <w:i/>
          <w:iCs/>
          <w:sz w:val="24"/>
          <w:szCs w:val="24"/>
        </w:rPr>
        <w:t>with an average increa</w:t>
      </w:r>
      <w:r>
        <w:rPr>
          <w:rFonts w:ascii="Times New Roman" w:eastAsia="Times New Roman" w:hAnsi="Times New Roman" w:cs="Times New Roman"/>
          <w:i/>
          <w:iCs/>
          <w:sz w:val="24"/>
          <w:szCs w:val="24"/>
        </w:rPr>
        <w:t xml:space="preserve">se of 36.69%. The Laspeyres and </w:t>
      </w:r>
      <w:r w:rsidRPr="00C32529">
        <w:rPr>
          <w:rFonts w:ascii="Times New Roman" w:eastAsia="Times New Roman" w:hAnsi="Times New Roman" w:cs="Times New Roman"/>
          <w:i/>
          <w:iCs/>
          <w:sz w:val="24"/>
          <w:szCs w:val="24"/>
        </w:rPr>
        <w:t>Paasche indices both ind</w:t>
      </w:r>
      <w:r>
        <w:rPr>
          <w:rFonts w:ascii="Times New Roman" w:eastAsia="Times New Roman" w:hAnsi="Times New Roman" w:cs="Times New Roman"/>
          <w:i/>
          <w:iCs/>
          <w:sz w:val="24"/>
          <w:szCs w:val="24"/>
        </w:rPr>
        <w:t xml:space="preserve">icated a 36.69% increase due to </w:t>
      </w:r>
      <w:r w:rsidRPr="00C32529">
        <w:rPr>
          <w:rFonts w:ascii="Times New Roman" w:eastAsia="Times New Roman" w:hAnsi="Times New Roman" w:cs="Times New Roman"/>
          <w:i/>
          <w:iCs/>
          <w:sz w:val="24"/>
          <w:szCs w:val="24"/>
        </w:rPr>
        <w:t>the assumption of consta</w:t>
      </w:r>
      <w:r>
        <w:rPr>
          <w:rFonts w:ascii="Times New Roman" w:eastAsia="Times New Roman" w:hAnsi="Times New Roman" w:cs="Times New Roman"/>
          <w:i/>
          <w:iCs/>
          <w:sz w:val="24"/>
          <w:szCs w:val="24"/>
        </w:rPr>
        <w:t xml:space="preserve">nt quantities, while the Fisher </w:t>
      </w:r>
      <w:r w:rsidRPr="00C32529">
        <w:rPr>
          <w:rFonts w:ascii="Times New Roman" w:eastAsia="Times New Roman" w:hAnsi="Times New Roman" w:cs="Times New Roman"/>
          <w:i/>
          <w:iCs/>
          <w:sz w:val="24"/>
          <w:szCs w:val="24"/>
        </w:rPr>
        <w:t xml:space="preserve">Ideal Index confirmed this </w:t>
      </w:r>
      <w:r>
        <w:rPr>
          <w:rFonts w:ascii="Times New Roman" w:eastAsia="Times New Roman" w:hAnsi="Times New Roman" w:cs="Times New Roman"/>
          <w:i/>
          <w:iCs/>
          <w:sz w:val="24"/>
          <w:szCs w:val="24"/>
        </w:rPr>
        <w:t xml:space="preserve">trend. These findings suggested </w:t>
      </w:r>
      <w:r w:rsidRPr="00C32529">
        <w:rPr>
          <w:rFonts w:ascii="Times New Roman" w:eastAsia="Times New Roman" w:hAnsi="Times New Roman" w:cs="Times New Roman"/>
          <w:i/>
          <w:iCs/>
          <w:sz w:val="24"/>
          <w:szCs w:val="24"/>
        </w:rPr>
        <w:t>strong inflationary pressur</w:t>
      </w:r>
      <w:r>
        <w:rPr>
          <w:rFonts w:ascii="Times New Roman" w:eastAsia="Times New Roman" w:hAnsi="Times New Roman" w:cs="Times New Roman"/>
          <w:i/>
          <w:iCs/>
          <w:sz w:val="24"/>
          <w:szCs w:val="24"/>
        </w:rPr>
        <w:t xml:space="preserve">e driven by factors such as the </w:t>
      </w:r>
      <w:r w:rsidRPr="00C32529">
        <w:rPr>
          <w:rFonts w:ascii="Times New Roman" w:eastAsia="Times New Roman" w:hAnsi="Times New Roman" w:cs="Times New Roman"/>
          <w:i/>
          <w:iCs/>
          <w:sz w:val="24"/>
          <w:szCs w:val="24"/>
        </w:rPr>
        <w:t>removal of</w:t>
      </w:r>
      <w:r w:rsidR="00C87EA7">
        <w:rPr>
          <w:rFonts w:ascii="Times New Roman" w:eastAsia="Times New Roman" w:hAnsi="Times New Roman" w:cs="Times New Roman"/>
          <w:i/>
          <w:iCs/>
          <w:sz w:val="24"/>
          <w:szCs w:val="24"/>
        </w:rPr>
        <w:t xml:space="preserve"> </w:t>
      </w:r>
      <w:r w:rsidRPr="00C32529">
        <w:rPr>
          <w:rFonts w:ascii="Times New Roman" w:eastAsia="Times New Roman" w:hAnsi="Times New Roman" w:cs="Times New Roman"/>
          <w:i/>
          <w:iCs/>
          <w:sz w:val="24"/>
          <w:szCs w:val="24"/>
        </w:rPr>
        <w:t>fuel subsidies, n</w:t>
      </w:r>
      <w:r>
        <w:rPr>
          <w:rFonts w:ascii="Times New Roman" w:eastAsia="Times New Roman" w:hAnsi="Times New Roman" w:cs="Times New Roman"/>
          <w:i/>
          <w:iCs/>
          <w:sz w:val="24"/>
          <w:szCs w:val="24"/>
        </w:rPr>
        <w:t xml:space="preserve">aira devaluation, insecurity in </w:t>
      </w:r>
      <w:r w:rsidR="00C87EA7" w:rsidRPr="00C32529">
        <w:rPr>
          <w:rFonts w:ascii="Times New Roman" w:eastAsia="Times New Roman" w:hAnsi="Times New Roman" w:cs="Times New Roman"/>
          <w:i/>
          <w:iCs/>
          <w:sz w:val="24"/>
          <w:szCs w:val="24"/>
        </w:rPr>
        <w:t>farming</w:t>
      </w:r>
      <w:r w:rsidRPr="00C32529">
        <w:rPr>
          <w:rFonts w:ascii="Times New Roman" w:eastAsia="Times New Roman" w:hAnsi="Times New Roman" w:cs="Times New Roman"/>
          <w:i/>
          <w:iCs/>
          <w:sz w:val="24"/>
          <w:szCs w:val="24"/>
        </w:rPr>
        <w:t xml:space="preserve"> areas, and </w:t>
      </w:r>
      <w:r w:rsidR="00C87EA7" w:rsidRPr="00C32529">
        <w:rPr>
          <w:rFonts w:ascii="Times New Roman" w:eastAsia="Times New Roman" w:hAnsi="Times New Roman" w:cs="Times New Roman"/>
          <w:i/>
          <w:iCs/>
          <w:sz w:val="24"/>
          <w:szCs w:val="24"/>
        </w:rPr>
        <w:t>inefficiencies</w:t>
      </w:r>
      <w:r w:rsidRPr="00C32529">
        <w:rPr>
          <w:rFonts w:ascii="Times New Roman" w:eastAsia="Times New Roman" w:hAnsi="Times New Roman" w:cs="Times New Roman"/>
          <w:i/>
          <w:iCs/>
          <w:sz w:val="24"/>
          <w:szCs w:val="24"/>
        </w:rPr>
        <w:t xml:space="preserve"> in</w:t>
      </w:r>
      <w:r>
        <w:rPr>
          <w:rFonts w:ascii="Times New Roman" w:eastAsia="Times New Roman" w:hAnsi="Times New Roman" w:cs="Times New Roman"/>
          <w:i/>
          <w:iCs/>
          <w:sz w:val="24"/>
          <w:szCs w:val="24"/>
        </w:rPr>
        <w:t xml:space="preserve"> the food supply chain. </w:t>
      </w:r>
      <w:r w:rsidRPr="00C32529">
        <w:rPr>
          <w:rFonts w:ascii="Times New Roman" w:eastAsia="Times New Roman" w:hAnsi="Times New Roman" w:cs="Times New Roman"/>
          <w:i/>
          <w:iCs/>
          <w:sz w:val="24"/>
          <w:szCs w:val="24"/>
        </w:rPr>
        <w:t>The study concluded t</w:t>
      </w:r>
      <w:r>
        <w:rPr>
          <w:rFonts w:ascii="Times New Roman" w:eastAsia="Times New Roman" w:hAnsi="Times New Roman" w:cs="Times New Roman"/>
          <w:i/>
          <w:iCs/>
          <w:sz w:val="24"/>
          <w:szCs w:val="24"/>
        </w:rPr>
        <w:t xml:space="preserve">hat the rising cost of food had </w:t>
      </w:r>
      <w:r w:rsidR="00C87EA7" w:rsidRPr="00C32529">
        <w:rPr>
          <w:rFonts w:ascii="Times New Roman" w:eastAsia="Times New Roman" w:hAnsi="Times New Roman" w:cs="Times New Roman"/>
          <w:i/>
          <w:iCs/>
          <w:sz w:val="24"/>
          <w:szCs w:val="24"/>
        </w:rPr>
        <w:t>significantly</w:t>
      </w:r>
      <w:r w:rsidRPr="00C32529">
        <w:rPr>
          <w:rFonts w:ascii="Times New Roman" w:eastAsia="Times New Roman" w:hAnsi="Times New Roman" w:cs="Times New Roman"/>
          <w:i/>
          <w:iCs/>
          <w:sz w:val="24"/>
          <w:szCs w:val="24"/>
        </w:rPr>
        <w:t xml:space="preserve"> affecte</w:t>
      </w:r>
      <w:r>
        <w:rPr>
          <w:rFonts w:ascii="Times New Roman" w:eastAsia="Times New Roman" w:hAnsi="Times New Roman" w:cs="Times New Roman"/>
          <w:i/>
          <w:iCs/>
          <w:sz w:val="24"/>
          <w:szCs w:val="24"/>
        </w:rPr>
        <w:t xml:space="preserve">d consumer purchasing power and </w:t>
      </w:r>
      <w:r w:rsidRPr="00C32529">
        <w:rPr>
          <w:rFonts w:ascii="Times New Roman" w:eastAsia="Times New Roman" w:hAnsi="Times New Roman" w:cs="Times New Roman"/>
          <w:i/>
          <w:iCs/>
          <w:sz w:val="24"/>
          <w:szCs w:val="24"/>
        </w:rPr>
        <w:t>food security, particular</w:t>
      </w:r>
      <w:r>
        <w:rPr>
          <w:rFonts w:ascii="Times New Roman" w:eastAsia="Times New Roman" w:hAnsi="Times New Roman" w:cs="Times New Roman"/>
          <w:i/>
          <w:iCs/>
          <w:sz w:val="24"/>
          <w:szCs w:val="24"/>
        </w:rPr>
        <w:t xml:space="preserve">ly among low-income households. </w:t>
      </w:r>
      <w:r w:rsidRPr="00C32529">
        <w:rPr>
          <w:rFonts w:ascii="Times New Roman" w:eastAsia="Times New Roman" w:hAnsi="Times New Roman" w:cs="Times New Roman"/>
          <w:i/>
          <w:iCs/>
          <w:sz w:val="24"/>
          <w:szCs w:val="24"/>
        </w:rPr>
        <w:t>It recommended enhanc</w:t>
      </w:r>
      <w:r>
        <w:rPr>
          <w:rFonts w:ascii="Times New Roman" w:eastAsia="Times New Roman" w:hAnsi="Times New Roman" w:cs="Times New Roman"/>
          <w:i/>
          <w:iCs/>
          <w:sz w:val="24"/>
          <w:szCs w:val="24"/>
        </w:rPr>
        <w:t xml:space="preserve">ed agricultural infrastructure, </w:t>
      </w:r>
      <w:r w:rsidRPr="00C32529">
        <w:rPr>
          <w:rFonts w:ascii="Times New Roman" w:eastAsia="Times New Roman" w:hAnsi="Times New Roman" w:cs="Times New Roman"/>
          <w:i/>
          <w:iCs/>
          <w:sz w:val="24"/>
          <w:szCs w:val="24"/>
        </w:rPr>
        <w:t>improved market logisti</w:t>
      </w:r>
      <w:r>
        <w:rPr>
          <w:rFonts w:ascii="Times New Roman" w:eastAsia="Times New Roman" w:hAnsi="Times New Roman" w:cs="Times New Roman"/>
          <w:i/>
          <w:iCs/>
          <w:sz w:val="24"/>
          <w:szCs w:val="24"/>
        </w:rPr>
        <w:t xml:space="preserve">cs, localized price monitoring, </w:t>
      </w:r>
      <w:r w:rsidRPr="00C32529">
        <w:rPr>
          <w:rFonts w:ascii="Times New Roman" w:eastAsia="Times New Roman" w:hAnsi="Times New Roman" w:cs="Times New Roman"/>
          <w:i/>
          <w:iCs/>
          <w:sz w:val="24"/>
          <w:szCs w:val="24"/>
        </w:rPr>
        <w:t>targeted social suppo</w:t>
      </w:r>
      <w:r>
        <w:rPr>
          <w:rFonts w:ascii="Times New Roman" w:eastAsia="Times New Roman" w:hAnsi="Times New Roman" w:cs="Times New Roman"/>
          <w:i/>
          <w:iCs/>
          <w:sz w:val="24"/>
          <w:szCs w:val="24"/>
        </w:rPr>
        <w:t xml:space="preserve">rt, and promotion of local food </w:t>
      </w:r>
      <w:r w:rsidRPr="00C32529">
        <w:rPr>
          <w:rFonts w:ascii="Times New Roman" w:eastAsia="Times New Roman" w:hAnsi="Times New Roman" w:cs="Times New Roman"/>
          <w:i/>
          <w:iCs/>
          <w:sz w:val="24"/>
          <w:szCs w:val="24"/>
        </w:rPr>
        <w:t>alternat</w:t>
      </w:r>
      <w:r>
        <w:rPr>
          <w:rFonts w:ascii="Times New Roman" w:eastAsia="Times New Roman" w:hAnsi="Times New Roman" w:cs="Times New Roman"/>
          <w:i/>
          <w:iCs/>
          <w:sz w:val="24"/>
          <w:szCs w:val="24"/>
        </w:rPr>
        <w:t>ives to address the challenges.</w:t>
      </w:r>
    </w:p>
    <w:p w:rsidR="00C32529" w:rsidRDefault="00C32529" w:rsidP="00C32529">
      <w:pPr>
        <w:tabs>
          <w:tab w:val="left" w:pos="4140"/>
        </w:tabs>
        <w:spacing w:before="100" w:beforeAutospacing="1" w:after="100" w:afterAutospacing="1" w:line="360" w:lineRule="auto"/>
        <w:jc w:val="both"/>
        <w:rPr>
          <w:rFonts w:ascii="Times New Roman" w:eastAsia="Times New Roman" w:hAnsi="Times New Roman" w:cs="Times New Roman"/>
          <w:i/>
          <w:iCs/>
          <w:sz w:val="24"/>
          <w:szCs w:val="24"/>
        </w:rPr>
      </w:pPr>
      <w:r w:rsidRPr="00C32529">
        <w:rPr>
          <w:rFonts w:ascii="Times New Roman" w:eastAsia="Times New Roman" w:hAnsi="Times New Roman" w:cs="Times New Roman"/>
          <w:b/>
          <w:i/>
          <w:iCs/>
          <w:sz w:val="24"/>
          <w:szCs w:val="24"/>
        </w:rPr>
        <w:t>Keywords:</w:t>
      </w:r>
      <w:r w:rsidRPr="00C32529">
        <w:rPr>
          <w:rFonts w:ascii="Times New Roman" w:eastAsia="Times New Roman" w:hAnsi="Times New Roman" w:cs="Times New Roman"/>
          <w:i/>
          <w:iCs/>
          <w:sz w:val="24"/>
          <w:szCs w:val="24"/>
        </w:rPr>
        <w:t xml:space="preserve"> mar</w:t>
      </w:r>
      <w:r>
        <w:rPr>
          <w:rFonts w:ascii="Times New Roman" w:eastAsia="Times New Roman" w:hAnsi="Times New Roman" w:cs="Times New Roman"/>
          <w:i/>
          <w:iCs/>
          <w:sz w:val="24"/>
          <w:szCs w:val="24"/>
        </w:rPr>
        <w:t xml:space="preserve">ket, demands, supply, price and </w:t>
      </w:r>
      <w:r w:rsidRPr="00C32529">
        <w:rPr>
          <w:rFonts w:ascii="Times New Roman" w:eastAsia="Times New Roman" w:hAnsi="Times New Roman" w:cs="Times New Roman"/>
          <w:i/>
          <w:iCs/>
          <w:sz w:val="24"/>
          <w:szCs w:val="24"/>
        </w:rPr>
        <w:t>commodities</w:t>
      </w:r>
    </w:p>
    <w:p w:rsidR="00C32529" w:rsidRDefault="00C32529" w:rsidP="00014BF4">
      <w:pPr>
        <w:tabs>
          <w:tab w:val="left" w:pos="4140"/>
        </w:tabs>
        <w:spacing w:before="100" w:beforeAutospacing="1" w:after="100" w:afterAutospacing="1" w:line="360" w:lineRule="auto"/>
        <w:jc w:val="both"/>
        <w:rPr>
          <w:rFonts w:ascii="Times New Roman" w:eastAsia="Times New Roman" w:hAnsi="Times New Roman" w:cs="Times New Roman"/>
          <w:i/>
          <w:iCs/>
          <w:sz w:val="24"/>
          <w:szCs w:val="24"/>
        </w:rPr>
      </w:pPr>
    </w:p>
    <w:p w:rsidR="00DB7D1C" w:rsidRDefault="00DB7D1C" w:rsidP="00014BF4">
      <w:pPr>
        <w:spacing w:line="360" w:lineRule="auto"/>
        <w:jc w:val="both"/>
        <w:rPr>
          <w:rFonts w:ascii="Times New Roman" w:eastAsia="Times New Roman" w:hAnsi="Times New Roman" w:cs="Times New Roman"/>
          <w:b/>
          <w:bCs/>
        </w:rPr>
      </w:pPr>
      <w:r>
        <w:rPr>
          <w:rFonts w:ascii="Times New Roman" w:eastAsia="Times New Roman" w:hAnsi="Times New Roman" w:cs="Times New Roman"/>
          <w:b/>
          <w:bCs/>
        </w:rPr>
        <w:br w:type="page"/>
      </w:r>
    </w:p>
    <w:p w:rsidR="001B56A1" w:rsidRDefault="001B56A1" w:rsidP="00014BF4">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1B56A1" w:rsidRDefault="001B56A1" w:rsidP="00014BF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1B56A1" w:rsidRDefault="001B56A1" w:rsidP="00014BF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1B56A1" w:rsidRDefault="001B56A1" w:rsidP="00014BF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1B56A1" w:rsidRDefault="001B56A1" w:rsidP="00014BF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1B56A1" w:rsidRPr="007A780C" w:rsidRDefault="001B56A1" w:rsidP="00014BF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1B56A1" w:rsidRPr="007A780C" w:rsidRDefault="001B56A1" w:rsidP="00014BF4">
      <w:pPr>
        <w:pStyle w:val="NoSpacing"/>
        <w:spacing w:line="480" w:lineRule="auto"/>
        <w:rPr>
          <w:rFonts w:ascii="Times New Roman" w:hAnsi="Times New Roman" w:cs="Times New Roman"/>
          <w:b/>
          <w:sz w:val="24"/>
          <w:szCs w:val="24"/>
        </w:rPr>
      </w:pPr>
      <w:r w:rsidRPr="007A780C">
        <w:rPr>
          <w:rFonts w:ascii="Times New Roman" w:hAnsi="Times New Roman" w:cs="Times New Roman"/>
          <w:b/>
          <w:sz w:val="24"/>
          <w:szCs w:val="24"/>
        </w:rPr>
        <w:t>CHAPTER ONE: INTRODUCTION</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Pr="007A780C">
        <w:rPr>
          <w:rFonts w:ascii="Times New Roman" w:hAnsi="Times New Roman" w:cs="Times New Roman"/>
          <w:sz w:val="24"/>
          <w:szCs w:val="24"/>
        </w:rPr>
        <w:t>Background to the Study</w:t>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1</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Pr="007A780C">
        <w:rPr>
          <w:rFonts w:ascii="Times New Roman" w:hAnsi="Times New Roman" w:cs="Times New Roman"/>
          <w:sz w:val="24"/>
          <w:szCs w:val="24"/>
        </w:rPr>
        <w:t>Statement of the Problem</w:t>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2</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7A780C">
        <w:rPr>
          <w:rFonts w:ascii="Times New Roman" w:hAnsi="Times New Roman" w:cs="Times New Roman"/>
          <w:sz w:val="24"/>
          <w:szCs w:val="24"/>
        </w:rPr>
        <w:t>Aims and Objectives of the Study</w:t>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3</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7A780C">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4</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Pr="007A780C">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5</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Pr="007A780C">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5</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Pr="007A780C">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6</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7A780C">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6</w:t>
      </w:r>
    </w:p>
    <w:p w:rsidR="001B56A1" w:rsidRPr="007A780C" w:rsidRDefault="001B56A1" w:rsidP="00014BF4">
      <w:pPr>
        <w:pStyle w:val="NoSpacing"/>
        <w:spacing w:line="480" w:lineRule="auto"/>
        <w:rPr>
          <w:rFonts w:ascii="Times New Roman" w:hAnsi="Times New Roman" w:cs="Times New Roman"/>
          <w:b/>
          <w:sz w:val="24"/>
          <w:szCs w:val="24"/>
        </w:rPr>
      </w:pPr>
      <w:r w:rsidRPr="007A780C">
        <w:rPr>
          <w:rFonts w:ascii="Times New Roman" w:hAnsi="Times New Roman" w:cs="Times New Roman"/>
          <w:b/>
          <w:sz w:val="24"/>
          <w:szCs w:val="24"/>
        </w:rPr>
        <w:t>CHAPTER TWO: LITERATURE REVIEW</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2.1 </w:t>
      </w:r>
      <w:r w:rsidRPr="007A780C">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8</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2.2</w:t>
      </w:r>
      <w:r w:rsidRPr="007A780C">
        <w:rPr>
          <w:rFonts w:ascii="Times New Roman" w:hAnsi="Times New Roman" w:cs="Times New Roman"/>
          <w:sz w:val="24"/>
          <w:szCs w:val="24"/>
        </w:rPr>
        <w:tab/>
        <w:t>Conceptual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11</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2.3</w:t>
      </w:r>
      <w:r w:rsidRPr="007A780C">
        <w:rPr>
          <w:rFonts w:ascii="Times New Roman" w:hAnsi="Times New Roman" w:cs="Times New Roman"/>
          <w:sz w:val="24"/>
          <w:szCs w:val="24"/>
        </w:rPr>
        <w:tab/>
        <w:t xml:space="preserve">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14</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2.3.2 </w:t>
      </w:r>
      <w:r w:rsidRPr="007A780C">
        <w:rPr>
          <w:rFonts w:ascii="Times New Roman" w:hAnsi="Times New Roman" w:cs="Times New Roman"/>
          <w:sz w:val="24"/>
          <w:szCs w:val="24"/>
        </w:rPr>
        <w:tab/>
        <w:t>Cost-Push and Demand-Pull Inflation Theories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14</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2.3.3 </w:t>
      </w:r>
      <w:r w:rsidRPr="007A780C">
        <w:rPr>
          <w:rFonts w:ascii="Times New Roman" w:hAnsi="Times New Roman" w:cs="Times New Roman"/>
          <w:sz w:val="24"/>
          <w:szCs w:val="24"/>
        </w:rPr>
        <w:tab/>
        <w:t>Quantity Theory of Money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15</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2.3.4</w:t>
      </w:r>
      <w:r w:rsidRPr="007A780C">
        <w:rPr>
          <w:rFonts w:ascii="Times New Roman" w:hAnsi="Times New Roman" w:cs="Times New Roman"/>
          <w:sz w:val="24"/>
          <w:szCs w:val="24"/>
        </w:rPr>
        <w:tab/>
        <w:t xml:space="preserve"> Engel’s Law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16</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lastRenderedPageBreak/>
        <w:t>2.3.5</w:t>
      </w:r>
      <w:r w:rsidRPr="007A780C">
        <w:rPr>
          <w:rFonts w:ascii="Times New Roman" w:hAnsi="Times New Roman" w:cs="Times New Roman"/>
          <w:sz w:val="24"/>
          <w:szCs w:val="24"/>
        </w:rPr>
        <w:tab/>
        <w:t xml:space="preserve"> Rational Expectations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16</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2.3.6</w:t>
      </w:r>
      <w:r w:rsidRPr="007A780C">
        <w:rPr>
          <w:rFonts w:ascii="Times New Roman" w:hAnsi="Times New Roman" w:cs="Times New Roman"/>
          <w:sz w:val="24"/>
          <w:szCs w:val="24"/>
        </w:rPr>
        <w:tab/>
        <w:t xml:space="preserve"> Behavioral Economics and Price Rigidity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17</w:t>
      </w:r>
    </w:p>
    <w:p w:rsidR="001B56A1"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2.3.7</w:t>
      </w:r>
      <w:r w:rsidRPr="007A780C">
        <w:rPr>
          <w:rFonts w:ascii="Times New Roman" w:hAnsi="Times New Roman" w:cs="Times New Roman"/>
          <w:sz w:val="24"/>
          <w:szCs w:val="24"/>
        </w:rPr>
        <w:tab/>
        <w:t xml:space="preserve"> Market Imperfections and Monopolistic Practices</w:t>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t>17</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2.3.8</w:t>
      </w:r>
      <w:r w:rsidRPr="007A780C">
        <w:rPr>
          <w:rFonts w:ascii="Times New Roman" w:hAnsi="Times New Roman" w:cs="Times New Roman"/>
          <w:sz w:val="24"/>
          <w:szCs w:val="24"/>
        </w:rPr>
        <w:tab/>
        <w:t>Structuralist Theory of Inflation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17</w:t>
      </w:r>
    </w:p>
    <w:p w:rsidR="001B56A1" w:rsidRPr="00014BF4"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2.4</w:t>
      </w:r>
      <w:r w:rsidRPr="007A780C">
        <w:rPr>
          <w:rFonts w:ascii="Times New Roman" w:hAnsi="Times New Roman" w:cs="Times New Roman"/>
          <w:sz w:val="24"/>
          <w:szCs w:val="24"/>
        </w:rPr>
        <w:tab/>
        <w:t xml:space="preserve"> 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18</w:t>
      </w:r>
    </w:p>
    <w:p w:rsidR="001B56A1" w:rsidRPr="007A780C" w:rsidRDefault="001B56A1" w:rsidP="00014BF4">
      <w:pPr>
        <w:pStyle w:val="NoSpacing"/>
        <w:spacing w:line="480" w:lineRule="auto"/>
        <w:rPr>
          <w:rFonts w:ascii="Times New Roman" w:hAnsi="Times New Roman" w:cs="Times New Roman"/>
          <w:b/>
          <w:sz w:val="24"/>
          <w:szCs w:val="24"/>
        </w:rPr>
      </w:pPr>
      <w:r w:rsidRPr="007A780C">
        <w:rPr>
          <w:rFonts w:ascii="Times New Roman" w:hAnsi="Times New Roman" w:cs="Times New Roman"/>
          <w:b/>
          <w:sz w:val="24"/>
          <w:szCs w:val="24"/>
        </w:rPr>
        <w:t>CHAPTER THREE: RESEARCH METHODOLOGY</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3.1</w:t>
      </w:r>
      <w:r w:rsidRPr="007A780C">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23</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3.4</w:t>
      </w:r>
      <w:r w:rsidRPr="007A780C">
        <w:rPr>
          <w:rFonts w:ascii="Times New Roman" w:hAnsi="Times New Roman" w:cs="Times New Roman"/>
          <w:sz w:val="24"/>
          <w:szCs w:val="24"/>
        </w:rPr>
        <w:tab/>
        <w:t>Method of Data Analysis</w:t>
      </w:r>
      <w:r w:rsidRPr="007A78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23</w:t>
      </w:r>
    </w:p>
    <w:p w:rsidR="001B56A1" w:rsidRPr="007A780C" w:rsidRDefault="001B56A1" w:rsidP="00014BF4">
      <w:pPr>
        <w:pStyle w:val="NoSpacing"/>
        <w:spacing w:line="480" w:lineRule="auto"/>
        <w:rPr>
          <w:rFonts w:ascii="Times New Roman" w:hAnsi="Times New Roman" w:cs="Times New Roman"/>
          <w:b/>
          <w:sz w:val="24"/>
          <w:szCs w:val="24"/>
        </w:rPr>
      </w:pPr>
      <w:r w:rsidRPr="007A780C">
        <w:rPr>
          <w:rFonts w:ascii="Times New Roman" w:hAnsi="Times New Roman" w:cs="Times New Roman"/>
          <w:b/>
          <w:sz w:val="24"/>
          <w:szCs w:val="24"/>
        </w:rPr>
        <w:t>CHAPTER FOUR: DATA INTERPRETATION</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4.1 </w:t>
      </w:r>
      <w:r w:rsidRPr="007A780C">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24</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4.2</w:t>
      </w:r>
      <w:r w:rsidRPr="007A780C">
        <w:rPr>
          <w:rFonts w:ascii="Times New Roman" w:hAnsi="Times New Roman" w:cs="Times New Roman"/>
          <w:sz w:val="24"/>
          <w:szCs w:val="24"/>
        </w:rPr>
        <w:tab/>
        <w:t>Price Data Collected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24</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4.3</w:t>
      </w:r>
      <w:r w:rsidRPr="007A780C">
        <w:rPr>
          <w:rFonts w:ascii="Times New Roman" w:hAnsi="Times New Roman" w:cs="Times New Roman"/>
          <w:sz w:val="24"/>
          <w:szCs w:val="24"/>
        </w:rPr>
        <w:tab/>
        <w:t xml:space="preserve"> Laspeyres Price Index (LPI)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25</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4.4</w:t>
      </w:r>
      <w:r w:rsidRPr="007A780C">
        <w:rPr>
          <w:rFonts w:ascii="Times New Roman" w:hAnsi="Times New Roman" w:cs="Times New Roman"/>
          <w:sz w:val="24"/>
          <w:szCs w:val="24"/>
        </w:rPr>
        <w:tab/>
        <w:t>Paasche Price Index (PPI)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25</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4.5</w:t>
      </w:r>
      <w:r w:rsidRPr="007A780C">
        <w:rPr>
          <w:rFonts w:ascii="Times New Roman" w:hAnsi="Times New Roman" w:cs="Times New Roman"/>
          <w:sz w:val="24"/>
          <w:szCs w:val="24"/>
        </w:rPr>
        <w:tab/>
        <w:t>Fisher Ideal Price Index (FPI)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25</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4.6 </w:t>
      </w:r>
      <w:r w:rsidRPr="007A780C">
        <w:rPr>
          <w:rFonts w:ascii="Times New Roman" w:hAnsi="Times New Roman" w:cs="Times New Roman"/>
          <w:sz w:val="24"/>
          <w:szCs w:val="24"/>
        </w:rPr>
        <w:tab/>
        <w:t>Discussion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26</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4.7 </w:t>
      </w:r>
      <w:r w:rsidRPr="007A780C">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26</w:t>
      </w:r>
    </w:p>
    <w:p w:rsidR="001B56A1" w:rsidRPr="007A780C" w:rsidRDefault="001B56A1" w:rsidP="00014BF4">
      <w:pPr>
        <w:pStyle w:val="NoSpacing"/>
        <w:spacing w:line="480" w:lineRule="auto"/>
        <w:rPr>
          <w:rFonts w:ascii="Times New Roman" w:hAnsi="Times New Roman" w:cs="Times New Roman"/>
          <w:b/>
          <w:sz w:val="24"/>
          <w:szCs w:val="24"/>
        </w:rPr>
      </w:pPr>
      <w:r w:rsidRPr="007A780C">
        <w:rPr>
          <w:rFonts w:ascii="Times New Roman" w:hAnsi="Times New Roman" w:cs="Times New Roman"/>
          <w:b/>
          <w:sz w:val="24"/>
          <w:szCs w:val="24"/>
        </w:rPr>
        <w:t>CHAPTER FIVE: SUMMARY, CONCLUSION, AND RECOMMENDATIONS</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5.1 </w:t>
      </w:r>
      <w:r w:rsidRPr="007A780C">
        <w:rPr>
          <w:rFonts w:ascii="Times New Roman" w:hAnsi="Times New Roman" w:cs="Times New Roman"/>
          <w:sz w:val="24"/>
          <w:szCs w:val="24"/>
        </w:rPr>
        <w:tab/>
        <w:t>Summary of Findings</w:t>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r>
      <w:r w:rsidRPr="007A780C">
        <w:rPr>
          <w:rFonts w:ascii="Times New Roman" w:hAnsi="Times New Roman" w:cs="Times New Roman"/>
          <w:sz w:val="24"/>
          <w:szCs w:val="24"/>
        </w:rPr>
        <w:tab/>
        <w:t>27</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5.2 </w:t>
      </w:r>
      <w:r w:rsidRPr="007A780C">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28</w:t>
      </w:r>
    </w:p>
    <w:p w:rsidR="001B56A1" w:rsidRPr="007A780C" w:rsidRDefault="001B56A1" w:rsidP="00014BF4">
      <w:pPr>
        <w:pStyle w:val="NoSpacing"/>
        <w:spacing w:line="480" w:lineRule="auto"/>
        <w:rPr>
          <w:rFonts w:ascii="Times New Roman" w:hAnsi="Times New Roman" w:cs="Times New Roman"/>
          <w:sz w:val="24"/>
          <w:szCs w:val="24"/>
        </w:rPr>
      </w:pPr>
      <w:r w:rsidRPr="007A780C">
        <w:rPr>
          <w:rFonts w:ascii="Times New Roman" w:hAnsi="Times New Roman" w:cs="Times New Roman"/>
          <w:sz w:val="24"/>
          <w:szCs w:val="24"/>
        </w:rPr>
        <w:t xml:space="preserve">5.3 </w:t>
      </w:r>
      <w:r w:rsidRPr="007A780C">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28</w:t>
      </w:r>
    </w:p>
    <w:p w:rsidR="001B56A1" w:rsidRPr="007A780C" w:rsidRDefault="001B56A1" w:rsidP="00014BF4">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A780C">
        <w:rPr>
          <w:rFonts w:ascii="Times New Roman" w:hAnsi="Times New Roman" w:cs="Times New Roman"/>
          <w:sz w:val="24"/>
          <w:szCs w:val="24"/>
        </w:rPr>
        <w:tab/>
        <w:t>29</w:t>
      </w:r>
    </w:p>
    <w:p w:rsidR="001B56A1" w:rsidRDefault="001B56A1" w:rsidP="00014BF4">
      <w:pPr>
        <w:spacing w:after="0" w:line="480" w:lineRule="auto"/>
        <w:jc w:val="center"/>
        <w:rPr>
          <w:rFonts w:ascii="Times New Roman" w:hAnsi="Times New Roman" w:cs="Times New Roman"/>
          <w:b/>
          <w:bCs/>
          <w:sz w:val="24"/>
          <w:szCs w:val="24"/>
        </w:rPr>
        <w:sectPr w:rsidR="001B56A1" w:rsidSect="00BC7F27">
          <w:footerReference w:type="default" r:id="rId8"/>
          <w:pgSz w:w="11952" w:h="14688" w:code="1"/>
          <w:pgMar w:top="1440" w:right="1800" w:bottom="1276" w:left="1800" w:header="720" w:footer="720" w:gutter="0"/>
          <w:pgNumType w:fmt="lowerRoman" w:start="1"/>
          <w:cols w:space="720"/>
          <w:docGrid w:linePitch="360"/>
        </w:sectPr>
      </w:pPr>
    </w:p>
    <w:p w:rsidR="00B20F83" w:rsidRPr="00470D6A" w:rsidRDefault="00B20F83" w:rsidP="00C272E1">
      <w:pPr>
        <w:spacing w:after="0" w:line="480" w:lineRule="auto"/>
        <w:jc w:val="center"/>
        <w:rPr>
          <w:rFonts w:ascii="Times New Roman" w:hAnsi="Times New Roman" w:cs="Times New Roman"/>
          <w:b/>
          <w:bCs/>
          <w:sz w:val="24"/>
          <w:szCs w:val="24"/>
        </w:rPr>
      </w:pPr>
      <w:r w:rsidRPr="00470D6A">
        <w:rPr>
          <w:rFonts w:ascii="Times New Roman" w:hAnsi="Times New Roman" w:cs="Times New Roman"/>
          <w:b/>
          <w:bCs/>
          <w:sz w:val="24"/>
          <w:szCs w:val="24"/>
        </w:rPr>
        <w:lastRenderedPageBreak/>
        <w:t>C</w:t>
      </w:r>
      <w:r w:rsidRPr="00B20F83">
        <w:rPr>
          <w:rFonts w:ascii="Times New Roman" w:hAnsi="Times New Roman" w:cs="Times New Roman"/>
          <w:b/>
          <w:bCs/>
          <w:sz w:val="24"/>
          <w:szCs w:val="24"/>
        </w:rPr>
        <w:t>HAPTER ONE</w:t>
      </w:r>
    </w:p>
    <w:p w:rsidR="00B20F83" w:rsidRPr="00B20F83" w:rsidRDefault="00B20F83" w:rsidP="00C272E1">
      <w:pPr>
        <w:spacing w:after="0" w:line="480" w:lineRule="auto"/>
        <w:jc w:val="center"/>
        <w:rPr>
          <w:rFonts w:ascii="Times New Roman" w:hAnsi="Times New Roman" w:cs="Times New Roman"/>
          <w:b/>
          <w:bCs/>
          <w:sz w:val="24"/>
          <w:szCs w:val="24"/>
        </w:rPr>
      </w:pPr>
      <w:r w:rsidRPr="00B20F83">
        <w:rPr>
          <w:rFonts w:ascii="Times New Roman" w:hAnsi="Times New Roman" w:cs="Times New Roman"/>
          <w:b/>
          <w:bCs/>
          <w:sz w:val="24"/>
          <w:szCs w:val="24"/>
        </w:rPr>
        <w:t>INTRODUCTION</w:t>
      </w:r>
    </w:p>
    <w:p w:rsidR="00C272E1" w:rsidRPr="00C272E1" w:rsidRDefault="00B20F83" w:rsidP="00C272E1">
      <w:pPr>
        <w:pStyle w:val="ListParagraph"/>
        <w:numPr>
          <w:ilvl w:val="1"/>
          <w:numId w:val="22"/>
        </w:numPr>
        <w:spacing w:after="0" w:line="480" w:lineRule="auto"/>
        <w:jc w:val="both"/>
        <w:rPr>
          <w:rFonts w:ascii="Times New Roman" w:hAnsi="Times New Roman" w:cs="Times New Roman"/>
          <w:b/>
          <w:sz w:val="24"/>
          <w:szCs w:val="24"/>
        </w:rPr>
      </w:pPr>
      <w:r w:rsidRPr="00C272E1">
        <w:rPr>
          <w:rFonts w:ascii="Times New Roman" w:hAnsi="Times New Roman" w:cs="Times New Roman"/>
          <w:b/>
          <w:sz w:val="24"/>
          <w:szCs w:val="24"/>
        </w:rPr>
        <w:t>Background to the Study</w:t>
      </w:r>
    </w:p>
    <w:p w:rsidR="00B20F83" w:rsidRPr="00C272E1" w:rsidRDefault="00B20F83" w:rsidP="00C272E1">
      <w:pPr>
        <w:spacing w:after="0" w:line="480" w:lineRule="auto"/>
        <w:jc w:val="both"/>
        <w:rPr>
          <w:rFonts w:ascii="Times New Roman" w:hAnsi="Times New Roman" w:cs="Times New Roman"/>
          <w:sz w:val="24"/>
          <w:szCs w:val="24"/>
        </w:rPr>
      </w:pPr>
      <w:r w:rsidRPr="00C272E1">
        <w:rPr>
          <w:rFonts w:ascii="Times New Roman" w:hAnsi="Times New Roman" w:cs="Times New Roman"/>
          <w:sz w:val="24"/>
          <w:szCs w:val="24"/>
        </w:rPr>
        <w:t>In developing economies such as Nigeria, the stability of food prices remains a critical determinant of public welfare and socio-economic balance. Food, being a necessity, directly impacts all households, particularly low-income earners who spend a disproportionately large percentage of their income on feeding. In Nigeria, it is estimated that over 60% of household expenditures are directed towards food consumption. Consequently, even slight fluctuations in the prices of basic food commodities can lead to significant changes in household welfare, food security, and nutritional status.</w:t>
      </w:r>
    </w:p>
    <w:p w:rsidR="00B20F83" w:rsidRPr="00B20F83" w:rsidRDefault="00B20F83" w:rsidP="00C272E1">
      <w:pPr>
        <w:tabs>
          <w:tab w:val="left" w:pos="90"/>
        </w:tabs>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Price volatility in staple food commodities—such as rice, beans, garri, semovita, noodles, and spaghetti—is of increasing concern in recent times due to macroeconomic and structural disruptions. Some of the major causes of food price volatility in Nigeria include currency devaluation, fuel subsidy removal, insecurity in food-producing regions, climate change, poor transportation infrastructure, and inadequate storage facilities. These factors often result in increased cost of food production, transportation, and distribution, eventually driving up retail prices.</w:t>
      </w:r>
    </w:p>
    <w:p w:rsidR="00B20F83" w:rsidRPr="00B20F83" w:rsidRDefault="00B20F83" w:rsidP="00C272E1">
      <w:p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 xml:space="preserve">The </w:t>
      </w:r>
      <w:r w:rsidR="006A7408">
        <w:rPr>
          <w:rFonts w:ascii="Times New Roman" w:hAnsi="Times New Roman" w:cs="Times New Roman"/>
          <w:sz w:val="24"/>
          <w:szCs w:val="24"/>
        </w:rPr>
        <w:t>Mandate</w:t>
      </w:r>
      <w:r w:rsidRPr="00B20F83">
        <w:rPr>
          <w:rFonts w:ascii="Times New Roman" w:hAnsi="Times New Roman" w:cs="Times New Roman"/>
          <w:sz w:val="24"/>
          <w:szCs w:val="24"/>
        </w:rPr>
        <w:t xml:space="preserve"> Market in Ilorin, Kwara State, is one of the major marketplaces in North Central Nigeria, with a high volume of food transactions occurring daily</w:t>
      </w:r>
      <w:r w:rsidR="006A7408">
        <w:rPr>
          <w:rFonts w:ascii="Times New Roman" w:hAnsi="Times New Roman" w:cs="Times New Roman"/>
          <w:sz w:val="24"/>
          <w:szCs w:val="24"/>
        </w:rPr>
        <w:t>.A</w:t>
      </w:r>
      <w:r w:rsidRPr="00B20F83">
        <w:rPr>
          <w:rFonts w:ascii="Times New Roman" w:hAnsi="Times New Roman" w:cs="Times New Roman"/>
          <w:sz w:val="24"/>
          <w:szCs w:val="24"/>
        </w:rPr>
        <w:t xml:space="preserve"> wholesale and retail outlet within the market, provides a suitable case study for analyzing food price behavior. It serves as a reflection of broader pricing trends due to its volume of sales and diversity of food items sold.</w:t>
      </w:r>
    </w:p>
    <w:p w:rsidR="00B20F83" w:rsidRPr="00B20F83" w:rsidRDefault="00B20F83" w:rsidP="00C272E1">
      <w:p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 xml:space="preserve">Price indices such as the Laspeyres, Paasche, and Fisher indices are useful tools in understanding price movements over time. These indices allow researchers and policymakers to determine the extent of </w:t>
      </w:r>
      <w:r w:rsidRPr="00B20F83">
        <w:rPr>
          <w:rFonts w:ascii="Times New Roman" w:hAnsi="Times New Roman" w:cs="Times New Roman"/>
          <w:sz w:val="24"/>
          <w:szCs w:val="24"/>
        </w:rPr>
        <w:lastRenderedPageBreak/>
        <w:t>inflation or deflation experienced by consumers. While the Laspeyres Index uses base-year quantities and tends to overestimate inflation, the Paasche Index uses current-year quantities and may underestimate inflation. The Fisher Index, being a geometric mean of the two, is considered the most accurate or “ideal” index.</w:t>
      </w:r>
    </w:p>
    <w:p w:rsidR="00B20F83" w:rsidRPr="00B20F83" w:rsidRDefault="00B20F83" w:rsidP="00C272E1">
      <w:p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By applying these statistical tools, this study seeks to evaluate changes in the prices of selected food items sold at  between the years 2024 and 2025, determine the level of inflation or deflation experienced, and interpret the implications of these changes for policy and household welfare.</w:t>
      </w:r>
    </w:p>
    <w:p w:rsidR="00C272E1" w:rsidRPr="00C272E1" w:rsidRDefault="00B20F83" w:rsidP="00C272E1">
      <w:pPr>
        <w:pStyle w:val="ListParagraph"/>
        <w:numPr>
          <w:ilvl w:val="1"/>
          <w:numId w:val="22"/>
        </w:numPr>
        <w:spacing w:after="0" w:line="480" w:lineRule="auto"/>
        <w:jc w:val="both"/>
        <w:rPr>
          <w:rFonts w:ascii="Times New Roman" w:hAnsi="Times New Roman" w:cs="Times New Roman"/>
          <w:b/>
          <w:sz w:val="24"/>
          <w:szCs w:val="24"/>
        </w:rPr>
      </w:pPr>
      <w:r w:rsidRPr="00C272E1">
        <w:rPr>
          <w:rFonts w:ascii="Times New Roman" w:hAnsi="Times New Roman" w:cs="Times New Roman"/>
          <w:b/>
          <w:sz w:val="24"/>
          <w:szCs w:val="24"/>
        </w:rPr>
        <w:t>Statement of the Problem</w:t>
      </w:r>
    </w:p>
    <w:p w:rsidR="00B20F83" w:rsidRPr="00C272E1" w:rsidRDefault="00B20F83" w:rsidP="00C272E1">
      <w:pPr>
        <w:spacing w:after="0" w:line="480" w:lineRule="auto"/>
        <w:jc w:val="both"/>
        <w:rPr>
          <w:rFonts w:ascii="Times New Roman" w:hAnsi="Times New Roman" w:cs="Times New Roman"/>
          <w:sz w:val="24"/>
          <w:szCs w:val="24"/>
        </w:rPr>
      </w:pPr>
      <w:r w:rsidRPr="00C272E1">
        <w:rPr>
          <w:rFonts w:ascii="Times New Roman" w:hAnsi="Times New Roman" w:cs="Times New Roman"/>
          <w:sz w:val="24"/>
          <w:szCs w:val="24"/>
        </w:rPr>
        <w:t>Over the past few years, Nigerians have faced persistent challenges regarding food affordability and accessibility. Despite various policy measures—including agricultural interventions, border closures to promote local production, and subsidy programs—prices of basic food items continue to rise. In 2024, the removal of fuel subsidies and depreciation of the naira exacerbated inflationary pressures on the economy, with the food sector bearing a significant portion of the impact.</w:t>
      </w:r>
    </w:p>
    <w:p w:rsidR="00B20F83" w:rsidRPr="00B20F83" w:rsidRDefault="00B20F83" w:rsidP="00C272E1">
      <w:p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 xml:space="preserve">The volatility of food prices has created unpredictability in household budgeting, business planning, and government intervention strategies. In urban markets such as </w:t>
      </w:r>
      <w:r w:rsidR="006A7408">
        <w:rPr>
          <w:rFonts w:ascii="Times New Roman" w:hAnsi="Times New Roman" w:cs="Times New Roman"/>
          <w:sz w:val="24"/>
          <w:szCs w:val="24"/>
        </w:rPr>
        <w:t>Mandate</w:t>
      </w:r>
      <w:r w:rsidRPr="00B20F83">
        <w:rPr>
          <w:rFonts w:ascii="Times New Roman" w:hAnsi="Times New Roman" w:cs="Times New Roman"/>
          <w:sz w:val="24"/>
          <w:szCs w:val="24"/>
        </w:rPr>
        <w:t xml:space="preserve"> in Ilorin, traders and consumers alike have raised concerns over the sharp, unregulated price hikes experienced in staple goods. However, these changes have rarely been subjected to thorough empirical examination using standard price index methodologies.</w:t>
      </w:r>
    </w:p>
    <w:p w:rsidR="00B20F83" w:rsidRPr="00B20F83" w:rsidRDefault="00B20F83" w:rsidP="00C272E1">
      <w:p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Many existing reports on food inflation rely on anecdotal evidence or national averages, which do not account for regional disparities in pricing and consumption. There is a lack of localized, data-driven studies that reflect the real experiences of traders and consumers in regional markets.</w:t>
      </w:r>
    </w:p>
    <w:p w:rsidR="00B20F83" w:rsidRPr="00B20F83" w:rsidRDefault="00B20F83" w:rsidP="00C272E1">
      <w:p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lastRenderedPageBreak/>
        <w:t xml:space="preserve">This research, therefore, aims to bridge this gap by systematically analyzing the price data of selected food commodities sold at </w:t>
      </w:r>
      <w:r w:rsidR="006A7408">
        <w:rPr>
          <w:rFonts w:ascii="Times New Roman" w:hAnsi="Times New Roman" w:cs="Times New Roman"/>
          <w:sz w:val="24"/>
          <w:szCs w:val="24"/>
        </w:rPr>
        <w:t>Mandate</w:t>
      </w:r>
      <w:r w:rsidRPr="00B20F83">
        <w:rPr>
          <w:rFonts w:ascii="Times New Roman" w:hAnsi="Times New Roman" w:cs="Times New Roman"/>
          <w:sz w:val="24"/>
          <w:szCs w:val="24"/>
        </w:rPr>
        <w:t xml:space="preserve"> Market, between 2024 and 2025. Through this approach, the study provides a more nuanced understanding of inflationary trends at the grassroots level and offers insights that can be applied in future policymaking.</w:t>
      </w:r>
    </w:p>
    <w:p w:rsidR="00C272E1" w:rsidRPr="00C272E1" w:rsidRDefault="00273608" w:rsidP="00C272E1">
      <w:pPr>
        <w:pStyle w:val="ListParagraph"/>
        <w:numPr>
          <w:ilvl w:val="1"/>
          <w:numId w:val="22"/>
        </w:numPr>
        <w:spacing w:after="0" w:line="480" w:lineRule="auto"/>
        <w:jc w:val="both"/>
        <w:rPr>
          <w:rFonts w:ascii="Times New Roman" w:hAnsi="Times New Roman" w:cs="Times New Roman"/>
          <w:b/>
          <w:sz w:val="24"/>
          <w:szCs w:val="24"/>
        </w:rPr>
      </w:pPr>
      <w:r w:rsidRPr="00C272E1">
        <w:rPr>
          <w:rFonts w:ascii="Times New Roman" w:hAnsi="Times New Roman" w:cs="Times New Roman"/>
          <w:b/>
          <w:sz w:val="24"/>
          <w:szCs w:val="24"/>
        </w:rPr>
        <w:t xml:space="preserve">Aims and </w:t>
      </w:r>
      <w:r w:rsidR="00A8531F" w:rsidRPr="00C272E1">
        <w:rPr>
          <w:rFonts w:ascii="Times New Roman" w:hAnsi="Times New Roman" w:cs="Times New Roman"/>
          <w:b/>
          <w:sz w:val="24"/>
          <w:szCs w:val="24"/>
        </w:rPr>
        <w:t>Objectives</w:t>
      </w:r>
      <w:r w:rsidR="00B20F83" w:rsidRPr="00C272E1">
        <w:rPr>
          <w:rFonts w:ascii="Times New Roman" w:hAnsi="Times New Roman" w:cs="Times New Roman"/>
          <w:b/>
          <w:sz w:val="24"/>
          <w:szCs w:val="24"/>
        </w:rPr>
        <w:t xml:space="preserve"> of the Study</w:t>
      </w:r>
    </w:p>
    <w:p w:rsidR="00B20F83" w:rsidRPr="00C272E1" w:rsidRDefault="00B20F83" w:rsidP="00C272E1">
      <w:pPr>
        <w:spacing w:after="0" w:line="480" w:lineRule="auto"/>
        <w:jc w:val="both"/>
        <w:rPr>
          <w:rFonts w:ascii="Times New Roman" w:hAnsi="Times New Roman" w:cs="Times New Roman"/>
          <w:sz w:val="24"/>
          <w:szCs w:val="24"/>
        </w:rPr>
      </w:pPr>
      <w:r w:rsidRPr="00C272E1">
        <w:rPr>
          <w:rFonts w:ascii="Times New Roman" w:hAnsi="Times New Roman" w:cs="Times New Roman"/>
          <w:sz w:val="24"/>
          <w:szCs w:val="24"/>
        </w:rPr>
        <w:t>The</w:t>
      </w:r>
      <w:r w:rsidR="00C272E1">
        <w:rPr>
          <w:rFonts w:ascii="Times New Roman" w:hAnsi="Times New Roman" w:cs="Times New Roman"/>
          <w:sz w:val="24"/>
          <w:szCs w:val="24"/>
        </w:rPr>
        <w:t xml:space="preserve"> </w:t>
      </w:r>
      <w:r w:rsidR="007B3CDD" w:rsidRPr="00C272E1">
        <w:rPr>
          <w:rFonts w:ascii="Times New Roman" w:hAnsi="Times New Roman" w:cs="Times New Roman"/>
          <w:sz w:val="24"/>
          <w:szCs w:val="24"/>
        </w:rPr>
        <w:t>aim</w:t>
      </w:r>
      <w:r w:rsidRPr="00C272E1">
        <w:rPr>
          <w:rFonts w:ascii="Times New Roman" w:hAnsi="Times New Roman" w:cs="Times New Roman"/>
          <w:sz w:val="24"/>
          <w:szCs w:val="24"/>
        </w:rPr>
        <w:t xml:space="preserve"> of this </w:t>
      </w:r>
      <w:r w:rsidR="008D79F3" w:rsidRPr="00C272E1">
        <w:rPr>
          <w:rFonts w:ascii="Times New Roman" w:hAnsi="Times New Roman" w:cs="Times New Roman"/>
          <w:sz w:val="24"/>
          <w:szCs w:val="24"/>
        </w:rPr>
        <w:t>study</w:t>
      </w:r>
      <w:r w:rsidRPr="00C272E1">
        <w:rPr>
          <w:rFonts w:ascii="Times New Roman" w:hAnsi="Times New Roman" w:cs="Times New Roman"/>
          <w:sz w:val="24"/>
          <w:szCs w:val="24"/>
        </w:rPr>
        <w:t xml:space="preserve"> is to analyze the changes in the prices of selected food items of price movement in </w:t>
      </w:r>
      <w:r w:rsidR="006A7408" w:rsidRPr="00C272E1">
        <w:rPr>
          <w:rFonts w:ascii="Times New Roman" w:hAnsi="Times New Roman" w:cs="Times New Roman"/>
          <w:sz w:val="24"/>
          <w:szCs w:val="24"/>
        </w:rPr>
        <w:t>Mandate</w:t>
      </w:r>
      <w:r w:rsidRPr="00C272E1">
        <w:rPr>
          <w:rFonts w:ascii="Times New Roman" w:hAnsi="Times New Roman" w:cs="Times New Roman"/>
          <w:sz w:val="24"/>
          <w:szCs w:val="24"/>
        </w:rPr>
        <w:t xml:space="preserve"> Market, Ilorin.</w:t>
      </w:r>
    </w:p>
    <w:p w:rsidR="00B20F83" w:rsidRDefault="00B20F83" w:rsidP="00C272E1">
      <w:p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 xml:space="preserve">The objectives </w:t>
      </w:r>
      <w:r w:rsidR="00A8531F">
        <w:rPr>
          <w:rFonts w:ascii="Times New Roman" w:hAnsi="Times New Roman" w:cs="Times New Roman"/>
          <w:sz w:val="24"/>
          <w:szCs w:val="24"/>
        </w:rPr>
        <w:t xml:space="preserve">of the study </w:t>
      </w:r>
      <w:r w:rsidRPr="00B20F83">
        <w:rPr>
          <w:rFonts w:ascii="Times New Roman" w:hAnsi="Times New Roman" w:cs="Times New Roman"/>
          <w:sz w:val="24"/>
          <w:szCs w:val="24"/>
        </w:rPr>
        <w:t>are as follows:</w:t>
      </w:r>
    </w:p>
    <w:p w:rsidR="00A8531F" w:rsidRDefault="00A8531F" w:rsidP="00C272E1">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show the descriptive statistics</w:t>
      </w:r>
    </w:p>
    <w:p w:rsidR="00A8531F" w:rsidRPr="00A8531F" w:rsidRDefault="00A8531F" w:rsidP="00C272E1">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To compare the prices of the commodities </w:t>
      </w:r>
      <w:r w:rsidRPr="00B20F83">
        <w:rPr>
          <w:rFonts w:ascii="Times New Roman" w:hAnsi="Times New Roman" w:cs="Times New Roman"/>
          <w:sz w:val="24"/>
          <w:szCs w:val="24"/>
        </w:rPr>
        <w:t>using Laspeyres, Paasche, and Fisher price indices</w:t>
      </w:r>
    </w:p>
    <w:p w:rsidR="00C272E1" w:rsidRPr="00C272E1" w:rsidRDefault="00B20F83" w:rsidP="00C272E1">
      <w:pPr>
        <w:pStyle w:val="ListParagraph"/>
        <w:numPr>
          <w:ilvl w:val="1"/>
          <w:numId w:val="22"/>
        </w:numPr>
        <w:spacing w:after="0" w:line="480" w:lineRule="auto"/>
        <w:jc w:val="both"/>
        <w:rPr>
          <w:rFonts w:ascii="Times New Roman" w:hAnsi="Times New Roman" w:cs="Times New Roman"/>
          <w:b/>
          <w:sz w:val="24"/>
          <w:szCs w:val="24"/>
        </w:rPr>
      </w:pPr>
      <w:r w:rsidRPr="00C272E1">
        <w:rPr>
          <w:rFonts w:ascii="Times New Roman" w:hAnsi="Times New Roman" w:cs="Times New Roman"/>
          <w:b/>
          <w:sz w:val="24"/>
          <w:szCs w:val="24"/>
        </w:rPr>
        <w:t>Research Questions</w:t>
      </w:r>
    </w:p>
    <w:p w:rsidR="00B20F83" w:rsidRPr="00C272E1" w:rsidRDefault="00B20F83" w:rsidP="00C272E1">
      <w:pPr>
        <w:spacing w:after="0" w:line="480" w:lineRule="auto"/>
        <w:jc w:val="both"/>
        <w:rPr>
          <w:rFonts w:ascii="Times New Roman" w:hAnsi="Times New Roman" w:cs="Times New Roman"/>
          <w:sz w:val="24"/>
          <w:szCs w:val="24"/>
        </w:rPr>
      </w:pPr>
      <w:r w:rsidRPr="00C272E1">
        <w:rPr>
          <w:rFonts w:ascii="Times New Roman" w:hAnsi="Times New Roman" w:cs="Times New Roman"/>
          <w:sz w:val="24"/>
          <w:szCs w:val="24"/>
        </w:rPr>
        <w:t>The study will attempt to answer the following questions:</w:t>
      </w:r>
    </w:p>
    <w:p w:rsidR="00B20F83" w:rsidRPr="00B20F83" w:rsidRDefault="00B20F83" w:rsidP="00C272E1">
      <w:pPr>
        <w:numPr>
          <w:ilvl w:val="0"/>
          <w:numId w:val="11"/>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What are the prices of rice, beans, garri, semovita, noodles, and spaghetti in 2024 and 2025?</w:t>
      </w:r>
    </w:p>
    <w:p w:rsidR="00B20F83" w:rsidRPr="00B20F83" w:rsidRDefault="00B20F83" w:rsidP="00C272E1">
      <w:pPr>
        <w:numPr>
          <w:ilvl w:val="0"/>
          <w:numId w:val="11"/>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What do the Laspeyres, Paasche, and Fisher indices reveal about the inflationary or deflationary trends?</w:t>
      </w:r>
    </w:p>
    <w:p w:rsidR="00B20F83" w:rsidRPr="00B20F83" w:rsidRDefault="00B20F83" w:rsidP="00C272E1">
      <w:pPr>
        <w:numPr>
          <w:ilvl w:val="0"/>
          <w:numId w:val="11"/>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Which commodities experienced the greatest percentage increase or decrease in price?</w:t>
      </w:r>
    </w:p>
    <w:p w:rsidR="00B20F83" w:rsidRPr="00B20F83" w:rsidRDefault="00B20F83" w:rsidP="00C272E1">
      <w:pPr>
        <w:numPr>
          <w:ilvl w:val="0"/>
          <w:numId w:val="11"/>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What is the likely impact of these price changes on consumer behavior and household expenditure?</w:t>
      </w:r>
    </w:p>
    <w:p w:rsidR="00B20F83" w:rsidRPr="00B20F83" w:rsidRDefault="00B20F83" w:rsidP="00C272E1">
      <w:pPr>
        <w:numPr>
          <w:ilvl w:val="0"/>
          <w:numId w:val="11"/>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What interventions can help to stabilize food prices in Ilorin and beyond?</w:t>
      </w:r>
    </w:p>
    <w:p w:rsidR="00C272E1" w:rsidRPr="00C272E1" w:rsidRDefault="00B20F83" w:rsidP="00C272E1">
      <w:pPr>
        <w:pStyle w:val="ListParagraph"/>
        <w:numPr>
          <w:ilvl w:val="1"/>
          <w:numId w:val="22"/>
        </w:numPr>
        <w:spacing w:after="0" w:line="480" w:lineRule="auto"/>
        <w:jc w:val="both"/>
        <w:rPr>
          <w:rFonts w:ascii="Times New Roman" w:hAnsi="Times New Roman" w:cs="Times New Roman"/>
          <w:b/>
          <w:sz w:val="24"/>
          <w:szCs w:val="24"/>
        </w:rPr>
      </w:pPr>
      <w:r w:rsidRPr="00C272E1">
        <w:rPr>
          <w:rFonts w:ascii="Times New Roman" w:hAnsi="Times New Roman" w:cs="Times New Roman"/>
          <w:b/>
          <w:sz w:val="24"/>
          <w:szCs w:val="24"/>
        </w:rPr>
        <w:t>Significance of the Study</w:t>
      </w:r>
    </w:p>
    <w:p w:rsidR="00B20F83" w:rsidRPr="00C272E1" w:rsidRDefault="00B20F83" w:rsidP="00C272E1">
      <w:pPr>
        <w:spacing w:after="0" w:line="480" w:lineRule="auto"/>
        <w:jc w:val="both"/>
        <w:rPr>
          <w:rFonts w:ascii="Times New Roman" w:hAnsi="Times New Roman" w:cs="Times New Roman"/>
          <w:sz w:val="24"/>
          <w:szCs w:val="24"/>
        </w:rPr>
      </w:pPr>
      <w:r w:rsidRPr="00C272E1">
        <w:rPr>
          <w:rFonts w:ascii="Times New Roman" w:hAnsi="Times New Roman" w:cs="Times New Roman"/>
          <w:sz w:val="24"/>
          <w:szCs w:val="24"/>
        </w:rPr>
        <w:t>This research is significant for a number of stakeholders:</w:t>
      </w:r>
    </w:p>
    <w:p w:rsidR="00B20F83" w:rsidRPr="00B20F83" w:rsidRDefault="00B20F83" w:rsidP="00C272E1">
      <w:pPr>
        <w:numPr>
          <w:ilvl w:val="0"/>
          <w:numId w:val="12"/>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lastRenderedPageBreak/>
        <w:t>Policy Makers: The findings will assist local and national authorities in evaluating the effectiveness of current agricultural and market policies. Accurate inflation measurement will enable more targeted subsidy programs and food interventions.</w:t>
      </w:r>
    </w:p>
    <w:p w:rsidR="00B20F83" w:rsidRPr="00B20F83" w:rsidRDefault="00B20F83" w:rsidP="00C272E1">
      <w:pPr>
        <w:numPr>
          <w:ilvl w:val="0"/>
          <w:numId w:val="12"/>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Traders and Market Operators: A better understanding of price movements helps traders to anticipate demand and plan stocking more effectively.</w:t>
      </w:r>
    </w:p>
    <w:p w:rsidR="00B20F83" w:rsidRPr="00B20F83" w:rsidRDefault="00B20F83" w:rsidP="00C272E1">
      <w:pPr>
        <w:numPr>
          <w:ilvl w:val="0"/>
          <w:numId w:val="12"/>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Consumers: The results provide insights into trends in food affordability, empowering households to make informed consumption choices.</w:t>
      </w:r>
    </w:p>
    <w:p w:rsidR="00B20F83" w:rsidRPr="00B20F83" w:rsidRDefault="00B20F83" w:rsidP="00C272E1">
      <w:pPr>
        <w:numPr>
          <w:ilvl w:val="0"/>
          <w:numId w:val="12"/>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Academics and Researchers: The study contributes to literature on food economics and price index analysis in developing countries, particularly Nigeria.</w:t>
      </w:r>
    </w:p>
    <w:p w:rsidR="00B20F83" w:rsidRPr="00B20F83" w:rsidRDefault="00B20F83" w:rsidP="00C272E1">
      <w:pPr>
        <w:numPr>
          <w:ilvl w:val="0"/>
          <w:numId w:val="12"/>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Development Partners: NGOs and international agencies working on food security and poverty alleviation can use the findings to tailor their programs more effectively.</w:t>
      </w:r>
    </w:p>
    <w:p w:rsidR="00C272E1" w:rsidRPr="00C272E1" w:rsidRDefault="00B20F83" w:rsidP="00C272E1">
      <w:pPr>
        <w:pStyle w:val="ListParagraph"/>
        <w:numPr>
          <w:ilvl w:val="1"/>
          <w:numId w:val="22"/>
        </w:numPr>
        <w:spacing w:after="0" w:line="480" w:lineRule="auto"/>
        <w:jc w:val="both"/>
        <w:rPr>
          <w:rFonts w:ascii="Times New Roman" w:hAnsi="Times New Roman" w:cs="Times New Roman"/>
          <w:b/>
          <w:sz w:val="24"/>
          <w:szCs w:val="24"/>
        </w:rPr>
      </w:pPr>
      <w:r w:rsidRPr="00C272E1">
        <w:rPr>
          <w:rFonts w:ascii="Times New Roman" w:hAnsi="Times New Roman" w:cs="Times New Roman"/>
          <w:b/>
          <w:sz w:val="24"/>
          <w:szCs w:val="24"/>
        </w:rPr>
        <w:t>Scope of the Study</w:t>
      </w:r>
    </w:p>
    <w:p w:rsidR="00B20F83" w:rsidRPr="00C272E1" w:rsidRDefault="00B20F83" w:rsidP="00C272E1">
      <w:pPr>
        <w:spacing w:after="0" w:line="480" w:lineRule="auto"/>
        <w:jc w:val="both"/>
        <w:rPr>
          <w:rFonts w:ascii="Times New Roman" w:hAnsi="Times New Roman" w:cs="Times New Roman"/>
          <w:sz w:val="24"/>
          <w:szCs w:val="24"/>
        </w:rPr>
      </w:pPr>
      <w:r w:rsidRPr="00C272E1">
        <w:rPr>
          <w:rFonts w:ascii="Times New Roman" w:hAnsi="Times New Roman" w:cs="Times New Roman"/>
          <w:sz w:val="24"/>
          <w:szCs w:val="24"/>
        </w:rPr>
        <w:t xml:space="preserve">The research is geographically limited to the </w:t>
      </w:r>
      <w:r w:rsidR="006A7408" w:rsidRPr="00C272E1">
        <w:rPr>
          <w:rFonts w:ascii="Times New Roman" w:hAnsi="Times New Roman" w:cs="Times New Roman"/>
          <w:sz w:val="24"/>
          <w:szCs w:val="24"/>
        </w:rPr>
        <w:t>Mandate</w:t>
      </w:r>
      <w:r w:rsidRPr="00C272E1">
        <w:rPr>
          <w:rFonts w:ascii="Times New Roman" w:hAnsi="Times New Roman" w:cs="Times New Roman"/>
          <w:sz w:val="24"/>
          <w:szCs w:val="24"/>
        </w:rPr>
        <w:t xml:space="preserve"> Market in Ilorin, Kwara State. The study specifically focuses </w:t>
      </w:r>
      <w:r w:rsidR="006A7408" w:rsidRPr="00C272E1">
        <w:rPr>
          <w:rFonts w:ascii="Times New Roman" w:hAnsi="Times New Roman" w:cs="Times New Roman"/>
          <w:sz w:val="24"/>
          <w:szCs w:val="24"/>
        </w:rPr>
        <w:t xml:space="preserve">on </w:t>
      </w:r>
      <w:r w:rsidRPr="00C272E1">
        <w:rPr>
          <w:rFonts w:ascii="Times New Roman" w:hAnsi="Times New Roman" w:cs="Times New Roman"/>
          <w:sz w:val="24"/>
          <w:szCs w:val="24"/>
        </w:rPr>
        <w:t>a food retailer known for its wide range of staple products. The analysis covers six food items: rice (50kg), beans (50kg), garri (50kg), semovita (10kg), noodles (1 carton), and spaghetti (500g).</w:t>
      </w:r>
    </w:p>
    <w:p w:rsidR="00B20F83" w:rsidRDefault="00B20F83" w:rsidP="00C272E1">
      <w:p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The temporal scope of the study spans two years—2024 as the base year and 2025 as the current year. For ease of computation, the study assumes constant quantities (Q = 1) for all items, which allows for simplified calculation of price indices. The study does not explore consumer demand, supply chain logistics, or seasonal variability, although these are acknowledged as factors that influence pricing.</w:t>
      </w:r>
    </w:p>
    <w:p w:rsidR="00C272E1" w:rsidRPr="00B20F83" w:rsidRDefault="00C272E1" w:rsidP="00C272E1">
      <w:pPr>
        <w:spacing w:after="0" w:line="480" w:lineRule="auto"/>
        <w:jc w:val="both"/>
        <w:rPr>
          <w:rFonts w:ascii="Times New Roman" w:hAnsi="Times New Roman" w:cs="Times New Roman"/>
          <w:sz w:val="24"/>
          <w:szCs w:val="24"/>
        </w:rPr>
      </w:pPr>
    </w:p>
    <w:p w:rsidR="00C272E1" w:rsidRPr="00C272E1" w:rsidRDefault="00B20F83" w:rsidP="00C272E1">
      <w:pPr>
        <w:pStyle w:val="ListParagraph"/>
        <w:numPr>
          <w:ilvl w:val="1"/>
          <w:numId w:val="22"/>
        </w:numPr>
        <w:spacing w:after="0" w:line="480" w:lineRule="auto"/>
        <w:jc w:val="both"/>
        <w:rPr>
          <w:rFonts w:ascii="Times New Roman" w:hAnsi="Times New Roman" w:cs="Times New Roman"/>
          <w:b/>
          <w:sz w:val="24"/>
          <w:szCs w:val="24"/>
        </w:rPr>
      </w:pPr>
      <w:r w:rsidRPr="00C272E1">
        <w:rPr>
          <w:rFonts w:ascii="Times New Roman" w:hAnsi="Times New Roman" w:cs="Times New Roman"/>
          <w:b/>
          <w:sz w:val="24"/>
          <w:szCs w:val="24"/>
        </w:rPr>
        <w:lastRenderedPageBreak/>
        <w:t>Limitations of the Study</w:t>
      </w:r>
    </w:p>
    <w:p w:rsidR="00B20F83" w:rsidRPr="00C272E1" w:rsidRDefault="00B20F83" w:rsidP="00C272E1">
      <w:pPr>
        <w:spacing w:after="0" w:line="480" w:lineRule="auto"/>
        <w:jc w:val="both"/>
        <w:rPr>
          <w:rFonts w:ascii="Times New Roman" w:hAnsi="Times New Roman" w:cs="Times New Roman"/>
          <w:sz w:val="24"/>
          <w:szCs w:val="24"/>
        </w:rPr>
      </w:pPr>
      <w:r w:rsidRPr="00C272E1">
        <w:rPr>
          <w:rFonts w:ascii="Times New Roman" w:hAnsi="Times New Roman" w:cs="Times New Roman"/>
          <w:sz w:val="24"/>
          <w:szCs w:val="24"/>
        </w:rPr>
        <w:t>While this study offers valuable insights, it is subject to certain limitations:</w:t>
      </w:r>
    </w:p>
    <w:p w:rsidR="00B20F83" w:rsidRPr="00B20F83" w:rsidRDefault="00B20F83" w:rsidP="00C272E1">
      <w:pPr>
        <w:numPr>
          <w:ilvl w:val="0"/>
          <w:numId w:val="13"/>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Data collection was restricted to a single retail outlet and may not fully capture price variations across the broader market.</w:t>
      </w:r>
    </w:p>
    <w:p w:rsidR="00B20F83" w:rsidRPr="00B20F83" w:rsidRDefault="00B20F83" w:rsidP="00C272E1">
      <w:pPr>
        <w:numPr>
          <w:ilvl w:val="0"/>
          <w:numId w:val="13"/>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The assumption of constant quantity (Q = 1) simplifies the analysis but may not reflect actual market consumption behaviors.</w:t>
      </w:r>
    </w:p>
    <w:p w:rsidR="00B20F83" w:rsidRPr="00B20F83" w:rsidRDefault="00B20F83" w:rsidP="00C272E1">
      <w:pPr>
        <w:numPr>
          <w:ilvl w:val="0"/>
          <w:numId w:val="13"/>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Price fluctuations due to promotions, seasonal discounts, or bulk purchase incentives are not considered.</w:t>
      </w:r>
    </w:p>
    <w:p w:rsidR="00B20F83" w:rsidRPr="00B20F83" w:rsidRDefault="00B20F83" w:rsidP="00C272E1">
      <w:pPr>
        <w:numPr>
          <w:ilvl w:val="0"/>
          <w:numId w:val="13"/>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Other influencing factors such as transportation costs, weather conditions, and foreign exchange rates are beyond the scope of this research.</w:t>
      </w:r>
    </w:p>
    <w:p w:rsidR="00B20F83" w:rsidRPr="00B20F83" w:rsidRDefault="00B20F83" w:rsidP="00C272E1">
      <w:pPr>
        <w:numPr>
          <w:ilvl w:val="0"/>
          <w:numId w:val="13"/>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The study focuses only on staple foods and does not consider protein sources or fresh produce, which are also essential components of a balanced diet.</w:t>
      </w:r>
    </w:p>
    <w:p w:rsidR="00C272E1" w:rsidRPr="00C272E1" w:rsidRDefault="00B20F83" w:rsidP="00C272E1">
      <w:pPr>
        <w:pStyle w:val="ListParagraph"/>
        <w:numPr>
          <w:ilvl w:val="1"/>
          <w:numId w:val="22"/>
        </w:numPr>
        <w:spacing w:after="0" w:line="480" w:lineRule="auto"/>
        <w:jc w:val="both"/>
        <w:rPr>
          <w:rFonts w:ascii="Times New Roman" w:hAnsi="Times New Roman" w:cs="Times New Roman"/>
          <w:b/>
          <w:sz w:val="24"/>
          <w:szCs w:val="24"/>
        </w:rPr>
      </w:pPr>
      <w:r w:rsidRPr="00C272E1">
        <w:rPr>
          <w:rFonts w:ascii="Times New Roman" w:hAnsi="Times New Roman" w:cs="Times New Roman"/>
          <w:b/>
          <w:sz w:val="24"/>
          <w:szCs w:val="24"/>
        </w:rPr>
        <w:t>Definition of Terms</w:t>
      </w:r>
    </w:p>
    <w:p w:rsidR="00B20F83" w:rsidRPr="00C272E1" w:rsidRDefault="00B20F83" w:rsidP="00C272E1">
      <w:pPr>
        <w:spacing w:after="0" w:line="480" w:lineRule="auto"/>
        <w:jc w:val="both"/>
        <w:rPr>
          <w:rFonts w:ascii="Times New Roman" w:hAnsi="Times New Roman" w:cs="Times New Roman"/>
          <w:sz w:val="24"/>
          <w:szCs w:val="24"/>
        </w:rPr>
      </w:pPr>
      <w:r w:rsidRPr="00C272E1">
        <w:rPr>
          <w:rFonts w:ascii="Times New Roman" w:hAnsi="Times New Roman" w:cs="Times New Roman"/>
          <w:sz w:val="24"/>
          <w:szCs w:val="24"/>
        </w:rPr>
        <w:t>To ensure clarity and consistency, key terms used in this study are defined below:</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Price Index: A statistical measure representing the relative change in prices over time for a specific set of goods and services.</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Laspeyres Index: A price index that uses the quantities of goods in the base year as weights.</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Paasche Index: A price index that uses the quantities of goods in the current year as weights.</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Fisher Index: A price index obtained by taking the geometric mean of the Laspeyres and Paasche indices.</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lastRenderedPageBreak/>
        <w:t>Consumer Price Index (CPI): An index that measures the average change over time in the prices paid by consumers for a basket of goods and services.</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Inflation: The rate at which the general level of prices for goods and services is rising, leading to a decline in purchasing power.</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Deflation: A decrease in the general price level of goods and services, increasing the value of money.</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Base Year: The year used as a reference point for comparing prices in subsequent years.</w:t>
      </w:r>
    </w:p>
    <w:p w:rsidR="00B20F83" w:rsidRPr="00B20F83" w:rsidRDefault="00B20F83" w:rsidP="00C272E1">
      <w:pPr>
        <w:numPr>
          <w:ilvl w:val="0"/>
          <w:numId w:val="14"/>
        </w:numPr>
        <w:spacing w:after="0" w:line="480" w:lineRule="auto"/>
        <w:jc w:val="both"/>
        <w:rPr>
          <w:rFonts w:ascii="Times New Roman" w:hAnsi="Times New Roman" w:cs="Times New Roman"/>
          <w:sz w:val="24"/>
          <w:szCs w:val="24"/>
        </w:rPr>
      </w:pPr>
      <w:r w:rsidRPr="00B20F83">
        <w:rPr>
          <w:rFonts w:ascii="Times New Roman" w:hAnsi="Times New Roman" w:cs="Times New Roman"/>
          <w:sz w:val="24"/>
          <w:szCs w:val="24"/>
        </w:rPr>
        <w:t>Current Year: The year for which prices are being analyzed relative to the base year.</w:t>
      </w:r>
    </w:p>
    <w:p w:rsidR="00284958" w:rsidRDefault="00284958" w:rsidP="00C272E1">
      <w:pPr>
        <w:spacing w:after="0"/>
        <w:jc w:val="both"/>
        <w:rPr>
          <w:rFonts w:ascii="Times New Roman" w:eastAsia="Times New Roman" w:hAnsi="Times New Roman" w:cs="Times New Roman"/>
          <w:b/>
          <w:bCs/>
          <w:sz w:val="24"/>
          <w:szCs w:val="24"/>
        </w:rPr>
      </w:pPr>
      <w:r>
        <w:rPr>
          <w:b/>
          <w:bCs/>
        </w:rPr>
        <w:br w:type="page"/>
      </w:r>
    </w:p>
    <w:p w:rsidR="0025411C" w:rsidRPr="00470D6A" w:rsidRDefault="0025411C" w:rsidP="00C272E1">
      <w:pPr>
        <w:pStyle w:val="NormalWeb"/>
        <w:spacing w:after="0" w:afterAutospacing="0"/>
        <w:jc w:val="center"/>
        <w:rPr>
          <w:b/>
          <w:bCs/>
        </w:rPr>
      </w:pPr>
      <w:r w:rsidRPr="00470D6A">
        <w:rPr>
          <w:b/>
          <w:bCs/>
        </w:rPr>
        <w:lastRenderedPageBreak/>
        <w:t>CHAPTER TWO</w:t>
      </w:r>
    </w:p>
    <w:p w:rsidR="0025411C" w:rsidRPr="00470D6A" w:rsidRDefault="0025411C" w:rsidP="00C272E1">
      <w:pPr>
        <w:pStyle w:val="NormalWeb"/>
        <w:spacing w:after="0" w:afterAutospacing="0"/>
        <w:jc w:val="center"/>
        <w:rPr>
          <w:b/>
          <w:bCs/>
        </w:rPr>
      </w:pPr>
      <w:r w:rsidRPr="00470D6A">
        <w:rPr>
          <w:b/>
          <w:bCs/>
        </w:rPr>
        <w:t>LITERATURE REVIEW</w:t>
      </w:r>
    </w:p>
    <w:p w:rsidR="0025411C" w:rsidRPr="00273608" w:rsidRDefault="0025411C" w:rsidP="00C272E1">
      <w:pPr>
        <w:pStyle w:val="NormalWeb"/>
        <w:spacing w:after="0" w:afterAutospacing="0"/>
        <w:jc w:val="both"/>
        <w:rPr>
          <w:b/>
        </w:rPr>
      </w:pPr>
      <w:r w:rsidRPr="00273608">
        <w:rPr>
          <w:b/>
        </w:rPr>
        <w:t xml:space="preserve">2.1 </w:t>
      </w:r>
      <w:r w:rsidR="00273608" w:rsidRPr="00273608">
        <w:rPr>
          <w:b/>
        </w:rPr>
        <w:tab/>
      </w:r>
      <w:r w:rsidRPr="00273608">
        <w:rPr>
          <w:b/>
        </w:rPr>
        <w:t>Introduction</w:t>
      </w:r>
    </w:p>
    <w:p w:rsidR="0025411C" w:rsidRDefault="0025411C" w:rsidP="00C272E1">
      <w:pPr>
        <w:pStyle w:val="NormalWeb"/>
        <w:spacing w:after="0" w:afterAutospacing="0" w:line="480" w:lineRule="auto"/>
        <w:jc w:val="both"/>
      </w:pPr>
      <w:r>
        <w:t xml:space="preserve">The increasing concern over food price volatility and inflation in many developing economies has triggered a surge in academic and policy-oriented research focused on understanding the dynamics of commodity pricing. In Nigeria, the frequent rise in the cost of essential food items has significantly impacted household welfare, particularly among low- and middle-income earners who allocate a large portion of their income to food purchases. Given that food constitutes over 60% of household expenditures in many Nigerian homes (NBS, 2023), price variations in food markets are not only economic indicators but also barometers of social stability and wellbeing. Food inflation is not a new phenomenon in Nigeria, but recent years have witnessed intensified instability driven by factors such as exchange rate depreciation, climate change, insecurity in farming regions, supply chain disruptions, transportation bottlenecks, and macroeconomic policy changes such as subsidy removals and border closures. According to the Central Bank of Nigeria (2024), food inflation hit a record high in early 2024, with staple food items experiencing price increases of 20%–40% over a 12-month period. This troubling trend underscores the urgency of robust analytical tools to study food price behavior over time and guide informed economic decision-making. Literature on food pricing has evolved from general inflation studies to more commodity-specific and location-based investigations. Traditional methods of price trend analysis have given way to sophisticated indices such as Laspeyres, Paasche, and Fisher price indices—each of which brings unique strengths and limitations to the interpretation of market behavior. The Laspeyres index, for instance, allows analysts to determine price movement </w:t>
      </w:r>
      <w:r>
        <w:lastRenderedPageBreak/>
        <w:t xml:space="preserve">using base-year quantities and is particularly useful when consumption patterns are relatively stable. The Paasche index, in contrast, uses current-year quantities and reflects the changing structure of consumer preferences. The Fisher index, being the geometric mean of the two, is widely regarded as the most accurate or ‘ideal’ measure of price changes (Diewert, 2001). In this context, the role of price indices becomes critical. They are not only statistical constructs but also important inputs in economic modeling, welfare analysis, and fiscal policy planning. A price index reveals how much prices have changed relative to a baseline, enabling governments to assess the cost of living, adjust minimum wages, and calibrate monetary policy. For instance, countries such as Ghana, Kenya, and South Africa have institutionalized price monitoring systems using consumer price indices to assess economic trends and guide subsidy frameworks (IMF, 2021). Empirical studies have shown that price movements differ markedly between rural and urban markets, and even among different regions within a country (Timmer, 2010; Umeh &amp; Adeola, 2018). Thus, while national CPI figures provide a useful overview, they often mask local-level variations and fail to capture the actual experience of consumers in specific markets such as </w:t>
      </w:r>
      <w:r w:rsidR="006A7408">
        <w:t>Mandate</w:t>
      </w:r>
      <w:r>
        <w:t xml:space="preserve"> in Ilorin. Hence, localized studies using real market data are needed to complement national statistics and provide context-specific </w:t>
      </w:r>
      <w:r w:rsidR="00284958">
        <w:t>insights. Moreover</w:t>
      </w:r>
      <w:r>
        <w:t xml:space="preserve">, price analysis plays a vital role in evaluating the effectiveness of agricultural policies and trade interventions. For instance, the closure of land borders in 2019 by the Nigerian government was intended to promote local food production. However, subsequent studies revealed that the policy had mixed outcomes—while it increased local demand, it also led to significant short-term price surges due to supply gaps and logistics issues (Ezeaku&amp;Nwachukwu, 2020). Similarly, the removal of petroleum subsidies in 2023 raised transportation costs, directly affecting food prices by increasing the cost of </w:t>
      </w:r>
      <w:r>
        <w:lastRenderedPageBreak/>
        <w:t>moving goods from rural farms to urban markets. Within the academic field, scholars have also examined the socio-political consequences of food inflation. Studies have linked rising food prices to increased poverty, reduced nutritional intake, and even civil unrest (Bellemare, 2015). When basic commodities become unaffordable, households are forced to cut back on quality and quantity, leading to malnutrition and broader public health issues. This underscores the multidimensional impact of food price movements—not just economic but also social and developmental.</w:t>
      </w:r>
    </w:p>
    <w:p w:rsidR="0025411C" w:rsidRDefault="0025411C" w:rsidP="00C272E1">
      <w:pPr>
        <w:pStyle w:val="NormalWeb"/>
        <w:spacing w:after="0" w:afterAutospacing="0" w:line="480" w:lineRule="auto"/>
        <w:jc w:val="both"/>
      </w:pPr>
      <w:r>
        <w:t xml:space="preserve">This chapter reviews literature on these key dimensions: the conceptual foundations of price behavior, theoretical explanations of price dynamics, empirical studies across various regions and commodities, and methodological approaches to measuring price changes. It synthesizes findings from Nigerian and international studies, highlighting similarities, differences, and gaps in the literature. By doing so, it lays the groundwork for the current research, which aims to apply a multi-index approach to analyze price changes in selected food items in Ilorin's </w:t>
      </w:r>
      <w:r w:rsidR="006A7408">
        <w:t>Mandate</w:t>
      </w:r>
      <w:r>
        <w:t xml:space="preserve"> market between 2024 and 2025.</w:t>
      </w:r>
    </w:p>
    <w:p w:rsidR="0025411C" w:rsidRPr="00C272E1" w:rsidRDefault="00C272E1" w:rsidP="00C272E1">
      <w:pPr>
        <w:pStyle w:val="NormalWeb"/>
        <w:spacing w:before="0" w:beforeAutospacing="0" w:after="0" w:afterAutospacing="0" w:line="480" w:lineRule="auto"/>
        <w:jc w:val="both"/>
        <w:rPr>
          <w:b/>
        </w:rPr>
      </w:pPr>
      <w:r>
        <w:rPr>
          <w:b/>
        </w:rPr>
        <w:t>2.2</w:t>
      </w:r>
      <w:r>
        <w:rPr>
          <w:b/>
        </w:rPr>
        <w:tab/>
      </w:r>
      <w:r w:rsidR="0025411C" w:rsidRPr="00C272E1">
        <w:rPr>
          <w:b/>
        </w:rPr>
        <w:t>Conceptual Framework</w:t>
      </w:r>
    </w:p>
    <w:p w:rsidR="0025411C" w:rsidRPr="0025411C" w:rsidRDefault="0025411C" w:rsidP="00C272E1">
      <w:pPr>
        <w:pStyle w:val="NormalWeb"/>
        <w:spacing w:before="0" w:beforeAutospacing="0" w:after="0" w:afterAutospacing="0" w:line="480" w:lineRule="auto"/>
        <w:jc w:val="both"/>
      </w:pPr>
      <w:r w:rsidRPr="0025411C">
        <w:t>The conceptual framework for analyzing food prices is rooted in both microeconomic and macroeconomic perspectives, emphasizing the interplay of supply-demand dynamics, market structure, production inputs, government policy, and external shocks. Conceptually, the price of a good is the result of the intersection of demand and supply in the marketplace. However, food commodities—particularly staples like rice, beans, and garri—often deviate from ideal market assumptions due to issues such as perishability, supply chain inefficiencies, and market asymmetries.</w:t>
      </w:r>
    </w:p>
    <w:p w:rsidR="0025411C" w:rsidRPr="0025411C" w:rsidRDefault="0025411C" w:rsidP="00C272E1">
      <w:pPr>
        <w:pStyle w:val="NormalWeb"/>
        <w:spacing w:before="0" w:beforeAutospacing="0" w:after="0" w:afterAutospacing="0" w:line="480" w:lineRule="auto"/>
        <w:jc w:val="both"/>
      </w:pPr>
      <w:r w:rsidRPr="0025411C">
        <w:t xml:space="preserve">Food commodities can be considered essential goods with relatively inelastic demand; consumers must purchase them regardless of price fluctuations. This feature of food demand leads to a situation where </w:t>
      </w:r>
      <w:r w:rsidRPr="0025411C">
        <w:lastRenderedPageBreak/>
        <w:t>even small disruptions in supply or cost can produce disproportionately large effects on retail prices. For instance, a strike by transport workers, a sudden rise in fuel prices, or adverse weather conditions can cause immediate price surges. These issues are particularly pronounced in Nigerian markets where distribution channels are fragmented and market information is asymmetrical (Akinyele, 2009).</w:t>
      </w:r>
    </w:p>
    <w:p w:rsidR="0025411C" w:rsidRPr="0025411C" w:rsidRDefault="0025411C" w:rsidP="00C272E1">
      <w:pPr>
        <w:pStyle w:val="NormalWeb"/>
        <w:spacing w:after="0" w:afterAutospacing="0" w:line="480" w:lineRule="auto"/>
        <w:jc w:val="both"/>
      </w:pPr>
      <w:r w:rsidRPr="0025411C">
        <w:t>Another key conceptual tool in price analysis is the price index—a statistical measure that captures the average movement in prices over a specified period. A price index enables researchers and policymakers to determine whether the cost of a basket of goods is increasing (inflation) or decreasing (deflation). The Consumer Price Index (CPI) is the most widely used price index globally and serves as a proxy for inflation. In Nigeria, CPI data is compiled and published monthly by the National Bureau of Statistics (NBS), but local market conditions often vary significantly from the national average.</w:t>
      </w:r>
    </w:p>
    <w:p w:rsidR="00273608" w:rsidRDefault="0025411C" w:rsidP="00C272E1">
      <w:pPr>
        <w:pStyle w:val="NormalWeb"/>
        <w:spacing w:after="0" w:afterAutospacing="0" w:line="480" w:lineRule="auto"/>
        <w:jc w:val="both"/>
      </w:pPr>
      <w:r w:rsidRPr="0025411C">
        <w:t>Conceptually, the Laspeyres, Paasche, and Fisher indices provide alternative lenses through which price changes can be evaluated. The Laspeyres index assumes that consumers continue to buy the same quantities of goods as in the base year, thus possibly overstating inflation when prices rise sharply. The Paasche index assumes that current year consumption patterns are more relevant, potentially understating inflation because it accounts for consumer substitution toward cheaper alternatives. The Fisher index, as a compromise between the two, addresses their respective weaknesses by computing the geometric mean of both.</w:t>
      </w:r>
    </w:p>
    <w:p w:rsidR="00273608" w:rsidRDefault="0025411C" w:rsidP="00C272E1">
      <w:pPr>
        <w:pStyle w:val="NormalWeb"/>
        <w:spacing w:after="0" w:afterAutospacing="0" w:line="480" w:lineRule="auto"/>
        <w:jc w:val="both"/>
      </w:pPr>
      <w:r w:rsidRPr="0025411C">
        <w:t xml:space="preserve">Furthermore, this study incorporates the notion of the market basket—a representative sample of goods and services consumed by a typical household. The basket used in this study consists of six staple food </w:t>
      </w:r>
      <w:r w:rsidRPr="0025411C">
        <w:lastRenderedPageBreak/>
        <w:t>items widely consumed across Nigeria: rice, beans, garri, semovita, noodles, and spaghetti. These items are not only dietary staples but also reflect consumer behavior and preferences, making them appropriate for empirical analysis.</w:t>
      </w:r>
    </w:p>
    <w:p w:rsidR="00273608" w:rsidRDefault="0025411C" w:rsidP="00C272E1">
      <w:pPr>
        <w:pStyle w:val="NormalWeb"/>
        <w:spacing w:after="0" w:afterAutospacing="0" w:line="480" w:lineRule="auto"/>
        <w:jc w:val="both"/>
      </w:pPr>
      <w:r w:rsidRPr="0025411C">
        <w:t>This framework also acknowledges the impact of policy and institutional factors on market outcomes. Government interventions—such as import tariffs, agricultural subsidies, price floors, and exchange rate regimes—can significantly alter food prices either directly or indirectly. Thus, the conceptual foundation of this study is built upon a multi-layered understanding of food price determinants, statistical measures of price change, and the socio-economic context in which pricing occurs.</w:t>
      </w:r>
    </w:p>
    <w:p w:rsidR="00273608" w:rsidRPr="00273608" w:rsidRDefault="0025411C" w:rsidP="00C272E1">
      <w:pPr>
        <w:pStyle w:val="NormalWeb"/>
        <w:spacing w:after="0" w:afterAutospacing="0" w:line="480" w:lineRule="auto"/>
        <w:jc w:val="both"/>
        <w:rPr>
          <w:b/>
        </w:rPr>
      </w:pPr>
      <w:r w:rsidRPr="00273608">
        <w:rPr>
          <w:b/>
        </w:rPr>
        <w:t>2.3</w:t>
      </w:r>
      <w:r w:rsidR="00273608" w:rsidRPr="00273608">
        <w:rPr>
          <w:b/>
        </w:rPr>
        <w:tab/>
      </w:r>
      <w:r w:rsidRPr="00273608">
        <w:rPr>
          <w:b/>
        </w:rPr>
        <w:t xml:space="preserve"> Theoretical Framework</w:t>
      </w:r>
    </w:p>
    <w:p w:rsidR="00273608" w:rsidRDefault="0025411C" w:rsidP="00C272E1">
      <w:pPr>
        <w:pStyle w:val="NormalWeb"/>
        <w:spacing w:after="0" w:afterAutospacing="0" w:line="480" w:lineRule="auto"/>
        <w:jc w:val="both"/>
      </w:pPr>
      <w:r w:rsidRPr="0025411C">
        <w:t>The behavior of food prices is influenced by a variety of economic theories, each offering distinct perspectives on why prices fluctuate and how consumers, producers, and markets respond to such changes. A robust theoretical foundation helps us not only understand past pricing trends but also to forecast future behavior under differentpolicy or market conditions. The theoretical framework for this study incorporates both classical and modern economic theories, categorized under microeconomic, macroeconomic, and behavioral paradigms.</w:t>
      </w:r>
    </w:p>
    <w:p w:rsidR="00273608" w:rsidRPr="00273608" w:rsidRDefault="0025411C" w:rsidP="00C272E1">
      <w:pPr>
        <w:pStyle w:val="NormalWeb"/>
        <w:spacing w:after="0" w:afterAutospacing="0" w:line="480" w:lineRule="auto"/>
        <w:jc w:val="both"/>
        <w:rPr>
          <w:b/>
        </w:rPr>
      </w:pPr>
      <w:r w:rsidRPr="00273608">
        <w:rPr>
          <w:b/>
        </w:rPr>
        <w:t xml:space="preserve">2.3.1 </w:t>
      </w:r>
      <w:r w:rsidR="00273608">
        <w:rPr>
          <w:b/>
        </w:rPr>
        <w:tab/>
      </w:r>
      <w:r w:rsidRPr="00273608">
        <w:rPr>
          <w:b/>
        </w:rPr>
        <w:t>Law of Demand and Supply</w:t>
      </w:r>
    </w:p>
    <w:p w:rsidR="00273608" w:rsidRDefault="0025411C" w:rsidP="00C272E1">
      <w:pPr>
        <w:pStyle w:val="NormalWeb"/>
        <w:spacing w:after="0" w:afterAutospacing="0" w:line="480" w:lineRule="auto"/>
        <w:jc w:val="both"/>
      </w:pPr>
      <w:r w:rsidRPr="0025411C">
        <w:t xml:space="preserve">The Law of Demand and Supply is one of the most fundamental principles in economics. It states that, ceteris paribus (all things being equal), an increase in demand leads to an increase in price, while an increase in supply leads to a decrease in price. In perfectly competitive markets, prices naturally adjust </w:t>
      </w:r>
      <w:r w:rsidRPr="0025411C">
        <w:lastRenderedPageBreak/>
        <w:t>to the equilibrium where quantity demanded equals quantity supplied. However, in the context of food markets—especially in Nigeria—numerous market imperfections distort this relationship.</w:t>
      </w:r>
    </w:p>
    <w:p w:rsidR="00B24C92" w:rsidRDefault="0025411C" w:rsidP="00C272E1">
      <w:pPr>
        <w:pStyle w:val="NormalWeb"/>
        <w:spacing w:after="0" w:afterAutospacing="0" w:line="480" w:lineRule="auto"/>
        <w:jc w:val="both"/>
      </w:pPr>
      <w:r w:rsidRPr="0025411C">
        <w:t>For example, the demand for food items like rice, beans, and garri tends to be price inelastic due to their necessity in everyday nutrition. This means that even if pricesincrease, the quantity demanded decreases only slightly, resulting in significant revenue changes for sellers and hardship for consumers (Okuneye, 2002). On the supply side, food production in Nigeria is often seasonal and vulnerable to factors such as rainfall variability, poor infrastructure, and insecurity in farming regions, which disrupt the supply-demand balance.</w:t>
      </w:r>
    </w:p>
    <w:p w:rsidR="00B24C92" w:rsidRPr="00B24C92" w:rsidRDefault="0025411C" w:rsidP="00C272E1">
      <w:pPr>
        <w:pStyle w:val="NormalWeb"/>
        <w:spacing w:after="0" w:afterAutospacing="0" w:line="480" w:lineRule="auto"/>
        <w:jc w:val="both"/>
        <w:rPr>
          <w:b/>
        </w:rPr>
      </w:pPr>
      <w:r w:rsidRPr="00B24C92">
        <w:rPr>
          <w:b/>
        </w:rPr>
        <w:t xml:space="preserve">2.3.2 </w:t>
      </w:r>
      <w:r w:rsidR="00B24C92">
        <w:rPr>
          <w:b/>
        </w:rPr>
        <w:tab/>
      </w:r>
      <w:r w:rsidRPr="00B24C92">
        <w:rPr>
          <w:b/>
        </w:rPr>
        <w:t>Cost-Push and Demand-Pull Inflation Theories</w:t>
      </w:r>
    </w:p>
    <w:p w:rsidR="00B24C92" w:rsidRDefault="0025411C" w:rsidP="00C272E1">
      <w:pPr>
        <w:pStyle w:val="NormalWeb"/>
        <w:spacing w:after="0" w:afterAutospacing="0" w:line="480" w:lineRule="auto"/>
        <w:jc w:val="both"/>
      </w:pPr>
      <w:r w:rsidRPr="0025411C">
        <w:t>Both of these theories explain the mechanisms behind general price increases (inflation), which directly apply to the study of food price movement.</w:t>
      </w:r>
    </w:p>
    <w:p w:rsidR="00B24C92" w:rsidRDefault="0025411C" w:rsidP="00C272E1">
      <w:pPr>
        <w:pStyle w:val="NormalWeb"/>
        <w:spacing w:after="0" w:afterAutospacing="0" w:line="480" w:lineRule="auto"/>
        <w:jc w:val="both"/>
      </w:pPr>
      <w:r w:rsidRPr="0025411C">
        <w:t>Cost-Push Inflation Theory argues that inflation occurs when the cost of production rises, leading producers to pass on the increased costs to consumers. In the Nigerian context, increases in fuel prices, fertilizer costs, transportation charges, and insecurity in agricultural zones contribute significantly to cost-push inflation in food commodities (Ogunleye, 2014).</w:t>
      </w:r>
    </w:p>
    <w:p w:rsidR="00B24C92" w:rsidRDefault="0025411C" w:rsidP="00C272E1">
      <w:pPr>
        <w:pStyle w:val="NormalWeb"/>
        <w:spacing w:after="0" w:afterAutospacing="0" w:line="480" w:lineRule="auto"/>
        <w:jc w:val="both"/>
      </w:pPr>
      <w:r w:rsidRPr="0025411C">
        <w:t>Demand-Pull Inflation Theory states that when aggregate demand exceeds aggregate supply, prices rise. Population growth, urbanization, and increased consumer incomes can all contribute to increased demand for food. In regions like Ilorin, where population density has increased in recent years, rising food demand has contributed to sustained upward pressure on prices (Ezeaku</w:t>
      </w:r>
      <w:r w:rsidR="000C6D5F">
        <w:t xml:space="preserve"> </w:t>
      </w:r>
      <w:r w:rsidRPr="0025411C">
        <w:t>&amp;</w:t>
      </w:r>
      <w:r w:rsidR="000C6D5F">
        <w:t xml:space="preserve"> </w:t>
      </w:r>
      <w:r w:rsidRPr="0025411C">
        <w:t>Nwachukwu, 2020).</w:t>
      </w:r>
    </w:p>
    <w:p w:rsidR="00B24C92" w:rsidRPr="00B24C92" w:rsidRDefault="0025411C" w:rsidP="00C272E1">
      <w:pPr>
        <w:pStyle w:val="NormalWeb"/>
        <w:spacing w:after="0" w:afterAutospacing="0" w:line="480" w:lineRule="auto"/>
        <w:jc w:val="both"/>
        <w:rPr>
          <w:b/>
        </w:rPr>
      </w:pPr>
      <w:r w:rsidRPr="00B24C92">
        <w:rPr>
          <w:b/>
        </w:rPr>
        <w:lastRenderedPageBreak/>
        <w:t xml:space="preserve">2.3.3 </w:t>
      </w:r>
      <w:r w:rsidR="00B24C92" w:rsidRPr="00B24C92">
        <w:rPr>
          <w:b/>
        </w:rPr>
        <w:tab/>
      </w:r>
      <w:r w:rsidRPr="00B24C92">
        <w:rPr>
          <w:b/>
        </w:rPr>
        <w:t>Quantity Theory of Money</w:t>
      </w:r>
    </w:p>
    <w:p w:rsidR="00B24C92" w:rsidRDefault="0025411C" w:rsidP="00C272E1">
      <w:pPr>
        <w:pStyle w:val="NormalWeb"/>
        <w:spacing w:after="0" w:afterAutospacing="0" w:line="480" w:lineRule="auto"/>
        <w:jc w:val="both"/>
      </w:pPr>
      <w:r w:rsidRPr="0025411C">
        <w:t>The Quantity Theory of Money, articulated in the famous equation MV = PQ (where M = money supply, V = velocity of money, P = price level, and Q = output), suggests that an increase in money supply without a corresponding increase in output results in inflation. In Nigeria, the Central Bank’s expansionary monetary policies—particularly during post-COVID recovery periods—have led to increased liquidity in the economy, some of which has flowed into food markets, thus raising prices (CBN, 2023).</w:t>
      </w:r>
    </w:p>
    <w:p w:rsidR="00C272E1" w:rsidRPr="00014BF4" w:rsidRDefault="0025411C" w:rsidP="00C272E1">
      <w:pPr>
        <w:pStyle w:val="NormalWeb"/>
        <w:spacing w:after="0" w:afterAutospacing="0" w:line="480" w:lineRule="auto"/>
        <w:jc w:val="both"/>
      </w:pPr>
      <w:r w:rsidRPr="0025411C">
        <w:t>This theory is particularly relevant when discussing imported inflation. When the naira weakens against foreign currencies, the cost of imported food items and production inputs (like machinery, fuel, or packaging materials) rises. This, in turn, affects domestic food prices—even for locally produced items—through a ripple effect in the supply chain.</w:t>
      </w:r>
    </w:p>
    <w:p w:rsidR="00B24C92" w:rsidRDefault="0025411C" w:rsidP="00C272E1">
      <w:pPr>
        <w:pStyle w:val="NormalWeb"/>
        <w:spacing w:after="0" w:afterAutospacing="0" w:line="480" w:lineRule="auto"/>
        <w:jc w:val="both"/>
        <w:rPr>
          <w:b/>
        </w:rPr>
      </w:pPr>
      <w:r w:rsidRPr="00B24C92">
        <w:rPr>
          <w:b/>
        </w:rPr>
        <w:t>2.3.4</w:t>
      </w:r>
      <w:r w:rsidR="00B24C92">
        <w:rPr>
          <w:b/>
        </w:rPr>
        <w:tab/>
      </w:r>
      <w:r w:rsidRPr="00B24C92">
        <w:rPr>
          <w:b/>
        </w:rPr>
        <w:t xml:space="preserve"> Engel’s Law</w:t>
      </w:r>
    </w:p>
    <w:p w:rsidR="00B24C92" w:rsidRDefault="0025411C" w:rsidP="00C272E1">
      <w:pPr>
        <w:pStyle w:val="NormalWeb"/>
        <w:spacing w:after="0" w:afterAutospacing="0" w:line="480" w:lineRule="auto"/>
        <w:jc w:val="both"/>
      </w:pPr>
      <w:r w:rsidRPr="0025411C">
        <w:t>Engel’s Law posits that as income increases, the proportion of income spent on food decreases, even if the actual expenditure on food rises. This principle suggests that poorer households are more vulnerable to food price inflation, as food accounts for a higher share of their total expenditure. In practical terms, a 20% increase in food prices will have a far more significant impact on a low-income household than on a middle- or high-income household (FAO, 2017). This law is particularly useful in interpreting the social and distributive effects of food price inflation in Nigerian markets.</w:t>
      </w:r>
    </w:p>
    <w:p w:rsidR="00014BF4" w:rsidRDefault="00014BF4" w:rsidP="00C272E1">
      <w:pPr>
        <w:pStyle w:val="NormalWeb"/>
        <w:spacing w:after="0" w:afterAutospacing="0" w:line="480" w:lineRule="auto"/>
        <w:jc w:val="both"/>
        <w:rPr>
          <w:b/>
        </w:rPr>
      </w:pPr>
    </w:p>
    <w:p w:rsidR="00B24C92" w:rsidRPr="00B24C92" w:rsidRDefault="0025411C" w:rsidP="00C272E1">
      <w:pPr>
        <w:pStyle w:val="NormalWeb"/>
        <w:spacing w:after="0" w:afterAutospacing="0" w:line="480" w:lineRule="auto"/>
        <w:jc w:val="both"/>
        <w:rPr>
          <w:b/>
        </w:rPr>
      </w:pPr>
      <w:r w:rsidRPr="00B24C92">
        <w:rPr>
          <w:b/>
        </w:rPr>
        <w:lastRenderedPageBreak/>
        <w:t>2.3.5</w:t>
      </w:r>
      <w:r w:rsidR="00B24C92" w:rsidRPr="00B24C92">
        <w:rPr>
          <w:b/>
        </w:rPr>
        <w:tab/>
      </w:r>
      <w:r w:rsidRPr="00B24C92">
        <w:rPr>
          <w:b/>
        </w:rPr>
        <w:t xml:space="preserve"> Rational Expectations Theory</w:t>
      </w:r>
    </w:p>
    <w:p w:rsidR="00B24C92" w:rsidRDefault="0025411C" w:rsidP="00C272E1">
      <w:pPr>
        <w:pStyle w:val="NormalWeb"/>
        <w:spacing w:after="0" w:afterAutospacing="0" w:line="480" w:lineRule="auto"/>
        <w:jc w:val="both"/>
        <w:rPr>
          <w:b/>
        </w:rPr>
      </w:pPr>
      <w:r w:rsidRPr="0025411C">
        <w:t>Rational Expectations Theory, advanced by economists such as Robert Lucas, suggests that individuals form expectations about the future based on all available information, including government policy and past trends. In the context of food pricing, if consumers or traders anticipate that prices will rise—due to an impending fuel hike, poor harvest forecasts, or a policy shift—they may stockpile goods or increase prices preemptively, thus creating a self-fulfilling prophecy of inflation.</w:t>
      </w:r>
    </w:p>
    <w:p w:rsidR="00B24C92" w:rsidRDefault="0025411C" w:rsidP="00C272E1">
      <w:pPr>
        <w:pStyle w:val="NormalWeb"/>
        <w:spacing w:after="0" w:afterAutospacing="0" w:line="480" w:lineRule="auto"/>
        <w:jc w:val="both"/>
        <w:rPr>
          <w:b/>
        </w:rPr>
      </w:pPr>
      <w:r w:rsidRPr="0025411C">
        <w:t xml:space="preserve">This behavior is often observed in Nigeria, particularly during festive periods, planting seasons, or just before government policy changes. For example, rumors of fuel price </w:t>
      </w:r>
      <w:r w:rsidR="00284958" w:rsidRPr="0025411C">
        <w:t>increase</w:t>
      </w:r>
      <w:r w:rsidRPr="0025411C">
        <w:t xml:space="preserve"> often </w:t>
      </w:r>
      <w:r w:rsidR="00284958" w:rsidRPr="0025411C">
        <w:t>led</w:t>
      </w:r>
      <w:r w:rsidRPr="0025411C">
        <w:t xml:space="preserve"> to immediate food price hikes due to anticipated higher transport costs.</w:t>
      </w:r>
    </w:p>
    <w:p w:rsidR="00B24C92" w:rsidRPr="00B24C92" w:rsidRDefault="0025411C" w:rsidP="00C272E1">
      <w:pPr>
        <w:pStyle w:val="NormalWeb"/>
        <w:spacing w:after="0" w:afterAutospacing="0" w:line="480" w:lineRule="auto"/>
        <w:jc w:val="both"/>
        <w:rPr>
          <w:b/>
        </w:rPr>
      </w:pPr>
      <w:r w:rsidRPr="00B24C92">
        <w:rPr>
          <w:b/>
        </w:rPr>
        <w:t>2.3.6</w:t>
      </w:r>
      <w:r w:rsidR="00B24C92" w:rsidRPr="00B24C92">
        <w:rPr>
          <w:b/>
        </w:rPr>
        <w:tab/>
      </w:r>
      <w:r w:rsidRPr="00B24C92">
        <w:rPr>
          <w:b/>
        </w:rPr>
        <w:t xml:space="preserve"> Behavioral Economics and Price Rigidity</w:t>
      </w:r>
    </w:p>
    <w:p w:rsidR="00B24C92" w:rsidRDefault="0025411C" w:rsidP="00C272E1">
      <w:pPr>
        <w:pStyle w:val="NormalWeb"/>
        <w:spacing w:after="0" w:afterAutospacing="0" w:line="480" w:lineRule="auto"/>
        <w:jc w:val="both"/>
        <w:rPr>
          <w:b/>
        </w:rPr>
      </w:pPr>
      <w:r w:rsidRPr="0025411C">
        <w:t>While classical theories assume rational agents and flexible prices, behavioral economics introduces the idea that decision-making is influenced by cognitive biases, social pressures, and imperfect information. Price rigidity in Nigerian food markets can occur because sellers are reluctant to reduce prices even when supply improves, possibly due to psychological anchoring or fear of future cost increases (Thaler&amp;Sunstein, 2008).</w:t>
      </w:r>
    </w:p>
    <w:p w:rsidR="00B24C92" w:rsidRDefault="0025411C" w:rsidP="00C272E1">
      <w:pPr>
        <w:pStyle w:val="NormalWeb"/>
        <w:spacing w:after="0" w:afterAutospacing="0" w:line="480" w:lineRule="auto"/>
        <w:jc w:val="both"/>
      </w:pPr>
      <w:r w:rsidRPr="0025411C">
        <w:t>Consumers, likewise, may be influenced by herd behavior—buying in bulk or panic buying—especially during periods of uncertainty, further exacerbating price volatility. These behavioral dynamics are critical in understanding why food prices sometimes remain high even after supply-side constraints have eased.</w:t>
      </w:r>
    </w:p>
    <w:p w:rsidR="00014BF4" w:rsidRDefault="00014BF4" w:rsidP="00C272E1">
      <w:pPr>
        <w:pStyle w:val="NormalWeb"/>
        <w:spacing w:after="0" w:afterAutospacing="0" w:line="480" w:lineRule="auto"/>
        <w:jc w:val="both"/>
        <w:rPr>
          <w:b/>
        </w:rPr>
      </w:pPr>
    </w:p>
    <w:p w:rsidR="00B24C92" w:rsidRDefault="0025411C" w:rsidP="00C272E1">
      <w:pPr>
        <w:pStyle w:val="NormalWeb"/>
        <w:spacing w:after="0" w:afterAutospacing="0" w:line="480" w:lineRule="auto"/>
        <w:jc w:val="both"/>
        <w:rPr>
          <w:b/>
        </w:rPr>
      </w:pPr>
      <w:r w:rsidRPr="00B24C92">
        <w:rPr>
          <w:b/>
        </w:rPr>
        <w:t>2.3.7</w:t>
      </w:r>
      <w:r w:rsidR="00B24C92">
        <w:rPr>
          <w:b/>
        </w:rPr>
        <w:tab/>
      </w:r>
      <w:r w:rsidRPr="00B24C92">
        <w:rPr>
          <w:b/>
        </w:rPr>
        <w:t xml:space="preserve"> Market Imperfections and Monopolistic Practices</w:t>
      </w:r>
    </w:p>
    <w:p w:rsidR="00B24C92" w:rsidRDefault="0025411C" w:rsidP="00C272E1">
      <w:pPr>
        <w:pStyle w:val="NormalWeb"/>
        <w:spacing w:after="0" w:afterAutospacing="0" w:line="480" w:lineRule="auto"/>
        <w:jc w:val="both"/>
        <w:rPr>
          <w:b/>
        </w:rPr>
      </w:pPr>
      <w:r w:rsidRPr="0025411C">
        <w:t xml:space="preserve">In real-world markets such as </w:t>
      </w:r>
      <w:r w:rsidR="006A7408">
        <w:t>Mandate</w:t>
      </w:r>
      <w:r w:rsidRPr="0025411C">
        <w:t xml:space="preserve"> in Ilorin, food prices are also affected by imperfections such as monopolistic practices, middlemen exploitation, lack of price transparency, and asymmetric access to market information. Traders may collude—either knowingly or due to group-think—to fix prices above competitive levels. These distortions reduce market efficiency and make classical models of supply and demand less predictive in the Nigerian context (Adewumi, 2012).</w:t>
      </w:r>
    </w:p>
    <w:p w:rsidR="00B24C92" w:rsidRDefault="0025411C" w:rsidP="00C272E1">
      <w:pPr>
        <w:pStyle w:val="NormalWeb"/>
        <w:spacing w:after="0" w:afterAutospacing="0" w:line="480" w:lineRule="auto"/>
        <w:jc w:val="both"/>
        <w:rPr>
          <w:b/>
        </w:rPr>
      </w:pPr>
      <w:r w:rsidRPr="00B24C92">
        <w:rPr>
          <w:b/>
        </w:rPr>
        <w:t>2.3.8</w:t>
      </w:r>
      <w:r w:rsidR="00B24C92">
        <w:rPr>
          <w:b/>
        </w:rPr>
        <w:tab/>
      </w:r>
      <w:r w:rsidRPr="00B24C92">
        <w:rPr>
          <w:b/>
        </w:rPr>
        <w:t>Structuralist Theory of Inflation</w:t>
      </w:r>
    </w:p>
    <w:p w:rsidR="00B24C92" w:rsidRDefault="0025411C" w:rsidP="00C272E1">
      <w:pPr>
        <w:pStyle w:val="NormalWeb"/>
        <w:spacing w:after="0" w:afterAutospacing="0" w:line="480" w:lineRule="auto"/>
        <w:jc w:val="both"/>
        <w:rPr>
          <w:b/>
        </w:rPr>
      </w:pPr>
      <w:r w:rsidRPr="0025411C">
        <w:t>The structuralist school, largely associated with Latin American development economists, argues that inflation in developing economies is caused by structural bottlenecks in production, distribution, and governance. In Nigeria, poor infrastructure, weak institutions, insecurity in agricultural zones, and underinvestment in processing and storage are all structural issues that contribute to food price inflation.</w:t>
      </w:r>
    </w:p>
    <w:p w:rsidR="00B24C92" w:rsidRDefault="0025411C" w:rsidP="00C272E1">
      <w:pPr>
        <w:pStyle w:val="NormalWeb"/>
        <w:spacing w:after="0" w:afterAutospacing="0" w:line="480" w:lineRule="auto"/>
        <w:jc w:val="both"/>
        <w:rPr>
          <w:b/>
        </w:rPr>
      </w:pPr>
      <w:r w:rsidRPr="0025411C">
        <w:t>These factors create a long-term upward bias in food prices, independent of short-term monetary or demand-side shocks. This theory emphasizes the need for deep reforms in the agricultural value chain, including improved irrigation, farm mechanization, logistics, and regulatory oversight.</w:t>
      </w:r>
    </w:p>
    <w:p w:rsidR="00B24C92" w:rsidRDefault="0025411C" w:rsidP="00C272E1">
      <w:pPr>
        <w:pStyle w:val="NormalWeb"/>
        <w:spacing w:after="0" w:afterAutospacing="0" w:line="480" w:lineRule="auto"/>
        <w:jc w:val="both"/>
        <w:rPr>
          <w:b/>
        </w:rPr>
      </w:pPr>
      <w:r w:rsidRPr="00B24C92">
        <w:rPr>
          <w:b/>
        </w:rPr>
        <w:t>Conclusion of Theoretical Framework</w:t>
      </w:r>
    </w:p>
    <w:p w:rsidR="00B24C92" w:rsidRDefault="0025411C" w:rsidP="00C272E1">
      <w:pPr>
        <w:pStyle w:val="NormalWeb"/>
        <w:spacing w:after="0" w:afterAutospacing="0" w:line="480" w:lineRule="auto"/>
        <w:jc w:val="both"/>
        <w:rPr>
          <w:b/>
        </w:rPr>
      </w:pPr>
      <w:r w:rsidRPr="0025411C">
        <w:lastRenderedPageBreak/>
        <w:t xml:space="preserve">In summary, the theoretical underpinnings of food price behavior are multi-dimensional and context-dependent. From classical supply-demand models to modern behavioral insights and structuralist critiques, each theory sheds light on different facets of food price dynamics in Nigeria. For this study, these theories collectively inform the interpretation of observed price changes in </w:t>
      </w:r>
      <w:r w:rsidR="006A7408">
        <w:t>Mandate</w:t>
      </w:r>
      <w:r w:rsidRPr="0025411C">
        <w:t xml:space="preserve"> market between 2024 and 2025, especially when analyzing results from the Laspeyres, Paasche, and Fisher indices.</w:t>
      </w:r>
    </w:p>
    <w:p w:rsidR="00B24C92" w:rsidRDefault="0025411C" w:rsidP="00C272E1">
      <w:pPr>
        <w:pStyle w:val="NormalWeb"/>
        <w:spacing w:after="0" w:afterAutospacing="0" w:line="480" w:lineRule="auto"/>
        <w:jc w:val="both"/>
        <w:rPr>
          <w:b/>
        </w:rPr>
      </w:pPr>
      <w:r w:rsidRPr="00B24C92">
        <w:rPr>
          <w:b/>
        </w:rPr>
        <w:t>2.4</w:t>
      </w:r>
      <w:r w:rsidR="00B24C92">
        <w:rPr>
          <w:b/>
        </w:rPr>
        <w:tab/>
      </w:r>
      <w:r w:rsidRPr="00B24C92">
        <w:rPr>
          <w:b/>
        </w:rPr>
        <w:t xml:space="preserve"> Empirical Review</w:t>
      </w:r>
    </w:p>
    <w:p w:rsidR="00B24C92" w:rsidRDefault="0025411C" w:rsidP="00C272E1">
      <w:pPr>
        <w:pStyle w:val="NormalWeb"/>
        <w:spacing w:after="0" w:afterAutospacing="0" w:line="480" w:lineRule="auto"/>
        <w:jc w:val="both"/>
        <w:rPr>
          <w:b/>
        </w:rPr>
      </w:pPr>
      <w:r w:rsidRPr="0025411C">
        <w:t>Food price analysis has been a central focus of empirical research due to its profound implications on inflation, household welfare, poverty, and economic growth. Empirical studies vary in scope—ranging from national-level Consumer Price Index (CPI) assessments to commodity-specific or location-based analyses. In this section, we examine findings from past studies, highlight trends, and draw attention to gaps that inform the current study.</w:t>
      </w:r>
      <w:r w:rsidR="00B24C92">
        <w:rPr>
          <w:b/>
        </w:rPr>
        <w:t>\</w:t>
      </w:r>
    </w:p>
    <w:p w:rsidR="00B24C92" w:rsidRDefault="0025411C" w:rsidP="00C272E1">
      <w:pPr>
        <w:pStyle w:val="NormalWeb"/>
        <w:spacing w:after="0" w:afterAutospacing="0" w:line="480" w:lineRule="auto"/>
        <w:jc w:val="both"/>
        <w:rPr>
          <w:b/>
        </w:rPr>
      </w:pPr>
      <w:r w:rsidRPr="00B24C92">
        <w:rPr>
          <w:b/>
        </w:rPr>
        <w:t xml:space="preserve">2.4.1 </w:t>
      </w:r>
      <w:r w:rsidR="00B24C92">
        <w:rPr>
          <w:b/>
        </w:rPr>
        <w:tab/>
      </w:r>
      <w:r w:rsidRPr="00B24C92">
        <w:rPr>
          <w:b/>
        </w:rPr>
        <w:t>Empirical Studies in Nigeria</w:t>
      </w:r>
    </w:p>
    <w:p w:rsidR="00B24C92" w:rsidRDefault="0025411C" w:rsidP="00C272E1">
      <w:pPr>
        <w:pStyle w:val="NormalWeb"/>
        <w:spacing w:after="0" w:afterAutospacing="0" w:line="480" w:lineRule="auto"/>
        <w:jc w:val="both"/>
        <w:rPr>
          <w:b/>
        </w:rPr>
      </w:pPr>
      <w:r w:rsidRPr="0025411C">
        <w:t>Food pricing in Nigeria has been subject to a number of empirical investigations, especially in the wake of recurring inflation crises.</w:t>
      </w:r>
    </w:p>
    <w:p w:rsidR="00B24C92" w:rsidRDefault="0025411C" w:rsidP="00C272E1">
      <w:pPr>
        <w:pStyle w:val="NormalWeb"/>
        <w:spacing w:after="0" w:afterAutospacing="0" w:line="480" w:lineRule="auto"/>
        <w:jc w:val="both"/>
        <w:rPr>
          <w:b/>
        </w:rPr>
      </w:pPr>
      <w:r w:rsidRPr="0025411C">
        <w:t>Olayemi (2010) investigated the impact of food price increases on household poverty using national household survey data. He concluded that food inflation contributes more significantly to poverty depth than non-food inflation, particularly in rural households. The study recommended the implementation of targeted food subsidies and storage investment as mitigation strategies.</w:t>
      </w:r>
    </w:p>
    <w:p w:rsidR="00B24C92" w:rsidRDefault="0025411C" w:rsidP="00C272E1">
      <w:pPr>
        <w:pStyle w:val="NormalWeb"/>
        <w:spacing w:after="0" w:afterAutospacing="0" w:line="480" w:lineRule="auto"/>
        <w:jc w:val="both"/>
        <w:rPr>
          <w:b/>
        </w:rPr>
      </w:pPr>
      <w:r w:rsidRPr="0025411C">
        <w:lastRenderedPageBreak/>
        <w:t>Adeyemi and Ogunfowokan (2014) analyzed maize price volatility in Southwest Nigeria. Using monthly price series data from 2006–2013, they found that seasonal effects, transportation bottlenecks, and poor storage were key drivers of price instability. The authors recommended improved warehousing and regional buffer stock systems.</w:t>
      </w:r>
    </w:p>
    <w:p w:rsidR="00B24C92" w:rsidRDefault="0025411C" w:rsidP="00C272E1">
      <w:pPr>
        <w:pStyle w:val="NormalWeb"/>
        <w:spacing w:after="0" w:afterAutospacing="0" w:line="480" w:lineRule="auto"/>
        <w:jc w:val="both"/>
        <w:rPr>
          <w:b/>
        </w:rPr>
      </w:pPr>
      <w:r w:rsidRPr="0025411C">
        <w:t xml:space="preserve">Yusuf and Okon (2021) applied Laspeyres and Paasche indices to evaluate inflation trends in the Bodija and Oje markets in Ibadan. The study found that the Paasche index generally reported lower inflation than the Laspeyres index, validating the argument that current consumption behaviors often mitigate perceived price surges. The authors recommended the Fisher index for more balanced inflation assessment.In a similar study, Ibrahim et al. (2022) examined staple food pricing trends in Kwara State using regression models and index computation. They observed significant price increases in garri and rice, particularly in urban markets. The results attributed the inflation to fuel cost hikes and rural-urban migration pressures.Agboola et al. (2020) conducted a spatial analysis of rice prices across Nigeria. Using data from over 15 markets, they found that proximity to production zones (such as Kebbi and Ebonyi States) significantly affected final retail prices. Their study underscored the need for decentralized processing facilities and efficient road networks.Ezeaku and Nwachukwu (2020) assessed the impact of the 2019 land border closure on food prices. Their findings showed an average price increase of 24% in imported commodities (such as rice and frozen poultry) and 11% in locally produced items. The policy, though intended to boost local production, had short-term inflationary effects on food markets.Aina and Yusuf (2019) used consumer surveys to measure the perception of food affordability among households in Lagos. They found that over 70% of respondents had reduced </w:t>
      </w:r>
      <w:r w:rsidRPr="0025411C">
        <w:lastRenderedPageBreak/>
        <w:t>the quantity or frequency of meals due to rising prices. This finding supports Engel’s Law and suggests that food inflation has direct welfare effects.</w:t>
      </w:r>
    </w:p>
    <w:p w:rsidR="00B24C92" w:rsidRDefault="0025411C" w:rsidP="00C272E1">
      <w:pPr>
        <w:pStyle w:val="NormalWeb"/>
        <w:spacing w:after="0" w:afterAutospacing="0" w:line="480" w:lineRule="auto"/>
        <w:jc w:val="both"/>
        <w:rPr>
          <w:b/>
        </w:rPr>
      </w:pPr>
      <w:r w:rsidRPr="00B24C92">
        <w:rPr>
          <w:b/>
        </w:rPr>
        <w:t>2.4.2</w:t>
      </w:r>
      <w:r w:rsidR="00B24C92">
        <w:rPr>
          <w:b/>
        </w:rPr>
        <w:tab/>
      </w:r>
      <w:r w:rsidRPr="00B24C92">
        <w:rPr>
          <w:b/>
        </w:rPr>
        <w:t xml:space="preserve"> International Empirical Evidence</w:t>
      </w:r>
    </w:p>
    <w:p w:rsidR="0025411C" w:rsidRPr="00B24C92" w:rsidRDefault="0025411C" w:rsidP="00C272E1">
      <w:pPr>
        <w:pStyle w:val="NormalWeb"/>
        <w:spacing w:after="0" w:afterAutospacing="0" w:line="480" w:lineRule="auto"/>
        <w:jc w:val="both"/>
        <w:rPr>
          <w:b/>
        </w:rPr>
      </w:pPr>
      <w:r w:rsidRPr="0025411C">
        <w:t>Timmer (2010) conducted a global analysis of food price volatility and found that open trade policies and well-functioning logistics systems helped buffer the effect of global price shocks in countries like Vietnam and Thailand. The study emphasized that government interventions such as subsidies and stockpiles should be used sparingly to avoid market distortion.Bellemare (2015) examined the link between rising food prices and political unrest across 120 countries. Using econometric models, he found a strong correlation between sharp price increases and civil conflict. The paper concluded that food inflation is not only an economic concern but also a trigger for social instability.Dawe and Maltsoglou (2012), in a study on rice price dynamics in Asia, concluded that trade liberalization helped stabilize domestic markets, provided local producers received adequate support. Their results showed that inflation was lower in countries with diversified import sources and stable currency regimes.Wiggins and Keats (2015) reviewed African food pricing and concluded that weak infrastructure, limited market information, and policy inconsistency were central causes of food inflation. Countries like Ethiopia, which had invested heavily in rural road development and cooperative storage, showed greater food price stability than Nigeria or Chad.</w:t>
      </w:r>
    </w:p>
    <w:p w:rsidR="00B32954" w:rsidRDefault="00B32954" w:rsidP="00C272E1">
      <w:pPr>
        <w:spacing w:after="0"/>
        <w:jc w:val="both"/>
        <w:rPr>
          <w:rFonts w:ascii="Times New Roman" w:eastAsia="Times New Roman" w:hAnsi="Times New Roman" w:cs="Times New Roman"/>
          <w:sz w:val="24"/>
          <w:szCs w:val="24"/>
        </w:rPr>
      </w:pPr>
      <w:r>
        <w:br w:type="page"/>
      </w:r>
    </w:p>
    <w:p w:rsidR="00B32954" w:rsidRPr="00470D6A" w:rsidRDefault="00B32954" w:rsidP="00C272E1">
      <w:pPr>
        <w:pStyle w:val="NormalWeb"/>
        <w:spacing w:after="0" w:afterAutospacing="0"/>
        <w:ind w:left="360"/>
        <w:jc w:val="center"/>
        <w:rPr>
          <w:b/>
          <w:bCs/>
        </w:rPr>
      </w:pPr>
      <w:r w:rsidRPr="00470D6A">
        <w:rPr>
          <w:b/>
          <w:bCs/>
        </w:rPr>
        <w:lastRenderedPageBreak/>
        <w:t>CHAPTER THREE</w:t>
      </w:r>
    </w:p>
    <w:p w:rsidR="00B32954" w:rsidRPr="0025411C" w:rsidRDefault="00B32954" w:rsidP="00C272E1">
      <w:pPr>
        <w:pStyle w:val="NormalWeb"/>
        <w:spacing w:after="0" w:afterAutospacing="0"/>
        <w:ind w:left="360"/>
        <w:jc w:val="center"/>
        <w:rPr>
          <w:b/>
          <w:bCs/>
        </w:rPr>
      </w:pPr>
      <w:r w:rsidRPr="00470D6A">
        <w:rPr>
          <w:b/>
          <w:bCs/>
        </w:rPr>
        <w:t>RESEARCH METHODOLOGY</w:t>
      </w:r>
    </w:p>
    <w:p w:rsidR="00C272E1" w:rsidRDefault="00B32954" w:rsidP="00C272E1">
      <w:pPr>
        <w:pStyle w:val="NormalWeb"/>
        <w:spacing w:before="0" w:beforeAutospacing="0" w:after="0" w:afterAutospacing="0" w:line="480" w:lineRule="auto"/>
        <w:ind w:left="360"/>
        <w:jc w:val="both"/>
        <w:rPr>
          <w:b/>
          <w:bCs/>
        </w:rPr>
      </w:pPr>
      <w:r w:rsidRPr="00B32954">
        <w:rPr>
          <w:b/>
          <w:bCs/>
        </w:rPr>
        <w:t>3.1</w:t>
      </w:r>
      <w:r w:rsidR="00B24C92">
        <w:rPr>
          <w:b/>
          <w:bCs/>
        </w:rPr>
        <w:tab/>
      </w:r>
      <w:r w:rsidR="00B24C92">
        <w:rPr>
          <w:b/>
          <w:bCs/>
        </w:rPr>
        <w:tab/>
      </w:r>
      <w:r w:rsidRPr="00B32954">
        <w:rPr>
          <w:b/>
          <w:bCs/>
        </w:rPr>
        <w:t xml:space="preserve">Research </w:t>
      </w:r>
      <w:r>
        <w:rPr>
          <w:b/>
          <w:bCs/>
        </w:rPr>
        <w:t>design</w:t>
      </w:r>
    </w:p>
    <w:p w:rsidR="00B32954" w:rsidRPr="00B32954" w:rsidRDefault="00B32954" w:rsidP="00C272E1">
      <w:pPr>
        <w:pStyle w:val="NormalWeb"/>
        <w:spacing w:before="0" w:beforeAutospacing="0" w:after="0" w:afterAutospacing="0" w:line="480" w:lineRule="auto"/>
        <w:ind w:left="360"/>
        <w:jc w:val="both"/>
      </w:pPr>
      <w:r w:rsidRPr="00B32954">
        <w:t xml:space="preserve">This is a descriptive study using secondary data on food prices collected from </w:t>
      </w:r>
      <w:r w:rsidR="006A7408">
        <w:t>Mandate</w:t>
      </w:r>
      <w:r w:rsidRPr="00B32954">
        <w:t xml:space="preserve"> market.</w:t>
      </w:r>
    </w:p>
    <w:p w:rsidR="00C272E1" w:rsidRDefault="00B32954" w:rsidP="00C272E1">
      <w:pPr>
        <w:pStyle w:val="NormalWeb"/>
        <w:spacing w:before="0" w:beforeAutospacing="0" w:after="0" w:afterAutospacing="0" w:line="480" w:lineRule="auto"/>
        <w:ind w:left="360"/>
        <w:jc w:val="both"/>
        <w:rPr>
          <w:b/>
          <w:bCs/>
        </w:rPr>
      </w:pPr>
      <w:r w:rsidRPr="00B32954">
        <w:rPr>
          <w:b/>
          <w:bCs/>
        </w:rPr>
        <w:t>3.2</w:t>
      </w:r>
      <w:r w:rsidR="00B24C92">
        <w:rPr>
          <w:b/>
          <w:bCs/>
        </w:rPr>
        <w:tab/>
      </w:r>
      <w:r w:rsidR="00B24C92">
        <w:rPr>
          <w:b/>
          <w:bCs/>
        </w:rPr>
        <w:tab/>
      </w:r>
      <w:r w:rsidRPr="00B32954">
        <w:rPr>
          <w:b/>
          <w:bCs/>
        </w:rPr>
        <w:t xml:space="preserve"> Population </w:t>
      </w:r>
      <w:r w:rsidR="00C272E1">
        <w:rPr>
          <w:b/>
          <w:bCs/>
        </w:rPr>
        <w:t>Size</w:t>
      </w:r>
    </w:p>
    <w:p w:rsidR="00B32954" w:rsidRPr="00B32954" w:rsidRDefault="00B32954" w:rsidP="00C272E1">
      <w:pPr>
        <w:pStyle w:val="NormalWeb"/>
        <w:spacing w:before="0" w:beforeAutospacing="0" w:after="0" w:afterAutospacing="0" w:line="480" w:lineRule="auto"/>
        <w:ind w:left="360"/>
        <w:jc w:val="both"/>
      </w:pPr>
      <w:r w:rsidRPr="00B32954">
        <w:t>The population includes all food items in the market, while the sample consists of: Rice, Beans, Garri, Semovita, Noodles, and Spaghetti.</w:t>
      </w:r>
    </w:p>
    <w:p w:rsidR="00C272E1" w:rsidRDefault="00B32954" w:rsidP="00C272E1">
      <w:pPr>
        <w:pStyle w:val="NormalWeb"/>
        <w:spacing w:before="0" w:beforeAutospacing="0" w:after="0" w:afterAutospacing="0" w:line="480" w:lineRule="auto"/>
        <w:ind w:left="360"/>
        <w:jc w:val="both"/>
        <w:rPr>
          <w:b/>
          <w:bCs/>
        </w:rPr>
      </w:pPr>
      <w:r w:rsidRPr="00B32954">
        <w:rPr>
          <w:b/>
          <w:bCs/>
        </w:rPr>
        <w:t xml:space="preserve">3.3 </w:t>
      </w:r>
      <w:r w:rsidR="00B24C92">
        <w:rPr>
          <w:b/>
          <w:bCs/>
        </w:rPr>
        <w:tab/>
      </w:r>
      <w:r w:rsidRPr="00B32954">
        <w:rPr>
          <w:b/>
          <w:bCs/>
        </w:rPr>
        <w:t>Method of Data Collection</w:t>
      </w:r>
    </w:p>
    <w:p w:rsidR="00B32954" w:rsidRPr="00B32954" w:rsidRDefault="00B32954" w:rsidP="00C272E1">
      <w:pPr>
        <w:pStyle w:val="NormalWeb"/>
        <w:spacing w:before="0" w:beforeAutospacing="0" w:after="0" w:afterAutospacing="0" w:line="480" w:lineRule="auto"/>
        <w:ind w:left="360"/>
        <w:jc w:val="both"/>
      </w:pPr>
      <w:r w:rsidRPr="00B32954">
        <w:t>Data was collected from market records and vendor interviews on prices of commodities in 2024 and 2025.</w:t>
      </w:r>
    </w:p>
    <w:p w:rsidR="00B32954" w:rsidRDefault="00C272E1" w:rsidP="00C272E1">
      <w:pPr>
        <w:pStyle w:val="NormalWeb"/>
        <w:tabs>
          <w:tab w:val="center" w:pos="4500"/>
        </w:tabs>
        <w:spacing w:before="0" w:beforeAutospacing="0" w:after="0" w:afterAutospacing="0" w:line="480" w:lineRule="auto"/>
        <w:ind w:left="360"/>
        <w:jc w:val="both"/>
      </w:pPr>
      <w:r>
        <w:rPr>
          <w:b/>
          <w:bCs/>
        </w:rPr>
        <w:t xml:space="preserve">3.4            </w:t>
      </w:r>
      <w:r w:rsidR="00B32954" w:rsidRPr="00B32954">
        <w:rPr>
          <w:b/>
          <w:bCs/>
        </w:rPr>
        <w:t>Method of Data Analysis</w:t>
      </w:r>
      <w:r w:rsidR="00B32954">
        <w:rPr>
          <w:b/>
          <w:bCs/>
        </w:rPr>
        <w:tab/>
      </w:r>
      <w:r w:rsidR="00B32954" w:rsidRPr="00B32954">
        <w:br/>
        <w:t>The CPI was calculated using the Laspeyres</w:t>
      </w:r>
      <w:r w:rsidR="00B32954">
        <w:t xml:space="preserve"> price</w:t>
      </w:r>
      <w:r w:rsidR="00545475" w:rsidRPr="00B32954">
        <w:t>Index,</w:t>
      </w:r>
      <w:r w:rsidR="00545475">
        <w:t xml:space="preserve"> Paasche price index, fisher’s ideal index.</w:t>
      </w:r>
    </w:p>
    <w:p w:rsidR="00545475" w:rsidRPr="00B32954" w:rsidRDefault="00545475" w:rsidP="00C272E1">
      <w:pPr>
        <w:pStyle w:val="NormalWeb"/>
        <w:tabs>
          <w:tab w:val="center" w:pos="4500"/>
        </w:tabs>
        <w:spacing w:after="0" w:afterAutospacing="0" w:line="480" w:lineRule="auto"/>
        <w:ind w:left="360"/>
        <w:jc w:val="both"/>
        <w:rPr>
          <w:b/>
          <w:bCs/>
        </w:rPr>
      </w:pPr>
      <w:r>
        <w:rPr>
          <w:b/>
          <w:bCs/>
        </w:rPr>
        <w:t>LPI</w:t>
      </w:r>
      <w:r w:rsidR="00B65800" w:rsidRPr="005C453A">
        <w:t>= (ΣP1Q0 / ΣP0Q0) × 100</w:t>
      </w:r>
    </w:p>
    <w:p w:rsidR="0025411C" w:rsidRDefault="00545475" w:rsidP="00C272E1">
      <w:pPr>
        <w:pStyle w:val="NormalWeb"/>
        <w:spacing w:after="0" w:afterAutospacing="0" w:line="480" w:lineRule="auto"/>
        <w:ind w:left="360"/>
        <w:jc w:val="both"/>
        <w:rPr>
          <w:b/>
          <w:bCs/>
        </w:rPr>
      </w:pPr>
      <w:r>
        <w:rPr>
          <w:b/>
          <w:bCs/>
        </w:rPr>
        <w:t>PPI</w:t>
      </w:r>
      <w:r w:rsidR="00B65800">
        <w:rPr>
          <w:b/>
          <w:bCs/>
        </w:rPr>
        <w:t>=</w:t>
      </w:r>
      <w:r w:rsidR="00B65800" w:rsidRPr="005C453A">
        <w:t xml:space="preserve"> (ΣP1Q1 / ΣP0Q1) × 100</w:t>
      </w:r>
    </w:p>
    <w:p w:rsidR="00545475" w:rsidRDefault="00545475" w:rsidP="00C272E1">
      <w:pPr>
        <w:pStyle w:val="NormalWeb"/>
        <w:spacing w:after="0" w:afterAutospacing="0" w:line="480" w:lineRule="auto"/>
        <w:ind w:left="360"/>
        <w:jc w:val="both"/>
        <w:rPr>
          <w:b/>
          <w:bCs/>
        </w:rPr>
      </w:pPr>
      <w:r>
        <w:rPr>
          <w:b/>
          <w:bCs/>
        </w:rPr>
        <w:t>FII</w:t>
      </w:r>
      <w:r w:rsidR="00B65800" w:rsidRPr="005C453A">
        <w:t>= √(LPI × PPI)</w:t>
      </w:r>
    </w:p>
    <w:p w:rsidR="00470D6A" w:rsidRPr="0025411C" w:rsidRDefault="00470D6A" w:rsidP="00C272E1">
      <w:pPr>
        <w:pStyle w:val="NormalWeb"/>
        <w:spacing w:after="0" w:afterAutospacing="0" w:line="480" w:lineRule="auto"/>
        <w:jc w:val="both"/>
        <w:rPr>
          <w:b/>
          <w:bCs/>
        </w:rPr>
      </w:pPr>
    </w:p>
    <w:p w:rsidR="001B56A1" w:rsidRDefault="001B56A1" w:rsidP="00C272E1">
      <w:pPr>
        <w:pStyle w:val="NormalWeb"/>
        <w:spacing w:after="0" w:afterAutospacing="0"/>
        <w:ind w:left="360"/>
        <w:jc w:val="both"/>
        <w:rPr>
          <w:b/>
          <w:bCs/>
        </w:rPr>
      </w:pPr>
    </w:p>
    <w:p w:rsidR="00014BF4" w:rsidRDefault="00014BF4" w:rsidP="00C272E1">
      <w:pPr>
        <w:pStyle w:val="NormalWeb"/>
        <w:spacing w:after="0" w:afterAutospacing="0"/>
        <w:ind w:left="360"/>
        <w:jc w:val="both"/>
        <w:rPr>
          <w:b/>
          <w:bCs/>
        </w:rPr>
      </w:pPr>
    </w:p>
    <w:p w:rsidR="00014BF4" w:rsidRDefault="00014BF4" w:rsidP="00C272E1">
      <w:pPr>
        <w:pStyle w:val="NormalWeb"/>
        <w:spacing w:after="0" w:afterAutospacing="0"/>
        <w:ind w:left="360"/>
        <w:jc w:val="both"/>
        <w:rPr>
          <w:b/>
          <w:bCs/>
        </w:rPr>
      </w:pPr>
    </w:p>
    <w:p w:rsidR="0025411C" w:rsidRPr="00470D6A" w:rsidRDefault="00470D6A" w:rsidP="001B56A1">
      <w:pPr>
        <w:pStyle w:val="NormalWeb"/>
        <w:spacing w:after="0" w:afterAutospacing="0"/>
        <w:ind w:left="360"/>
        <w:jc w:val="center"/>
        <w:rPr>
          <w:b/>
          <w:bCs/>
        </w:rPr>
      </w:pPr>
      <w:r w:rsidRPr="00470D6A">
        <w:rPr>
          <w:b/>
          <w:bCs/>
        </w:rPr>
        <w:lastRenderedPageBreak/>
        <w:t>CHAPTER FOUR</w:t>
      </w:r>
    </w:p>
    <w:p w:rsidR="00470D6A" w:rsidRDefault="00470D6A" w:rsidP="001B56A1">
      <w:pPr>
        <w:pStyle w:val="NormalWeb"/>
        <w:spacing w:after="0" w:afterAutospacing="0"/>
        <w:ind w:left="360"/>
        <w:jc w:val="center"/>
        <w:rPr>
          <w:b/>
          <w:bCs/>
        </w:rPr>
      </w:pPr>
      <w:r w:rsidRPr="00470D6A">
        <w:rPr>
          <w:b/>
          <w:bCs/>
        </w:rPr>
        <w:t>DATA INTERPRETATION</w:t>
      </w:r>
    </w:p>
    <w:p w:rsidR="001B56A1" w:rsidRDefault="00470D6A" w:rsidP="001B56A1">
      <w:pPr>
        <w:pStyle w:val="NormalWeb"/>
        <w:spacing w:after="0" w:afterAutospacing="0" w:line="480" w:lineRule="auto"/>
        <w:jc w:val="both"/>
        <w:rPr>
          <w:b/>
        </w:rPr>
      </w:pPr>
      <w:r w:rsidRPr="00B24C92">
        <w:rPr>
          <w:b/>
        </w:rPr>
        <w:t xml:space="preserve">4.1 </w:t>
      </w:r>
      <w:r w:rsidR="00B24C92">
        <w:rPr>
          <w:b/>
        </w:rPr>
        <w:tab/>
        <w:t>Introduction</w:t>
      </w:r>
    </w:p>
    <w:p w:rsidR="00470D6A" w:rsidRDefault="00470D6A" w:rsidP="001B56A1">
      <w:pPr>
        <w:pStyle w:val="NormalWeb"/>
        <w:spacing w:after="0" w:afterAutospacing="0" w:line="480" w:lineRule="auto"/>
        <w:jc w:val="both"/>
      </w:pPr>
      <w:r w:rsidRPr="00470D6A">
        <w:t>This chapter presents, analyzes, and interprets the data collected on the prices of selected food items from ,</w:t>
      </w:r>
      <w:r w:rsidR="006A7408">
        <w:t>Mandate</w:t>
      </w:r>
      <w:r w:rsidRPr="00470D6A">
        <w:t xml:space="preserve"> Market, Ilorin, between the base year 2024 and the current year 2025. The selected food items include rice (50kg), beans (50kg), garri (50kg), semovita (10kg), </w:t>
      </w:r>
      <w:r w:rsidR="00967547">
        <w:t>butter</w:t>
      </w:r>
      <w:r w:rsidRPr="00470D6A">
        <w:t xml:space="preserve"> (</w:t>
      </w:r>
      <w:r w:rsidR="00967547">
        <w:t>500g</w:t>
      </w:r>
      <w:r w:rsidRPr="00470D6A">
        <w:t>), and spaghetti (500g). The primary objective is to measure the percentage change in prices and apply three classical price indicesLaspeyres, Paasche, and Fisherto determine the inflationary trends experienced in the market. The analysis is based on the assumption that quantity (Q) for each commodity is constant and equal to 1, for ease of computation.</w:t>
      </w:r>
    </w:p>
    <w:p w:rsidR="00957AA4" w:rsidRDefault="00957AA4" w:rsidP="001B56A1">
      <w:pPr>
        <w:pStyle w:val="NormalWeb"/>
        <w:spacing w:after="0" w:afterAutospacing="0" w:line="480" w:lineRule="auto"/>
        <w:jc w:val="both"/>
      </w:pPr>
      <w:r w:rsidRPr="00957AA4">
        <w:drawing>
          <wp:inline distT="0" distB="0" distL="114300" distR="114300">
            <wp:extent cx="4596130" cy="2424430"/>
            <wp:effectExtent l="0" t="0" r="13970" b="139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4596130" cy="2424430"/>
                    </a:xfrm>
                    <a:prstGeom prst="rect">
                      <a:avLst/>
                    </a:prstGeom>
                    <a:noFill/>
                    <a:ln>
                      <a:noFill/>
                    </a:ln>
                  </pic:spPr>
                </pic:pic>
              </a:graphicData>
            </a:graphic>
          </wp:inline>
        </w:drawing>
      </w:r>
    </w:p>
    <w:p w:rsidR="00957AA4" w:rsidRDefault="00957AA4" w:rsidP="00957AA4">
      <w:pPr>
        <w:pStyle w:val="NormalWeb"/>
        <w:spacing w:after="0" w:afterAutospacing="0"/>
        <w:jc w:val="both"/>
      </w:pPr>
      <w:r>
        <w:t>Fig 1: Prices of food commodities from 2024-2025</w:t>
      </w:r>
    </w:p>
    <w:p w:rsidR="00957AA4" w:rsidRPr="00470D6A" w:rsidRDefault="00957AA4" w:rsidP="001B56A1">
      <w:pPr>
        <w:pStyle w:val="NormalWeb"/>
        <w:spacing w:after="0" w:afterAutospacing="0" w:line="480" w:lineRule="auto"/>
        <w:jc w:val="both"/>
      </w:pPr>
    </w:p>
    <w:p w:rsidR="00470D6A" w:rsidRPr="001B56A1" w:rsidRDefault="001B56A1" w:rsidP="001B56A1">
      <w:pPr>
        <w:pStyle w:val="NormalWeb"/>
        <w:spacing w:after="0" w:afterAutospacing="0" w:line="480" w:lineRule="auto"/>
        <w:jc w:val="both"/>
        <w:rPr>
          <w:b/>
        </w:rPr>
      </w:pPr>
      <w:r>
        <w:rPr>
          <w:b/>
        </w:rPr>
        <w:lastRenderedPageBreak/>
        <w:t>4.2</w:t>
      </w:r>
      <w:r>
        <w:rPr>
          <w:b/>
        </w:rPr>
        <w:tab/>
      </w:r>
      <w:r w:rsidR="00470D6A" w:rsidRPr="001B56A1">
        <w:rPr>
          <w:b/>
        </w:rPr>
        <w:t>Price Data Collected</w:t>
      </w:r>
    </w:p>
    <w:tbl>
      <w:tblPr>
        <w:tblStyle w:val="TableGrid"/>
        <w:tblW w:w="8884" w:type="dxa"/>
        <w:tblLook w:val="04A0"/>
      </w:tblPr>
      <w:tblGrid>
        <w:gridCol w:w="656"/>
        <w:gridCol w:w="2024"/>
        <w:gridCol w:w="1919"/>
        <w:gridCol w:w="1919"/>
        <w:gridCol w:w="2366"/>
      </w:tblGrid>
      <w:tr w:rsidR="007712C2" w:rsidRPr="007712C2" w:rsidTr="007712C2">
        <w:trPr>
          <w:trHeight w:val="574"/>
        </w:trPr>
        <w:tc>
          <w:tcPr>
            <w:tcW w:w="0" w:type="auto"/>
            <w:hideMark/>
          </w:tcPr>
          <w:p w:rsidR="007712C2" w:rsidRPr="007712C2" w:rsidRDefault="007712C2" w:rsidP="00C272E1">
            <w:pPr>
              <w:jc w:val="both"/>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S/N</w:t>
            </w:r>
          </w:p>
        </w:tc>
        <w:tc>
          <w:tcPr>
            <w:tcW w:w="0" w:type="auto"/>
            <w:hideMark/>
          </w:tcPr>
          <w:p w:rsidR="007712C2" w:rsidRPr="007712C2" w:rsidRDefault="007712C2" w:rsidP="00C272E1">
            <w:pPr>
              <w:jc w:val="both"/>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Item</w:t>
            </w:r>
          </w:p>
        </w:tc>
        <w:tc>
          <w:tcPr>
            <w:tcW w:w="0" w:type="auto"/>
            <w:hideMark/>
          </w:tcPr>
          <w:p w:rsidR="007712C2" w:rsidRPr="007712C2" w:rsidRDefault="007712C2" w:rsidP="00C272E1">
            <w:pPr>
              <w:jc w:val="both"/>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P₀ (2024 Price)</w:t>
            </w:r>
          </w:p>
        </w:tc>
        <w:tc>
          <w:tcPr>
            <w:tcW w:w="0" w:type="auto"/>
            <w:hideMark/>
          </w:tcPr>
          <w:p w:rsidR="007712C2" w:rsidRPr="007712C2" w:rsidRDefault="007712C2" w:rsidP="00C272E1">
            <w:pPr>
              <w:jc w:val="both"/>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P₁ (2025 Price)</w:t>
            </w:r>
          </w:p>
        </w:tc>
        <w:tc>
          <w:tcPr>
            <w:tcW w:w="0" w:type="auto"/>
            <w:hideMark/>
          </w:tcPr>
          <w:p w:rsidR="007712C2" w:rsidRPr="007712C2" w:rsidRDefault="007712C2" w:rsidP="00C272E1">
            <w:pPr>
              <w:jc w:val="both"/>
              <w:rPr>
                <w:rFonts w:ascii="Times New Roman" w:eastAsia="Times New Roman" w:hAnsi="Times New Roman" w:cs="Times New Roman"/>
                <w:b/>
                <w:bCs/>
                <w:sz w:val="24"/>
                <w:szCs w:val="24"/>
              </w:rPr>
            </w:pPr>
            <w:r w:rsidRPr="007712C2">
              <w:rPr>
                <w:rFonts w:ascii="Times New Roman" w:eastAsia="Times New Roman" w:hAnsi="Times New Roman" w:cs="Times New Roman"/>
                <w:b/>
                <w:bCs/>
                <w:sz w:val="24"/>
                <w:szCs w:val="24"/>
              </w:rPr>
              <w:t>Q₀ = Q₁ (Quantity)</w:t>
            </w:r>
          </w:p>
        </w:tc>
      </w:tr>
      <w:tr w:rsidR="007712C2" w:rsidRPr="007712C2" w:rsidTr="007712C2">
        <w:trPr>
          <w:trHeight w:val="279"/>
        </w:trPr>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Rice (50kg)</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₦42,000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₦55,000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rsidTr="007712C2">
        <w:trPr>
          <w:trHeight w:val="279"/>
        </w:trPr>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2</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Beans (50kg)</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₦32,000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₦47,000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rsidTr="007712C2">
        <w:trPr>
          <w:trHeight w:val="279"/>
        </w:trPr>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3</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Garri (50kg)</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₦18,000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₦25,000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rsidTr="0077524D">
        <w:trPr>
          <w:trHeight w:val="422"/>
        </w:trPr>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4</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Semovita (10kg)</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₦10,500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₦13,500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rsidTr="0077524D">
        <w:trPr>
          <w:trHeight w:val="377"/>
        </w:trPr>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5</w:t>
            </w:r>
          </w:p>
        </w:tc>
        <w:tc>
          <w:tcPr>
            <w:tcW w:w="0" w:type="auto"/>
            <w:hideMark/>
          </w:tcPr>
          <w:p w:rsidR="007712C2" w:rsidRPr="007712C2" w:rsidRDefault="0077524D" w:rsidP="00C272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Spaghetti (500g)</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w:t>
            </w:r>
            <w:r w:rsidR="0077524D">
              <w:rPr>
                <w:rFonts w:ascii="Times New Roman" w:eastAsia="Times New Roman" w:hAnsi="Times New Roman" w:cs="Times New Roman"/>
                <w:sz w:val="24"/>
                <w:szCs w:val="24"/>
              </w:rPr>
              <w:t>2,5</w:t>
            </w:r>
            <w:r w:rsidRPr="007712C2">
              <w:rPr>
                <w:rFonts w:ascii="Times New Roman" w:eastAsia="Times New Roman" w:hAnsi="Times New Roman" w:cs="Times New Roman"/>
                <w:sz w:val="24"/>
                <w:szCs w:val="24"/>
              </w:rPr>
              <w:t>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w:t>
            </w:r>
            <w:r w:rsidR="0077524D">
              <w:rPr>
                <w:rFonts w:ascii="Times New Roman" w:eastAsia="Times New Roman" w:hAnsi="Times New Roman" w:cs="Times New Roman"/>
                <w:sz w:val="24"/>
                <w:szCs w:val="24"/>
              </w:rPr>
              <w:t>19</w:t>
            </w:r>
            <w:r w:rsidRPr="007712C2">
              <w:rPr>
                <w:rFonts w:ascii="Times New Roman" w:eastAsia="Times New Roman" w:hAnsi="Times New Roman" w:cs="Times New Roman"/>
                <w:sz w:val="24"/>
                <w:szCs w:val="24"/>
              </w:rPr>
              <w:t>,</w:t>
            </w:r>
            <w:r w:rsidR="0077524D">
              <w:rPr>
                <w:rFonts w:ascii="Times New Roman" w:eastAsia="Times New Roman" w:hAnsi="Times New Roman" w:cs="Times New Roman"/>
                <w:sz w:val="24"/>
                <w:szCs w:val="24"/>
              </w:rPr>
              <w:t>0</w:t>
            </w:r>
            <w:r w:rsidRPr="007712C2">
              <w:rPr>
                <w:rFonts w:ascii="Times New Roman" w:eastAsia="Times New Roman" w:hAnsi="Times New Roman" w:cs="Times New Roman"/>
                <w:sz w:val="24"/>
                <w:szCs w:val="24"/>
              </w:rPr>
              <w:t>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r w:rsidR="007712C2" w:rsidRPr="007712C2" w:rsidTr="0077524D">
        <w:trPr>
          <w:trHeight w:val="440"/>
        </w:trPr>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6</w:t>
            </w:r>
          </w:p>
        </w:tc>
        <w:tc>
          <w:tcPr>
            <w:tcW w:w="0" w:type="auto"/>
            <w:hideMark/>
          </w:tcPr>
          <w:p w:rsidR="007712C2" w:rsidRPr="007712C2" w:rsidRDefault="0077524D" w:rsidP="00C272E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Butter </w:t>
            </w:r>
            <w:r w:rsidR="007712C2" w:rsidRPr="007712C2">
              <w:rPr>
                <w:rFonts w:ascii="Times New Roman" w:eastAsia="Times New Roman" w:hAnsi="Times New Roman" w:cs="Times New Roman"/>
                <w:sz w:val="24"/>
                <w:szCs w:val="24"/>
              </w:rPr>
              <w:t>(500g)</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w:t>
            </w:r>
            <w:r w:rsidR="0077524D">
              <w:rPr>
                <w:rFonts w:ascii="Times New Roman" w:eastAsia="Times New Roman" w:hAnsi="Times New Roman" w:cs="Times New Roman"/>
                <w:sz w:val="24"/>
                <w:szCs w:val="24"/>
              </w:rPr>
              <w:t>9</w:t>
            </w:r>
            <w:r w:rsidRPr="007712C2">
              <w:rPr>
                <w:rFonts w:ascii="Times New Roman" w:eastAsia="Times New Roman" w:hAnsi="Times New Roman" w:cs="Times New Roman"/>
                <w:sz w:val="24"/>
                <w:szCs w:val="24"/>
              </w:rPr>
              <w:t>00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w:t>
            </w:r>
            <w:r w:rsidR="0077524D">
              <w:rPr>
                <w:rFonts w:ascii="Times New Roman" w:eastAsia="Times New Roman" w:hAnsi="Times New Roman" w:cs="Times New Roman"/>
                <w:sz w:val="24"/>
                <w:szCs w:val="24"/>
              </w:rPr>
              <w:t>150</w:t>
            </w:r>
            <w:r w:rsidRPr="007712C2">
              <w:rPr>
                <w:rFonts w:ascii="Times New Roman" w:eastAsia="Times New Roman" w:hAnsi="Times New Roman" w:cs="Times New Roman"/>
                <w:sz w:val="24"/>
                <w:szCs w:val="24"/>
              </w:rPr>
              <w:t>0</w:t>
            </w:r>
          </w:p>
        </w:tc>
        <w:tc>
          <w:tcPr>
            <w:tcW w:w="0" w:type="auto"/>
            <w:hideMark/>
          </w:tcPr>
          <w:p w:rsidR="007712C2" w:rsidRPr="007712C2" w:rsidRDefault="007712C2" w:rsidP="00C272E1">
            <w:pPr>
              <w:jc w:val="both"/>
              <w:rPr>
                <w:rFonts w:ascii="Times New Roman" w:eastAsia="Times New Roman" w:hAnsi="Times New Roman" w:cs="Times New Roman"/>
                <w:sz w:val="24"/>
                <w:szCs w:val="24"/>
              </w:rPr>
            </w:pPr>
            <w:r w:rsidRPr="007712C2">
              <w:rPr>
                <w:rFonts w:ascii="Times New Roman" w:eastAsia="Times New Roman" w:hAnsi="Times New Roman" w:cs="Times New Roman"/>
                <w:sz w:val="24"/>
                <w:szCs w:val="24"/>
              </w:rPr>
              <w:t>1</w:t>
            </w:r>
          </w:p>
        </w:tc>
      </w:tr>
    </w:tbl>
    <w:p w:rsidR="00014BF4" w:rsidRDefault="00014BF4" w:rsidP="00C272E1">
      <w:pPr>
        <w:spacing w:after="0" w:line="480" w:lineRule="auto"/>
        <w:jc w:val="both"/>
        <w:rPr>
          <w:rFonts w:ascii="Times New Roman" w:hAnsi="Times New Roman" w:cs="Times New Roman"/>
          <w:sz w:val="24"/>
          <w:szCs w:val="24"/>
        </w:rPr>
      </w:pPr>
    </w:p>
    <w:p w:rsidR="001B56A1" w:rsidRPr="001B56A1" w:rsidRDefault="001B56A1" w:rsidP="00C272E1">
      <w:pPr>
        <w:spacing w:after="0" w:line="480" w:lineRule="auto"/>
        <w:jc w:val="both"/>
        <w:rPr>
          <w:rFonts w:ascii="Times New Roman" w:hAnsi="Times New Roman" w:cs="Times New Roman"/>
          <w:b/>
          <w:sz w:val="24"/>
          <w:szCs w:val="24"/>
        </w:rPr>
      </w:pPr>
      <w:r w:rsidRPr="001B56A1">
        <w:rPr>
          <w:rFonts w:ascii="Times New Roman" w:hAnsi="Times New Roman" w:cs="Times New Roman"/>
          <w:b/>
          <w:sz w:val="24"/>
          <w:szCs w:val="24"/>
        </w:rPr>
        <w:t>4.3</w:t>
      </w:r>
      <w:r w:rsidRPr="001B56A1">
        <w:rPr>
          <w:rFonts w:ascii="Times New Roman" w:hAnsi="Times New Roman" w:cs="Times New Roman"/>
          <w:b/>
          <w:sz w:val="24"/>
          <w:szCs w:val="24"/>
        </w:rPr>
        <w:tab/>
      </w:r>
      <w:r w:rsidR="00470D6A" w:rsidRPr="001B56A1">
        <w:rPr>
          <w:rFonts w:ascii="Times New Roman" w:hAnsi="Times New Roman" w:cs="Times New Roman"/>
          <w:b/>
          <w:sz w:val="24"/>
          <w:szCs w:val="24"/>
        </w:rPr>
        <w:t xml:space="preserve"> Laspeyres Price Index (LPI)</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The Laspeyres Index is calculated using the formula:</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LPI = [Σ(P₁ × Q₀) / Σ(P₀ × Q₀)] × 100</w:t>
      </w:r>
    </w:p>
    <w:p w:rsidR="0077524D"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Since Q₀ = 1 for all items:</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LPI = [</w:t>
      </w:r>
      <w:r w:rsidR="0077524D">
        <w:rPr>
          <w:rFonts w:ascii="Times New Roman" w:hAnsi="Times New Roman" w:cs="Times New Roman"/>
          <w:sz w:val="24"/>
          <w:szCs w:val="24"/>
        </w:rPr>
        <w:t xml:space="preserve">12,537,500 </w:t>
      </w:r>
      <w:r w:rsidRPr="00470D6A">
        <w:rPr>
          <w:rFonts w:ascii="Times New Roman" w:hAnsi="Times New Roman" w:cs="Times New Roman"/>
          <w:sz w:val="24"/>
          <w:szCs w:val="24"/>
        </w:rPr>
        <w:t>/ 1</w:t>
      </w:r>
      <w:r w:rsidR="0077524D">
        <w:rPr>
          <w:rFonts w:ascii="Times New Roman" w:hAnsi="Times New Roman" w:cs="Times New Roman"/>
          <w:sz w:val="24"/>
          <w:szCs w:val="24"/>
        </w:rPr>
        <w:t>3,918,300</w:t>
      </w:r>
      <w:r w:rsidRPr="00470D6A">
        <w:rPr>
          <w:rFonts w:ascii="Times New Roman" w:hAnsi="Times New Roman" w:cs="Times New Roman"/>
          <w:sz w:val="24"/>
          <w:szCs w:val="24"/>
        </w:rPr>
        <w:t>] × 100 ≈</w:t>
      </w:r>
      <w:r w:rsidR="0077524D">
        <w:rPr>
          <w:rFonts w:ascii="Times New Roman" w:hAnsi="Times New Roman" w:cs="Times New Roman"/>
          <w:sz w:val="24"/>
          <w:szCs w:val="24"/>
        </w:rPr>
        <w:t xml:space="preserve"> 90</w:t>
      </w:r>
    </w:p>
    <w:p w:rsidR="001B56A1"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Interpretation: According to the Laspeyres Index, prices have increased by 36.69% between 2024 and 2025.</w:t>
      </w:r>
    </w:p>
    <w:p w:rsidR="001B56A1" w:rsidRPr="001B56A1" w:rsidRDefault="001B56A1" w:rsidP="00C272E1">
      <w:pPr>
        <w:spacing w:after="0" w:line="480" w:lineRule="auto"/>
        <w:jc w:val="both"/>
        <w:rPr>
          <w:rFonts w:ascii="Times New Roman" w:hAnsi="Times New Roman" w:cs="Times New Roman"/>
          <w:b/>
          <w:sz w:val="24"/>
          <w:szCs w:val="24"/>
        </w:rPr>
      </w:pPr>
      <w:r w:rsidRPr="001B56A1">
        <w:rPr>
          <w:rFonts w:ascii="Times New Roman" w:hAnsi="Times New Roman" w:cs="Times New Roman"/>
          <w:b/>
          <w:sz w:val="24"/>
          <w:szCs w:val="24"/>
        </w:rPr>
        <w:t>4.</w:t>
      </w:r>
      <w:r>
        <w:rPr>
          <w:rFonts w:ascii="Times New Roman" w:hAnsi="Times New Roman" w:cs="Times New Roman"/>
          <w:b/>
          <w:sz w:val="24"/>
          <w:szCs w:val="24"/>
        </w:rPr>
        <w:t>4</w:t>
      </w:r>
      <w:r w:rsidRPr="001B56A1">
        <w:rPr>
          <w:rFonts w:ascii="Times New Roman" w:hAnsi="Times New Roman" w:cs="Times New Roman"/>
          <w:b/>
          <w:sz w:val="24"/>
          <w:szCs w:val="24"/>
        </w:rPr>
        <w:tab/>
      </w:r>
      <w:r w:rsidR="00470D6A" w:rsidRPr="001B56A1">
        <w:rPr>
          <w:rFonts w:ascii="Times New Roman" w:hAnsi="Times New Roman" w:cs="Times New Roman"/>
          <w:b/>
          <w:sz w:val="24"/>
          <w:szCs w:val="24"/>
        </w:rPr>
        <w:t>Paasche Price Index (PPI)</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PPI = [Σ(P₁ × Q₁) / Σ(P₀ × Q₁)] × 100</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Since Q₁ = 1 for all items (same as above):</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PPI = [1</w:t>
      </w:r>
      <w:r w:rsidR="00662650">
        <w:rPr>
          <w:rFonts w:ascii="Times New Roman" w:hAnsi="Times New Roman" w:cs="Times New Roman"/>
          <w:sz w:val="24"/>
          <w:szCs w:val="24"/>
        </w:rPr>
        <w:t>2,537,500</w:t>
      </w:r>
      <w:r w:rsidRPr="00470D6A">
        <w:rPr>
          <w:rFonts w:ascii="Times New Roman" w:hAnsi="Times New Roman" w:cs="Times New Roman"/>
          <w:sz w:val="24"/>
          <w:szCs w:val="24"/>
        </w:rPr>
        <w:t xml:space="preserve"> / 1</w:t>
      </w:r>
      <w:r w:rsidR="00662650">
        <w:rPr>
          <w:rFonts w:ascii="Times New Roman" w:hAnsi="Times New Roman" w:cs="Times New Roman"/>
          <w:sz w:val="24"/>
          <w:szCs w:val="24"/>
        </w:rPr>
        <w:t>3,918,300</w:t>
      </w:r>
      <w:r w:rsidRPr="00470D6A">
        <w:rPr>
          <w:rFonts w:ascii="Times New Roman" w:hAnsi="Times New Roman" w:cs="Times New Roman"/>
          <w:sz w:val="24"/>
          <w:szCs w:val="24"/>
        </w:rPr>
        <w:t xml:space="preserve">] × 100 ≈ </w:t>
      </w:r>
      <w:r w:rsidR="00662650">
        <w:rPr>
          <w:rFonts w:ascii="Times New Roman" w:hAnsi="Times New Roman" w:cs="Times New Roman"/>
          <w:sz w:val="24"/>
          <w:szCs w:val="24"/>
        </w:rPr>
        <w:t>90.1</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Note: Since Q₀ = Q₁ = 1, Paasche = Laspeyres in this simplified case.</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Interpretation: The Paasche Index also shows an increase of 36.69%, confirming a significant price increase.</w:t>
      </w:r>
    </w:p>
    <w:p w:rsidR="001B56A1" w:rsidRPr="001B56A1" w:rsidRDefault="00470D6A" w:rsidP="00C272E1">
      <w:pPr>
        <w:spacing w:after="0" w:line="480" w:lineRule="auto"/>
        <w:jc w:val="both"/>
        <w:rPr>
          <w:rFonts w:ascii="Times New Roman" w:hAnsi="Times New Roman" w:cs="Times New Roman"/>
          <w:b/>
          <w:sz w:val="24"/>
          <w:szCs w:val="24"/>
        </w:rPr>
      </w:pPr>
      <w:r w:rsidRPr="001B56A1">
        <w:rPr>
          <w:rFonts w:ascii="Times New Roman" w:hAnsi="Times New Roman" w:cs="Times New Roman"/>
          <w:b/>
          <w:sz w:val="24"/>
          <w:szCs w:val="24"/>
        </w:rPr>
        <w:lastRenderedPageBreak/>
        <w:t>4.</w:t>
      </w:r>
      <w:r w:rsidR="001B56A1" w:rsidRPr="001B56A1">
        <w:rPr>
          <w:rFonts w:ascii="Times New Roman" w:hAnsi="Times New Roman" w:cs="Times New Roman"/>
          <w:b/>
          <w:sz w:val="24"/>
          <w:szCs w:val="24"/>
        </w:rPr>
        <w:t>5</w:t>
      </w:r>
      <w:r w:rsidR="001B56A1" w:rsidRPr="001B56A1">
        <w:rPr>
          <w:rFonts w:ascii="Times New Roman" w:hAnsi="Times New Roman" w:cs="Times New Roman"/>
          <w:b/>
          <w:sz w:val="24"/>
          <w:szCs w:val="24"/>
        </w:rPr>
        <w:tab/>
      </w:r>
      <w:r w:rsidRPr="001B56A1">
        <w:rPr>
          <w:rFonts w:ascii="Times New Roman" w:hAnsi="Times New Roman" w:cs="Times New Roman"/>
          <w:b/>
          <w:sz w:val="24"/>
          <w:szCs w:val="24"/>
        </w:rPr>
        <w:t>Fisher Ideal Price Index (FPI)</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FPI = √(LPI × PPI)</w:t>
      </w:r>
    </w:p>
    <w:p w:rsidR="00470D6A" w:rsidRPr="00470D6A"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FPI = √(</w:t>
      </w:r>
      <w:r w:rsidR="00662650">
        <w:rPr>
          <w:rFonts w:ascii="Times New Roman" w:hAnsi="Times New Roman" w:cs="Times New Roman"/>
          <w:sz w:val="24"/>
          <w:szCs w:val="24"/>
        </w:rPr>
        <w:t>90</w:t>
      </w:r>
      <w:r w:rsidRPr="00470D6A">
        <w:rPr>
          <w:rFonts w:ascii="Times New Roman" w:hAnsi="Times New Roman" w:cs="Times New Roman"/>
          <w:sz w:val="24"/>
          <w:szCs w:val="24"/>
        </w:rPr>
        <w:t>×</w:t>
      </w:r>
      <w:r w:rsidR="00662650">
        <w:rPr>
          <w:rFonts w:ascii="Times New Roman" w:hAnsi="Times New Roman" w:cs="Times New Roman"/>
          <w:sz w:val="24"/>
          <w:szCs w:val="24"/>
        </w:rPr>
        <w:t>90.1</w:t>
      </w:r>
      <w:r w:rsidRPr="00470D6A">
        <w:rPr>
          <w:rFonts w:ascii="Times New Roman" w:hAnsi="Times New Roman" w:cs="Times New Roman"/>
          <w:sz w:val="24"/>
          <w:szCs w:val="24"/>
        </w:rPr>
        <w:t xml:space="preserve">) = √(18692.28) ≈ </w:t>
      </w:r>
      <w:r w:rsidR="00662650">
        <w:rPr>
          <w:rFonts w:ascii="Times New Roman" w:hAnsi="Times New Roman" w:cs="Times New Roman"/>
          <w:sz w:val="24"/>
          <w:szCs w:val="24"/>
        </w:rPr>
        <w:t>90.008</w:t>
      </w:r>
    </w:p>
    <w:p w:rsidR="001B56A1" w:rsidRPr="00014BF4" w:rsidRDefault="00470D6A" w:rsidP="00C272E1">
      <w:p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 xml:space="preserve">Interpretation: The Fisher Ideal Index confirms an average price increase of </w:t>
      </w:r>
      <w:r w:rsidR="00662650">
        <w:rPr>
          <w:rFonts w:ascii="Times New Roman" w:hAnsi="Times New Roman" w:cs="Times New Roman"/>
          <w:sz w:val="24"/>
          <w:szCs w:val="24"/>
        </w:rPr>
        <w:t>90</w:t>
      </w:r>
      <w:r w:rsidRPr="00470D6A">
        <w:rPr>
          <w:rFonts w:ascii="Times New Roman" w:hAnsi="Times New Roman" w:cs="Times New Roman"/>
          <w:sz w:val="24"/>
          <w:szCs w:val="24"/>
        </w:rPr>
        <w:t>.</w:t>
      </w:r>
      <w:r w:rsidR="00662650">
        <w:rPr>
          <w:rFonts w:ascii="Times New Roman" w:hAnsi="Times New Roman" w:cs="Times New Roman"/>
          <w:sz w:val="24"/>
          <w:szCs w:val="24"/>
        </w:rPr>
        <w:t>008</w:t>
      </w:r>
      <w:r w:rsidRPr="00470D6A">
        <w:rPr>
          <w:rFonts w:ascii="Times New Roman" w:hAnsi="Times New Roman" w:cs="Times New Roman"/>
          <w:sz w:val="24"/>
          <w:szCs w:val="24"/>
        </w:rPr>
        <w:t>%, verifying the reliability of the Laspeyres and Paasche indices in this scenario.</w:t>
      </w:r>
    </w:p>
    <w:p w:rsidR="00470D6A" w:rsidRPr="00B24C92" w:rsidRDefault="00470D6A" w:rsidP="00C272E1">
      <w:pPr>
        <w:spacing w:after="0" w:line="480" w:lineRule="auto"/>
        <w:jc w:val="both"/>
        <w:rPr>
          <w:rFonts w:ascii="Times New Roman" w:hAnsi="Times New Roman" w:cs="Times New Roman"/>
          <w:b/>
          <w:sz w:val="24"/>
          <w:szCs w:val="24"/>
        </w:rPr>
      </w:pPr>
      <w:r w:rsidRPr="00B24C92">
        <w:rPr>
          <w:rFonts w:ascii="Times New Roman" w:hAnsi="Times New Roman" w:cs="Times New Roman"/>
          <w:b/>
          <w:sz w:val="24"/>
          <w:szCs w:val="24"/>
        </w:rPr>
        <w:t>4.</w:t>
      </w:r>
      <w:r w:rsidR="001B56A1">
        <w:rPr>
          <w:rFonts w:ascii="Times New Roman" w:hAnsi="Times New Roman" w:cs="Times New Roman"/>
          <w:b/>
          <w:sz w:val="24"/>
          <w:szCs w:val="24"/>
        </w:rPr>
        <w:t>6</w:t>
      </w:r>
      <w:r w:rsidRPr="00B24C92">
        <w:rPr>
          <w:rFonts w:ascii="Times New Roman" w:hAnsi="Times New Roman" w:cs="Times New Roman"/>
          <w:b/>
          <w:sz w:val="24"/>
          <w:szCs w:val="24"/>
        </w:rPr>
        <w:t xml:space="preserve"> </w:t>
      </w:r>
      <w:r w:rsidR="00B24C92" w:rsidRPr="00B24C92">
        <w:rPr>
          <w:rFonts w:ascii="Times New Roman" w:hAnsi="Times New Roman" w:cs="Times New Roman"/>
          <w:b/>
          <w:sz w:val="24"/>
          <w:szCs w:val="24"/>
        </w:rPr>
        <w:tab/>
      </w:r>
      <w:r w:rsidRPr="00B24C92">
        <w:rPr>
          <w:rFonts w:ascii="Times New Roman" w:hAnsi="Times New Roman" w:cs="Times New Roman"/>
          <w:b/>
          <w:sz w:val="24"/>
          <w:szCs w:val="24"/>
        </w:rPr>
        <w:t>Discussion of Results</w:t>
      </w:r>
    </w:p>
    <w:p w:rsidR="00470D6A" w:rsidRPr="00470D6A" w:rsidRDefault="00470D6A" w:rsidP="00C272E1">
      <w:pPr>
        <w:numPr>
          <w:ilvl w:val="0"/>
          <w:numId w:val="16"/>
        </w:num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All selected food items experienced significant price increases, with the highest increase seen in Spaghetti (50%) and Beans (46.88%).</w:t>
      </w:r>
    </w:p>
    <w:p w:rsidR="00470D6A" w:rsidRPr="00470D6A" w:rsidRDefault="00470D6A" w:rsidP="00C272E1">
      <w:pPr>
        <w:numPr>
          <w:ilvl w:val="0"/>
          <w:numId w:val="16"/>
        </w:num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The general price index (Laspeyres, Paasche, and Fisher) indicates a 36.69% inflation in food prices within one year.</w:t>
      </w:r>
    </w:p>
    <w:p w:rsidR="00470D6A" w:rsidRPr="00470D6A" w:rsidRDefault="00470D6A" w:rsidP="00C272E1">
      <w:pPr>
        <w:numPr>
          <w:ilvl w:val="0"/>
          <w:numId w:val="16"/>
        </w:num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These increases reflect broader economic challenges such as fuel subsidy removal, naira devaluation, and insecurity in agricultural zones.</w:t>
      </w:r>
    </w:p>
    <w:p w:rsidR="00B24C92" w:rsidRDefault="00470D6A" w:rsidP="00C272E1">
      <w:pPr>
        <w:numPr>
          <w:ilvl w:val="0"/>
          <w:numId w:val="16"/>
        </w:numPr>
        <w:spacing w:after="0" w:line="480" w:lineRule="auto"/>
        <w:jc w:val="both"/>
        <w:rPr>
          <w:rFonts w:ascii="Times New Roman" w:hAnsi="Times New Roman" w:cs="Times New Roman"/>
          <w:sz w:val="24"/>
          <w:szCs w:val="24"/>
        </w:rPr>
      </w:pPr>
      <w:r w:rsidRPr="00470D6A">
        <w:rPr>
          <w:rFonts w:ascii="Times New Roman" w:hAnsi="Times New Roman" w:cs="Times New Roman"/>
          <w:sz w:val="24"/>
          <w:szCs w:val="24"/>
        </w:rPr>
        <w:t>Such inflation significantly affects consumer purchasing power, especially among low-income households who depend heavily on these staples.</w:t>
      </w:r>
    </w:p>
    <w:p w:rsidR="00470D6A" w:rsidRPr="00B24C92" w:rsidRDefault="00470D6A" w:rsidP="00C272E1">
      <w:pPr>
        <w:spacing w:after="0" w:line="480" w:lineRule="auto"/>
        <w:ind w:left="90" w:firstLine="90"/>
        <w:jc w:val="both"/>
        <w:rPr>
          <w:rFonts w:ascii="Times New Roman" w:hAnsi="Times New Roman" w:cs="Times New Roman"/>
          <w:b/>
          <w:sz w:val="24"/>
          <w:szCs w:val="24"/>
        </w:rPr>
      </w:pPr>
      <w:r w:rsidRPr="00B24C92">
        <w:rPr>
          <w:b/>
        </w:rPr>
        <w:t>4.</w:t>
      </w:r>
      <w:r w:rsidR="001B56A1">
        <w:rPr>
          <w:b/>
        </w:rPr>
        <w:t>7</w:t>
      </w:r>
      <w:r w:rsidRPr="00B24C92">
        <w:rPr>
          <w:b/>
        </w:rPr>
        <w:t xml:space="preserve"> </w:t>
      </w:r>
      <w:r w:rsidR="00B24C92" w:rsidRPr="00B24C92">
        <w:rPr>
          <w:b/>
        </w:rPr>
        <w:tab/>
      </w:r>
      <w:r w:rsidRPr="00B24C92">
        <w:rPr>
          <w:b/>
        </w:rPr>
        <w:t>Summary</w:t>
      </w:r>
    </w:p>
    <w:p w:rsidR="00470D6A" w:rsidRDefault="00470D6A" w:rsidP="00C272E1">
      <w:pPr>
        <w:pStyle w:val="NormalWeb"/>
        <w:spacing w:after="0" w:afterAutospacing="0" w:line="480" w:lineRule="auto"/>
        <w:ind w:left="360"/>
        <w:jc w:val="both"/>
      </w:pPr>
      <w:r>
        <w:t>This chapter presented and analyzed food price data for 2024 and 2025 using three standard price indices. All indicators pointed to a strong inflationary trend, with prices increasing on average by 36.69%. This supports the hypothesis that Nigerian food markets are experiencing sustained upward price pressure, with significant socio-economic implications.</w:t>
      </w:r>
    </w:p>
    <w:p w:rsidR="00470D6A" w:rsidRPr="00470D6A" w:rsidRDefault="00470D6A" w:rsidP="00C272E1">
      <w:pPr>
        <w:spacing w:after="0" w:line="480" w:lineRule="auto"/>
        <w:jc w:val="both"/>
        <w:rPr>
          <w:rFonts w:ascii="Times New Roman" w:hAnsi="Times New Roman" w:cs="Times New Roman"/>
          <w:sz w:val="24"/>
          <w:szCs w:val="24"/>
        </w:rPr>
      </w:pPr>
    </w:p>
    <w:p w:rsidR="00F65B8B" w:rsidRDefault="00F65B8B" w:rsidP="00C272E1">
      <w:pPr>
        <w:spacing w:after="0"/>
        <w:jc w:val="both"/>
        <w:rPr>
          <w:rFonts w:ascii="Times New Roman" w:hAnsi="Times New Roman" w:cs="Times New Roman"/>
          <w:sz w:val="24"/>
          <w:szCs w:val="24"/>
        </w:rPr>
      </w:pPr>
      <w:r>
        <w:rPr>
          <w:rFonts w:ascii="Times New Roman" w:hAnsi="Times New Roman" w:cs="Times New Roman"/>
          <w:sz w:val="24"/>
          <w:szCs w:val="24"/>
        </w:rPr>
        <w:br w:type="page"/>
      </w:r>
    </w:p>
    <w:p w:rsidR="00F65B8B" w:rsidRDefault="00F65B8B" w:rsidP="001B56A1">
      <w:pPr>
        <w:spacing w:after="0" w:line="480" w:lineRule="auto"/>
        <w:jc w:val="center"/>
        <w:rPr>
          <w:rFonts w:ascii="Times New Roman" w:hAnsi="Times New Roman" w:cs="Times New Roman"/>
          <w:b/>
          <w:bCs/>
          <w:sz w:val="24"/>
          <w:szCs w:val="24"/>
        </w:rPr>
      </w:pPr>
      <w:r w:rsidRPr="00F65B8B">
        <w:rPr>
          <w:rFonts w:ascii="Times New Roman" w:hAnsi="Times New Roman" w:cs="Times New Roman"/>
          <w:b/>
          <w:bCs/>
          <w:sz w:val="24"/>
          <w:szCs w:val="24"/>
        </w:rPr>
        <w:lastRenderedPageBreak/>
        <w:t>CHAPTER FIVE</w:t>
      </w:r>
    </w:p>
    <w:p w:rsidR="00F65B8B" w:rsidRPr="00F65B8B" w:rsidRDefault="00F65B8B" w:rsidP="001B56A1">
      <w:pPr>
        <w:spacing w:after="0" w:line="480" w:lineRule="auto"/>
        <w:jc w:val="center"/>
        <w:rPr>
          <w:rFonts w:ascii="Times New Roman" w:hAnsi="Times New Roman" w:cs="Times New Roman"/>
          <w:b/>
          <w:bCs/>
          <w:sz w:val="24"/>
          <w:szCs w:val="24"/>
        </w:rPr>
      </w:pPr>
      <w:r w:rsidRPr="00F65B8B">
        <w:rPr>
          <w:rFonts w:ascii="Times New Roman" w:hAnsi="Times New Roman" w:cs="Times New Roman"/>
          <w:b/>
          <w:bCs/>
          <w:sz w:val="24"/>
          <w:szCs w:val="24"/>
        </w:rPr>
        <w:t>SUMMARY, CONCLUSION, AND RECOMMENDATIONS</w:t>
      </w:r>
    </w:p>
    <w:p w:rsidR="00F65B8B" w:rsidRPr="00B24C92" w:rsidRDefault="00F65B8B" w:rsidP="00C272E1">
      <w:pPr>
        <w:spacing w:after="0" w:line="480" w:lineRule="auto"/>
        <w:jc w:val="both"/>
        <w:rPr>
          <w:rFonts w:ascii="Times New Roman" w:hAnsi="Times New Roman" w:cs="Times New Roman"/>
          <w:b/>
          <w:sz w:val="24"/>
          <w:szCs w:val="24"/>
        </w:rPr>
      </w:pPr>
      <w:r w:rsidRPr="00B24C92">
        <w:rPr>
          <w:rFonts w:ascii="Times New Roman" w:hAnsi="Times New Roman" w:cs="Times New Roman"/>
          <w:b/>
          <w:sz w:val="24"/>
          <w:szCs w:val="24"/>
        </w:rPr>
        <w:t xml:space="preserve">5.1 </w:t>
      </w:r>
      <w:r w:rsidR="00B24C92">
        <w:rPr>
          <w:rFonts w:ascii="Times New Roman" w:hAnsi="Times New Roman" w:cs="Times New Roman"/>
          <w:b/>
          <w:sz w:val="24"/>
          <w:szCs w:val="24"/>
        </w:rPr>
        <w:tab/>
      </w:r>
      <w:r w:rsidRPr="00B24C92">
        <w:rPr>
          <w:rFonts w:ascii="Times New Roman" w:hAnsi="Times New Roman" w:cs="Times New Roman"/>
          <w:b/>
          <w:sz w:val="24"/>
          <w:szCs w:val="24"/>
        </w:rPr>
        <w:t>Summary of Findings</w:t>
      </w:r>
    </w:p>
    <w:p w:rsidR="00F65B8B" w:rsidRPr="00F65B8B" w:rsidRDefault="00F65B8B" w:rsidP="00C272E1">
      <w:p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This research set out to analyze the price behavior of selected staple food items in Ilorin, Kwara States</w:t>
      </w:r>
      <w:r w:rsidR="00957AA4">
        <w:rPr>
          <w:rFonts w:ascii="Times New Roman" w:hAnsi="Times New Roman" w:cs="Times New Roman"/>
          <w:sz w:val="24"/>
          <w:szCs w:val="24"/>
        </w:rPr>
        <w:t xml:space="preserve"> </w:t>
      </w:r>
      <w:r w:rsidRPr="00F65B8B">
        <w:rPr>
          <w:rFonts w:ascii="Times New Roman" w:hAnsi="Times New Roman" w:cs="Times New Roman"/>
          <w:sz w:val="24"/>
          <w:szCs w:val="24"/>
        </w:rPr>
        <w:t xml:space="preserve">pecifically the popular </w:t>
      </w:r>
      <w:r w:rsidR="00662650">
        <w:rPr>
          <w:rFonts w:ascii="Times New Roman" w:hAnsi="Times New Roman" w:cs="Times New Roman"/>
          <w:sz w:val="24"/>
          <w:szCs w:val="24"/>
        </w:rPr>
        <w:t>mandate</w:t>
      </w:r>
      <w:r w:rsidRPr="00F65B8B">
        <w:rPr>
          <w:rFonts w:ascii="Times New Roman" w:hAnsi="Times New Roman" w:cs="Times New Roman"/>
          <w:sz w:val="24"/>
          <w:szCs w:val="24"/>
        </w:rPr>
        <w:t xml:space="preserve"> market—over a two-year period (2024 to 2025). The selected items were rice, beans, </w:t>
      </w:r>
      <w:r w:rsidR="004E33AB" w:rsidRPr="00F65B8B">
        <w:rPr>
          <w:rFonts w:ascii="Times New Roman" w:hAnsi="Times New Roman" w:cs="Times New Roman"/>
          <w:sz w:val="24"/>
          <w:szCs w:val="24"/>
        </w:rPr>
        <w:t>Garri</w:t>
      </w:r>
      <w:r w:rsidRPr="00F65B8B">
        <w:rPr>
          <w:rFonts w:ascii="Times New Roman" w:hAnsi="Times New Roman" w:cs="Times New Roman"/>
          <w:sz w:val="24"/>
          <w:szCs w:val="24"/>
        </w:rPr>
        <w:t>, semovita, noodles, and spaghetti, all of which are critical to the average Nigerian diet.</w:t>
      </w:r>
    </w:p>
    <w:p w:rsidR="00F65B8B" w:rsidRPr="00F65B8B" w:rsidRDefault="00F65B8B" w:rsidP="00C272E1">
      <w:p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Using primary price data collected for the base year (2024) and the current year (2025), the study calculated price changes and applied three classical price indices—Laspeyres, Paasche, and Fisherto determine the degree of food price inflation.</w:t>
      </w:r>
    </w:p>
    <w:p w:rsidR="00F65B8B" w:rsidRPr="00F65B8B" w:rsidRDefault="00F65B8B" w:rsidP="00C272E1">
      <w:p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The key findings are as follows:</w:t>
      </w:r>
    </w:p>
    <w:p w:rsidR="00F65B8B" w:rsidRPr="00F65B8B" w:rsidRDefault="00F65B8B" w:rsidP="00C272E1">
      <w:pPr>
        <w:numPr>
          <w:ilvl w:val="0"/>
          <w:numId w:val="17"/>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All six food items recorded significant price increases, ranging from 28.57% to 50.00%. The average price increase across all items was 36.69%.</w:t>
      </w:r>
    </w:p>
    <w:p w:rsidR="00F65B8B" w:rsidRPr="00F65B8B" w:rsidRDefault="00F65B8B" w:rsidP="00C272E1">
      <w:pPr>
        <w:numPr>
          <w:ilvl w:val="0"/>
          <w:numId w:val="17"/>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The Laspeyres Price Index showed a 36.69% increase in price, indicating inflation based on fixed consumption patterns.</w:t>
      </w:r>
    </w:p>
    <w:p w:rsidR="00F65B8B" w:rsidRPr="00F65B8B" w:rsidRDefault="00F65B8B" w:rsidP="00C272E1">
      <w:pPr>
        <w:numPr>
          <w:ilvl w:val="0"/>
          <w:numId w:val="17"/>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The Paasche Price Index, which considers current consumption behavior, also returned a 36.69% increase due to the assumption of constant quantity (Q = 1).</w:t>
      </w:r>
    </w:p>
    <w:p w:rsidR="00F65B8B" w:rsidRPr="00F65B8B" w:rsidRDefault="00F65B8B" w:rsidP="00C272E1">
      <w:pPr>
        <w:numPr>
          <w:ilvl w:val="0"/>
          <w:numId w:val="17"/>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The Fisher Ideal Price Index, a geometric mean of Laspeyres and Paasche, confirmed the inflationary trend with the same value: 136.69.</w:t>
      </w:r>
    </w:p>
    <w:p w:rsidR="00F65B8B" w:rsidRPr="00F65B8B" w:rsidRDefault="00F65B8B" w:rsidP="00C272E1">
      <w:pPr>
        <w:numPr>
          <w:ilvl w:val="0"/>
          <w:numId w:val="17"/>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These results reflect strong upward pressure on food prices in Ilorin and by extension, in similar Nigerian urban markets.</w:t>
      </w:r>
    </w:p>
    <w:p w:rsidR="00F65B8B" w:rsidRPr="00F65B8B" w:rsidRDefault="00F65B8B" w:rsidP="00C272E1">
      <w:pPr>
        <w:numPr>
          <w:ilvl w:val="0"/>
          <w:numId w:val="17"/>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lastRenderedPageBreak/>
        <w:t>Inflation was driven by a variety of macroeconomic and structural factors including fuel price hikes, transport costs, naira depreciation, insecurity, and supply chain inefficiencies.</w:t>
      </w:r>
    </w:p>
    <w:p w:rsidR="00F65B8B" w:rsidRPr="004635FB" w:rsidRDefault="00F65B8B" w:rsidP="00C272E1">
      <w:pPr>
        <w:spacing w:after="0" w:line="480" w:lineRule="auto"/>
        <w:jc w:val="both"/>
        <w:rPr>
          <w:rFonts w:ascii="Times New Roman" w:hAnsi="Times New Roman" w:cs="Times New Roman"/>
          <w:b/>
          <w:sz w:val="24"/>
          <w:szCs w:val="24"/>
        </w:rPr>
      </w:pPr>
      <w:r w:rsidRPr="004635FB">
        <w:rPr>
          <w:rFonts w:ascii="Times New Roman" w:hAnsi="Times New Roman" w:cs="Times New Roman"/>
          <w:b/>
          <w:sz w:val="24"/>
          <w:szCs w:val="24"/>
        </w:rPr>
        <w:t xml:space="preserve">5.2 </w:t>
      </w:r>
      <w:r w:rsidR="004635FB" w:rsidRPr="004635FB">
        <w:rPr>
          <w:rFonts w:ascii="Times New Roman" w:hAnsi="Times New Roman" w:cs="Times New Roman"/>
          <w:b/>
          <w:sz w:val="24"/>
          <w:szCs w:val="24"/>
        </w:rPr>
        <w:tab/>
      </w:r>
      <w:r w:rsidRPr="004635FB">
        <w:rPr>
          <w:rFonts w:ascii="Times New Roman" w:hAnsi="Times New Roman" w:cs="Times New Roman"/>
          <w:b/>
          <w:sz w:val="24"/>
          <w:szCs w:val="24"/>
        </w:rPr>
        <w:t>Conclusion</w:t>
      </w:r>
    </w:p>
    <w:p w:rsidR="00F65B8B" w:rsidRPr="00F65B8B" w:rsidRDefault="00F65B8B" w:rsidP="00C272E1">
      <w:p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 xml:space="preserve">The study concludes that food prices in </w:t>
      </w:r>
      <w:r w:rsidR="006A7408">
        <w:rPr>
          <w:rFonts w:ascii="Times New Roman" w:hAnsi="Times New Roman" w:cs="Times New Roman"/>
          <w:sz w:val="24"/>
          <w:szCs w:val="24"/>
        </w:rPr>
        <w:t>Mandate</w:t>
      </w:r>
      <w:r w:rsidRPr="00F65B8B">
        <w:rPr>
          <w:rFonts w:ascii="Times New Roman" w:hAnsi="Times New Roman" w:cs="Times New Roman"/>
          <w:sz w:val="24"/>
          <w:szCs w:val="24"/>
        </w:rPr>
        <w:t xml:space="preserve"> market have experienced substantial inflation between 2024 and 2025. This trend aligns with broader national inflation data but also highlights the unique local challenges faced in regional markets like Ilorin.</w:t>
      </w:r>
    </w:p>
    <w:p w:rsidR="00F65B8B" w:rsidRPr="00F65B8B" w:rsidRDefault="00F65B8B" w:rsidP="00C272E1">
      <w:p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The application of Laspeyres, Paasche, and Fisher indices has provided a comprehensive and balanced view of the price dynamics. The consistent inflation value across all indices (due to equal quantities) further validates the reliability of the findings and confirms the accuracy of the analytical framework used.</w:t>
      </w:r>
    </w:p>
    <w:p w:rsidR="00F65B8B" w:rsidRPr="00F65B8B" w:rsidRDefault="00F65B8B" w:rsidP="00C272E1">
      <w:p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The implications of this persistent food price inflation are far-reaching:</w:t>
      </w:r>
    </w:p>
    <w:p w:rsidR="00F65B8B" w:rsidRPr="00F65B8B" w:rsidRDefault="00F65B8B" w:rsidP="00C272E1">
      <w:pPr>
        <w:numPr>
          <w:ilvl w:val="0"/>
          <w:numId w:val="18"/>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It erodes the purchasing power of low- and middle-income households.</w:t>
      </w:r>
    </w:p>
    <w:p w:rsidR="00F65B8B" w:rsidRPr="00F65B8B" w:rsidRDefault="00F65B8B" w:rsidP="00C272E1">
      <w:pPr>
        <w:numPr>
          <w:ilvl w:val="0"/>
          <w:numId w:val="18"/>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It threatens food security, especially among vulnerable populations.</w:t>
      </w:r>
    </w:p>
    <w:p w:rsidR="00F65B8B" w:rsidRPr="00F65B8B" w:rsidRDefault="00F65B8B" w:rsidP="00C272E1">
      <w:pPr>
        <w:numPr>
          <w:ilvl w:val="0"/>
          <w:numId w:val="18"/>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It introduces volatility into retail trade and affects market efficiency.</w:t>
      </w:r>
    </w:p>
    <w:p w:rsidR="00F65B8B" w:rsidRPr="00F65B8B" w:rsidRDefault="00F65B8B" w:rsidP="00C272E1">
      <w:pPr>
        <w:numPr>
          <w:ilvl w:val="0"/>
          <w:numId w:val="18"/>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It exposes the limitations of Nigeria’s current inflation management strategies.</w:t>
      </w:r>
    </w:p>
    <w:p w:rsidR="00F65B8B" w:rsidRPr="004635FB" w:rsidRDefault="00F65B8B" w:rsidP="00C272E1">
      <w:pPr>
        <w:spacing w:after="0" w:line="480" w:lineRule="auto"/>
        <w:jc w:val="both"/>
        <w:rPr>
          <w:rFonts w:ascii="Times New Roman" w:hAnsi="Times New Roman" w:cs="Times New Roman"/>
          <w:b/>
          <w:sz w:val="24"/>
          <w:szCs w:val="24"/>
        </w:rPr>
      </w:pPr>
      <w:r w:rsidRPr="004635FB">
        <w:rPr>
          <w:rFonts w:ascii="Times New Roman" w:hAnsi="Times New Roman" w:cs="Times New Roman"/>
          <w:b/>
          <w:sz w:val="24"/>
          <w:szCs w:val="24"/>
        </w:rPr>
        <w:t xml:space="preserve">5.3 </w:t>
      </w:r>
      <w:r w:rsidR="004635FB" w:rsidRPr="004635FB">
        <w:rPr>
          <w:rFonts w:ascii="Times New Roman" w:hAnsi="Times New Roman" w:cs="Times New Roman"/>
          <w:b/>
          <w:sz w:val="24"/>
          <w:szCs w:val="24"/>
        </w:rPr>
        <w:tab/>
      </w:r>
      <w:r w:rsidRPr="004635FB">
        <w:rPr>
          <w:rFonts w:ascii="Times New Roman" w:hAnsi="Times New Roman" w:cs="Times New Roman"/>
          <w:b/>
          <w:sz w:val="24"/>
          <w:szCs w:val="24"/>
        </w:rPr>
        <w:t>Recommendations</w:t>
      </w:r>
    </w:p>
    <w:p w:rsidR="00F65B8B" w:rsidRPr="00F65B8B" w:rsidRDefault="00F65B8B" w:rsidP="00C272E1">
      <w:p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Based on the findings and conclusions, the following recommendations are proposed:</w:t>
      </w:r>
    </w:p>
    <w:p w:rsidR="00F65B8B" w:rsidRPr="001B56A1" w:rsidRDefault="00F65B8B" w:rsidP="001B56A1">
      <w:pPr>
        <w:numPr>
          <w:ilvl w:val="0"/>
          <w:numId w:val="19"/>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Strengthen Agricultural Infrastructure</w:t>
      </w:r>
      <w:r w:rsidR="001B56A1">
        <w:rPr>
          <w:rFonts w:ascii="Times New Roman" w:hAnsi="Times New Roman" w:cs="Times New Roman"/>
          <w:sz w:val="24"/>
          <w:szCs w:val="24"/>
        </w:rPr>
        <w:t xml:space="preserve">: </w:t>
      </w:r>
      <w:r w:rsidRPr="001B56A1">
        <w:rPr>
          <w:rFonts w:ascii="Times New Roman" w:hAnsi="Times New Roman" w:cs="Times New Roman"/>
          <w:sz w:val="24"/>
          <w:szCs w:val="24"/>
        </w:rPr>
        <w:t>Government and stakeholders should invest in improved farming tools, irrigation systems, and storage facilities to reduce seasonal shortages and post-harvest losses.</w:t>
      </w:r>
    </w:p>
    <w:p w:rsidR="00F65B8B" w:rsidRPr="001B56A1" w:rsidRDefault="00F65B8B" w:rsidP="001B56A1">
      <w:pPr>
        <w:numPr>
          <w:ilvl w:val="0"/>
          <w:numId w:val="19"/>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lastRenderedPageBreak/>
        <w:t>Improve Market Logistics</w:t>
      </w:r>
      <w:r w:rsidR="001B56A1">
        <w:rPr>
          <w:rFonts w:ascii="Times New Roman" w:hAnsi="Times New Roman" w:cs="Times New Roman"/>
          <w:sz w:val="24"/>
          <w:szCs w:val="24"/>
        </w:rPr>
        <w:t xml:space="preserve">: </w:t>
      </w:r>
      <w:r w:rsidRPr="001B56A1">
        <w:rPr>
          <w:rFonts w:ascii="Times New Roman" w:hAnsi="Times New Roman" w:cs="Times New Roman"/>
          <w:sz w:val="24"/>
          <w:szCs w:val="24"/>
        </w:rPr>
        <w:t>There is a need for improved road networks and cheaper transportation alternatives to reduce the cost of moving goods from farms to urban centers.</w:t>
      </w:r>
    </w:p>
    <w:p w:rsidR="00F65B8B" w:rsidRPr="001B56A1" w:rsidRDefault="00F65B8B" w:rsidP="001B56A1">
      <w:pPr>
        <w:numPr>
          <w:ilvl w:val="0"/>
          <w:numId w:val="19"/>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Introduce Market-Level Price Monitoring</w:t>
      </w:r>
      <w:r w:rsidR="001B56A1">
        <w:rPr>
          <w:rFonts w:ascii="Times New Roman" w:hAnsi="Times New Roman" w:cs="Times New Roman"/>
          <w:sz w:val="24"/>
          <w:szCs w:val="24"/>
        </w:rPr>
        <w:t xml:space="preserve">: </w:t>
      </w:r>
      <w:r w:rsidRPr="001B56A1">
        <w:rPr>
          <w:rFonts w:ascii="Times New Roman" w:hAnsi="Times New Roman" w:cs="Times New Roman"/>
          <w:sz w:val="24"/>
          <w:szCs w:val="24"/>
        </w:rPr>
        <w:t>Localized inflation tracking should complement national CPI data. State governments and municipal authorities should monitor prices in major markets and publish monthly food price bulletins.</w:t>
      </w:r>
    </w:p>
    <w:p w:rsidR="00F65B8B" w:rsidRPr="001B56A1" w:rsidRDefault="00F65B8B" w:rsidP="001B56A1">
      <w:pPr>
        <w:numPr>
          <w:ilvl w:val="0"/>
          <w:numId w:val="19"/>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Implement Targeted Subsidies and Social Support</w:t>
      </w:r>
      <w:r w:rsidR="001B56A1">
        <w:rPr>
          <w:rFonts w:ascii="Times New Roman" w:hAnsi="Times New Roman" w:cs="Times New Roman"/>
          <w:sz w:val="24"/>
          <w:szCs w:val="24"/>
        </w:rPr>
        <w:t xml:space="preserve">: </w:t>
      </w:r>
      <w:r w:rsidRPr="001B56A1">
        <w:rPr>
          <w:rFonts w:ascii="Times New Roman" w:hAnsi="Times New Roman" w:cs="Times New Roman"/>
          <w:sz w:val="24"/>
          <w:szCs w:val="24"/>
        </w:rPr>
        <w:t>Subsidies for staple food items (or conditional cash transfers) could be targeted at low-income households to mitigate the impact of food inflation.</w:t>
      </w:r>
    </w:p>
    <w:p w:rsidR="00F65B8B" w:rsidRPr="001B56A1" w:rsidRDefault="00F65B8B" w:rsidP="001B56A1">
      <w:pPr>
        <w:numPr>
          <w:ilvl w:val="0"/>
          <w:numId w:val="19"/>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Promote Homegrown and Substitutable Food Options</w:t>
      </w:r>
      <w:r w:rsidR="001B56A1">
        <w:rPr>
          <w:rFonts w:ascii="Times New Roman" w:hAnsi="Times New Roman" w:cs="Times New Roman"/>
          <w:sz w:val="24"/>
          <w:szCs w:val="24"/>
        </w:rPr>
        <w:t xml:space="preserve">: </w:t>
      </w:r>
      <w:r w:rsidRPr="001B56A1">
        <w:rPr>
          <w:rFonts w:ascii="Times New Roman" w:hAnsi="Times New Roman" w:cs="Times New Roman"/>
          <w:sz w:val="24"/>
          <w:szCs w:val="24"/>
        </w:rPr>
        <w:t>Consumers should be educated on affordable alternatives to imported or expensive staples. Government campaigns can promote local rice and cassava products, reducing reliance on foreign food items.</w:t>
      </w:r>
    </w:p>
    <w:p w:rsidR="00F65B8B" w:rsidRPr="001B56A1" w:rsidRDefault="00F65B8B" w:rsidP="001B56A1">
      <w:pPr>
        <w:numPr>
          <w:ilvl w:val="0"/>
          <w:numId w:val="19"/>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Regulate Middlemen Practices</w:t>
      </w:r>
      <w:r w:rsidR="001B56A1">
        <w:rPr>
          <w:rFonts w:ascii="Times New Roman" w:hAnsi="Times New Roman" w:cs="Times New Roman"/>
          <w:sz w:val="24"/>
          <w:szCs w:val="24"/>
        </w:rPr>
        <w:t xml:space="preserve">: </w:t>
      </w:r>
      <w:r w:rsidRPr="001B56A1">
        <w:rPr>
          <w:rFonts w:ascii="Times New Roman" w:hAnsi="Times New Roman" w:cs="Times New Roman"/>
          <w:sz w:val="24"/>
          <w:szCs w:val="24"/>
        </w:rPr>
        <w:t>Middlemen often cause price distortions through hoarding and speculation. Regulation and price monitoring in central markets could reduce such practices.</w:t>
      </w:r>
    </w:p>
    <w:p w:rsidR="00F65B8B" w:rsidRPr="001B56A1" w:rsidRDefault="00F65B8B" w:rsidP="001B56A1">
      <w:pPr>
        <w:numPr>
          <w:ilvl w:val="0"/>
          <w:numId w:val="19"/>
        </w:numPr>
        <w:spacing w:after="0" w:line="480" w:lineRule="auto"/>
        <w:jc w:val="both"/>
        <w:rPr>
          <w:rFonts w:ascii="Times New Roman" w:hAnsi="Times New Roman" w:cs="Times New Roman"/>
          <w:sz w:val="24"/>
          <w:szCs w:val="24"/>
        </w:rPr>
      </w:pPr>
      <w:r w:rsidRPr="00F65B8B">
        <w:rPr>
          <w:rFonts w:ascii="Times New Roman" w:hAnsi="Times New Roman" w:cs="Times New Roman"/>
          <w:sz w:val="24"/>
          <w:szCs w:val="24"/>
        </w:rPr>
        <w:t>Expand Use of Composite Indices for Policy</w:t>
      </w:r>
      <w:r w:rsidR="001B56A1">
        <w:rPr>
          <w:rFonts w:ascii="Times New Roman" w:hAnsi="Times New Roman" w:cs="Times New Roman"/>
          <w:sz w:val="24"/>
          <w:szCs w:val="24"/>
        </w:rPr>
        <w:t xml:space="preserve">: </w:t>
      </w:r>
      <w:r w:rsidRPr="001B56A1">
        <w:rPr>
          <w:rFonts w:ascii="Times New Roman" w:hAnsi="Times New Roman" w:cs="Times New Roman"/>
          <w:sz w:val="24"/>
          <w:szCs w:val="24"/>
        </w:rPr>
        <w:t>Policy-makers should rely on multiple indices—such as Fisher’s Ideal Index—to guide fiscal and food security decisions, as this provides a more nuanced picture of price trends.</w:t>
      </w:r>
    </w:p>
    <w:p w:rsidR="002C4C91" w:rsidRDefault="002C4C91" w:rsidP="00C272E1">
      <w:pPr>
        <w:spacing w:after="0"/>
        <w:jc w:val="both"/>
        <w:rPr>
          <w:rFonts w:ascii="Times New Roman" w:hAnsi="Times New Roman" w:cs="Times New Roman"/>
          <w:sz w:val="24"/>
          <w:szCs w:val="24"/>
        </w:rPr>
      </w:pPr>
      <w:r>
        <w:rPr>
          <w:rFonts w:ascii="Times New Roman" w:hAnsi="Times New Roman" w:cs="Times New Roman"/>
          <w:sz w:val="24"/>
          <w:szCs w:val="24"/>
        </w:rPr>
        <w:br w:type="page"/>
      </w:r>
    </w:p>
    <w:p w:rsidR="004635FB" w:rsidRDefault="002C4C91" w:rsidP="001B56A1">
      <w:pPr>
        <w:spacing w:after="0" w:line="480" w:lineRule="auto"/>
        <w:jc w:val="center"/>
        <w:rPr>
          <w:rFonts w:ascii="Times New Roman" w:hAnsi="Times New Roman" w:cs="Times New Roman"/>
          <w:b/>
          <w:bCs/>
          <w:sz w:val="24"/>
          <w:szCs w:val="24"/>
        </w:rPr>
      </w:pPr>
      <w:r w:rsidRPr="002C4C91">
        <w:rPr>
          <w:rFonts w:ascii="Times New Roman" w:hAnsi="Times New Roman" w:cs="Times New Roman"/>
          <w:b/>
          <w:bCs/>
          <w:sz w:val="24"/>
          <w:szCs w:val="24"/>
        </w:rPr>
        <w:lastRenderedPageBreak/>
        <w:t>References</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Adeyemi, A. &amp;Ogunfowokan, O. (2014). Analysis of Price Volatility in the Nigerian Maize Market. Nigerian Journal of Agricultural Economics, 5(2), 45–56.</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Aina, T. &amp; Yusuf, S. (2019). Perceptions of Food Affordability in Urban Nigeria: Evidence from Lagos State. International Journal of Consumer Studies, 43(1), 101–110.</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Ajala, A. &amp; Adesina, K. (2016). Price Dynamics of Rice in Nigeria: An Empirical Analysis. Journal of African Development, 18(1), 55–70.</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Alao, M. (2018). On the Choice of Price Indices for Inflation Measurement in Nigeria. Nigerian Journal of Statistics, 30(1), 88–97.</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Bellemare, M. F. (2015). Rising Food Prices, Food Price Volatility, and Social Unrest. American Journal of Agricultural Economics, 97(1), 1–21.</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Central Bank of Nigeria (2024). Monetary Policy Report: Inflation and Exchange Rate Developments. Abuja: CBN Publications.</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Chukwuma, E. &amp; Adeniran, A. (2019). Measuring Inflation in West Africa: The Role of Price Indices. African Economic Policy Review, 8(2), 113–129.</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Dawe, D. &amp;Maltsoglou, I. (2012). Rice Price Stabilization in Asia: Recent Experience and Policy Lessons. FAO Commodity Policy and Projections Journal, 4(3), 24–41.</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Diewert, W. E. (2001). The Consumer Price Index and Index Number Theory: A Survey. Vancouver School of Economics Working Paper Series.</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Ezeaku, H. &amp; Nwachukwu, I. (2020). Border Closure and Food Price Inflation in Nigeria: An Empirical Insight. Nigerian Journal of Economic Policy, 27(2), 78–92.</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lastRenderedPageBreak/>
        <w:t>FAO (2017). The State of Food Security and Nutrition in the World. Food and Agriculture Organization of the United Nations.</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Ibrahim, K., Salihu, D. &amp; Lawal, A. (2022). Trends in Staple Food Prices in Kwara State: An Econometric Evaluation. Ilorin Journal of Social and Economic Studies, 6(1), 23–39.</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IMF (2021). Nigeria: Selected Issues in Inflation Targeting. International Monetary Fund Country Report No. 21/92.</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Musa, A., Bello, M., &amp; Yusuf, I. (2019). Price Volatility in Nigerian Bean Markets: Causes and Effects. Journal of Agribusiness and Rural Development, 3(1), 56–67.</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Njenga, M. &amp; Wambugu, J. (2020). Measuring Urban Inflation: A Case Study of Nairobi Using Fisher’s Ideal Index. East African Economic Review, 12(2), 201–219.</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NBS (2023). National Consumer Price Index Reports. National Bureau of Statistics, Abuja, Nigeria.</w:t>
      </w:r>
    </w:p>
    <w:p w:rsid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Obasi, F. &amp;Uzoho, K. (2021). Price Analysis of Processed Food Items in Southeastern Nigeria. Nigerian Food Policy Journal, 9(1), 34–47.</w:t>
      </w:r>
    </w:p>
    <w:p w:rsidR="002C4C91" w:rsidRPr="004635FB" w:rsidRDefault="002C4C91" w:rsidP="001B56A1">
      <w:pPr>
        <w:spacing w:after="0" w:line="480" w:lineRule="auto"/>
        <w:ind w:left="720" w:hanging="720"/>
        <w:jc w:val="both"/>
        <w:rPr>
          <w:rFonts w:ascii="Times New Roman" w:hAnsi="Times New Roman" w:cs="Times New Roman"/>
          <w:b/>
          <w:bCs/>
          <w:sz w:val="24"/>
          <w:szCs w:val="24"/>
        </w:rPr>
      </w:pPr>
      <w:r w:rsidRPr="002C4C91">
        <w:rPr>
          <w:rFonts w:ascii="Times New Roman" w:hAnsi="Times New Roman" w:cs="Times New Roman"/>
          <w:sz w:val="24"/>
          <w:szCs w:val="24"/>
        </w:rPr>
        <w:t>Olayemi, J. K. (2010). Food Price Increases and Household Poverty in Nigeria. Ibadan Journal of Agricultural Economics, 4(2), 75–88.Ogunleye, T. A. (2014). Cost-Push Factors in Nigerian Food Inflation. Central Bank of Nigeria Research Department, Working Paper No. 2014-19.</w:t>
      </w:r>
    </w:p>
    <w:sectPr w:rsidR="002C4C91" w:rsidRPr="004635FB" w:rsidSect="00014BF4">
      <w:pgSz w:w="11952" w:h="14688" w:code="1"/>
      <w:pgMar w:top="1440" w:right="1037" w:bottom="1440" w:left="993"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56E" w:rsidRDefault="004F556E" w:rsidP="00284958">
      <w:pPr>
        <w:spacing w:after="0" w:line="240" w:lineRule="auto"/>
      </w:pPr>
      <w:r>
        <w:separator/>
      </w:r>
    </w:p>
  </w:endnote>
  <w:endnote w:type="continuationSeparator" w:id="1">
    <w:p w:rsidR="004F556E" w:rsidRDefault="004F556E" w:rsidP="002849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81738"/>
      <w:docPartObj>
        <w:docPartGallery w:val="Page Numbers (Bottom of Page)"/>
        <w:docPartUnique/>
      </w:docPartObj>
    </w:sdtPr>
    <w:sdtEndPr>
      <w:rPr>
        <w:noProof/>
      </w:rPr>
    </w:sdtEndPr>
    <w:sdtContent>
      <w:p w:rsidR="00284958" w:rsidRDefault="00D06D98">
        <w:pPr>
          <w:pStyle w:val="Footer"/>
          <w:jc w:val="center"/>
        </w:pPr>
        <w:r>
          <w:fldChar w:fldCharType="begin"/>
        </w:r>
        <w:r w:rsidR="00284958">
          <w:instrText xml:space="preserve"> PAGE   \* MERGEFORMAT </w:instrText>
        </w:r>
        <w:r>
          <w:fldChar w:fldCharType="separate"/>
        </w:r>
        <w:r w:rsidR="00957AA4">
          <w:rPr>
            <w:noProof/>
          </w:rPr>
          <w:t>23</w:t>
        </w:r>
        <w:r>
          <w:rPr>
            <w:noProof/>
          </w:rPr>
          <w:fldChar w:fldCharType="end"/>
        </w:r>
      </w:p>
    </w:sdtContent>
  </w:sdt>
  <w:p w:rsidR="00284958" w:rsidRDefault="002849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56E" w:rsidRDefault="004F556E" w:rsidP="00284958">
      <w:pPr>
        <w:spacing w:after="0" w:line="240" w:lineRule="auto"/>
      </w:pPr>
      <w:r>
        <w:separator/>
      </w:r>
    </w:p>
  </w:footnote>
  <w:footnote w:type="continuationSeparator" w:id="1">
    <w:p w:rsidR="004F556E" w:rsidRDefault="004F556E" w:rsidP="0028495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13278B9"/>
    <w:multiLevelType w:val="multilevel"/>
    <w:tmpl w:val="3CEC8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E44AE3"/>
    <w:multiLevelType w:val="hybridMultilevel"/>
    <w:tmpl w:val="8F1C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7D35E6"/>
    <w:multiLevelType w:val="multilevel"/>
    <w:tmpl w:val="D0527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4C45651"/>
    <w:multiLevelType w:val="multilevel"/>
    <w:tmpl w:val="3FA2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B8750B"/>
    <w:multiLevelType w:val="multilevel"/>
    <w:tmpl w:val="0BFA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9304F6"/>
    <w:multiLevelType w:val="multilevel"/>
    <w:tmpl w:val="25CA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B72884"/>
    <w:multiLevelType w:val="hybridMultilevel"/>
    <w:tmpl w:val="FAB6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B41E84"/>
    <w:multiLevelType w:val="multilevel"/>
    <w:tmpl w:val="B6627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B510237"/>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850024"/>
    <w:multiLevelType w:val="multilevel"/>
    <w:tmpl w:val="2A60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CA24037"/>
    <w:multiLevelType w:val="multilevel"/>
    <w:tmpl w:val="591C2436"/>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8B16FBC"/>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8F2148"/>
    <w:multiLevelType w:val="multilevel"/>
    <w:tmpl w:val="71123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6"/>
  </w:num>
  <w:num w:numId="12">
    <w:abstractNumId w:val="13"/>
  </w:num>
  <w:num w:numId="13">
    <w:abstractNumId w:val="14"/>
  </w:num>
  <w:num w:numId="14">
    <w:abstractNumId w:val="18"/>
  </w:num>
  <w:num w:numId="15">
    <w:abstractNumId w:val="15"/>
  </w:num>
  <w:num w:numId="16">
    <w:abstractNumId w:val="17"/>
  </w:num>
  <w:num w:numId="17">
    <w:abstractNumId w:val="20"/>
  </w:num>
  <w:num w:numId="18">
    <w:abstractNumId w:val="21"/>
  </w:num>
  <w:num w:numId="19">
    <w:abstractNumId w:val="12"/>
  </w:num>
  <w:num w:numId="20">
    <w:abstractNumId w:val="11"/>
  </w:num>
  <w:num w:numId="21">
    <w:abstractNumId w:val="10"/>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hdrShapeDefaults>
    <o:shapedefaults v:ext="edit" spidmax="20482"/>
  </w:hdrShapeDefaults>
  <w:footnotePr>
    <w:footnote w:id="0"/>
    <w:footnote w:id="1"/>
  </w:footnotePr>
  <w:endnotePr>
    <w:endnote w:id="0"/>
    <w:endnote w:id="1"/>
  </w:endnotePr>
  <w:compat>
    <w:useFELayout/>
  </w:compat>
  <w:rsids>
    <w:rsidRoot w:val="00B47730"/>
    <w:rsid w:val="00014BF4"/>
    <w:rsid w:val="00034616"/>
    <w:rsid w:val="0006063C"/>
    <w:rsid w:val="000C6D5F"/>
    <w:rsid w:val="000E043E"/>
    <w:rsid w:val="001102D7"/>
    <w:rsid w:val="0015074B"/>
    <w:rsid w:val="00191C9B"/>
    <w:rsid w:val="001B56A1"/>
    <w:rsid w:val="0025411C"/>
    <w:rsid w:val="00272037"/>
    <w:rsid w:val="0027307E"/>
    <w:rsid w:val="00273608"/>
    <w:rsid w:val="00284958"/>
    <w:rsid w:val="002939FB"/>
    <w:rsid w:val="0029639D"/>
    <w:rsid w:val="002C4C91"/>
    <w:rsid w:val="0032636E"/>
    <w:rsid w:val="00326F90"/>
    <w:rsid w:val="00381047"/>
    <w:rsid w:val="00390BBB"/>
    <w:rsid w:val="003F5771"/>
    <w:rsid w:val="00412941"/>
    <w:rsid w:val="00427EE9"/>
    <w:rsid w:val="004635FB"/>
    <w:rsid w:val="00470D6A"/>
    <w:rsid w:val="004B546B"/>
    <w:rsid w:val="004E33AB"/>
    <w:rsid w:val="004F556E"/>
    <w:rsid w:val="00545475"/>
    <w:rsid w:val="005A48E6"/>
    <w:rsid w:val="005D78DE"/>
    <w:rsid w:val="005E7980"/>
    <w:rsid w:val="00630B79"/>
    <w:rsid w:val="00662650"/>
    <w:rsid w:val="00665ACF"/>
    <w:rsid w:val="00696A87"/>
    <w:rsid w:val="006A7408"/>
    <w:rsid w:val="006C2C0B"/>
    <w:rsid w:val="006F3856"/>
    <w:rsid w:val="00724727"/>
    <w:rsid w:val="007712C2"/>
    <w:rsid w:val="0077524D"/>
    <w:rsid w:val="00797D96"/>
    <w:rsid w:val="007B3CDD"/>
    <w:rsid w:val="007F7090"/>
    <w:rsid w:val="0081595B"/>
    <w:rsid w:val="00834FF0"/>
    <w:rsid w:val="00863BFB"/>
    <w:rsid w:val="008A2664"/>
    <w:rsid w:val="008D79F3"/>
    <w:rsid w:val="009113CB"/>
    <w:rsid w:val="00926BCD"/>
    <w:rsid w:val="00931A6C"/>
    <w:rsid w:val="00957AA4"/>
    <w:rsid w:val="00967547"/>
    <w:rsid w:val="00994855"/>
    <w:rsid w:val="009B79BD"/>
    <w:rsid w:val="009E51F4"/>
    <w:rsid w:val="00A77F0B"/>
    <w:rsid w:val="00A8531F"/>
    <w:rsid w:val="00AA08AC"/>
    <w:rsid w:val="00AA1D8D"/>
    <w:rsid w:val="00B20F83"/>
    <w:rsid w:val="00B24C92"/>
    <w:rsid w:val="00B32954"/>
    <w:rsid w:val="00B4760F"/>
    <w:rsid w:val="00B47730"/>
    <w:rsid w:val="00B60BEC"/>
    <w:rsid w:val="00B62809"/>
    <w:rsid w:val="00B65800"/>
    <w:rsid w:val="00B664D2"/>
    <w:rsid w:val="00B6692F"/>
    <w:rsid w:val="00BC7F27"/>
    <w:rsid w:val="00C107F9"/>
    <w:rsid w:val="00C272E1"/>
    <w:rsid w:val="00C32529"/>
    <w:rsid w:val="00C87EA7"/>
    <w:rsid w:val="00CB0664"/>
    <w:rsid w:val="00CE5198"/>
    <w:rsid w:val="00CF389B"/>
    <w:rsid w:val="00D06D98"/>
    <w:rsid w:val="00D32A6A"/>
    <w:rsid w:val="00DB7D1C"/>
    <w:rsid w:val="00DF5646"/>
    <w:rsid w:val="00E14F37"/>
    <w:rsid w:val="00E440A8"/>
    <w:rsid w:val="00E84524"/>
    <w:rsid w:val="00EB1A49"/>
    <w:rsid w:val="00EC40CD"/>
    <w:rsid w:val="00F0016B"/>
    <w:rsid w:val="00F43835"/>
    <w:rsid w:val="00F65B8B"/>
    <w:rsid w:val="00F87128"/>
    <w:rsid w:val="00FC693F"/>
    <w:rsid w:val="00FD0D19"/>
    <w:rsid w:val="00FF4A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9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qFormat/>
    <w:rsid w:val="002541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57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A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9B"/>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541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95020">
      <w:bodyDiv w:val="1"/>
      <w:marLeft w:val="0"/>
      <w:marRight w:val="0"/>
      <w:marTop w:val="0"/>
      <w:marBottom w:val="0"/>
      <w:divBdr>
        <w:top w:val="none" w:sz="0" w:space="0" w:color="auto"/>
        <w:left w:val="none" w:sz="0" w:space="0" w:color="auto"/>
        <w:bottom w:val="none" w:sz="0" w:space="0" w:color="auto"/>
        <w:right w:val="none" w:sz="0" w:space="0" w:color="auto"/>
      </w:divBdr>
    </w:div>
    <w:div w:id="26951627">
      <w:bodyDiv w:val="1"/>
      <w:marLeft w:val="0"/>
      <w:marRight w:val="0"/>
      <w:marTop w:val="0"/>
      <w:marBottom w:val="0"/>
      <w:divBdr>
        <w:top w:val="none" w:sz="0" w:space="0" w:color="auto"/>
        <w:left w:val="none" w:sz="0" w:space="0" w:color="auto"/>
        <w:bottom w:val="none" w:sz="0" w:space="0" w:color="auto"/>
        <w:right w:val="none" w:sz="0" w:space="0" w:color="auto"/>
      </w:divBdr>
    </w:div>
    <w:div w:id="115409833">
      <w:bodyDiv w:val="1"/>
      <w:marLeft w:val="0"/>
      <w:marRight w:val="0"/>
      <w:marTop w:val="0"/>
      <w:marBottom w:val="0"/>
      <w:divBdr>
        <w:top w:val="none" w:sz="0" w:space="0" w:color="auto"/>
        <w:left w:val="none" w:sz="0" w:space="0" w:color="auto"/>
        <w:bottom w:val="none" w:sz="0" w:space="0" w:color="auto"/>
        <w:right w:val="none" w:sz="0" w:space="0" w:color="auto"/>
      </w:divBdr>
    </w:div>
    <w:div w:id="271714496">
      <w:bodyDiv w:val="1"/>
      <w:marLeft w:val="0"/>
      <w:marRight w:val="0"/>
      <w:marTop w:val="0"/>
      <w:marBottom w:val="0"/>
      <w:divBdr>
        <w:top w:val="none" w:sz="0" w:space="0" w:color="auto"/>
        <w:left w:val="none" w:sz="0" w:space="0" w:color="auto"/>
        <w:bottom w:val="none" w:sz="0" w:space="0" w:color="auto"/>
        <w:right w:val="none" w:sz="0" w:space="0" w:color="auto"/>
      </w:divBdr>
    </w:div>
    <w:div w:id="541215532">
      <w:bodyDiv w:val="1"/>
      <w:marLeft w:val="0"/>
      <w:marRight w:val="0"/>
      <w:marTop w:val="0"/>
      <w:marBottom w:val="0"/>
      <w:divBdr>
        <w:top w:val="none" w:sz="0" w:space="0" w:color="auto"/>
        <w:left w:val="none" w:sz="0" w:space="0" w:color="auto"/>
        <w:bottom w:val="none" w:sz="0" w:space="0" w:color="auto"/>
        <w:right w:val="none" w:sz="0" w:space="0" w:color="auto"/>
      </w:divBdr>
    </w:div>
    <w:div w:id="577180580">
      <w:bodyDiv w:val="1"/>
      <w:marLeft w:val="0"/>
      <w:marRight w:val="0"/>
      <w:marTop w:val="0"/>
      <w:marBottom w:val="0"/>
      <w:divBdr>
        <w:top w:val="none" w:sz="0" w:space="0" w:color="auto"/>
        <w:left w:val="none" w:sz="0" w:space="0" w:color="auto"/>
        <w:bottom w:val="none" w:sz="0" w:space="0" w:color="auto"/>
        <w:right w:val="none" w:sz="0" w:space="0" w:color="auto"/>
      </w:divBdr>
    </w:div>
    <w:div w:id="583607672">
      <w:bodyDiv w:val="1"/>
      <w:marLeft w:val="0"/>
      <w:marRight w:val="0"/>
      <w:marTop w:val="0"/>
      <w:marBottom w:val="0"/>
      <w:divBdr>
        <w:top w:val="none" w:sz="0" w:space="0" w:color="auto"/>
        <w:left w:val="none" w:sz="0" w:space="0" w:color="auto"/>
        <w:bottom w:val="none" w:sz="0" w:space="0" w:color="auto"/>
        <w:right w:val="none" w:sz="0" w:space="0" w:color="auto"/>
      </w:divBdr>
    </w:div>
    <w:div w:id="708336671">
      <w:bodyDiv w:val="1"/>
      <w:marLeft w:val="0"/>
      <w:marRight w:val="0"/>
      <w:marTop w:val="0"/>
      <w:marBottom w:val="0"/>
      <w:divBdr>
        <w:top w:val="none" w:sz="0" w:space="0" w:color="auto"/>
        <w:left w:val="none" w:sz="0" w:space="0" w:color="auto"/>
        <w:bottom w:val="none" w:sz="0" w:space="0" w:color="auto"/>
        <w:right w:val="none" w:sz="0" w:space="0" w:color="auto"/>
      </w:divBdr>
    </w:div>
    <w:div w:id="820923403">
      <w:bodyDiv w:val="1"/>
      <w:marLeft w:val="0"/>
      <w:marRight w:val="0"/>
      <w:marTop w:val="0"/>
      <w:marBottom w:val="0"/>
      <w:divBdr>
        <w:top w:val="none" w:sz="0" w:space="0" w:color="auto"/>
        <w:left w:val="none" w:sz="0" w:space="0" w:color="auto"/>
        <w:bottom w:val="none" w:sz="0" w:space="0" w:color="auto"/>
        <w:right w:val="none" w:sz="0" w:space="0" w:color="auto"/>
      </w:divBdr>
    </w:div>
    <w:div w:id="983698699">
      <w:bodyDiv w:val="1"/>
      <w:marLeft w:val="0"/>
      <w:marRight w:val="0"/>
      <w:marTop w:val="0"/>
      <w:marBottom w:val="0"/>
      <w:divBdr>
        <w:top w:val="none" w:sz="0" w:space="0" w:color="auto"/>
        <w:left w:val="none" w:sz="0" w:space="0" w:color="auto"/>
        <w:bottom w:val="none" w:sz="0" w:space="0" w:color="auto"/>
        <w:right w:val="none" w:sz="0" w:space="0" w:color="auto"/>
      </w:divBdr>
    </w:div>
    <w:div w:id="997226892">
      <w:bodyDiv w:val="1"/>
      <w:marLeft w:val="0"/>
      <w:marRight w:val="0"/>
      <w:marTop w:val="0"/>
      <w:marBottom w:val="0"/>
      <w:divBdr>
        <w:top w:val="none" w:sz="0" w:space="0" w:color="auto"/>
        <w:left w:val="none" w:sz="0" w:space="0" w:color="auto"/>
        <w:bottom w:val="none" w:sz="0" w:space="0" w:color="auto"/>
        <w:right w:val="none" w:sz="0" w:space="0" w:color="auto"/>
      </w:divBdr>
      <w:divsChild>
        <w:div w:id="49965038">
          <w:marLeft w:val="0"/>
          <w:marRight w:val="0"/>
          <w:marTop w:val="0"/>
          <w:marBottom w:val="0"/>
          <w:divBdr>
            <w:top w:val="none" w:sz="0" w:space="0" w:color="auto"/>
            <w:left w:val="none" w:sz="0" w:space="0" w:color="auto"/>
            <w:bottom w:val="none" w:sz="0" w:space="0" w:color="auto"/>
            <w:right w:val="none" w:sz="0" w:space="0" w:color="auto"/>
          </w:divBdr>
          <w:divsChild>
            <w:div w:id="8666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6034">
      <w:bodyDiv w:val="1"/>
      <w:marLeft w:val="0"/>
      <w:marRight w:val="0"/>
      <w:marTop w:val="0"/>
      <w:marBottom w:val="0"/>
      <w:divBdr>
        <w:top w:val="none" w:sz="0" w:space="0" w:color="auto"/>
        <w:left w:val="none" w:sz="0" w:space="0" w:color="auto"/>
        <w:bottom w:val="none" w:sz="0" w:space="0" w:color="auto"/>
        <w:right w:val="none" w:sz="0" w:space="0" w:color="auto"/>
      </w:divBdr>
    </w:div>
    <w:div w:id="1021469828">
      <w:bodyDiv w:val="1"/>
      <w:marLeft w:val="0"/>
      <w:marRight w:val="0"/>
      <w:marTop w:val="0"/>
      <w:marBottom w:val="0"/>
      <w:divBdr>
        <w:top w:val="none" w:sz="0" w:space="0" w:color="auto"/>
        <w:left w:val="none" w:sz="0" w:space="0" w:color="auto"/>
        <w:bottom w:val="none" w:sz="0" w:space="0" w:color="auto"/>
        <w:right w:val="none" w:sz="0" w:space="0" w:color="auto"/>
      </w:divBdr>
    </w:div>
    <w:div w:id="1267540158">
      <w:bodyDiv w:val="1"/>
      <w:marLeft w:val="0"/>
      <w:marRight w:val="0"/>
      <w:marTop w:val="0"/>
      <w:marBottom w:val="0"/>
      <w:divBdr>
        <w:top w:val="none" w:sz="0" w:space="0" w:color="auto"/>
        <w:left w:val="none" w:sz="0" w:space="0" w:color="auto"/>
        <w:bottom w:val="none" w:sz="0" w:space="0" w:color="auto"/>
        <w:right w:val="none" w:sz="0" w:space="0" w:color="auto"/>
      </w:divBdr>
    </w:div>
    <w:div w:id="1285119727">
      <w:bodyDiv w:val="1"/>
      <w:marLeft w:val="0"/>
      <w:marRight w:val="0"/>
      <w:marTop w:val="0"/>
      <w:marBottom w:val="0"/>
      <w:divBdr>
        <w:top w:val="none" w:sz="0" w:space="0" w:color="auto"/>
        <w:left w:val="none" w:sz="0" w:space="0" w:color="auto"/>
        <w:bottom w:val="none" w:sz="0" w:space="0" w:color="auto"/>
        <w:right w:val="none" w:sz="0" w:space="0" w:color="auto"/>
      </w:divBdr>
    </w:div>
    <w:div w:id="1383870494">
      <w:bodyDiv w:val="1"/>
      <w:marLeft w:val="0"/>
      <w:marRight w:val="0"/>
      <w:marTop w:val="0"/>
      <w:marBottom w:val="0"/>
      <w:divBdr>
        <w:top w:val="none" w:sz="0" w:space="0" w:color="auto"/>
        <w:left w:val="none" w:sz="0" w:space="0" w:color="auto"/>
        <w:bottom w:val="none" w:sz="0" w:space="0" w:color="auto"/>
        <w:right w:val="none" w:sz="0" w:space="0" w:color="auto"/>
      </w:divBdr>
    </w:div>
    <w:div w:id="1411075775">
      <w:bodyDiv w:val="1"/>
      <w:marLeft w:val="0"/>
      <w:marRight w:val="0"/>
      <w:marTop w:val="0"/>
      <w:marBottom w:val="0"/>
      <w:divBdr>
        <w:top w:val="none" w:sz="0" w:space="0" w:color="auto"/>
        <w:left w:val="none" w:sz="0" w:space="0" w:color="auto"/>
        <w:bottom w:val="none" w:sz="0" w:space="0" w:color="auto"/>
        <w:right w:val="none" w:sz="0" w:space="0" w:color="auto"/>
      </w:divBdr>
    </w:div>
    <w:div w:id="1679503057">
      <w:bodyDiv w:val="1"/>
      <w:marLeft w:val="0"/>
      <w:marRight w:val="0"/>
      <w:marTop w:val="0"/>
      <w:marBottom w:val="0"/>
      <w:divBdr>
        <w:top w:val="none" w:sz="0" w:space="0" w:color="auto"/>
        <w:left w:val="none" w:sz="0" w:space="0" w:color="auto"/>
        <w:bottom w:val="none" w:sz="0" w:space="0" w:color="auto"/>
        <w:right w:val="none" w:sz="0" w:space="0" w:color="auto"/>
      </w:divBdr>
    </w:div>
    <w:div w:id="1821966641">
      <w:bodyDiv w:val="1"/>
      <w:marLeft w:val="0"/>
      <w:marRight w:val="0"/>
      <w:marTop w:val="0"/>
      <w:marBottom w:val="0"/>
      <w:divBdr>
        <w:top w:val="none" w:sz="0" w:space="0" w:color="auto"/>
        <w:left w:val="none" w:sz="0" w:space="0" w:color="auto"/>
        <w:bottom w:val="none" w:sz="0" w:space="0" w:color="auto"/>
        <w:right w:val="none" w:sz="0" w:space="0" w:color="auto"/>
      </w:divBdr>
    </w:div>
    <w:div w:id="1909993973">
      <w:bodyDiv w:val="1"/>
      <w:marLeft w:val="0"/>
      <w:marRight w:val="0"/>
      <w:marTop w:val="0"/>
      <w:marBottom w:val="0"/>
      <w:divBdr>
        <w:top w:val="none" w:sz="0" w:space="0" w:color="auto"/>
        <w:left w:val="none" w:sz="0" w:space="0" w:color="auto"/>
        <w:bottom w:val="none" w:sz="0" w:space="0" w:color="auto"/>
        <w:right w:val="none" w:sz="0" w:space="0" w:color="auto"/>
      </w:divBdr>
    </w:div>
    <w:div w:id="1972130296">
      <w:bodyDiv w:val="1"/>
      <w:marLeft w:val="0"/>
      <w:marRight w:val="0"/>
      <w:marTop w:val="0"/>
      <w:marBottom w:val="0"/>
      <w:divBdr>
        <w:top w:val="none" w:sz="0" w:space="0" w:color="auto"/>
        <w:left w:val="none" w:sz="0" w:space="0" w:color="auto"/>
        <w:bottom w:val="none" w:sz="0" w:space="0" w:color="auto"/>
        <w:right w:val="none" w:sz="0" w:space="0" w:color="auto"/>
      </w:divBdr>
    </w:div>
    <w:div w:id="1978610557">
      <w:bodyDiv w:val="1"/>
      <w:marLeft w:val="0"/>
      <w:marRight w:val="0"/>
      <w:marTop w:val="0"/>
      <w:marBottom w:val="0"/>
      <w:divBdr>
        <w:top w:val="none" w:sz="0" w:space="0" w:color="auto"/>
        <w:left w:val="none" w:sz="0" w:space="0" w:color="auto"/>
        <w:bottom w:val="none" w:sz="0" w:space="0" w:color="auto"/>
        <w:right w:val="none" w:sz="0" w:space="0" w:color="auto"/>
      </w:divBdr>
    </w:div>
    <w:div w:id="2051028249">
      <w:bodyDiv w:val="1"/>
      <w:marLeft w:val="0"/>
      <w:marRight w:val="0"/>
      <w:marTop w:val="0"/>
      <w:marBottom w:val="0"/>
      <w:divBdr>
        <w:top w:val="none" w:sz="0" w:space="0" w:color="auto"/>
        <w:left w:val="none" w:sz="0" w:space="0" w:color="auto"/>
        <w:bottom w:val="none" w:sz="0" w:space="0" w:color="auto"/>
        <w:right w:val="none" w:sz="0" w:space="0" w:color="auto"/>
      </w:divBdr>
    </w:div>
    <w:div w:id="2086419413">
      <w:bodyDiv w:val="1"/>
      <w:marLeft w:val="0"/>
      <w:marRight w:val="0"/>
      <w:marTop w:val="0"/>
      <w:marBottom w:val="0"/>
      <w:divBdr>
        <w:top w:val="none" w:sz="0" w:space="0" w:color="auto"/>
        <w:left w:val="none" w:sz="0" w:space="0" w:color="auto"/>
        <w:bottom w:val="none" w:sz="0" w:space="0" w:color="auto"/>
        <w:right w:val="none" w:sz="0" w:space="0" w:color="auto"/>
      </w:divBdr>
    </w:div>
    <w:div w:id="21372168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F3F32-76DD-4114-B3FF-0F8F5D58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34</Pages>
  <Words>6536</Words>
  <Characters>37261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PC</cp:lastModifiedBy>
  <cp:revision>21</cp:revision>
  <cp:lastPrinted>2025-07-10T19:14:00Z</cp:lastPrinted>
  <dcterms:created xsi:type="dcterms:W3CDTF">2025-07-11T10:37:00Z</dcterms:created>
  <dcterms:modified xsi:type="dcterms:W3CDTF">2025-07-27T14:02:00Z</dcterms:modified>
</cp:coreProperties>
</file>