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36" w:rsidRPr="00FE5962" w:rsidRDefault="008F3E36" w:rsidP="008F3E36">
      <w:pPr>
        <w:jc w:val="center"/>
        <w:rPr>
          <w:rFonts w:ascii="Times New Roman" w:hAnsi="Times New Roman"/>
          <w:b/>
          <w:sz w:val="28"/>
        </w:rPr>
      </w:pPr>
      <w:r>
        <w:rPr>
          <w:b/>
          <w:noProof/>
          <w:sz w:val="32"/>
          <w:szCs w:val="32"/>
          <w:lang w:eastAsia="en-US"/>
        </w:rPr>
        <w:drawing>
          <wp:inline distT="0" distB="0" distL="0" distR="0" wp14:anchorId="47AAFB9A" wp14:editId="05832781">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8F3E36" w:rsidRPr="001B25BC" w:rsidRDefault="008F3E36" w:rsidP="008F3E36">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8F3E36" w:rsidRPr="00D9069C" w:rsidRDefault="008F3E36" w:rsidP="008F3E36">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rsidR="008F3E36" w:rsidRPr="00FE5962" w:rsidRDefault="008F3E36" w:rsidP="008F3E36">
      <w:pPr>
        <w:spacing w:before="240"/>
        <w:jc w:val="center"/>
        <w:rPr>
          <w:rFonts w:ascii="Times New Roman" w:hAnsi="Times New Roman"/>
          <w:b/>
          <w:i/>
          <w:sz w:val="28"/>
        </w:rPr>
      </w:pPr>
      <w:r w:rsidRPr="00FE5962">
        <w:rPr>
          <w:rFonts w:ascii="Times New Roman" w:hAnsi="Times New Roman"/>
          <w:b/>
          <w:i/>
          <w:sz w:val="28"/>
        </w:rPr>
        <w:t xml:space="preserve">BY </w:t>
      </w:r>
    </w:p>
    <w:p w:rsidR="008F3E36" w:rsidRDefault="008F3E36" w:rsidP="008F3E36">
      <w:pPr>
        <w:spacing w:after="0"/>
        <w:jc w:val="center"/>
        <w:rPr>
          <w:rFonts w:ascii="Times New Roman" w:hAnsi="Times New Roman"/>
          <w:b/>
          <w:sz w:val="26"/>
        </w:rPr>
      </w:pPr>
      <w:r>
        <w:rPr>
          <w:rFonts w:ascii="Times New Roman" w:hAnsi="Times New Roman"/>
          <w:b/>
          <w:sz w:val="26"/>
        </w:rPr>
        <w:t>ABDULQADIR AISHAT DOLAPO</w:t>
      </w:r>
      <w:r>
        <w:rPr>
          <w:rFonts w:ascii="Times New Roman" w:hAnsi="Times New Roman"/>
          <w:b/>
          <w:sz w:val="26"/>
        </w:rPr>
        <w:t xml:space="preserve"> </w:t>
      </w:r>
    </w:p>
    <w:p w:rsidR="008F3E36" w:rsidRPr="001B25BC" w:rsidRDefault="008F3E36" w:rsidP="008F3E36">
      <w:pPr>
        <w:spacing w:after="0"/>
        <w:jc w:val="center"/>
        <w:rPr>
          <w:rFonts w:ascii="Times New Roman" w:hAnsi="Times New Roman"/>
          <w:b/>
          <w:sz w:val="26"/>
        </w:rPr>
      </w:pPr>
      <w:r>
        <w:rPr>
          <w:rFonts w:ascii="Times New Roman" w:hAnsi="Times New Roman"/>
          <w:b/>
          <w:sz w:val="26"/>
        </w:rPr>
        <w:t>HND/23/SLT/FT/0695</w:t>
      </w:r>
    </w:p>
    <w:p w:rsidR="008F3E36" w:rsidRDefault="008F3E36" w:rsidP="008F3E36">
      <w:pPr>
        <w:jc w:val="center"/>
        <w:rPr>
          <w:rFonts w:ascii="Times New Roman" w:hAnsi="Times New Roman"/>
        </w:rPr>
      </w:pPr>
    </w:p>
    <w:p w:rsidR="008F3E36" w:rsidRPr="00F36161" w:rsidRDefault="008F3E36" w:rsidP="008F3E36">
      <w:pPr>
        <w:jc w:val="center"/>
        <w:rPr>
          <w:rFonts w:ascii="Times New Roman" w:hAnsi="Times New Roman"/>
        </w:rPr>
      </w:pPr>
      <w:r w:rsidRPr="00F36161">
        <w:rPr>
          <w:rFonts w:ascii="Times New Roman" w:hAnsi="Times New Roman"/>
        </w:rPr>
        <w:t>BEING PROJECT SUBMITTED TO</w:t>
      </w:r>
    </w:p>
    <w:p w:rsidR="008F3E36" w:rsidRPr="00F36161" w:rsidRDefault="008F3E36" w:rsidP="008F3E36">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8F3E36" w:rsidRPr="00F36161" w:rsidRDefault="008F3E36" w:rsidP="008F3E36">
      <w:pPr>
        <w:jc w:val="center"/>
        <w:rPr>
          <w:rFonts w:ascii="Times New Roman" w:hAnsi="Times New Roman"/>
          <w:b/>
        </w:rPr>
      </w:pPr>
      <w:r w:rsidRPr="00F36161">
        <w:rPr>
          <w:rFonts w:ascii="Times New Roman" w:hAnsi="Times New Roman"/>
          <w:b/>
        </w:rPr>
        <w:t>KWARA STATE POLYTECHNIC ILORIN, KWARA STATE</w:t>
      </w:r>
    </w:p>
    <w:p w:rsidR="008F3E36" w:rsidRPr="00F36161" w:rsidRDefault="008F3E36" w:rsidP="008F3E36">
      <w:pPr>
        <w:jc w:val="center"/>
        <w:rPr>
          <w:rFonts w:ascii="Times New Roman" w:hAnsi="Times New Roman"/>
          <w:b/>
          <w:sz w:val="8"/>
        </w:rPr>
      </w:pPr>
    </w:p>
    <w:p w:rsidR="008F3E36" w:rsidRPr="00F36161" w:rsidRDefault="008F3E36" w:rsidP="008F3E36">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8F3E36" w:rsidRPr="00F36161" w:rsidRDefault="008F3E36" w:rsidP="008F3E36">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8F3E36" w:rsidRPr="00FE5962" w:rsidRDefault="008F3E36" w:rsidP="008F3E36">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8F3E36" w:rsidRDefault="008F3E36" w:rsidP="008F3E36">
      <w:pPr>
        <w:jc w:val="center"/>
        <w:rPr>
          <w:rFonts w:ascii="Times New Roman" w:hAnsi="Times New Roman"/>
          <w:b/>
          <w:sz w:val="28"/>
          <w:szCs w:val="28"/>
        </w:rPr>
      </w:pPr>
    </w:p>
    <w:p w:rsidR="008F3E36" w:rsidRDefault="008F3E36" w:rsidP="008F3E36">
      <w:pPr>
        <w:jc w:val="center"/>
        <w:rPr>
          <w:rFonts w:ascii="Times New Roman" w:hAnsi="Times New Roman"/>
          <w:b/>
          <w:sz w:val="28"/>
          <w:szCs w:val="28"/>
        </w:rPr>
      </w:pPr>
    </w:p>
    <w:p w:rsidR="008F3E36" w:rsidRDefault="008F3E36" w:rsidP="008F3E36">
      <w:pPr>
        <w:spacing w:after="160" w:line="259" w:lineRule="auto"/>
        <w:rPr>
          <w:rFonts w:ascii="Times New Roman" w:hAnsi="Times New Roman"/>
          <w:b/>
          <w:sz w:val="28"/>
          <w:szCs w:val="28"/>
        </w:rPr>
      </w:pPr>
      <w:r>
        <w:rPr>
          <w:rFonts w:ascii="Times New Roman" w:hAnsi="Times New Roman"/>
          <w:b/>
          <w:sz w:val="28"/>
          <w:szCs w:val="28"/>
        </w:rPr>
        <w:br w:type="page"/>
      </w:r>
    </w:p>
    <w:p w:rsidR="008F3E36" w:rsidRPr="0060347F" w:rsidRDefault="00BB57E9" w:rsidP="008F3E36">
      <w:pPr>
        <w:jc w:val="center"/>
        <w:rPr>
          <w:rFonts w:ascii="Times New Roman" w:hAnsi="Times New Roman"/>
          <w:b/>
          <w:sz w:val="28"/>
          <w:szCs w:val="28"/>
        </w:rPr>
      </w:pPr>
      <w:r>
        <w:rPr>
          <w:rFonts w:ascii="Times New Roman" w:hAnsi="Times New Roman"/>
          <w:b/>
          <w:noProof/>
          <w:sz w:val="28"/>
          <w:szCs w:val="28"/>
          <w:lang w:eastAsia="en-US"/>
        </w:rPr>
        <w:lastRenderedPageBreak/>
        <w:drawing>
          <wp:inline distT="0" distB="0" distL="0" distR="0">
            <wp:extent cx="6182139" cy="8253359"/>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HAT.jpg"/>
                    <pic:cNvPicPr/>
                  </pic:nvPicPr>
                  <pic:blipFill>
                    <a:blip r:embed="rId10">
                      <a:extLst>
                        <a:ext uri="{28A0092B-C50C-407E-A947-70E740481C1C}">
                          <a14:useLocalDpi xmlns:a14="http://schemas.microsoft.com/office/drawing/2010/main" val="0"/>
                        </a:ext>
                      </a:extLst>
                    </a:blip>
                    <a:stretch>
                      <a:fillRect/>
                    </a:stretch>
                  </pic:blipFill>
                  <pic:spPr>
                    <a:xfrm>
                      <a:off x="0" y="0"/>
                      <a:ext cx="6185474" cy="8257811"/>
                    </a:xfrm>
                    <a:prstGeom prst="rect">
                      <a:avLst/>
                    </a:prstGeom>
                  </pic:spPr>
                </pic:pic>
              </a:graphicData>
            </a:graphic>
          </wp:inline>
        </w:drawing>
      </w:r>
      <w:r w:rsidR="008F3E36">
        <w:rPr>
          <w:rFonts w:ascii="Times New Roman" w:hAnsi="Times New Roman"/>
          <w:b/>
          <w:sz w:val="28"/>
          <w:szCs w:val="28"/>
        </w:rPr>
        <w:br w:type="page"/>
      </w:r>
      <w:r w:rsidR="008F3E36" w:rsidRPr="0060347F">
        <w:rPr>
          <w:rFonts w:ascii="Times New Roman" w:hAnsi="Times New Roman"/>
          <w:b/>
          <w:sz w:val="28"/>
          <w:szCs w:val="28"/>
        </w:rPr>
        <w:lastRenderedPageBreak/>
        <w:t>DEDICATION</w:t>
      </w:r>
    </w:p>
    <w:p w:rsidR="008F3E36" w:rsidRPr="008F3E36" w:rsidRDefault="008F3E36" w:rsidP="008F3E36">
      <w:pPr>
        <w:spacing w:after="0" w:line="480" w:lineRule="auto"/>
        <w:jc w:val="both"/>
        <w:rPr>
          <w:rFonts w:ascii="Times New Roman" w:hAnsi="Times New Roman"/>
          <w:sz w:val="28"/>
          <w:szCs w:val="28"/>
        </w:rPr>
      </w:pPr>
      <w:r w:rsidRPr="008F3E36">
        <w:rPr>
          <w:rFonts w:ascii="Times New Roman" w:hAnsi="Times New Roman"/>
          <w:sz w:val="28"/>
          <w:szCs w:val="28"/>
        </w:rPr>
        <w:t xml:space="preserve">I </w:t>
      </w:r>
      <w:proofErr w:type="gramStart"/>
      <w:r w:rsidRPr="008F3E36">
        <w:rPr>
          <w:rFonts w:ascii="Times New Roman" w:hAnsi="Times New Roman"/>
          <w:sz w:val="28"/>
          <w:szCs w:val="28"/>
        </w:rPr>
        <w:t>Dedicate</w:t>
      </w:r>
      <w:proofErr w:type="gramEnd"/>
      <w:r w:rsidRPr="008F3E36">
        <w:rPr>
          <w:rFonts w:ascii="Times New Roman" w:hAnsi="Times New Roman"/>
          <w:sz w:val="28"/>
          <w:szCs w:val="28"/>
        </w:rPr>
        <w:t xml:space="preserve"> this project to The Almighty F</w:t>
      </w:r>
      <w:r>
        <w:rPr>
          <w:rFonts w:ascii="Times New Roman" w:hAnsi="Times New Roman"/>
          <w:sz w:val="28"/>
          <w:szCs w:val="28"/>
        </w:rPr>
        <w:t xml:space="preserve">or Divine Wisdom And Protection. </w:t>
      </w:r>
      <w:r w:rsidRPr="008F3E36">
        <w:rPr>
          <w:rFonts w:ascii="Times New Roman" w:hAnsi="Times New Roman"/>
          <w:sz w:val="28"/>
          <w:szCs w:val="28"/>
        </w:rPr>
        <w:t>A</w:t>
      </w:r>
      <w:r>
        <w:rPr>
          <w:rFonts w:ascii="Times New Roman" w:hAnsi="Times New Roman"/>
          <w:sz w:val="28"/>
          <w:szCs w:val="28"/>
        </w:rPr>
        <w:t xml:space="preserve">lso My Own Efforts </w:t>
      </w:r>
      <w:proofErr w:type="gramStart"/>
      <w:r>
        <w:rPr>
          <w:rFonts w:ascii="Times New Roman" w:hAnsi="Times New Roman"/>
          <w:sz w:val="28"/>
          <w:szCs w:val="28"/>
        </w:rPr>
        <w:t>And</w:t>
      </w:r>
      <w:proofErr w:type="gramEnd"/>
      <w:r>
        <w:rPr>
          <w:rFonts w:ascii="Times New Roman" w:hAnsi="Times New Roman"/>
          <w:sz w:val="28"/>
          <w:szCs w:val="28"/>
        </w:rPr>
        <w:t xml:space="preserve"> Hard work. </w:t>
      </w:r>
      <w:r w:rsidRPr="008F3E36">
        <w:rPr>
          <w:rFonts w:ascii="Times New Roman" w:hAnsi="Times New Roman"/>
          <w:sz w:val="28"/>
          <w:szCs w:val="28"/>
        </w:rPr>
        <w:t>And To My Beloved Parents For Unwavering Support.</w:t>
      </w:r>
      <w:r>
        <w:rPr>
          <w:b/>
          <w:szCs w:val="28"/>
        </w:rPr>
        <w:br w:type="page"/>
      </w:r>
    </w:p>
    <w:p w:rsidR="008F3E36" w:rsidRPr="0060347F" w:rsidRDefault="008F3E36" w:rsidP="008F3E36">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8F3E36" w:rsidRDefault="008F3E36" w:rsidP="008F3E36">
      <w:pPr>
        <w:spacing w:after="160" w:line="480" w:lineRule="auto"/>
        <w:jc w:val="both"/>
        <w:rPr>
          <w:rFonts w:ascii="Times New Roman" w:hAnsi="Times New Roman"/>
          <w:b/>
          <w:bCs/>
          <w:sz w:val="28"/>
        </w:rPr>
      </w:pPr>
      <w:proofErr w:type="gramStart"/>
      <w:r w:rsidRPr="008F3E36">
        <w:rPr>
          <w:rFonts w:ascii="Times New Roman" w:hAnsi="Times New Roman"/>
          <w:sz w:val="28"/>
          <w:szCs w:val="28"/>
        </w:rPr>
        <w:t>My heartfelt gratitude to God for guiding me throughout and providing me strength and insight.</w:t>
      </w:r>
      <w:proofErr w:type="gramEnd"/>
      <w:r w:rsidRPr="008F3E36">
        <w:rPr>
          <w:rFonts w:ascii="Times New Roman" w:hAnsi="Times New Roman"/>
          <w:sz w:val="28"/>
          <w:szCs w:val="28"/>
        </w:rPr>
        <w:t xml:space="preserve"> I immensely appreciate my own efforts in seeing this project through and for perseverance, hard work, determination, and dedication. Special thanks to my parents for their unconditional love and support. I also appreciate the personnel of A Division Police Station, Ilorin, for their valuable understanding and assistance in making my journey easy and worthwhile.</w:t>
      </w:r>
      <w:r>
        <w:rPr>
          <w:rFonts w:ascii="Times New Roman" w:hAnsi="Times New Roman"/>
          <w:b/>
          <w:bCs/>
          <w:sz w:val="28"/>
        </w:rPr>
        <w:br w:type="page"/>
      </w:r>
    </w:p>
    <w:p w:rsidR="008F3E36" w:rsidRPr="00404465" w:rsidRDefault="008F3E36" w:rsidP="008F3E36">
      <w:pPr>
        <w:spacing w:line="360" w:lineRule="auto"/>
        <w:rPr>
          <w:rFonts w:ascii="Times New Roman" w:hAnsi="Times New Roman"/>
          <w:sz w:val="28"/>
        </w:rPr>
      </w:pPr>
      <w:r>
        <w:rPr>
          <w:rFonts w:ascii="Times New Roman" w:hAnsi="Times New Roman"/>
          <w:b/>
          <w:bCs/>
          <w:sz w:val="28"/>
        </w:rPr>
        <w:lastRenderedPageBreak/>
        <w:t xml:space="preserve">Table of </w:t>
      </w:r>
      <w:r w:rsidRPr="00404465">
        <w:rPr>
          <w:rFonts w:ascii="Times New Roman" w:hAnsi="Times New Roman"/>
          <w:b/>
          <w:bCs/>
          <w:sz w:val="28"/>
        </w:rPr>
        <w:t>Contents</w:t>
      </w:r>
    </w:p>
    <w:p w:rsidR="008F3E36" w:rsidRPr="00404465" w:rsidRDefault="008F3E36" w:rsidP="008F3E36">
      <w:pPr>
        <w:spacing w:line="360" w:lineRule="auto"/>
        <w:jc w:val="both"/>
        <w:rPr>
          <w:rFonts w:ascii="Times New Roman" w:hAnsi="Times New Roman"/>
          <w:sz w:val="28"/>
        </w:rPr>
      </w:pPr>
      <w:r w:rsidRPr="00404465">
        <w:rPr>
          <w:rFonts w:ascii="Times New Roman" w:hAnsi="Times New Roman"/>
          <w:sz w:val="28"/>
        </w:rPr>
        <w:t>Title page</w:t>
      </w:r>
    </w:p>
    <w:p w:rsidR="008F3E36" w:rsidRPr="00404465" w:rsidRDefault="008F3E36" w:rsidP="008F3E36">
      <w:pPr>
        <w:spacing w:line="360" w:lineRule="auto"/>
        <w:jc w:val="both"/>
        <w:rPr>
          <w:rFonts w:ascii="Times New Roman" w:hAnsi="Times New Roman"/>
          <w:sz w:val="28"/>
        </w:rPr>
      </w:pPr>
      <w:r w:rsidRPr="00404465">
        <w:rPr>
          <w:rFonts w:ascii="Times New Roman" w:hAnsi="Times New Roman"/>
          <w:sz w:val="28"/>
        </w:rPr>
        <w:t>Certification</w:t>
      </w:r>
    </w:p>
    <w:p w:rsidR="008F3E36" w:rsidRPr="00404465" w:rsidRDefault="008F3E36" w:rsidP="008F3E36">
      <w:pPr>
        <w:spacing w:line="360" w:lineRule="auto"/>
        <w:jc w:val="both"/>
        <w:rPr>
          <w:rFonts w:ascii="Times New Roman" w:hAnsi="Times New Roman"/>
          <w:sz w:val="28"/>
        </w:rPr>
      </w:pPr>
      <w:r w:rsidRPr="00404465">
        <w:rPr>
          <w:rFonts w:ascii="Times New Roman" w:hAnsi="Times New Roman"/>
          <w:sz w:val="28"/>
        </w:rPr>
        <w:t>Dedication</w:t>
      </w:r>
    </w:p>
    <w:p w:rsidR="008F3E36" w:rsidRPr="00404465" w:rsidRDefault="008F3E36" w:rsidP="008F3E36">
      <w:pPr>
        <w:spacing w:line="360" w:lineRule="auto"/>
        <w:jc w:val="both"/>
        <w:rPr>
          <w:rFonts w:ascii="Times New Roman" w:hAnsi="Times New Roman"/>
          <w:sz w:val="28"/>
        </w:rPr>
      </w:pPr>
      <w:r w:rsidRPr="00404465">
        <w:rPr>
          <w:rFonts w:ascii="Times New Roman" w:hAnsi="Times New Roman"/>
          <w:sz w:val="28"/>
        </w:rPr>
        <w:t>Acknowledgements</w:t>
      </w:r>
    </w:p>
    <w:p w:rsidR="008F3E36" w:rsidRPr="00404465" w:rsidRDefault="008F3E36" w:rsidP="008F3E36">
      <w:pPr>
        <w:spacing w:line="360" w:lineRule="auto"/>
        <w:jc w:val="both"/>
        <w:rPr>
          <w:rFonts w:ascii="Times New Roman" w:hAnsi="Times New Roman"/>
          <w:sz w:val="28"/>
        </w:rPr>
      </w:pPr>
      <w:r w:rsidRPr="00404465">
        <w:rPr>
          <w:rFonts w:ascii="Times New Roman" w:hAnsi="Times New Roman"/>
          <w:sz w:val="28"/>
        </w:rPr>
        <w:t>Table of Content</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8F3E36" w:rsidRPr="00B614BF" w:rsidRDefault="008F3E36" w:rsidP="008F3E36">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1.6 </w:t>
      </w:r>
      <w:r w:rsidRPr="00B614BF">
        <w:rPr>
          <w:rFonts w:ascii="Times New Roman" w:hAnsi="Times New Roman"/>
          <w:sz w:val="28"/>
          <w:szCs w:val="28"/>
        </w:rPr>
        <w:tab/>
        <w:t xml:space="preserve">Flax of an Animal Feed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rsidR="008F3E36" w:rsidRPr="00B614BF" w:rsidRDefault="008F3E36" w:rsidP="008F3E36">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rsidR="008F3E36" w:rsidRPr="00B614BF" w:rsidRDefault="008F3E36" w:rsidP="008F3E36">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3.1</w:t>
      </w:r>
      <w:r w:rsidRPr="00B614BF">
        <w:rPr>
          <w:rFonts w:ascii="Times New Roman" w:hAnsi="Times New Roman"/>
          <w:sz w:val="28"/>
          <w:szCs w:val="28"/>
        </w:rPr>
        <w:tab/>
        <w:t xml:space="preserve">Results </w:t>
      </w:r>
    </w:p>
    <w:p w:rsidR="008F3E36" w:rsidRPr="00B614BF" w:rsidRDefault="008F3E36" w:rsidP="008F3E36">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rsidR="008F3E36" w:rsidRPr="00B614BF" w:rsidRDefault="008F3E36" w:rsidP="008F3E36">
      <w:pPr>
        <w:spacing w:before="240" w:line="480" w:lineRule="auto"/>
        <w:jc w:val="both"/>
        <w:rPr>
          <w:rFonts w:ascii="Times New Roman" w:hAnsi="Times New Roman"/>
          <w:sz w:val="28"/>
          <w:szCs w:val="28"/>
        </w:rPr>
      </w:pPr>
    </w:p>
    <w:p w:rsidR="008F3E36" w:rsidRPr="00B614BF" w:rsidRDefault="008F3E36" w:rsidP="008F3E36">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lastRenderedPageBreak/>
        <w:t>ABSTRACT</w:t>
      </w:r>
    </w:p>
    <w:p w:rsidR="008F3E36" w:rsidRPr="00B614BF" w:rsidRDefault="008F3E36" w:rsidP="008F3E36">
      <w:pPr>
        <w:spacing w:after="0"/>
        <w:ind w:firstLine="72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w:t>
      </w:r>
      <w:proofErr w:type="spellStart"/>
      <w:r w:rsidRPr="00B614BF">
        <w:rPr>
          <w:rFonts w:ascii="Times New Roman" w:hAnsi="Times New Roman"/>
          <w:i/>
          <w:sz w:val="28"/>
          <w:szCs w:val="28"/>
        </w:rPr>
        <w:t>polyphenolic</w:t>
      </w:r>
      <w:proofErr w:type="spellEnd"/>
      <w:r w:rsidRPr="00B614BF">
        <w:rPr>
          <w:rFonts w:ascii="Times New Roman" w:hAnsi="Times New Roman"/>
          <w:i/>
          <w:sz w:val="28"/>
          <w:szCs w:val="28"/>
        </w:rPr>
        <w:t xml:space="preserve"> compounds all of which contribute to their potent antioxidant properties, The objective of this research is to evaluate the free radical scavenging potential of flax seed extracts using standard in vitro assays such as DPPH (2</w:t>
      </w:r>
      <w:proofErr w:type="gramStart"/>
      <w:r w:rsidRPr="00B614BF">
        <w:rPr>
          <w:rFonts w:ascii="Times New Roman" w:hAnsi="Times New Roman"/>
          <w:i/>
          <w:sz w:val="28"/>
          <w:szCs w:val="28"/>
        </w:rPr>
        <w:t>,2</w:t>
      </w:r>
      <w:proofErr w:type="gramEnd"/>
      <w:r w:rsidRPr="00B614BF">
        <w:rPr>
          <w:rFonts w:ascii="Times New Roman" w:hAnsi="Times New Roman"/>
          <w:i/>
          <w:sz w:val="28"/>
          <w:szCs w:val="28"/>
        </w:rPr>
        <w:t xml:space="preserve">-diphenyl-1-picrylhydrazyl)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w:t>
      </w:r>
      <w:proofErr w:type="gramStart"/>
      <w:r w:rsidRPr="00B614BF">
        <w:rPr>
          <w:rFonts w:ascii="Times New Roman" w:hAnsi="Times New Roman"/>
          <w:i/>
          <w:sz w:val="28"/>
          <w:szCs w:val="28"/>
        </w:rPr>
        <w:t>These findings supports</w:t>
      </w:r>
      <w:proofErr w:type="gramEnd"/>
      <w:r w:rsidRPr="00B614BF">
        <w:rPr>
          <w:rFonts w:ascii="Times New Roman" w:hAnsi="Times New Roman"/>
          <w:i/>
          <w:sz w:val="28"/>
          <w:szCs w:val="28"/>
        </w:rPr>
        <w:t xml:space="preserve"> the potential application of flax seeds as a natural source of antioxidants in functional foods, </w:t>
      </w:r>
      <w:proofErr w:type="spellStart"/>
      <w:r w:rsidRPr="00B614BF">
        <w:rPr>
          <w:rFonts w:ascii="Times New Roman" w:hAnsi="Times New Roman"/>
          <w:i/>
          <w:sz w:val="28"/>
          <w:szCs w:val="28"/>
        </w:rPr>
        <w:t>nutraceuticals</w:t>
      </w:r>
      <w:proofErr w:type="spellEnd"/>
      <w:r w:rsidRPr="00B614BF">
        <w:rPr>
          <w:rFonts w:ascii="Times New Roman" w:hAnsi="Times New Roman"/>
          <w:i/>
          <w:sz w:val="28"/>
          <w:szCs w:val="28"/>
        </w:rPr>
        <w:t xml:space="preserve"> and preventive health strategies. Further studies are recommended to isolate specific bioactive constituents responsible for the observed activity and to explore their mechanisms of action in biological systems.</w:t>
      </w:r>
    </w:p>
    <w:p w:rsidR="008F3E36" w:rsidRPr="00B614BF" w:rsidRDefault="008F3E36" w:rsidP="008F3E36">
      <w:pPr>
        <w:spacing w:before="240" w:after="160" w:line="480" w:lineRule="auto"/>
        <w:rPr>
          <w:rFonts w:ascii="Times New Roman" w:hAnsi="Times New Roman"/>
          <w:b/>
          <w:sz w:val="28"/>
          <w:szCs w:val="28"/>
        </w:rPr>
      </w:pPr>
    </w:p>
    <w:p w:rsidR="008F3E36" w:rsidRDefault="008F3E36" w:rsidP="008F3E36"/>
    <w:p w:rsidR="008F3E36" w:rsidRDefault="008F3E36" w:rsidP="008F3E36"/>
    <w:p w:rsidR="008B7163" w:rsidRPr="00B614BF" w:rsidRDefault="008F3E36"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lastRenderedPageBreak/>
        <w:t>CHAPTER ONE</w:t>
      </w:r>
    </w:p>
    <w:p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w:t>
      </w:r>
      <w:bookmarkStart w:id="0" w:name="_GoBack"/>
      <w:bookmarkEnd w:id="0"/>
      <w:r w:rsidRPr="00B614BF">
        <w:rPr>
          <w:rFonts w:ascii="Times New Roman" w:hAnsi="Times New Roman"/>
          <w:sz w:val="28"/>
          <w:szCs w:val="28"/>
        </w:rPr>
        <w:t>(mainly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(linolenic acid and linolenic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w:t>
      </w:r>
      <w:r w:rsidRPr="00B614BF">
        <w:rPr>
          <w:rFonts w:ascii="Times New Roman" w:hAnsi="Times New Roman"/>
          <w:sz w:val="28"/>
          <w:szCs w:val="28"/>
        </w:rPr>
        <w:lastRenderedPageBreak/>
        <w:t xml:space="preserve">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xml:space="preserve">, are not intended to only satisfy hunger and to provide basic nutritional requirements but also to prevent nutrition-related diseases and to improve physical and mental well-being of the consumers. Consumer </w:t>
      </w:r>
      <w:r w:rsidRPr="00B614BF">
        <w:rPr>
          <w:rFonts w:ascii="Times New Roman" w:hAnsi="Times New Roman"/>
          <w:sz w:val="28"/>
          <w:szCs w:val="28"/>
        </w:rPr>
        <w:lastRenderedPageBreak/>
        <w:t>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defined that a food product can only be considered functional if together with the basic nutritional impact it has beneficial effects on one or more functions of the human organism this either improving the 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proofErr w:type="gramStart"/>
      <w:r w:rsidRPr="00B614BF">
        <w:rPr>
          <w:rFonts w:ascii="Times New Roman" w:hAnsi="Times New Roman"/>
          <w:sz w:val="28"/>
          <w:szCs w:val="28"/>
        </w:rPr>
        <w:t>al(</w:t>
      </w:r>
      <w:proofErr w:type="gramEnd"/>
      <w:r w:rsidRPr="00B614BF">
        <w:rPr>
          <w:rFonts w:ascii="Times New Roman" w:hAnsi="Times New Roman"/>
          <w:sz w:val="28"/>
          <w:szCs w:val="28"/>
        </w:rPr>
        <w:t>2015) ).</w:t>
      </w:r>
    </w:p>
    <w:p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flaxseed score based on the limiting amino acid is 82, however this score for soybeans is 67. It has also been shown in some studies that 34.3% of the amino acids and 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rsidTr="00F3523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Components (%)</w:t>
            </w:r>
          </w:p>
        </w:tc>
        <w:tc>
          <w:tcPr>
            <w:tcW w:w="1181"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a-linolenic acid </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rsidTr="00F3523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rsidTr="00F3523C">
        <w:tc>
          <w:tcPr>
            <w:tcW w:w="1726"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rsidTr="00F3523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Palmitic acid </w:t>
            </w:r>
          </w:p>
        </w:tc>
        <w:tc>
          <w:tcPr>
            <w:tcW w:w="1302"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rsidTr="00F3523C">
        <w:tc>
          <w:tcPr>
            <w:tcW w:w="1726" w:type="dxa"/>
          </w:tcPr>
          <w:p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Fiber</w:t>
            </w:r>
          </w:p>
        </w:tc>
        <w:tc>
          <w:tcPr>
            <w:tcW w:w="1181" w:type="dxa"/>
          </w:tcPr>
          <w:p w:rsidR="00D02655" w:rsidRPr="00B614BF" w:rsidRDefault="00D02655" w:rsidP="00B614BF">
            <w:pPr>
              <w:spacing w:before="240" w:line="480" w:lineRule="auto"/>
              <w:jc w:val="both"/>
              <w:rPr>
                <w:rFonts w:ascii="Times New Roman" w:hAnsi="Times New Roman"/>
                <w:sz w:val="28"/>
                <w:szCs w:val="28"/>
              </w:rPr>
            </w:pPr>
          </w:p>
        </w:tc>
        <w:tc>
          <w:tcPr>
            <w:tcW w:w="1726" w:type="dxa"/>
          </w:tcPr>
          <w:p w:rsidR="00D02655" w:rsidRPr="00B614BF" w:rsidRDefault="00D02655" w:rsidP="00B614BF">
            <w:pPr>
              <w:spacing w:before="240" w:line="480" w:lineRule="auto"/>
              <w:jc w:val="both"/>
              <w:rPr>
                <w:rFonts w:ascii="Times New Roman" w:hAnsi="Times New Roman"/>
                <w:sz w:val="28"/>
                <w:szCs w:val="28"/>
              </w:rPr>
            </w:pPr>
          </w:p>
        </w:tc>
        <w:tc>
          <w:tcPr>
            <w:tcW w:w="1302" w:type="dxa"/>
          </w:tcPr>
          <w:p w:rsidR="00D02655" w:rsidRPr="00B614BF" w:rsidRDefault="00D02655" w:rsidP="00B614BF">
            <w:pPr>
              <w:spacing w:before="240" w:line="480" w:lineRule="auto"/>
              <w:jc w:val="both"/>
              <w:rPr>
                <w:rFonts w:ascii="Times New Roman" w:hAnsi="Times New Roman"/>
                <w:sz w:val="28"/>
                <w:szCs w:val="28"/>
              </w:rPr>
            </w:pPr>
          </w:p>
        </w:tc>
        <w:tc>
          <w:tcPr>
            <w:tcW w:w="1800" w:type="dxa"/>
          </w:tcPr>
          <w:p w:rsidR="00D02655" w:rsidRPr="00B614BF" w:rsidRDefault="00D02655" w:rsidP="00B614BF">
            <w:pPr>
              <w:spacing w:before="240" w:line="480" w:lineRule="auto"/>
              <w:jc w:val="both"/>
              <w:rPr>
                <w:rFonts w:ascii="Times New Roman" w:hAnsi="Times New Roman"/>
                <w:sz w:val="28"/>
                <w:szCs w:val="28"/>
              </w:rPr>
            </w:pPr>
          </w:p>
        </w:tc>
        <w:tc>
          <w:tcPr>
            <w:tcW w:w="1350" w:type="dxa"/>
          </w:tcPr>
          <w:p w:rsidR="00D02655" w:rsidRPr="00B614BF" w:rsidRDefault="00D02655" w:rsidP="00B614BF">
            <w:pPr>
              <w:spacing w:before="240" w:line="480" w:lineRule="auto"/>
              <w:jc w:val="both"/>
              <w:rPr>
                <w:rFonts w:ascii="Times New Roman" w:hAnsi="Times New Roman"/>
                <w:sz w:val="28"/>
                <w:szCs w:val="28"/>
              </w:rPr>
            </w:pPr>
          </w:p>
        </w:tc>
      </w:tr>
      <w:tr w:rsidR="00C92EBF" w:rsidRPr="00B614BF" w:rsidTr="00F3523C">
        <w:tc>
          <w:tcPr>
            <w:tcW w:w="1726"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rsidTr="00F3523C">
        <w:tc>
          <w:tcPr>
            <w:tcW w:w="1726" w:type="dxa"/>
          </w:tcPr>
          <w:p w:rsidR="009D5994" w:rsidRPr="00B614BF" w:rsidRDefault="009D5994" w:rsidP="00B614BF">
            <w:pPr>
              <w:spacing w:before="240" w:line="480" w:lineRule="auto"/>
              <w:jc w:val="both"/>
              <w:rPr>
                <w:rFonts w:ascii="Times New Roman" w:hAnsi="Times New Roman"/>
                <w:sz w:val="28"/>
                <w:szCs w:val="28"/>
              </w:rPr>
            </w:pPr>
          </w:p>
        </w:tc>
        <w:tc>
          <w:tcPr>
            <w:tcW w:w="1181" w:type="dxa"/>
          </w:tcPr>
          <w:p w:rsidR="009D5994" w:rsidRPr="00B614BF" w:rsidRDefault="009D5994" w:rsidP="00B614BF">
            <w:pPr>
              <w:spacing w:before="240" w:line="480" w:lineRule="auto"/>
              <w:jc w:val="both"/>
              <w:rPr>
                <w:rFonts w:ascii="Times New Roman" w:hAnsi="Times New Roman"/>
                <w:sz w:val="28"/>
                <w:szCs w:val="28"/>
              </w:rPr>
            </w:pPr>
          </w:p>
        </w:tc>
        <w:tc>
          <w:tcPr>
            <w:tcW w:w="1726"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rsidR="00054914" w:rsidRPr="00B614BF" w:rsidRDefault="00054914" w:rsidP="00B614BF">
      <w:pPr>
        <w:spacing w:before="240" w:line="480" w:lineRule="auto"/>
        <w:jc w:val="both"/>
        <w:rPr>
          <w:rFonts w:ascii="Times New Roman" w:hAnsi="Times New Roman"/>
          <w:sz w:val="28"/>
          <w:szCs w:val="28"/>
        </w:rPr>
      </w:pPr>
    </w:p>
    <w:p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D-tocopherol</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Phosphorus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rsidTr="00400A7E">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Sodium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0856CB">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rsidR="00400A7E" w:rsidRPr="00B614BF" w:rsidRDefault="00400A7E"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rsidR="00EC43F3" w:rsidRPr="00B614BF" w:rsidRDefault="00EC43F3"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γ-tocopherol</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rsidR="00EC43F3" w:rsidRPr="00B614BF" w:rsidRDefault="00EC43F3"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A-tocopherol </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rsidR="000856CB" w:rsidRPr="00B614BF" w:rsidRDefault="000856CB"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p>
        </w:tc>
        <w:tc>
          <w:tcPr>
            <w:tcW w:w="1181" w:type="dxa"/>
          </w:tcPr>
          <w:p w:rsidR="000856CB" w:rsidRPr="00B614BF" w:rsidRDefault="000856CB" w:rsidP="00B614BF">
            <w:pPr>
              <w:spacing w:before="240" w:line="480" w:lineRule="auto"/>
              <w:jc w:val="both"/>
              <w:rPr>
                <w:rFonts w:ascii="Times New Roman" w:hAnsi="Times New Roman"/>
                <w:sz w:val="28"/>
                <w:szCs w:val="28"/>
              </w:rPr>
            </w:pPr>
          </w:p>
        </w:tc>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rsidR="000856CB" w:rsidRPr="00B614BF" w:rsidRDefault="000856CB" w:rsidP="00B614BF">
            <w:pPr>
              <w:spacing w:before="240" w:line="480" w:lineRule="auto"/>
              <w:jc w:val="both"/>
              <w:rPr>
                <w:rFonts w:ascii="Times New Roman" w:hAnsi="Times New Roman"/>
                <w:sz w:val="28"/>
                <w:szCs w:val="28"/>
              </w:rPr>
            </w:pPr>
          </w:p>
        </w:tc>
      </w:tr>
    </w:tbl>
    <w:p w:rsidR="00737B9D" w:rsidRPr="00B614BF" w:rsidRDefault="00737B9D" w:rsidP="00B614BF">
      <w:pPr>
        <w:spacing w:before="240" w:line="480" w:lineRule="auto"/>
        <w:ind w:left="720" w:firstLine="720"/>
        <w:jc w:val="both"/>
        <w:rPr>
          <w:rFonts w:ascii="Times New Roman" w:hAnsi="Times New Roman"/>
          <w:sz w:val="28"/>
          <w:szCs w:val="28"/>
        </w:rPr>
      </w:pPr>
    </w:p>
    <w:p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w:t>
      </w:r>
      <w:proofErr w:type="gramStart"/>
      <w:r w:rsidRPr="00B614BF">
        <w:rPr>
          <w:rFonts w:ascii="Times New Roman" w:hAnsi="Times New Roman"/>
          <w:sz w:val="28"/>
          <w:szCs w:val="28"/>
        </w:rPr>
        <w:t xml:space="preserve">flaxseed </w:t>
      </w:r>
      <w:r w:rsidR="000856CB" w:rsidRPr="00B614BF">
        <w:rPr>
          <w:rFonts w:ascii="Times New Roman" w:hAnsi="Times New Roman"/>
          <w:sz w:val="28"/>
          <w:szCs w:val="28"/>
        </w:rPr>
        <w:t>are</w:t>
      </w:r>
      <w:proofErr w:type="gramEnd"/>
      <w:r w:rsidR="000856CB" w:rsidRPr="00B614BF">
        <w:rPr>
          <w:rFonts w:ascii="Times New Roman" w:hAnsi="Times New Roman"/>
          <w:sz w:val="28"/>
          <w:szCs w:val="28"/>
        </w:rPr>
        <w:t xml:space="preserv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α-linolenic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Y-tocopherol</w:t>
      </w:r>
      <w:r w:rsidR="00937DB6" w:rsidRPr="00B614BF">
        <w:rPr>
          <w:rFonts w:ascii="Times New Roman" w:hAnsi="Times New Roman"/>
          <w:sz w:val="28"/>
          <w:szCs w:val="28"/>
        </w:rPr>
        <w:t>.</w:t>
      </w:r>
    </w:p>
    <w:p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w:t>
      </w:r>
      <w:proofErr w:type="gramStart"/>
      <w:r w:rsidR="00AF595E" w:rsidRPr="00B614BF">
        <w:rPr>
          <w:rFonts w:ascii="Times New Roman" w:hAnsi="Times New Roman"/>
          <w:sz w:val="28"/>
          <w:szCs w:val="28"/>
        </w:rPr>
        <w:t>sources</w:t>
      </w:r>
      <w:proofErr w:type="gramEnd"/>
      <w:r w:rsidR="00AF595E" w:rsidRPr="00B614BF">
        <w:rPr>
          <w:rFonts w:ascii="Times New Roman" w:hAnsi="Times New Roman"/>
          <w:sz w:val="28"/>
          <w:szCs w:val="28"/>
        </w:rPr>
        <w:t xml:space="preserve">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rsidR="00AF595E" w:rsidRPr="00B614BF" w:rsidRDefault="00AF595E"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Cyanogenic</w:t>
      </w:r>
      <w:proofErr w:type="spellEnd"/>
      <w:r w:rsidRPr="00B614BF">
        <w:rPr>
          <w:rFonts w:ascii="Times New Roman" w:hAnsi="Times New Roman"/>
          <w:sz w:val="28"/>
          <w:szCs w:val="28"/>
        </w:rPr>
        <w:t xml:space="preserve">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process of some 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xml:space="preserve">. Numerous, items made from flaxseed </w:t>
      </w:r>
      <w:r w:rsidR="00244AE7" w:rsidRPr="00B614BF">
        <w:rPr>
          <w:rFonts w:ascii="Times New Roman" w:hAnsi="Times New Roman"/>
          <w:sz w:val="28"/>
          <w:szCs w:val="28"/>
        </w:rPr>
        <w:lastRenderedPageBreak/>
        <w:t>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experimental studies that 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 xml:space="preserve">sing methods, such as boiling, heat treatment can improved flaxseed </w:t>
      </w:r>
      <w:r w:rsidR="00F764C7" w:rsidRPr="00B614BF">
        <w:rPr>
          <w:rFonts w:ascii="Times New Roman" w:hAnsi="Times New Roman"/>
          <w:sz w:val="28"/>
          <w:szCs w:val="28"/>
        </w:rPr>
        <w:lastRenderedPageBreak/>
        <w:t>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w:t>
      </w:r>
      <w:proofErr w:type="spellStart"/>
      <w:r w:rsidRPr="00B614BF">
        <w:rPr>
          <w:rFonts w:ascii="Times New Roman" w:hAnsi="Times New Roman"/>
          <w:sz w:val="28"/>
          <w:szCs w:val="28"/>
        </w:rPr>
        <w:t>are</w:t>
      </w:r>
      <w:proofErr w:type="spellEnd"/>
      <w:r w:rsidRPr="00B614BF">
        <w:rPr>
          <w:rFonts w:ascii="Times New Roman" w:hAnsi="Times New Roman"/>
          <w:sz w:val="28"/>
          <w:szCs w:val="28"/>
        </w:rPr>
        <w:t xml:space="preserve"> products were introduced in the US market containing 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alpha-linolenic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w:t>
      </w:r>
      <w:r w:rsidR="008F6D50" w:rsidRPr="00B614BF">
        <w:rPr>
          <w:rFonts w:ascii="Times New Roman" w:hAnsi="Times New Roman"/>
          <w:sz w:val="28"/>
          <w:szCs w:val="28"/>
        </w:rPr>
        <w:lastRenderedPageBreak/>
        <w:t xml:space="preserve">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linolenic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looring. 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r w:rsidR="00D172B5" w:rsidRPr="00B614BF">
        <w:rPr>
          <w:rFonts w:ascii="Times New Roman" w:hAnsi="Times New Roman"/>
          <w:sz w:val="28"/>
          <w:szCs w:val="28"/>
        </w:rPr>
        <w:t>docosahexaenoic acid (DHA C22:6) Heart and stroke foundation of Canada 2003.</w:t>
      </w:r>
    </w:p>
    <w:p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 xml:space="preserve">supply interfere with the </w:t>
      </w:r>
      <w:r w:rsidRPr="00B614BF">
        <w:rPr>
          <w:rFonts w:ascii="Times New Roman" w:hAnsi="Times New Roman"/>
          <w:sz w:val="28"/>
          <w:szCs w:val="28"/>
        </w:rPr>
        <w:lastRenderedPageBreak/>
        <w:t>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 xml:space="preserve">al fish stocks and heavy metal </w:t>
      </w:r>
      <w:r w:rsidR="000C48BC" w:rsidRPr="00B614BF">
        <w:rPr>
          <w:rFonts w:ascii="Times New Roman" w:hAnsi="Times New Roman"/>
          <w:sz w:val="28"/>
          <w:szCs w:val="28"/>
        </w:rPr>
        <w:lastRenderedPageBreak/>
        <w:t>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rsidTr="00B760E2">
        <w:tc>
          <w:tcPr>
            <w:tcW w:w="287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rsidTr="00B760E2">
        <w:tc>
          <w:tcPr>
            <w:tcW w:w="287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fatty acids </w:t>
            </w:r>
          </w:p>
        </w:tc>
        <w:tc>
          <w:tcPr>
            <w:tcW w:w="2520"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rsidTr="00B760E2">
        <w:tc>
          <w:tcPr>
            <w:tcW w:w="287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rsidTr="00B760E2">
        <w:tc>
          <w:tcPr>
            <w:tcW w:w="287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2520"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rsidR="0051778A" w:rsidRPr="00B614BF" w:rsidRDefault="0051778A" w:rsidP="00B614BF">
      <w:pPr>
        <w:spacing w:before="240" w:line="480" w:lineRule="auto"/>
        <w:ind w:left="720"/>
        <w:jc w:val="both"/>
        <w:rPr>
          <w:rFonts w:ascii="Times New Roman" w:hAnsi="Times New Roman"/>
          <w:sz w:val="28"/>
          <w:szCs w:val="28"/>
          <w:vertAlign w:val="superscript"/>
        </w:rPr>
      </w:pPr>
    </w:p>
    <w:p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lastRenderedPageBreak/>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rsidTr="003C3759">
        <w:tc>
          <w:tcPr>
            <w:tcW w:w="25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681E64" w:rsidRPr="00B614BF" w:rsidRDefault="00681E64" w:rsidP="00B614BF">
            <w:pPr>
              <w:spacing w:before="240" w:line="480" w:lineRule="auto"/>
              <w:jc w:val="both"/>
              <w:rPr>
                <w:rFonts w:ascii="Times New Roman" w:hAnsi="Times New Roman"/>
                <w:sz w:val="28"/>
                <w:szCs w:val="28"/>
              </w:rPr>
            </w:pPr>
          </w:p>
          <w:p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Linoleic acid (LA)</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Alpha-linolenic acid (ALA)</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18:2∆</w:t>
            </w:r>
            <w:r w:rsidRPr="00B614BF">
              <w:rPr>
                <w:rFonts w:ascii="Times New Roman" w:hAnsi="Times New Roman"/>
                <w:sz w:val="28"/>
                <w:szCs w:val="28"/>
                <w:vertAlign w:val="superscript"/>
              </w:rPr>
              <w:t>9,12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lastRenderedPageBreak/>
              <w:t>Solin</w:t>
            </w:r>
            <w:proofErr w:type="spellEnd"/>
            <w:r w:rsidRPr="00B614BF">
              <w:rPr>
                <w:rFonts w:ascii="Times New Roman" w:hAnsi="Times New Roman"/>
                <w:sz w:val="28"/>
                <w:szCs w:val="28"/>
              </w:rPr>
              <w:t xml:space="preserve"> flax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rsidR="00681E64" w:rsidRPr="00B614BF" w:rsidRDefault="00681E64" w:rsidP="00B614BF">
      <w:pPr>
        <w:spacing w:before="240" w:line="480" w:lineRule="auto"/>
        <w:ind w:left="720"/>
        <w:jc w:val="both"/>
        <w:rPr>
          <w:rFonts w:ascii="Times New Roman" w:hAnsi="Times New Roman"/>
          <w:sz w:val="28"/>
          <w:szCs w:val="28"/>
        </w:rPr>
      </w:pPr>
    </w:p>
    <w:p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-linolenic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c</w:t>
      </w:r>
      <w:r w:rsidR="00054914" w:rsidRPr="00B614BF">
        <w:rPr>
          <w:rFonts w:ascii="Times New Roman" w:hAnsi="Times New Roman"/>
          <w:sz w:val="28"/>
          <w:szCs w:val="28"/>
        </w:rPr>
        <w:t xml:space="preserve">ouncil of </w:t>
      </w:r>
      <w:r w:rsidRPr="00B614BF">
        <w:rPr>
          <w:rFonts w:ascii="Times New Roman" w:hAnsi="Times New Roman"/>
          <w:sz w:val="28"/>
          <w:szCs w:val="28"/>
        </w:rPr>
        <w:t xml:space="preserve">Canada to </w:t>
      </w:r>
      <w:r w:rsidRPr="00B614BF">
        <w:rPr>
          <w:rFonts w:ascii="Times New Roman" w:hAnsi="Times New Roman"/>
          <w:sz w:val="28"/>
          <w:szCs w:val="28"/>
        </w:rPr>
        <w:lastRenderedPageBreak/>
        <w:t>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palmitic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in daily diet 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 xml:space="preserve">lesterol </w:t>
      </w:r>
      <w:r w:rsidR="00B50F97" w:rsidRPr="00B614BF">
        <w:rPr>
          <w:rFonts w:ascii="Times New Roman" w:hAnsi="Times New Roman"/>
          <w:sz w:val="28"/>
          <w:szCs w:val="28"/>
        </w:rPr>
        <w:lastRenderedPageBreak/>
        <w:t>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suggest 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lastRenderedPageBreak/>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w:t>
      </w:r>
      <w:proofErr w:type="spellStart"/>
      <w:r w:rsidR="00B10CE1" w:rsidRPr="00B614BF">
        <w:rPr>
          <w:rFonts w:ascii="Times New Roman" w:hAnsi="Times New Roman"/>
          <w:sz w:val="28"/>
          <w:szCs w:val="28"/>
        </w:rPr>
        <w:t>prostrate</w:t>
      </w:r>
      <w:proofErr w:type="spellEnd"/>
      <w:r w:rsidR="00B10CE1" w:rsidRPr="00B614BF">
        <w:rPr>
          <w:rFonts w:ascii="Times New Roman" w:hAnsi="Times New Roman"/>
          <w:sz w:val="28"/>
          <w:szCs w:val="28"/>
        </w:rPr>
        <w:t xml:space="preserve"> 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 xml:space="preserve">ax contributes to </w:t>
      </w:r>
      <w:proofErr w:type="spellStart"/>
      <w:r w:rsidR="00700F57" w:rsidRPr="00B614BF">
        <w:rPr>
          <w:rFonts w:ascii="Times New Roman" w:hAnsi="Times New Roman"/>
          <w:sz w:val="28"/>
          <w:szCs w:val="28"/>
        </w:rPr>
        <w:t>prostrate</w:t>
      </w:r>
      <w:proofErr w:type="spellEnd"/>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w:t>
      </w:r>
      <w:r w:rsidR="00700F57" w:rsidRPr="00B614BF">
        <w:rPr>
          <w:rFonts w:ascii="Times New Roman" w:hAnsi="Times New Roman"/>
          <w:sz w:val="28"/>
          <w:szCs w:val="28"/>
        </w:rPr>
        <w:lastRenderedPageBreak/>
        <w:t xml:space="preserve">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 xml:space="preserve">eported that </w:t>
      </w:r>
      <w:proofErr w:type="gramStart"/>
      <w:r w:rsidR="00B167CB" w:rsidRPr="00B614BF">
        <w:rPr>
          <w:rFonts w:ascii="Times New Roman" w:hAnsi="Times New Roman"/>
          <w:sz w:val="28"/>
          <w:szCs w:val="28"/>
        </w:rPr>
        <w:t xml:space="preserve">insoluble </w:t>
      </w:r>
      <w:r w:rsidR="00B167CB" w:rsidRPr="00B614BF">
        <w:rPr>
          <w:rFonts w:ascii="Times New Roman" w:hAnsi="Times New Roman"/>
          <w:sz w:val="28"/>
          <w:szCs w:val="28"/>
        </w:rPr>
        <w:lastRenderedPageBreak/>
        <w:t>fibers is</w:t>
      </w:r>
      <w:proofErr w:type="gramEnd"/>
      <w:r w:rsidR="00B167CB" w:rsidRPr="00B614BF">
        <w:rPr>
          <w:rFonts w:ascii="Times New Roman" w:hAnsi="Times New Roman"/>
          <w:sz w:val="28"/>
          <w:szCs w:val="28"/>
        </w:rPr>
        <w:t xml:space="preserve">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ave originated in Egypt because 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The early Colonists brought flax 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lastRenderedPageBreak/>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fabrics such as damasks, lace and sheeting. Coarser grades are used for the manufacturing of twine and rope.</w:t>
      </w:r>
    </w:p>
    <w:p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sed in 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w:t>
      </w:r>
      <w:r w:rsidR="00054914" w:rsidRPr="00B614BF">
        <w:rPr>
          <w:rFonts w:ascii="Times New Roman" w:hAnsi="Times New Roman"/>
          <w:sz w:val="28"/>
          <w:szCs w:val="28"/>
        </w:rPr>
        <w:lastRenderedPageBreak/>
        <w:t>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 xml:space="preserve">a raw </w:t>
      </w:r>
      <w:proofErr w:type="gramStart"/>
      <w:r w:rsidR="004B6129" w:rsidRPr="00B614BF">
        <w:rPr>
          <w:rFonts w:ascii="Times New Roman" w:hAnsi="Times New Roman"/>
          <w:sz w:val="28"/>
          <w:szCs w:val="28"/>
        </w:rPr>
        <w:t>materials</w:t>
      </w:r>
      <w:proofErr w:type="gramEnd"/>
      <w:r w:rsidR="004B6129" w:rsidRPr="00B614BF">
        <w:rPr>
          <w:rFonts w:ascii="Times New Roman" w:hAnsi="Times New Roman"/>
          <w:sz w:val="28"/>
          <w:szCs w:val="28"/>
        </w:rPr>
        <w:t xml:space="preserve">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ormulations. 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t>
      </w:r>
      <w:r w:rsidR="00710E75" w:rsidRPr="00B614BF">
        <w:rPr>
          <w:rFonts w:ascii="Times New Roman" w:hAnsi="Times New Roman"/>
          <w:sz w:val="28"/>
          <w:szCs w:val="28"/>
        </w:rPr>
        <w:lastRenderedPageBreak/>
        <w:t>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rsidR="00C110F1" w:rsidRPr="00B614BF" w:rsidRDefault="00C110F1" w:rsidP="00B614BF">
      <w:pPr>
        <w:spacing w:before="240" w:line="480" w:lineRule="auto"/>
        <w:jc w:val="both"/>
        <w:rPr>
          <w:rFonts w:ascii="Times New Roman" w:hAnsi="Times New Roman"/>
          <w:sz w:val="28"/>
          <w:szCs w:val="28"/>
        </w:rPr>
      </w:pPr>
    </w:p>
    <w:p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cultivar contains 57% α linolenic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anti-spalling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 xml:space="preserve">ks into </w:t>
      </w:r>
      <w:r w:rsidR="00C87246" w:rsidRPr="00B614BF">
        <w:rPr>
          <w:rFonts w:ascii="Times New Roman" w:hAnsi="Times New Roman"/>
          <w:sz w:val="28"/>
          <w:szCs w:val="28"/>
        </w:rPr>
        <w:lastRenderedPageBreak/>
        <w:t>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w:t>
      </w:r>
      <w:proofErr w:type="gramStart"/>
      <w:r w:rsidRPr="00B614BF">
        <w:rPr>
          <w:rFonts w:ascii="Times New Roman" w:hAnsi="Times New Roman"/>
          <w:sz w:val="28"/>
          <w:szCs w:val="28"/>
        </w:rPr>
        <w:t xml:space="preserve">as a raw </w:t>
      </w:r>
      <w:r w:rsidR="00424C75" w:rsidRPr="00B614BF">
        <w:rPr>
          <w:rFonts w:ascii="Times New Roman" w:hAnsi="Times New Roman"/>
          <w:sz w:val="28"/>
          <w:szCs w:val="28"/>
        </w:rPr>
        <w:t>materials</w:t>
      </w:r>
      <w:proofErr w:type="gramEnd"/>
      <w:r w:rsidR="00424C75" w:rsidRPr="00B614BF">
        <w:rPr>
          <w:rFonts w:ascii="Times New Roman" w:hAnsi="Times New Roman"/>
          <w:sz w:val="28"/>
          <w:szCs w:val="28"/>
        </w:rPr>
        <w:t xml:space="preserve">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rsidR="00054914" w:rsidRPr="00B614BF" w:rsidRDefault="00054914" w:rsidP="00B614BF">
      <w:pPr>
        <w:spacing w:before="240" w:line="480" w:lineRule="auto"/>
        <w:jc w:val="both"/>
        <w:rPr>
          <w:rFonts w:ascii="Times New Roman" w:hAnsi="Times New Roman"/>
          <w:sz w:val="28"/>
          <w:szCs w:val="28"/>
        </w:rPr>
      </w:pPr>
    </w:p>
    <w:p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CHAPTER TWO</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w:t>
      </w:r>
      <w:proofErr w:type="spellStart"/>
      <w:r w:rsidR="00162680" w:rsidRPr="00B614BF">
        <w:rPr>
          <w:rFonts w:ascii="Times New Roman" w:hAnsi="Times New Roman"/>
          <w:sz w:val="28"/>
          <w:szCs w:val="28"/>
        </w:rPr>
        <w:t>Butylated</w:t>
      </w:r>
      <w:proofErr w:type="spellEnd"/>
      <w:r w:rsidR="00162680" w:rsidRPr="00B614BF">
        <w:rPr>
          <w:rFonts w:ascii="Times New Roman" w:hAnsi="Times New Roman"/>
          <w:sz w:val="28"/>
          <w:szCs w:val="28"/>
        </w:rPr>
        <w:t xml:space="preserve">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w:t>
      </w:r>
      <w:r w:rsidRPr="00B614BF">
        <w:rPr>
          <w:rFonts w:ascii="Times New Roman" w:hAnsi="Times New Roman"/>
          <w:sz w:val="28"/>
          <w:szCs w:val="28"/>
        </w:rPr>
        <w:lastRenderedPageBreak/>
        <w:t xml:space="preserve">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 xml:space="preserve">sferred into </w:t>
      </w:r>
      <w:proofErr w:type="gramStart"/>
      <w:r w:rsidR="00E25FAD" w:rsidRPr="00B614BF">
        <w:rPr>
          <w:rFonts w:ascii="Times New Roman" w:hAnsi="Times New Roman"/>
          <w:sz w:val="28"/>
          <w:szCs w:val="28"/>
        </w:rPr>
        <w:t>a</w:t>
      </w:r>
      <w:proofErr w:type="gramEnd"/>
      <w:r w:rsidR="00E25FAD" w:rsidRPr="00B614BF">
        <w:rPr>
          <w:rFonts w:ascii="Times New Roman" w:hAnsi="Times New Roman"/>
          <w:sz w:val="28"/>
          <w:szCs w:val="28"/>
        </w:rPr>
        <w:t xml:space="preserve">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By </w:t>
      </w:r>
      <w:r w:rsidR="00B0209E" w:rsidRPr="00B614BF">
        <w:rPr>
          <w:rFonts w:ascii="Times New Roman" w:hAnsi="Times New Roman"/>
          <w:sz w:val="28"/>
          <w:szCs w:val="28"/>
        </w:rPr>
        <w:t xml:space="preserve">utilizing the stable radical, 2,2 </w:t>
      </w:r>
      <w:proofErr w:type="spellStart"/>
      <w:r w:rsidR="00B0209E" w:rsidRPr="00B614BF">
        <w:rPr>
          <w:rFonts w:ascii="Times New Roman" w:hAnsi="Times New Roman"/>
          <w:sz w:val="28"/>
          <w:szCs w:val="28"/>
        </w:rPr>
        <w:t>diphenyl-picrylhydra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ethanolic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in the dark subsequently, measurement of the absorbance of the solution was 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DPPH ant</w:t>
      </w:r>
      <w:r w:rsidR="00B0209E" w:rsidRPr="00B614BF">
        <w:rPr>
          <w:rFonts w:ascii="Times New Roman" w:hAnsi="Times New Roman"/>
          <w:sz w:val="28"/>
          <w:szCs w:val="28"/>
        </w:rPr>
        <w:t>iradical activity.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tandard measured into a clean 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w:t>
      </w:r>
      <w:r w:rsidR="00054914" w:rsidRPr="00B614BF">
        <w:rPr>
          <w:rFonts w:ascii="Times New Roman" w:hAnsi="Times New Roman"/>
          <w:sz w:val="28"/>
          <w:szCs w:val="28"/>
        </w:rPr>
        <w:lastRenderedPageBreak/>
        <w:t>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xml:space="preserve">) = </w:t>
      </w:r>
      <w:proofErr w:type="spellStart"/>
      <w:r w:rsidRPr="00B614BF">
        <w:rPr>
          <w:rFonts w:ascii="Times New Roman" w:hAnsi="Times New Roman"/>
          <w:sz w:val="28"/>
          <w:szCs w:val="28"/>
        </w:rPr>
        <w:t>Cv</w:t>
      </w:r>
      <w:proofErr w:type="spellEnd"/>
      <w:r w:rsidRPr="00B614BF">
        <w:rPr>
          <w:rFonts w:ascii="Times New Roman" w:hAnsi="Times New Roman"/>
          <w:sz w:val="28"/>
          <w:szCs w:val="28"/>
        </w:rPr>
        <w:t>/m</w:t>
      </w:r>
    </w:p>
    <w:p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THREE</w:t>
      </w:r>
    </w:p>
    <w:p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sz w:val="28"/>
                <w:szCs w:val="28"/>
              </w:rPr>
            </w:pP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rsidTr="00744798">
        <w:tc>
          <w:tcPr>
            <w:tcW w:w="3420" w:type="dxa"/>
          </w:tcPr>
          <w:p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100mg/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rsidR="004B71A7" w:rsidRPr="00B614BF" w:rsidRDefault="004B71A7" w:rsidP="00B614BF">
      <w:pPr>
        <w:spacing w:before="240" w:line="480" w:lineRule="auto"/>
        <w:jc w:val="both"/>
        <w:rPr>
          <w:rFonts w:ascii="Times New Roman" w:hAnsi="Times New Roman"/>
          <w:sz w:val="28"/>
          <w:szCs w:val="28"/>
        </w:rPr>
      </w:pPr>
    </w:p>
    <w:p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876"/>
        <w:gridCol w:w="2877"/>
        <w:gridCol w:w="2877"/>
      </w:tblGrid>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drawing>
          <wp:inline distT="0" distB="0" distL="0" distR="0">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lastRenderedPageBreak/>
        <w:drawing>
          <wp:inline distT="0" distB="0" distL="0" distR="0">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4A6986" w:rsidRPr="00B614BF" w:rsidRDefault="004A6986" w:rsidP="00B614BF">
      <w:pPr>
        <w:spacing w:before="240" w:line="480" w:lineRule="auto"/>
        <w:jc w:val="both"/>
        <w:rPr>
          <w:rFonts w:ascii="Times New Roman" w:hAnsi="Times New Roman"/>
          <w:b/>
          <w:sz w:val="28"/>
          <w:szCs w:val="28"/>
        </w:rPr>
      </w:pPr>
    </w:p>
    <w:p w:rsidR="004A6986" w:rsidRPr="00B614BF" w:rsidRDefault="004A6986" w:rsidP="00B614BF">
      <w:pPr>
        <w:spacing w:before="240" w:line="480" w:lineRule="auto"/>
        <w:jc w:val="both"/>
        <w:rPr>
          <w:rFonts w:ascii="Times New Roman" w:hAnsi="Times New Roman"/>
          <w:b/>
          <w:sz w:val="28"/>
          <w:szCs w:val="28"/>
        </w:rPr>
      </w:pPr>
    </w:p>
    <w:p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rsidTr="004A6986">
        <w:tc>
          <w:tcPr>
            <w:tcW w:w="233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rsidTr="004A6986">
        <w:tc>
          <w:tcPr>
            <w:tcW w:w="233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rsidR="004A6986" w:rsidRPr="00B614BF" w:rsidRDefault="004A6986" w:rsidP="00B614BF">
      <w:pPr>
        <w:spacing w:before="240" w:line="480" w:lineRule="auto"/>
        <w:jc w:val="both"/>
        <w:rPr>
          <w:rFonts w:ascii="Times New Roman" w:hAnsi="Times New Roman"/>
          <w:sz w:val="28"/>
          <w:szCs w:val="28"/>
        </w:rPr>
      </w:pPr>
    </w:p>
    <w:p w:rsidR="004A6986" w:rsidRPr="00B614BF" w:rsidRDefault="004A6986" w:rsidP="00B614BF">
      <w:pPr>
        <w:spacing w:before="240" w:line="480" w:lineRule="auto"/>
        <w:ind w:left="720"/>
        <w:jc w:val="both"/>
        <w:rPr>
          <w:rFonts w:ascii="Times New Roman" w:hAnsi="Times New Roman"/>
          <w:sz w:val="28"/>
          <w:szCs w:val="28"/>
        </w:rPr>
      </w:pPr>
    </w:p>
    <w:p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 xml:space="preserve">Concentration </w:t>
            </w:r>
          </w:p>
        </w:tc>
        <w:tc>
          <w:tcPr>
            <w:tcW w:w="3420"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rsidR="007D1039" w:rsidRPr="00B614BF" w:rsidRDefault="007D1039" w:rsidP="00B614BF">
      <w:pPr>
        <w:spacing w:before="240" w:after="160" w:line="480" w:lineRule="auto"/>
        <w:rPr>
          <w:rFonts w:ascii="Times New Roman" w:hAnsi="Times New Roman"/>
          <w:sz w:val="28"/>
          <w:szCs w:val="28"/>
        </w:rPr>
      </w:pPr>
    </w:p>
    <w:p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and Omega-3 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ancer, cardiovascular disorders,</w:t>
      </w:r>
      <w:r w:rsidRPr="00B614BF">
        <w:rPr>
          <w:rFonts w:ascii="Times New Roman" w:hAnsi="Times New Roman"/>
          <w:sz w:val="28"/>
          <w:szCs w:val="28"/>
        </w:rPr>
        <w:t xml:space="preserve"> and </w:t>
      </w:r>
      <w:r w:rsidRPr="00B614BF">
        <w:rPr>
          <w:rFonts w:ascii="Times New Roman" w:hAnsi="Times New Roman"/>
          <w:sz w:val="28"/>
          <w:szCs w:val="28"/>
        </w:rPr>
        <w:lastRenderedPageBreak/>
        <w:t>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br w:type="page"/>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CONCLUSION</w:t>
      </w:r>
    </w:p>
    <w:p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rsidR="00054914" w:rsidRPr="00B614BF" w:rsidRDefault="00054914" w:rsidP="00B614BF">
      <w:pPr>
        <w:spacing w:before="240" w:line="480" w:lineRule="auto"/>
        <w:jc w:val="both"/>
        <w:rPr>
          <w:rFonts w:ascii="Times New Roman" w:hAnsi="Times New Roman"/>
          <w:sz w:val="28"/>
          <w:szCs w:val="28"/>
        </w:rPr>
      </w:pPr>
    </w:p>
    <w:p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r>
      <w:r w:rsidRPr="00B614BF">
        <w:rPr>
          <w:rFonts w:ascii="Times New Roman" w:hAnsi="Times New Roman"/>
          <w:b/>
          <w:sz w:val="28"/>
          <w:szCs w:val="28"/>
        </w:rPr>
        <w:lastRenderedPageBreak/>
        <w:t>References</w:t>
      </w:r>
    </w:p>
    <w:p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lastRenderedPageBreak/>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rsidR="00054914" w:rsidRPr="00B614BF" w:rsidRDefault="00054914" w:rsidP="00B614BF">
      <w:pPr>
        <w:spacing w:before="240" w:line="480" w:lineRule="auto"/>
        <w:jc w:val="both"/>
        <w:rPr>
          <w:rFonts w:ascii="Times New Roman" w:hAnsi="Times New Roman"/>
          <w:sz w:val="28"/>
          <w:szCs w:val="28"/>
        </w:rPr>
      </w:pPr>
    </w:p>
    <w:p w:rsidR="00054914" w:rsidRDefault="00054914"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lastRenderedPageBreak/>
        <w:t>APPENDIX</w:t>
      </w:r>
    </w:p>
    <w:p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Volume (V) = 10ml</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rsidR="007F318B" w:rsidRPr="00B614BF" w:rsidRDefault="007F318B" w:rsidP="00B614BF">
      <w:pPr>
        <w:spacing w:before="240" w:line="480" w:lineRule="auto"/>
        <w:jc w:val="both"/>
        <w:rPr>
          <w:rFonts w:ascii="Times New Roman" w:hAnsi="Times New Roman"/>
          <w:sz w:val="28"/>
          <w:szCs w:val="28"/>
        </w:rPr>
      </w:pPr>
    </w:p>
    <w:sectPr w:rsidR="007F318B" w:rsidRPr="00B614BF" w:rsidSect="00BB57E9">
      <w:footerReference w:type="default" r:id="rId15"/>
      <w:pgSz w:w="11520" w:h="14400" w:code="9"/>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A44" w:rsidRDefault="002E2A44">
      <w:pPr>
        <w:spacing w:after="0" w:line="240" w:lineRule="auto"/>
      </w:pPr>
      <w:r>
        <w:separator/>
      </w:r>
    </w:p>
  </w:endnote>
  <w:endnote w:type="continuationSeparator" w:id="0">
    <w:p w:rsidR="002E2A44" w:rsidRDefault="002E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906B72" w:rsidRDefault="00906B72">
        <w:pPr>
          <w:pStyle w:val="Footer"/>
          <w:jc w:val="center"/>
        </w:pPr>
        <w:r>
          <w:fldChar w:fldCharType="begin"/>
        </w:r>
        <w:r>
          <w:instrText xml:space="preserve"> PAGE   \* MERGEFORMAT </w:instrText>
        </w:r>
        <w:r>
          <w:fldChar w:fldCharType="separate"/>
        </w:r>
        <w:r w:rsidR="00BB57E9">
          <w:rPr>
            <w:noProof/>
          </w:rPr>
          <w:t>9</w:t>
        </w:r>
        <w:r>
          <w:rPr>
            <w:noProof/>
          </w:rPr>
          <w:fldChar w:fldCharType="end"/>
        </w:r>
      </w:p>
    </w:sdtContent>
  </w:sdt>
  <w:p w:rsidR="00906B72" w:rsidRDefault="0090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A44" w:rsidRDefault="002E2A44">
      <w:pPr>
        <w:spacing w:after="0" w:line="240" w:lineRule="auto"/>
      </w:pPr>
      <w:r>
        <w:separator/>
      </w:r>
    </w:p>
  </w:footnote>
  <w:footnote w:type="continuationSeparator" w:id="0">
    <w:p w:rsidR="002E2A44" w:rsidRDefault="002E2A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A44"/>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36"/>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7E9"/>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F3E36"/>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F3E3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8F3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3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F3E36"/>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F3E3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8F3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3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ACEE-BE08-439A-99BA-6C0A2D5C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6107</Words>
  <Characters>34815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Microsoft</cp:lastModifiedBy>
  <cp:revision>3</cp:revision>
  <dcterms:created xsi:type="dcterms:W3CDTF">2025-07-29T12:57:00Z</dcterms:created>
  <dcterms:modified xsi:type="dcterms:W3CDTF">2025-07-29T14:09:00Z</dcterms:modified>
</cp:coreProperties>
</file>