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4C" w:rsidRPr="007438B0" w:rsidRDefault="00FB724C" w:rsidP="00FB724C">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proofErr w:type="spellStart"/>
      <w:r w:rsidRPr="00FD2E88">
        <w:rPr>
          <w:rFonts w:ascii="Arial Black" w:hAnsi="Arial Black" w:cs="Arial"/>
          <w:b/>
          <w:bCs/>
          <w:i/>
          <w:sz w:val="32"/>
          <w:szCs w:val="40"/>
        </w:rPr>
        <w:t>Sida</w:t>
      </w:r>
      <w:proofErr w:type="spellEnd"/>
      <w:r w:rsidRPr="00FD2E88">
        <w:rPr>
          <w:rFonts w:ascii="Arial Black" w:hAnsi="Arial Black" w:cs="Arial"/>
          <w:b/>
          <w:bCs/>
          <w:i/>
          <w:sz w:val="32"/>
          <w:szCs w:val="40"/>
        </w:rPr>
        <w:t xml:space="preserve"> </w:t>
      </w:r>
      <w:proofErr w:type="spellStart"/>
      <w:r w:rsidRPr="00FD2E88">
        <w:rPr>
          <w:rFonts w:ascii="Arial Black" w:hAnsi="Arial Black" w:cs="Arial"/>
          <w:b/>
          <w:bCs/>
          <w:i/>
          <w:sz w:val="32"/>
          <w:szCs w:val="40"/>
        </w:rPr>
        <w:t>acuta</w:t>
      </w:r>
      <w:proofErr w:type="spellEnd"/>
      <w:r w:rsidRPr="007438B0">
        <w:rPr>
          <w:rFonts w:ascii="Arial Black" w:hAnsi="Arial Black" w:cs="Arial"/>
          <w:b/>
          <w:bCs/>
          <w:sz w:val="32"/>
          <w:szCs w:val="40"/>
        </w:rPr>
        <w:t xml:space="preserve"> ON INDOMETHACIN-INDUCED ULCEROGENIC RATS</w:t>
      </w:r>
    </w:p>
    <w:p w:rsidR="00FB724C" w:rsidRPr="009768EC" w:rsidRDefault="00FB724C" w:rsidP="00FB724C">
      <w:pPr>
        <w:spacing w:after="0" w:line="480" w:lineRule="auto"/>
        <w:jc w:val="center"/>
        <w:rPr>
          <w:rFonts w:ascii="Algerian" w:hAnsi="Algerian"/>
          <w:b/>
          <w:bCs/>
        </w:rPr>
      </w:pPr>
    </w:p>
    <w:p w:rsidR="00FB724C" w:rsidRDefault="00FB724C" w:rsidP="00FB724C">
      <w:pPr>
        <w:spacing w:after="0" w:line="480" w:lineRule="auto"/>
        <w:jc w:val="center"/>
        <w:rPr>
          <w:rFonts w:ascii="Algerian" w:hAnsi="Algerian"/>
          <w:b/>
          <w:bCs/>
          <w:sz w:val="36"/>
          <w:szCs w:val="24"/>
        </w:rPr>
      </w:pPr>
      <w:r w:rsidRPr="009768EC">
        <w:rPr>
          <w:rFonts w:ascii="Algerian" w:hAnsi="Algerian"/>
          <w:b/>
          <w:bCs/>
          <w:sz w:val="36"/>
          <w:szCs w:val="24"/>
        </w:rPr>
        <w:t>BY</w:t>
      </w:r>
    </w:p>
    <w:p w:rsidR="0076280D" w:rsidRPr="0076280D" w:rsidRDefault="0076280D" w:rsidP="00FB724C">
      <w:pPr>
        <w:spacing w:after="0" w:line="240" w:lineRule="auto"/>
        <w:jc w:val="center"/>
        <w:rPr>
          <w:rFonts w:ascii="Arial Black" w:hAnsi="Arial Black"/>
          <w:b/>
          <w:bCs/>
          <w:sz w:val="44"/>
          <w:szCs w:val="24"/>
        </w:rPr>
      </w:pPr>
      <w:bookmarkStart w:id="1" w:name="_GoBack"/>
      <w:r w:rsidRPr="0076280D">
        <w:rPr>
          <w:rFonts w:ascii="Arial Black" w:hAnsi="Arial Black"/>
          <w:b/>
          <w:bCs/>
          <w:sz w:val="44"/>
          <w:szCs w:val="24"/>
        </w:rPr>
        <w:t>OKUNLOLA HANNAH TEMITOPE</w:t>
      </w:r>
    </w:p>
    <w:p w:rsidR="00FB724C" w:rsidRPr="0076280D" w:rsidRDefault="00FB724C" w:rsidP="00FB724C">
      <w:pPr>
        <w:spacing w:after="0" w:line="240" w:lineRule="auto"/>
        <w:jc w:val="center"/>
        <w:rPr>
          <w:rFonts w:ascii="Arial Black" w:hAnsi="Arial Black"/>
          <w:b/>
          <w:bCs/>
          <w:sz w:val="44"/>
          <w:szCs w:val="24"/>
        </w:rPr>
      </w:pPr>
      <w:r w:rsidRPr="0076280D">
        <w:rPr>
          <w:rFonts w:ascii="Arial Black" w:hAnsi="Arial Black"/>
          <w:b/>
          <w:bCs/>
          <w:sz w:val="44"/>
          <w:szCs w:val="24"/>
        </w:rPr>
        <w:t>HND/23/SLT/FT/0211</w:t>
      </w:r>
    </w:p>
    <w:bookmarkEnd w:id="1"/>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480" w:lineRule="auto"/>
        <w:ind w:left="2160"/>
        <w:jc w:val="both"/>
        <w:rPr>
          <w:b/>
          <w:bCs/>
          <w:sz w:val="24"/>
          <w:szCs w:val="24"/>
        </w:rPr>
      </w:pPr>
      <w:r w:rsidRPr="00611489">
        <w:rPr>
          <w:b/>
          <w:bCs/>
          <w:sz w:val="24"/>
          <w:szCs w:val="24"/>
        </w:rPr>
        <w:tab/>
      </w:r>
    </w:p>
    <w:p w:rsidR="00FB724C" w:rsidRPr="00A013B4" w:rsidRDefault="00FB724C" w:rsidP="00FB724C">
      <w:pPr>
        <w:spacing w:after="0" w:line="480" w:lineRule="auto"/>
        <w:jc w:val="center"/>
        <w:rPr>
          <w:b/>
          <w:bCs/>
        </w:rPr>
      </w:pPr>
      <w:r w:rsidRPr="00A013B4">
        <w:rPr>
          <w:b/>
          <w:bCs/>
        </w:rPr>
        <w:t>JULY, 2025</w:t>
      </w:r>
    </w:p>
    <w:p w:rsidR="00FB724C" w:rsidRDefault="00FB724C" w:rsidP="00FB724C">
      <w:pPr>
        <w:spacing w:after="0" w:line="480" w:lineRule="auto"/>
        <w:ind w:left="2160"/>
        <w:jc w:val="both"/>
        <w:rPr>
          <w:b/>
          <w:bCs/>
          <w:sz w:val="24"/>
          <w:szCs w:val="24"/>
        </w:rPr>
      </w:pPr>
      <w:r w:rsidRPr="00611489">
        <w:rPr>
          <w:b/>
          <w:bCs/>
          <w:sz w:val="24"/>
          <w:szCs w:val="24"/>
        </w:rPr>
        <w:tab/>
      </w:r>
    </w:p>
    <w:p w:rsidR="00FB724C" w:rsidRDefault="00FB724C" w:rsidP="00FB724C">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FB724C" w:rsidRPr="00611489" w:rsidRDefault="00FB724C" w:rsidP="00FB724C">
      <w:pPr>
        <w:spacing w:line="278" w:lineRule="auto"/>
        <w:jc w:val="center"/>
        <w:rPr>
          <w:b/>
          <w:bCs/>
          <w:sz w:val="24"/>
          <w:szCs w:val="24"/>
        </w:rPr>
      </w:pPr>
      <w:r>
        <w:rPr>
          <w:b/>
          <w:bCs/>
          <w:sz w:val="24"/>
          <w:szCs w:val="24"/>
        </w:rPr>
        <w:br w:type="page"/>
      </w:r>
      <w:r w:rsidRPr="00FB724C">
        <w:rPr>
          <w:b/>
          <w:bCs/>
          <w:noProof/>
          <w:sz w:val="24"/>
          <w:szCs w:val="24"/>
        </w:rPr>
        <w:lastRenderedPageBreak/>
        <w:drawing>
          <wp:inline distT="0" distB="0" distL="0" distR="0">
            <wp:extent cx="5943600" cy="8523203"/>
            <wp:effectExtent l="0" t="0" r="0" b="0"/>
            <wp:docPr id="6" name="Picture 6" descr="C:\Users\DELL\Desktop\78de321d-3942-49cb-8567-94303f154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78de321d-3942-49cb-8567-94303f15451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523203"/>
                    </a:xfrm>
                    <a:prstGeom prst="rect">
                      <a:avLst/>
                    </a:prstGeom>
                    <a:noFill/>
                    <a:ln>
                      <a:noFill/>
                    </a:ln>
                  </pic:spPr>
                </pic:pic>
              </a:graphicData>
            </a:graphic>
          </wp:inline>
        </w:drawing>
      </w:r>
      <w:r w:rsidRPr="00611489">
        <w:rPr>
          <w:b/>
          <w:bCs/>
          <w:sz w:val="24"/>
          <w:szCs w:val="24"/>
        </w:rPr>
        <w:lastRenderedPageBreak/>
        <w:t>DEDICATION</w:t>
      </w:r>
    </w:p>
    <w:p w:rsidR="00FB724C" w:rsidRDefault="00FB724C" w:rsidP="00FB724C">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FB724C" w:rsidRPr="00611489" w:rsidRDefault="00FB724C" w:rsidP="00FB724C">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Pr="006A22C8">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rPr>
          <w:b/>
          <w:bCs/>
          <w:sz w:val="24"/>
          <w:szCs w:val="24"/>
        </w:rPr>
      </w:pPr>
      <w:r>
        <w:rPr>
          <w:b/>
          <w:bCs/>
          <w:sz w:val="24"/>
          <w:szCs w:val="24"/>
        </w:rPr>
        <w:br w:type="page"/>
      </w:r>
    </w:p>
    <w:p w:rsidR="00FB724C" w:rsidRPr="00611489" w:rsidRDefault="00FB724C" w:rsidP="00FB724C">
      <w:pPr>
        <w:spacing w:after="0" w:line="480" w:lineRule="auto"/>
        <w:ind w:left="2160" w:firstLine="720"/>
        <w:jc w:val="both"/>
        <w:rPr>
          <w:b/>
          <w:bCs/>
          <w:sz w:val="24"/>
          <w:szCs w:val="24"/>
        </w:rPr>
      </w:pPr>
      <w:r w:rsidRPr="00611489">
        <w:rPr>
          <w:b/>
          <w:bCs/>
          <w:sz w:val="24"/>
          <w:szCs w:val="24"/>
        </w:rPr>
        <w:lastRenderedPageBreak/>
        <w:t>ACKNOWLEDGEMENT</w:t>
      </w:r>
    </w:p>
    <w:p w:rsidR="00FB724C" w:rsidRPr="000A2363" w:rsidRDefault="00FB724C" w:rsidP="00FB724C">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FB724C" w:rsidRPr="000A2363" w:rsidRDefault="00FB724C" w:rsidP="00FB724C">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Pr="000A2363">
        <w:rPr>
          <w:sz w:val="24"/>
          <w:szCs w:val="24"/>
        </w:rPr>
        <w:t xml:space="preserve"> SALAUDEEN</w:t>
      </w:r>
      <w:r>
        <w:rPr>
          <w:sz w:val="24"/>
          <w:szCs w:val="24"/>
        </w:rPr>
        <w:t>,</w:t>
      </w:r>
      <w:r w:rsidRPr="000A2363">
        <w:rPr>
          <w:sz w:val="24"/>
          <w:szCs w:val="24"/>
        </w:rPr>
        <w:t xml:space="preserve"> K.A. and all our lecturers for an excellent impact of knowledge.</w:t>
      </w:r>
    </w:p>
    <w:p w:rsidR="00FB724C" w:rsidRPr="000A2363" w:rsidRDefault="00FB724C" w:rsidP="00FB724C">
      <w:pPr>
        <w:spacing w:after="0" w:line="480" w:lineRule="auto"/>
        <w:jc w:val="both"/>
        <w:rPr>
          <w:sz w:val="24"/>
          <w:szCs w:val="24"/>
        </w:rPr>
      </w:pPr>
      <w:r w:rsidRPr="000A2363">
        <w:rPr>
          <w:sz w:val="24"/>
          <w:szCs w:val="24"/>
        </w:rPr>
        <w:t xml:space="preserve">      We will not forget to appreciate our lovely parents (Mr</w:t>
      </w:r>
      <w:r>
        <w:rPr>
          <w:sz w:val="24"/>
          <w:szCs w:val="24"/>
        </w:rPr>
        <w:t>.</w:t>
      </w:r>
      <w:r w:rsidRPr="000A2363">
        <w:rPr>
          <w:sz w:val="24"/>
          <w:szCs w:val="24"/>
        </w:rPr>
        <w:t xml:space="preserve"> &amp; Mrs</w:t>
      </w:r>
      <w:r>
        <w:rPr>
          <w:sz w:val="24"/>
          <w:szCs w:val="24"/>
        </w:rPr>
        <w:t>.</w:t>
      </w:r>
      <w:r w:rsidRPr="000A2363">
        <w:rPr>
          <w:sz w:val="24"/>
          <w:szCs w:val="24"/>
        </w:rPr>
        <w:t xml:space="preserve"> </w:t>
      </w:r>
      <w:proofErr w:type="spellStart"/>
      <w:r w:rsidRPr="000A2363">
        <w:rPr>
          <w:sz w:val="24"/>
          <w:szCs w:val="24"/>
        </w:rPr>
        <w:t>Adeshina</w:t>
      </w:r>
      <w:proofErr w:type="spellEnd"/>
      <w:r w:rsidRPr="000A2363">
        <w:rPr>
          <w:sz w:val="24"/>
          <w:szCs w:val="24"/>
        </w:rPr>
        <w:t>, Mr</w:t>
      </w:r>
      <w:r>
        <w:rPr>
          <w:sz w:val="24"/>
          <w:szCs w:val="24"/>
        </w:rPr>
        <w:t>.</w:t>
      </w:r>
      <w:r w:rsidRPr="000A2363">
        <w:rPr>
          <w:sz w:val="24"/>
          <w:szCs w:val="24"/>
        </w:rPr>
        <w:t xml:space="preserve"> &amp; Mrs</w:t>
      </w:r>
      <w:r>
        <w:rPr>
          <w:sz w:val="24"/>
          <w:szCs w:val="24"/>
        </w:rPr>
        <w:t>.</w:t>
      </w:r>
      <w:r w:rsidRPr="000A2363">
        <w:rPr>
          <w:sz w:val="24"/>
          <w:szCs w:val="24"/>
        </w:rPr>
        <w:t xml:space="preserve"> </w:t>
      </w:r>
      <w:proofErr w:type="spellStart"/>
      <w:r w:rsidRPr="000A2363">
        <w:rPr>
          <w:sz w:val="24"/>
          <w:szCs w:val="24"/>
        </w:rPr>
        <w:t>Ajiboye</w:t>
      </w:r>
      <w:proofErr w:type="spellEnd"/>
      <w:r w:rsidRPr="000A2363">
        <w:rPr>
          <w:sz w:val="24"/>
          <w:szCs w:val="24"/>
        </w:rPr>
        <w:t>, Mr</w:t>
      </w:r>
      <w:r>
        <w:rPr>
          <w:sz w:val="24"/>
          <w:szCs w:val="24"/>
        </w:rPr>
        <w:t>.</w:t>
      </w:r>
      <w:r w:rsidRPr="000A2363">
        <w:rPr>
          <w:sz w:val="24"/>
          <w:szCs w:val="24"/>
        </w:rPr>
        <w:t xml:space="preserve"> &amp; Mrs</w:t>
      </w:r>
      <w:r>
        <w:rPr>
          <w:sz w:val="24"/>
          <w:szCs w:val="24"/>
        </w:rPr>
        <w:t xml:space="preserve">. </w:t>
      </w:r>
      <w:proofErr w:type="spellStart"/>
      <w:r>
        <w:rPr>
          <w:sz w:val="24"/>
          <w:szCs w:val="24"/>
        </w:rPr>
        <w:t>Okunlo</w:t>
      </w:r>
      <w:r w:rsidRPr="000A2363">
        <w:rPr>
          <w:sz w:val="24"/>
          <w:szCs w:val="24"/>
        </w:rPr>
        <w:t>la</w:t>
      </w:r>
      <w:proofErr w:type="spellEnd"/>
      <w:r w:rsidRPr="000A2363">
        <w:rPr>
          <w:sz w:val="24"/>
          <w:szCs w:val="24"/>
        </w:rPr>
        <w:t>, Mr</w:t>
      </w:r>
      <w:r>
        <w:rPr>
          <w:sz w:val="24"/>
          <w:szCs w:val="24"/>
        </w:rPr>
        <w:t>.</w:t>
      </w:r>
      <w:r w:rsidRPr="000A2363">
        <w:rPr>
          <w:sz w:val="24"/>
          <w:szCs w:val="24"/>
        </w:rPr>
        <w:t xml:space="preserve"> &amp; Mrs</w:t>
      </w:r>
      <w:r>
        <w:rPr>
          <w:sz w:val="24"/>
          <w:szCs w:val="24"/>
        </w:rPr>
        <w:t>.</w:t>
      </w:r>
      <w:r w:rsidRPr="000A2363">
        <w:rPr>
          <w:sz w:val="24"/>
          <w:szCs w:val="24"/>
        </w:rPr>
        <w:t xml:space="preserve"> Ramon, Mr</w:t>
      </w:r>
      <w:r>
        <w:rPr>
          <w:sz w:val="24"/>
          <w:szCs w:val="24"/>
        </w:rPr>
        <w:t>.</w:t>
      </w:r>
      <w:r w:rsidRPr="000A2363">
        <w:rPr>
          <w:sz w:val="24"/>
          <w:szCs w:val="24"/>
        </w:rPr>
        <w:t xml:space="preserve"> &amp; Mrs</w:t>
      </w:r>
      <w:r>
        <w:rPr>
          <w:sz w:val="24"/>
          <w:szCs w:val="24"/>
        </w:rPr>
        <w:t>.</w:t>
      </w:r>
      <w:r w:rsidRPr="000A2363">
        <w:rPr>
          <w:sz w:val="24"/>
          <w:szCs w:val="24"/>
        </w:rPr>
        <w:t xml:space="preserve"> </w:t>
      </w:r>
      <w:proofErr w:type="spellStart"/>
      <w:r w:rsidRPr="000A2363">
        <w:rPr>
          <w:sz w:val="24"/>
          <w:szCs w:val="24"/>
        </w:rPr>
        <w:t>Oyebode</w:t>
      </w:r>
      <w:proofErr w:type="spellEnd"/>
      <w:r w:rsidRPr="000A2363">
        <w:rPr>
          <w:sz w:val="24"/>
          <w:szCs w:val="24"/>
        </w:rPr>
        <w:t>, Mr</w:t>
      </w:r>
      <w:r>
        <w:rPr>
          <w:sz w:val="24"/>
          <w:szCs w:val="24"/>
        </w:rPr>
        <w:t>.</w:t>
      </w:r>
      <w:r w:rsidRPr="000A2363">
        <w:rPr>
          <w:sz w:val="24"/>
          <w:szCs w:val="24"/>
        </w:rPr>
        <w:t xml:space="preserve"> &amp; Mrs</w:t>
      </w:r>
      <w:r>
        <w:rPr>
          <w:sz w:val="24"/>
          <w:szCs w:val="24"/>
        </w:rPr>
        <w:t>.</w:t>
      </w:r>
      <w:r w:rsidRPr="000A2363">
        <w:rPr>
          <w:sz w:val="24"/>
          <w:szCs w:val="24"/>
        </w:rPr>
        <w:t xml:space="preserve"> </w:t>
      </w:r>
      <w:proofErr w:type="spellStart"/>
      <w:r w:rsidRPr="000A2363">
        <w:rPr>
          <w:sz w:val="24"/>
          <w:szCs w:val="24"/>
        </w:rPr>
        <w:t>Okunlola</w:t>
      </w:r>
      <w:proofErr w:type="spellEnd"/>
      <w:r w:rsidRPr="000A2363">
        <w:rPr>
          <w:sz w:val="24"/>
          <w:szCs w:val="24"/>
        </w:rPr>
        <w:t xml:space="preserve"> who has been supporting us financially and through their word of encouragement, we say a big thanks to you all.</w:t>
      </w:r>
    </w:p>
    <w:p w:rsidR="00FB724C" w:rsidRDefault="00FB724C" w:rsidP="00FB724C">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Pr="00C662D9" w:rsidRDefault="00FB724C" w:rsidP="00FB724C">
      <w:pPr>
        <w:spacing w:line="240" w:lineRule="auto"/>
        <w:jc w:val="center"/>
        <w:rPr>
          <w:b/>
          <w:sz w:val="24"/>
          <w:szCs w:val="24"/>
        </w:rPr>
      </w:pPr>
      <w:r w:rsidRPr="00C662D9">
        <w:rPr>
          <w:b/>
          <w:sz w:val="24"/>
          <w:szCs w:val="24"/>
        </w:rPr>
        <w:t>TABLE OF CONTENTS</w:t>
      </w:r>
    </w:p>
    <w:p w:rsidR="00FB724C" w:rsidRPr="00C662D9" w:rsidRDefault="00FB724C" w:rsidP="00FB724C">
      <w:pPr>
        <w:spacing w:line="240" w:lineRule="auto"/>
        <w:rPr>
          <w:bCs/>
          <w:sz w:val="24"/>
          <w:szCs w:val="24"/>
        </w:rPr>
      </w:pPr>
      <w:r w:rsidRPr="00C662D9">
        <w:rPr>
          <w:bCs/>
          <w:sz w:val="24"/>
          <w:szCs w:val="24"/>
        </w:rPr>
        <w:t>Title page</w:t>
      </w:r>
    </w:p>
    <w:p w:rsidR="00FB724C" w:rsidRPr="00C662D9" w:rsidRDefault="00FB724C" w:rsidP="00FB724C">
      <w:pPr>
        <w:spacing w:line="240" w:lineRule="auto"/>
        <w:rPr>
          <w:bCs/>
          <w:sz w:val="24"/>
          <w:szCs w:val="24"/>
        </w:rPr>
      </w:pPr>
      <w:r w:rsidRPr="00C662D9">
        <w:rPr>
          <w:bCs/>
          <w:sz w:val="24"/>
          <w:szCs w:val="24"/>
        </w:rPr>
        <w:t>Certification</w:t>
      </w:r>
    </w:p>
    <w:p w:rsidR="00FB724C" w:rsidRPr="00C662D9" w:rsidRDefault="00FB724C" w:rsidP="00FB724C">
      <w:pPr>
        <w:spacing w:line="240" w:lineRule="auto"/>
        <w:rPr>
          <w:bCs/>
          <w:sz w:val="24"/>
          <w:szCs w:val="24"/>
        </w:rPr>
      </w:pPr>
      <w:r w:rsidRPr="00C662D9">
        <w:rPr>
          <w:bCs/>
          <w:sz w:val="24"/>
          <w:szCs w:val="24"/>
        </w:rPr>
        <w:t>Dedication</w:t>
      </w:r>
    </w:p>
    <w:p w:rsidR="00FB724C" w:rsidRPr="00C662D9" w:rsidRDefault="00FB724C" w:rsidP="00FB724C">
      <w:pPr>
        <w:spacing w:line="240" w:lineRule="auto"/>
        <w:rPr>
          <w:bCs/>
          <w:sz w:val="24"/>
          <w:szCs w:val="24"/>
        </w:rPr>
      </w:pPr>
      <w:r w:rsidRPr="00C662D9">
        <w:rPr>
          <w:bCs/>
          <w:sz w:val="24"/>
          <w:szCs w:val="24"/>
        </w:rPr>
        <w:t>Acknowledgement</w:t>
      </w:r>
    </w:p>
    <w:p w:rsidR="00FB724C" w:rsidRPr="00C662D9" w:rsidRDefault="00FB724C" w:rsidP="00FB724C">
      <w:pPr>
        <w:spacing w:line="240" w:lineRule="auto"/>
        <w:rPr>
          <w:bCs/>
          <w:sz w:val="24"/>
          <w:szCs w:val="24"/>
        </w:rPr>
      </w:pPr>
      <w:r w:rsidRPr="00C662D9">
        <w:rPr>
          <w:bCs/>
          <w:sz w:val="24"/>
          <w:szCs w:val="24"/>
        </w:rPr>
        <w:t>Table of contents</w:t>
      </w:r>
    </w:p>
    <w:p w:rsidR="00FB724C" w:rsidRPr="00C662D9" w:rsidRDefault="00FB724C" w:rsidP="00FB724C">
      <w:pPr>
        <w:spacing w:line="240" w:lineRule="auto"/>
        <w:rPr>
          <w:bCs/>
          <w:sz w:val="24"/>
          <w:szCs w:val="24"/>
        </w:rPr>
      </w:pPr>
      <w:r w:rsidRPr="00C662D9">
        <w:rPr>
          <w:bCs/>
          <w:sz w:val="24"/>
          <w:szCs w:val="24"/>
        </w:rPr>
        <w:t>Abstracts</w:t>
      </w:r>
    </w:p>
    <w:bookmarkEnd w:id="0"/>
    <w:p w:rsidR="00FB724C" w:rsidRPr="00D1711F" w:rsidRDefault="00FB724C" w:rsidP="00FB724C">
      <w:pPr>
        <w:spacing w:after="0" w:line="480" w:lineRule="auto"/>
        <w:rPr>
          <w:b/>
          <w:bCs/>
        </w:rPr>
      </w:pPr>
      <w:r w:rsidRPr="00D1711F">
        <w:rPr>
          <w:b/>
          <w:bCs/>
        </w:rPr>
        <w:t>CHAPTER ONE</w:t>
      </w:r>
    </w:p>
    <w:p w:rsidR="00FB724C" w:rsidRPr="00D1711F" w:rsidRDefault="00FB724C" w:rsidP="00FB724C">
      <w:pPr>
        <w:spacing w:after="0" w:line="480" w:lineRule="auto"/>
        <w:jc w:val="both"/>
        <w:rPr>
          <w:bCs/>
        </w:rPr>
      </w:pPr>
      <w:r w:rsidRPr="00D1711F">
        <w:rPr>
          <w:bCs/>
        </w:rPr>
        <w:t>1.0</w:t>
      </w:r>
      <w:r w:rsidRPr="00D1711F">
        <w:rPr>
          <w:bCs/>
        </w:rPr>
        <w:tab/>
        <w:t xml:space="preserve">INTRODUCTION </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1.1 Background of the Study</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1.2 Statement of the Problem</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FB724C" w:rsidRPr="00D1711F" w:rsidRDefault="00FB724C" w:rsidP="00FB724C">
      <w:pPr>
        <w:spacing w:after="0" w:line="480" w:lineRule="auto"/>
        <w:rPr>
          <w:b/>
          <w:bCs/>
        </w:rPr>
      </w:pPr>
      <w:r w:rsidRPr="00D1711F">
        <w:rPr>
          <w:b/>
          <w:bCs/>
        </w:rPr>
        <w:t>CHAPTER TWO</w:t>
      </w:r>
    </w:p>
    <w:p w:rsidR="00FB724C" w:rsidRPr="00D1711F" w:rsidRDefault="00FB724C" w:rsidP="00FB724C">
      <w:pPr>
        <w:spacing w:after="0" w:line="480" w:lineRule="auto"/>
        <w:rPr>
          <w:bCs/>
        </w:rPr>
      </w:pPr>
      <w:r w:rsidRPr="00D1711F">
        <w:rPr>
          <w:bCs/>
        </w:rPr>
        <w:t>2.0 LITERATURE REVIEW</w:t>
      </w:r>
    </w:p>
    <w:p w:rsidR="00FB724C" w:rsidRPr="00D1711F" w:rsidRDefault="00FB724C" w:rsidP="00FB724C">
      <w:pPr>
        <w:spacing w:after="0" w:line="480" w:lineRule="auto"/>
        <w:jc w:val="both"/>
      </w:pPr>
      <w:r w:rsidRPr="00D1711F">
        <w:t>2.1 Ulcer</w:t>
      </w:r>
    </w:p>
    <w:p w:rsidR="00FB724C" w:rsidRPr="00D1711F" w:rsidRDefault="00FB724C" w:rsidP="00FB724C">
      <w:pPr>
        <w:spacing w:after="0" w:line="480" w:lineRule="auto"/>
        <w:jc w:val="both"/>
      </w:pPr>
      <w:r w:rsidRPr="00D1711F">
        <w:t>2.2 Types of Ulcer</w:t>
      </w:r>
    </w:p>
    <w:p w:rsidR="00FB724C" w:rsidRPr="00D1711F" w:rsidRDefault="00FB724C" w:rsidP="00FB724C">
      <w:pPr>
        <w:spacing w:after="0" w:line="480" w:lineRule="auto"/>
        <w:jc w:val="both"/>
      </w:pPr>
      <w:r w:rsidRPr="00D1711F">
        <w:t>2.2.1 Peptic Ulcer</w:t>
      </w:r>
    </w:p>
    <w:p w:rsidR="00FB724C" w:rsidRPr="00D1711F" w:rsidRDefault="00FB724C" w:rsidP="00FB724C">
      <w:pPr>
        <w:spacing w:after="0" w:line="480" w:lineRule="auto"/>
        <w:jc w:val="both"/>
      </w:pPr>
      <w:r w:rsidRPr="00D1711F">
        <w:t>2.2.2 Skin Ulcer</w:t>
      </w:r>
    </w:p>
    <w:p w:rsidR="00FB724C" w:rsidRPr="00D1711F" w:rsidRDefault="00FB724C" w:rsidP="00FB724C">
      <w:pPr>
        <w:spacing w:after="0" w:line="480" w:lineRule="auto"/>
        <w:jc w:val="both"/>
      </w:pPr>
      <w:r w:rsidRPr="00D1711F">
        <w:t>2.2.3 Mouth Ulcer</w:t>
      </w:r>
    </w:p>
    <w:p w:rsidR="00FB724C" w:rsidRPr="00D1711F" w:rsidRDefault="00FB724C" w:rsidP="00FB724C">
      <w:pPr>
        <w:spacing w:after="0" w:line="480" w:lineRule="auto"/>
        <w:jc w:val="both"/>
      </w:pPr>
      <w:r w:rsidRPr="00D1711F">
        <w:lastRenderedPageBreak/>
        <w:t>2.2.4 Corneal Ulcer</w:t>
      </w:r>
    </w:p>
    <w:p w:rsidR="00FB724C" w:rsidRPr="00D1711F" w:rsidRDefault="00FB724C" w:rsidP="00FB724C">
      <w:pPr>
        <w:spacing w:after="0" w:line="480" w:lineRule="auto"/>
        <w:jc w:val="both"/>
      </w:pPr>
      <w:r w:rsidRPr="00D1711F">
        <w:t>2.2.5 Diabetic Ulcer</w:t>
      </w:r>
    </w:p>
    <w:p w:rsidR="00FB724C" w:rsidRPr="00D1711F" w:rsidRDefault="00FB724C" w:rsidP="00FB724C">
      <w:pPr>
        <w:spacing w:after="0" w:line="480" w:lineRule="auto"/>
        <w:jc w:val="both"/>
      </w:pPr>
      <w:r w:rsidRPr="00D1711F">
        <w:t>2.2.6 Stomach Ulcer</w:t>
      </w:r>
    </w:p>
    <w:p w:rsidR="00FB724C" w:rsidRPr="00D1711F" w:rsidRDefault="00FB724C" w:rsidP="00FB724C">
      <w:pPr>
        <w:spacing w:after="0" w:line="480" w:lineRule="auto"/>
        <w:jc w:val="both"/>
        <w:rPr>
          <w:bCs/>
        </w:rPr>
      </w:pPr>
      <w:r w:rsidRPr="00D1711F">
        <w:rPr>
          <w:bCs/>
        </w:rPr>
        <w:t>2.3 Causes of Ulcer</w:t>
      </w:r>
    </w:p>
    <w:p w:rsidR="00FB724C" w:rsidRPr="00D1711F" w:rsidRDefault="00FB724C" w:rsidP="00FB724C">
      <w:pPr>
        <w:spacing w:after="0" w:line="480" w:lineRule="auto"/>
        <w:jc w:val="both"/>
        <w:rPr>
          <w:bCs/>
        </w:rPr>
      </w:pPr>
      <w:r w:rsidRPr="00D1711F">
        <w:rPr>
          <w:bCs/>
        </w:rPr>
        <w:t>2.3.1 Psychological Causes</w:t>
      </w:r>
    </w:p>
    <w:p w:rsidR="00FB724C" w:rsidRPr="00D1711F" w:rsidRDefault="00FB724C" w:rsidP="00FB724C">
      <w:pPr>
        <w:spacing w:after="0" w:line="480" w:lineRule="auto"/>
        <w:jc w:val="both"/>
        <w:rPr>
          <w:bCs/>
        </w:rPr>
      </w:pPr>
      <w:r w:rsidRPr="00D1711F">
        <w:rPr>
          <w:bCs/>
        </w:rPr>
        <w:t>2.3.2 Medication</w:t>
      </w:r>
    </w:p>
    <w:p w:rsidR="00FB724C" w:rsidRPr="00D1711F" w:rsidRDefault="00FB724C" w:rsidP="00FB724C">
      <w:pPr>
        <w:spacing w:after="0" w:line="480" w:lineRule="auto"/>
        <w:jc w:val="both"/>
        <w:rPr>
          <w:bCs/>
        </w:rPr>
      </w:pPr>
      <w:r w:rsidRPr="00D1711F">
        <w:rPr>
          <w:bCs/>
        </w:rPr>
        <w:t>2.3.3 Dietary Factors</w:t>
      </w:r>
    </w:p>
    <w:p w:rsidR="00FB724C" w:rsidRPr="00D1711F" w:rsidRDefault="00FB724C" w:rsidP="00FB724C">
      <w:pPr>
        <w:spacing w:after="0" w:line="480" w:lineRule="auto"/>
        <w:jc w:val="both"/>
        <w:rPr>
          <w:bCs/>
        </w:rPr>
      </w:pPr>
      <w:r w:rsidRPr="00D1711F">
        <w:rPr>
          <w:bCs/>
        </w:rPr>
        <w:t>2.4 Pathophysiology of Ulcer</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2.5 Antioxidants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 Types of antioxidant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 Non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2.6.1.1 Total phenolic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2.6.1.2 Total flavonoid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2.6.1.3 Ferric reducing antioxidant power (FRAP)</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 xml:space="preserve">-azino-bis C3 </w:t>
      </w:r>
      <w:proofErr w:type="spellStart"/>
      <w:r w:rsidRPr="00D1711F">
        <w:rPr>
          <w:bCs/>
          <w:sz w:val="28"/>
          <w:szCs w:val="28"/>
        </w:rPr>
        <w:t>ethylbenzothiazoline</w:t>
      </w:r>
      <w:proofErr w:type="spellEnd"/>
      <w:r w:rsidRPr="00D1711F">
        <w:rPr>
          <w:bCs/>
          <w:sz w:val="28"/>
          <w:szCs w:val="28"/>
        </w:rPr>
        <w:t>-b-</w:t>
      </w:r>
      <w:proofErr w:type="spellStart"/>
      <w:r w:rsidRPr="00D1711F">
        <w:rPr>
          <w:bCs/>
          <w:sz w:val="28"/>
          <w:szCs w:val="28"/>
        </w:rPr>
        <w:t>sulphonic</w:t>
      </w:r>
      <w:proofErr w:type="spellEnd"/>
      <w:r w:rsidRPr="00D1711F">
        <w:rPr>
          <w:bCs/>
          <w:sz w:val="28"/>
          <w:szCs w:val="28"/>
        </w:rPr>
        <w:t xml:space="preserve"> acid (ABTS)</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lastRenderedPageBreak/>
        <w:t>2.6.2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2.6.2.1 Superoxide dismutase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2.6.2.2 Catalase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 Lipid peroxidation parameters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2.7.1 Glutathione </w:t>
      </w:r>
      <w:proofErr w:type="spellStart"/>
      <w:r w:rsidRPr="00D1711F">
        <w:rPr>
          <w:bCs/>
          <w:sz w:val="28"/>
          <w:szCs w:val="28"/>
        </w:rPr>
        <w:t>transferase</w:t>
      </w:r>
      <w:proofErr w:type="spellEnd"/>
      <w:r w:rsidRPr="00D1711F">
        <w:rPr>
          <w:bCs/>
          <w:sz w:val="28"/>
          <w:szCs w:val="28"/>
        </w:rPr>
        <w:t xml:space="preserv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2.7.2 Glutathione peroxidase</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2.7.3 Glutathione </w:t>
      </w:r>
      <w:proofErr w:type="spellStart"/>
      <w:r w:rsidRPr="00D1711F">
        <w:rPr>
          <w:bCs/>
          <w:sz w:val="28"/>
          <w:szCs w:val="28"/>
        </w:rPr>
        <w:t>reductase</w:t>
      </w:r>
      <w:proofErr w:type="spellEnd"/>
      <w:r w:rsidRPr="00D1711F">
        <w:rPr>
          <w:bCs/>
          <w:sz w:val="28"/>
          <w:szCs w:val="28"/>
        </w:rPr>
        <w:t xml:space="preserv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2.7.4 Reduced glutathione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2.7.5 </w:t>
      </w:r>
      <w:proofErr w:type="spellStart"/>
      <w:r w:rsidRPr="00D1711F">
        <w:rPr>
          <w:bCs/>
          <w:sz w:val="28"/>
          <w:szCs w:val="28"/>
        </w:rPr>
        <w:t>Malondialdehyde</w:t>
      </w:r>
      <w:proofErr w:type="spellEnd"/>
      <w:r w:rsidRPr="00D1711F">
        <w:rPr>
          <w:bCs/>
          <w:sz w:val="28"/>
          <w:szCs w:val="28"/>
        </w:rPr>
        <w:t xml:space="preserv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2.7.6 </w:t>
      </w:r>
      <w:proofErr w:type="spellStart"/>
      <w:r w:rsidRPr="00D1711F">
        <w:rPr>
          <w:bCs/>
          <w:sz w:val="28"/>
          <w:szCs w:val="28"/>
        </w:rPr>
        <w:t>Mycloperoxidase</w:t>
      </w:r>
      <w:proofErr w:type="spellEnd"/>
      <w:r w:rsidRPr="00D1711F">
        <w:rPr>
          <w:bCs/>
          <w:sz w:val="28"/>
          <w:szCs w:val="28"/>
        </w:rPr>
        <w:t xml:space="preserve"> </w:t>
      </w:r>
    </w:p>
    <w:p w:rsidR="00FB724C" w:rsidRPr="00D1711F" w:rsidRDefault="00FB724C" w:rsidP="00FB724C">
      <w:pPr>
        <w:spacing w:after="0" w:line="480" w:lineRule="auto"/>
        <w:rPr>
          <w:b/>
          <w:bCs/>
        </w:rPr>
      </w:pPr>
      <w:r w:rsidRPr="00D1711F">
        <w:rPr>
          <w:b/>
          <w:bCs/>
        </w:rPr>
        <w:t>CHAPTER THREE</w:t>
      </w:r>
    </w:p>
    <w:p w:rsidR="00FB724C" w:rsidRPr="00D1711F" w:rsidRDefault="00FB724C" w:rsidP="00FB724C">
      <w:pPr>
        <w:spacing w:after="0" w:line="480" w:lineRule="auto"/>
      </w:pPr>
      <w:r w:rsidRPr="00D1711F">
        <w:rPr>
          <w:bCs/>
        </w:rPr>
        <w:t>3.0</w:t>
      </w:r>
      <w:r w:rsidRPr="00D1711F">
        <w:rPr>
          <w:bCs/>
        </w:rPr>
        <w:tab/>
        <w:t>MATERIALS AND METHODS</w:t>
      </w:r>
    </w:p>
    <w:p w:rsidR="00FB724C" w:rsidRPr="00D1711F" w:rsidRDefault="00FB724C" w:rsidP="00FB724C">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FB724C" w:rsidRPr="00D1711F" w:rsidRDefault="00FB724C" w:rsidP="00FB724C">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FB724C" w:rsidRPr="00D1711F" w:rsidRDefault="00FB724C" w:rsidP="00FB724C">
      <w:pPr>
        <w:spacing w:after="0" w:line="480" w:lineRule="auto"/>
        <w:jc w:val="both"/>
        <w:rPr>
          <w:bCs/>
        </w:rPr>
      </w:pPr>
      <w:r w:rsidRPr="00D1711F">
        <w:rPr>
          <w:bCs/>
        </w:rPr>
        <w:t xml:space="preserve">3.3 Experimental design </w:t>
      </w:r>
    </w:p>
    <w:p w:rsidR="00FB724C" w:rsidRPr="00D1711F" w:rsidRDefault="00FB724C" w:rsidP="00FB724C">
      <w:pPr>
        <w:spacing w:after="0" w:line="480" w:lineRule="auto"/>
        <w:jc w:val="both"/>
        <w:rPr>
          <w:bCs/>
        </w:rPr>
      </w:pPr>
      <w:r w:rsidRPr="00D1711F">
        <w:rPr>
          <w:bCs/>
        </w:rPr>
        <w:t xml:space="preserve">3.3.1 Determination of antioxidant properties </w:t>
      </w:r>
    </w:p>
    <w:p w:rsidR="00FB724C" w:rsidRPr="00D1711F" w:rsidRDefault="00FB724C" w:rsidP="00FB724C">
      <w:pPr>
        <w:spacing w:after="0" w:line="480" w:lineRule="auto"/>
        <w:jc w:val="both"/>
        <w:rPr>
          <w:bCs/>
        </w:rPr>
      </w:pPr>
      <w:r w:rsidRPr="00D1711F">
        <w:rPr>
          <w:bCs/>
        </w:rPr>
        <w:lastRenderedPageBreak/>
        <w:t>3.3.2 Determination of Ferric Reducing Antioxidant Power (FRAP)</w:t>
      </w:r>
    </w:p>
    <w:p w:rsidR="00FB724C" w:rsidRPr="00D1711F" w:rsidRDefault="00FB724C" w:rsidP="00FB724C">
      <w:pPr>
        <w:spacing w:after="0" w:line="480" w:lineRule="auto"/>
        <w:jc w:val="both"/>
        <w:rPr>
          <w:bCs/>
        </w:rPr>
      </w:pPr>
      <w:r w:rsidRPr="00D1711F">
        <w:rPr>
          <w:bCs/>
        </w:rPr>
        <w:t xml:space="preserve">3.3.2 Determination of </w:t>
      </w:r>
      <w:proofErr w:type="spellStart"/>
      <w:r w:rsidRPr="00D1711F">
        <w:rPr>
          <w:bCs/>
        </w:rPr>
        <w:t>Azino-bis</w:t>
      </w:r>
      <w:proofErr w:type="spellEnd"/>
      <w:r w:rsidRPr="00D1711F">
        <w:rPr>
          <w:bCs/>
        </w:rPr>
        <w:t xml:space="preserve"> C3 ethyl </w:t>
      </w:r>
      <w:proofErr w:type="spellStart"/>
      <w:r w:rsidRPr="00D1711F">
        <w:rPr>
          <w:bCs/>
        </w:rPr>
        <w:t>Benzothiazoline</w:t>
      </w:r>
      <w:proofErr w:type="spellEnd"/>
      <w:r w:rsidRPr="00D1711F">
        <w:rPr>
          <w:bCs/>
        </w:rPr>
        <w:t xml:space="preserve">-b- </w:t>
      </w:r>
      <w:proofErr w:type="spellStart"/>
      <w:r w:rsidRPr="00D1711F">
        <w:rPr>
          <w:bCs/>
        </w:rPr>
        <w:t>sulphonic</w:t>
      </w:r>
      <w:proofErr w:type="spellEnd"/>
      <w:r w:rsidRPr="00D1711F">
        <w:rPr>
          <w:bCs/>
        </w:rPr>
        <w:t xml:space="preserve"> acid (ABTs)</w:t>
      </w:r>
    </w:p>
    <w:p w:rsidR="00FB724C" w:rsidRPr="00D1711F" w:rsidRDefault="00FB724C" w:rsidP="00FB724C">
      <w:pPr>
        <w:spacing w:after="0" w:line="480" w:lineRule="auto"/>
        <w:jc w:val="both"/>
        <w:rPr>
          <w:bCs/>
        </w:rPr>
      </w:pPr>
      <w:r w:rsidRPr="00D1711F">
        <w:rPr>
          <w:bCs/>
        </w:rPr>
        <w:t xml:space="preserve">3.3.3 Determination of </w:t>
      </w:r>
      <w:proofErr w:type="spellStart"/>
      <w:r w:rsidRPr="00D1711F">
        <w:rPr>
          <w:bCs/>
        </w:rPr>
        <w:t>Diphenyl</w:t>
      </w:r>
      <w:proofErr w:type="spellEnd"/>
      <w:r w:rsidRPr="00D1711F">
        <w:rPr>
          <w:bCs/>
        </w:rPr>
        <w:t xml:space="preserve"> -1 </w:t>
      </w:r>
      <w:proofErr w:type="spellStart"/>
      <w:proofErr w:type="gramStart"/>
      <w:r w:rsidRPr="00D1711F">
        <w:rPr>
          <w:bCs/>
        </w:rPr>
        <w:t>pycrylhydraxyl</w:t>
      </w:r>
      <w:proofErr w:type="spellEnd"/>
      <w:r w:rsidRPr="00D1711F">
        <w:rPr>
          <w:bCs/>
        </w:rPr>
        <w:t xml:space="preserve">  (</w:t>
      </w:r>
      <w:proofErr w:type="gramEnd"/>
      <w:r w:rsidRPr="00D1711F">
        <w:rPr>
          <w:bCs/>
        </w:rPr>
        <w:t>DPPH)</w:t>
      </w:r>
    </w:p>
    <w:p w:rsidR="00FB724C" w:rsidRPr="00D1711F" w:rsidRDefault="00FB724C" w:rsidP="00FB724C">
      <w:pPr>
        <w:spacing w:after="0" w:line="480" w:lineRule="auto"/>
        <w:jc w:val="both"/>
        <w:rPr>
          <w:bCs/>
        </w:rPr>
      </w:pPr>
      <w:r w:rsidRPr="00D1711F">
        <w:rPr>
          <w:bCs/>
        </w:rPr>
        <w:t>3.3.4 Determination of total flavonoid content (TFC)</w:t>
      </w:r>
    </w:p>
    <w:p w:rsidR="00FB724C" w:rsidRPr="00D1711F" w:rsidRDefault="00FB724C" w:rsidP="00FB724C">
      <w:pPr>
        <w:spacing w:after="0" w:line="480" w:lineRule="auto"/>
        <w:jc w:val="both"/>
        <w:rPr>
          <w:bCs/>
        </w:rPr>
      </w:pPr>
      <w:r w:rsidRPr="00D1711F">
        <w:rPr>
          <w:bCs/>
        </w:rPr>
        <w:t>3.3.5 Determination of total phenolic content (TPC)</w:t>
      </w:r>
    </w:p>
    <w:p w:rsidR="00FB724C" w:rsidRPr="00D1711F" w:rsidRDefault="00FB724C" w:rsidP="00FB724C">
      <w:pPr>
        <w:spacing w:after="0" w:line="480" w:lineRule="auto"/>
        <w:jc w:val="both"/>
      </w:pPr>
      <w:r w:rsidRPr="00D1711F">
        <w:t>3.3.6</w:t>
      </w:r>
      <w:r w:rsidRPr="00D1711F">
        <w:tab/>
        <w:t>Determination of Enzymatic Antioxidant</w:t>
      </w:r>
    </w:p>
    <w:p w:rsidR="00FB724C" w:rsidRPr="00D1711F" w:rsidRDefault="00FB724C" w:rsidP="00FB724C">
      <w:pPr>
        <w:spacing w:after="0" w:line="480" w:lineRule="auto"/>
        <w:jc w:val="both"/>
      </w:pPr>
      <w:r w:rsidRPr="00D1711F">
        <w:t xml:space="preserve">3.4 </w:t>
      </w:r>
      <w:proofErr w:type="spellStart"/>
      <w:r w:rsidRPr="00D1711F">
        <w:t>Malondialdehyde</w:t>
      </w:r>
      <w:proofErr w:type="spellEnd"/>
    </w:p>
    <w:p w:rsidR="00FB724C" w:rsidRPr="00D1711F" w:rsidRDefault="00FB724C" w:rsidP="00FB724C">
      <w:pPr>
        <w:spacing w:after="0" w:line="480" w:lineRule="auto"/>
        <w:outlineLvl w:val="1"/>
        <w:rPr>
          <w:rFonts w:eastAsia="Times New Roman"/>
          <w:b/>
          <w:bCs/>
        </w:rPr>
      </w:pPr>
      <w:r w:rsidRPr="00D1711F">
        <w:rPr>
          <w:rFonts w:eastAsia="Times New Roman"/>
          <w:b/>
          <w:bCs/>
        </w:rPr>
        <w:t>CHAPTER FOUR</w:t>
      </w:r>
    </w:p>
    <w:p w:rsidR="00FB724C" w:rsidRPr="00D1711F" w:rsidRDefault="00FB724C" w:rsidP="00FB724C">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FB724C" w:rsidRPr="00D1711F" w:rsidRDefault="00FB724C" w:rsidP="00FB724C">
      <w:pPr>
        <w:spacing w:after="0" w:line="480" w:lineRule="auto"/>
        <w:jc w:val="both"/>
        <w:outlineLvl w:val="3"/>
        <w:rPr>
          <w:rFonts w:eastAsia="Times New Roman"/>
          <w:bCs/>
        </w:rPr>
      </w:pPr>
      <w:r w:rsidRPr="00D1711F">
        <w:rPr>
          <w:rFonts w:eastAsia="Times New Roman"/>
          <w:bCs/>
        </w:rPr>
        <w:t>4.1 BIOCHEMICAL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4.2 INTERPRETATION OF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 xml:space="preserve">4.3 </w:t>
      </w:r>
      <w:proofErr w:type="spellStart"/>
      <w:r w:rsidRPr="00D1711F">
        <w:rPr>
          <w:rFonts w:eastAsia="Times New Roman"/>
          <w:bCs/>
        </w:rPr>
        <w:t>Histopathological</w:t>
      </w:r>
      <w:proofErr w:type="spellEnd"/>
      <w:r w:rsidRPr="00D1711F">
        <w:rPr>
          <w:rFonts w:eastAsia="Times New Roman"/>
          <w:bCs/>
        </w:rPr>
        <w:t xml:space="preserve"> Findings</w:t>
      </w:r>
    </w:p>
    <w:p w:rsidR="00FB724C" w:rsidRPr="00D1711F" w:rsidRDefault="00FB724C" w:rsidP="00FB724C">
      <w:pPr>
        <w:spacing w:after="0" w:line="480" w:lineRule="auto"/>
        <w:rPr>
          <w:rFonts w:eastAsia="Times New Roman"/>
          <w:bCs/>
        </w:rPr>
      </w:pPr>
      <w:r w:rsidRPr="00D1711F">
        <w:rPr>
          <w:rFonts w:eastAsia="Times New Roman"/>
          <w:bCs/>
        </w:rPr>
        <w:t>CHAPTER FIVE</w:t>
      </w:r>
    </w:p>
    <w:p w:rsidR="00FB724C" w:rsidRPr="00D1711F" w:rsidRDefault="00FB724C" w:rsidP="00FB724C">
      <w:pPr>
        <w:spacing w:after="0" w:line="480" w:lineRule="auto"/>
        <w:outlineLvl w:val="2"/>
        <w:rPr>
          <w:rFonts w:eastAsia="Times New Roman"/>
          <w:bCs/>
        </w:rPr>
      </w:pPr>
      <w:r w:rsidRPr="00D1711F">
        <w:rPr>
          <w:rFonts w:eastAsia="Times New Roman"/>
          <w:bCs/>
        </w:rPr>
        <w:t>5.1 SUMMARY</w:t>
      </w:r>
    </w:p>
    <w:p w:rsidR="00FB724C" w:rsidRPr="00D1711F" w:rsidRDefault="00FB724C" w:rsidP="00FB724C">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FB724C" w:rsidRPr="00D1711F" w:rsidRDefault="00FB724C" w:rsidP="00FB724C">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FB724C" w:rsidRPr="00D1711F" w:rsidRDefault="00FB724C" w:rsidP="00FB724C">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FB724C" w:rsidRPr="00D1711F" w:rsidRDefault="00FB724C" w:rsidP="00FB724C">
      <w:pPr>
        <w:pStyle w:val="Heading2"/>
        <w:spacing w:before="0" w:beforeAutospacing="0" w:afterAutospacing="0" w:line="480" w:lineRule="auto"/>
        <w:rPr>
          <w:b w:val="0"/>
          <w:sz w:val="28"/>
          <w:szCs w:val="28"/>
        </w:rPr>
      </w:pPr>
      <w:r w:rsidRPr="00D1711F">
        <w:rPr>
          <w:rStyle w:val="Strong"/>
          <w:sz w:val="28"/>
          <w:szCs w:val="28"/>
        </w:rPr>
        <w:t>REFERENCES</w:t>
      </w:r>
    </w:p>
    <w:p w:rsidR="00FB724C" w:rsidRDefault="00FB724C" w:rsidP="00FB724C">
      <w:pPr>
        <w:spacing w:after="0" w:line="360" w:lineRule="auto"/>
        <w:jc w:val="center"/>
        <w:rPr>
          <w:b/>
          <w:i/>
          <w:sz w:val="24"/>
          <w:szCs w:val="24"/>
        </w:rPr>
      </w:pPr>
    </w:p>
    <w:p w:rsidR="00FB724C" w:rsidRDefault="00FB724C" w:rsidP="00FB724C">
      <w:pPr>
        <w:spacing w:after="0" w:line="360" w:lineRule="auto"/>
        <w:jc w:val="center"/>
        <w:rPr>
          <w:b/>
          <w:i/>
          <w:sz w:val="24"/>
          <w:szCs w:val="24"/>
        </w:rPr>
      </w:pPr>
      <w:r>
        <w:rPr>
          <w:b/>
          <w:i/>
          <w:sz w:val="24"/>
          <w:szCs w:val="24"/>
        </w:rPr>
        <w:lastRenderedPageBreak/>
        <w:t>ABSTRACT</w:t>
      </w:r>
    </w:p>
    <w:p w:rsidR="00FB724C" w:rsidRPr="008D4738" w:rsidRDefault="00FB724C" w:rsidP="00FB724C">
      <w:pPr>
        <w:spacing w:after="0" w:line="360" w:lineRule="auto"/>
        <w:jc w:val="both"/>
        <w:rPr>
          <w:i/>
        </w:rPr>
      </w:pPr>
      <w:r w:rsidRPr="008D4738">
        <w:rPr>
          <w:i/>
        </w:rPr>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proofErr w:type="spellStart"/>
      <w:r w:rsidRPr="00FD2E88">
        <w:rPr>
          <w:rStyle w:val="Emphasis"/>
        </w:rPr>
        <w:t>Sida</w:t>
      </w:r>
      <w:proofErr w:type="spellEnd"/>
      <w:r w:rsidRPr="00FD2E88">
        <w:rPr>
          <w:rStyle w:val="Emphasis"/>
        </w:rPr>
        <w:t xml:space="preserve"> </w:t>
      </w:r>
      <w:proofErr w:type="spellStart"/>
      <w:r w:rsidRPr="00FD2E88">
        <w:rPr>
          <w:rStyle w:val="Emphasis"/>
        </w:rPr>
        <w:t>acuta</w:t>
      </w:r>
      <w:proofErr w:type="spellEnd"/>
      <w:r w:rsidRPr="008D4738">
        <w:rPr>
          <w:i/>
        </w:rPr>
        <w:t xml:space="preserve">, a medicinal plant known for its antioxidant properties, on oxidative stress markers and lipid peroxidation in indomethacin-induced </w:t>
      </w:r>
      <w:proofErr w:type="spellStart"/>
      <w:r w:rsidRPr="008D4738">
        <w:rPr>
          <w:i/>
        </w:rPr>
        <w:t>ulcerogenic</w:t>
      </w:r>
      <w:proofErr w:type="spellEnd"/>
      <w:r w:rsidRPr="008D4738">
        <w:rPr>
          <w:i/>
        </w:rPr>
        <w:t xml:space="preserve"> rats.</w:t>
      </w:r>
    </w:p>
    <w:p w:rsidR="00FB724C" w:rsidRPr="008D4738" w:rsidRDefault="00FB724C" w:rsidP="00FB724C">
      <w:pPr>
        <w:spacing w:after="0" w:line="360" w:lineRule="auto"/>
        <w:jc w:val="both"/>
        <w:rPr>
          <w:i/>
        </w:rPr>
      </w:pPr>
      <w:r w:rsidRPr="008D4738">
        <w:rPr>
          <w:i/>
        </w:rPr>
        <w:t xml:space="preserve">Fifty two (52) adult </w:t>
      </w:r>
      <w:proofErr w:type="spellStart"/>
      <w:r w:rsidRPr="008D4738">
        <w:rPr>
          <w:i/>
        </w:rPr>
        <w:t>Wistar</w:t>
      </w:r>
      <w:proofErr w:type="spellEnd"/>
      <w:r w:rsidRPr="008D4738">
        <w:rPr>
          <w:i/>
        </w:rPr>
        <w:t xml:space="preserve"> rats were divided into seven groups: a normal control, an ulcer control (indomethacin only), two treatment groups receiving different doses (200 and 400 mg/kg) of </w:t>
      </w:r>
      <w:proofErr w:type="spellStart"/>
      <w:r w:rsidRPr="00FD2E88">
        <w:rPr>
          <w:rStyle w:val="Emphasis"/>
        </w:rPr>
        <w:t>Sida</w:t>
      </w:r>
      <w:proofErr w:type="spellEnd"/>
      <w:r w:rsidRPr="00FD2E88">
        <w:rPr>
          <w:rStyle w:val="Emphasis"/>
        </w:rPr>
        <w:t xml:space="preserve"> </w:t>
      </w:r>
      <w:proofErr w:type="spellStart"/>
      <w:r w:rsidRPr="00FD2E88">
        <w:rPr>
          <w:rStyle w:val="Emphasis"/>
        </w:rPr>
        <w:t>acuta</w:t>
      </w:r>
      <w:proofErr w:type="spellEnd"/>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w:t>
      </w:r>
      <w:proofErr w:type="spellStart"/>
      <w:r w:rsidRPr="008D4738">
        <w:rPr>
          <w:i/>
        </w:rPr>
        <w:t>malondialdehyde</w:t>
      </w:r>
      <w:proofErr w:type="spellEnd"/>
      <w:r w:rsidRPr="008D4738">
        <w:rPr>
          <w:i/>
        </w:rPr>
        <w:t xml:space="preserve"> (MDA), a marker of lipid peroxidation.</w:t>
      </w:r>
    </w:p>
    <w:p w:rsidR="00FB724C" w:rsidRDefault="00FB724C" w:rsidP="00FB724C">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proofErr w:type="spellStart"/>
      <w:r w:rsidRPr="00FD2E88">
        <w:rPr>
          <w:rStyle w:val="Emphasis"/>
        </w:rPr>
        <w:t>Sida</w:t>
      </w:r>
      <w:proofErr w:type="spellEnd"/>
      <w:r w:rsidRPr="00FD2E88">
        <w:rPr>
          <w:rStyle w:val="Emphasis"/>
        </w:rPr>
        <w:t xml:space="preserve"> </w:t>
      </w:r>
      <w:proofErr w:type="spellStart"/>
      <w:r w:rsidRPr="00FD2E88">
        <w:rPr>
          <w:rStyle w:val="Emphasis"/>
        </w:rPr>
        <w:t>acuta</w:t>
      </w:r>
      <w:proofErr w:type="spellEnd"/>
      <w:r w:rsidRPr="008D4738">
        <w:rPr>
          <w:i/>
        </w:rPr>
        <w:t xml:space="preserve"> extract significantly restored antioxidant levels and reduced MDA concentration in a dose-dependent manner, comparable to the standard omeprazole group.</w:t>
      </w:r>
    </w:p>
    <w:p w:rsidR="00FB724C" w:rsidRPr="008D4738" w:rsidRDefault="00FB724C" w:rsidP="00FB724C">
      <w:pPr>
        <w:spacing w:after="0" w:line="360" w:lineRule="auto"/>
        <w:jc w:val="both"/>
        <w:rPr>
          <w:b/>
          <w:i/>
          <w:sz w:val="24"/>
          <w:szCs w:val="24"/>
        </w:rPr>
      </w:pPr>
      <w:r w:rsidRPr="008D4738">
        <w:rPr>
          <w:i/>
        </w:rPr>
        <w:t xml:space="preserve">These findings suggest that </w:t>
      </w:r>
      <w:proofErr w:type="spellStart"/>
      <w:r w:rsidRPr="00FD2E88">
        <w:rPr>
          <w:rStyle w:val="Emphasis"/>
        </w:rPr>
        <w:t>Sida</w:t>
      </w:r>
      <w:proofErr w:type="spellEnd"/>
      <w:r w:rsidRPr="00FD2E88">
        <w:rPr>
          <w:rStyle w:val="Emphasis"/>
        </w:rPr>
        <w:t xml:space="preserve"> </w:t>
      </w:r>
      <w:proofErr w:type="spellStart"/>
      <w:r w:rsidRPr="00FD2E88">
        <w:rPr>
          <w:rStyle w:val="Emphasis"/>
        </w:rPr>
        <w:t>acuta</w:t>
      </w:r>
      <w:proofErr w:type="spellEnd"/>
      <w:r w:rsidRPr="008D4738">
        <w:rPr>
          <w:i/>
        </w:rPr>
        <w:t xml:space="preserve"> possesses potent antioxidant and </w:t>
      </w:r>
      <w:proofErr w:type="spellStart"/>
      <w:r w:rsidRPr="008D4738">
        <w:rPr>
          <w:i/>
        </w:rPr>
        <w:t>gastroprotective</w:t>
      </w:r>
      <w:proofErr w:type="spellEnd"/>
      <w:r w:rsidRPr="008D4738">
        <w:rPr>
          <w:i/>
        </w:rPr>
        <w:t xml:space="preserve"> properties, likely due to its ability to scavenge free radicals and inhibit lipid peroxidation. The plant extract may serve as a natural therapeutic agent for managing NSAID-induced gastric ulcers.</w:t>
      </w:r>
    </w:p>
    <w:p w:rsidR="00FB724C"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r w:rsidRPr="00D7082F">
        <w:rPr>
          <w:b/>
          <w:bCs/>
          <w:color w:val="000000" w:themeColor="text1"/>
        </w:rPr>
        <w:lastRenderedPageBreak/>
        <w:t>CHAPTER ONE</w:t>
      </w:r>
    </w:p>
    <w:p w:rsidR="00FB724C" w:rsidRPr="00D7082F" w:rsidRDefault="00FB724C" w:rsidP="00FB724C">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w:t>
      </w:r>
      <w:proofErr w:type="spellStart"/>
      <w:r w:rsidRPr="00D7082F">
        <w:rPr>
          <w:rFonts w:eastAsia="Times New Roman"/>
          <w:color w:val="000000" w:themeColor="text1"/>
        </w:rPr>
        <w:t>saponins</w:t>
      </w:r>
      <w:proofErr w:type="spellEnd"/>
      <w:r w:rsidRPr="00D7082F">
        <w:rPr>
          <w:rFonts w:eastAsia="Times New Roman"/>
          <w:color w:val="000000" w:themeColor="text1"/>
        </w:rPr>
        <w:t xml:space="preserve">. Given its documented antioxidant, anti-inflammatory, and antimicrobial activities, there is increasing scientific interest in exploring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management </w:t>
      </w:r>
      <w:r w:rsidRPr="00E96164">
        <w:rPr>
          <w:rFonts w:eastAsia="Times New Roman"/>
          <w:i/>
          <w:color w:val="000000" w:themeColor="text1"/>
        </w:rPr>
        <w:t>(</w:t>
      </w:r>
      <w:proofErr w:type="spellStart"/>
      <w:r w:rsidRPr="00E96164">
        <w:rPr>
          <w:rFonts w:eastAsia="Times New Roman"/>
          <w:i/>
          <w:color w:val="000000" w:themeColor="text1"/>
        </w:rPr>
        <w:t>Femoe</w:t>
      </w:r>
      <w:proofErr w:type="spellEnd"/>
      <w:r w:rsidRPr="00E96164">
        <w:rPr>
          <w:rFonts w:eastAsia="Times New Roman"/>
          <w:i/>
          <w:color w:val="000000" w:themeColor="text1"/>
        </w:rPr>
        <w:t xml:space="preserve"> et al., 2022).</w:t>
      </w:r>
    </w:p>
    <w:p w:rsidR="00FB724C" w:rsidRPr="00D7082F" w:rsidRDefault="00FB724C" w:rsidP="00FB724C">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infection, and </w:t>
      </w:r>
      <w:proofErr w:type="spellStart"/>
      <w:r w:rsidRPr="00D7082F">
        <w:rPr>
          <w:rFonts w:eastAsia="Times New Roman"/>
          <w:color w:val="000000" w:themeColor="text1"/>
        </w:rPr>
        <w:t>nonsteroidal</w:t>
      </w:r>
      <w:proofErr w:type="spellEnd"/>
      <w:r w:rsidRPr="00D7082F">
        <w:rPr>
          <w:rFonts w:eastAsia="Times New Roman"/>
          <w:color w:val="000000" w:themeColor="text1"/>
        </w:rPr>
        <w:t xml:space="preserve">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w:t>
      </w:r>
      <w:proofErr w:type="spellStart"/>
      <w:r w:rsidRPr="00D7082F">
        <w:rPr>
          <w:rFonts w:eastAsia="Times New Roman"/>
          <w:color w:val="000000" w:themeColor="text1"/>
        </w:rPr>
        <w:t>microaerophilic</w:t>
      </w:r>
      <w:proofErr w:type="spellEnd"/>
      <w:r w:rsidRPr="00D7082F">
        <w:rPr>
          <w:rFonts w:eastAsia="Times New Roman"/>
          <w:color w:val="000000" w:themeColor="text1"/>
        </w:rPr>
        <w:t xml:space="preserve"> bacterium, plays a pivotal role in the pathogenesis of various gastrointestinal conditions (</w:t>
      </w:r>
      <w:proofErr w:type="spellStart"/>
      <w:r w:rsidRPr="00D7082F">
        <w:rPr>
          <w:rFonts w:eastAsia="Times New Roman"/>
          <w:color w:val="000000" w:themeColor="text1"/>
        </w:rPr>
        <w:t>Mladenova</w:t>
      </w:r>
      <w:proofErr w:type="spellEnd"/>
      <w:r w:rsidRPr="00D7082F">
        <w:rPr>
          <w:rFonts w:eastAsia="Times New Roman"/>
          <w:color w:val="000000" w:themeColor="text1"/>
        </w:rPr>
        <w:t xml:space="preserve">,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proofErr w:type="spellStart"/>
      <w:r w:rsidRPr="00054A97">
        <w:rPr>
          <w:rFonts w:eastAsia="Times New Roman"/>
          <w:i/>
          <w:color w:val="000000" w:themeColor="text1"/>
        </w:rPr>
        <w:t>Malaoa</w:t>
      </w:r>
      <w:proofErr w:type="spellEnd"/>
      <w:r w:rsidRPr="00054A97">
        <w:rPr>
          <w:rFonts w:eastAsia="Times New Roman"/>
          <w:i/>
          <w:color w:val="000000" w:themeColor="text1"/>
        </w:rPr>
        <w:t>,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w:t>
      </w:r>
      <w:proofErr w:type="spellStart"/>
      <w:r w:rsidRPr="00D7082F">
        <w:rPr>
          <w:rFonts w:eastAsia="Times New Roman"/>
          <w:color w:val="000000" w:themeColor="text1"/>
        </w:rPr>
        <w:t>Mladenova</w:t>
      </w:r>
      <w:proofErr w:type="spellEnd"/>
      <w:r w:rsidRPr="00D7082F">
        <w:rPr>
          <w:rFonts w:eastAsia="Times New Roman"/>
          <w:color w:val="000000" w:themeColor="text1"/>
        </w:rPr>
        <w:t xml:space="preserve">,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w:t>
      </w:r>
      <w:proofErr w:type="spellStart"/>
      <w:r w:rsidRPr="00D7082F">
        <w:rPr>
          <w:rFonts w:eastAsia="Times New Roman"/>
          <w:color w:val="000000" w:themeColor="text1"/>
        </w:rPr>
        <w:t>dysbiosis</w:t>
      </w:r>
      <w:proofErr w:type="spellEnd"/>
      <w:r w:rsidRPr="00D7082F">
        <w:rPr>
          <w:rFonts w:eastAsia="Times New Roman"/>
          <w:color w:val="000000" w:themeColor="text1"/>
        </w:rPr>
        <w:t xml:space="preserve">), antibiotic resistance, and ulcer recurrence </w:t>
      </w:r>
      <w:r w:rsidRPr="00054A97">
        <w:rPr>
          <w:rFonts w:eastAsia="Times New Roman"/>
          <w:i/>
          <w:color w:val="000000" w:themeColor="text1"/>
        </w:rPr>
        <w:t>(</w:t>
      </w:r>
      <w:proofErr w:type="spellStart"/>
      <w:r w:rsidRPr="00054A97">
        <w:rPr>
          <w:rFonts w:eastAsia="Times New Roman"/>
          <w:i/>
          <w:color w:val="000000" w:themeColor="text1"/>
        </w:rPr>
        <w:t>Dharmani</w:t>
      </w:r>
      <w:proofErr w:type="spellEnd"/>
      <w:r w:rsidRPr="00054A97">
        <w:rPr>
          <w:rFonts w:eastAsia="Times New Roman"/>
          <w:i/>
          <w:color w:val="000000" w:themeColor="text1"/>
        </w:rPr>
        <w:t xml:space="preserve"> &amp; </w:t>
      </w:r>
      <w:proofErr w:type="spellStart"/>
      <w:r w:rsidRPr="00054A97">
        <w:rPr>
          <w:rFonts w:eastAsia="Times New Roman"/>
          <w:i/>
          <w:color w:val="000000" w:themeColor="text1"/>
        </w:rPr>
        <w:t>Palit</w:t>
      </w:r>
      <w:proofErr w:type="spellEnd"/>
      <w:r w:rsidRPr="00054A97">
        <w:rPr>
          <w:rFonts w:eastAsia="Times New Roman"/>
          <w:i/>
          <w:color w:val="000000" w:themeColor="text1"/>
        </w:rPr>
        <w: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a perennial shrub belonging to the family </w:t>
      </w:r>
      <w:proofErr w:type="spellStart"/>
      <w:r w:rsidRPr="00D7082F">
        <w:rPr>
          <w:rFonts w:eastAsia="Times New Roman"/>
          <w:color w:val="000000" w:themeColor="text1"/>
        </w:rPr>
        <w:t>Malvaceae</w:t>
      </w:r>
      <w:proofErr w:type="spellEnd"/>
      <w:r w:rsidRPr="00D7082F">
        <w:rPr>
          <w:rFonts w:eastAsia="Times New Roman"/>
          <w:color w:val="000000" w:themeColor="text1"/>
        </w:rPr>
        <w:t xml:space="preserve">. It is widely distributed in tropical and subtropical regions and is known locally as “broom weed” or “stubborn weed.” Traditionally, it has been used in </w:t>
      </w:r>
      <w:proofErr w:type="spellStart"/>
      <w:r w:rsidRPr="00D7082F">
        <w:rPr>
          <w:rFonts w:eastAsia="Times New Roman"/>
          <w:color w:val="000000" w:themeColor="text1"/>
        </w:rPr>
        <w:t>ethnomedicine</w:t>
      </w:r>
      <w:proofErr w:type="spellEnd"/>
      <w:r w:rsidRPr="00D7082F">
        <w:rPr>
          <w:rFonts w:eastAsia="Times New Roman"/>
          <w:color w:val="000000" w:themeColor="text1"/>
        </w:rPr>
        <w:t xml:space="preserve"> for the treatment of various ailments, including fever, malaria, wounds, and inflammation </w:t>
      </w:r>
      <w:r w:rsidRPr="00E96164">
        <w:rPr>
          <w:rFonts w:eastAsia="Times New Roman"/>
          <w:i/>
          <w:color w:val="000000" w:themeColor="text1"/>
        </w:rPr>
        <w:t xml:space="preserve">(Usman &amp; </w:t>
      </w:r>
      <w:proofErr w:type="spellStart"/>
      <w:r w:rsidRPr="00E96164">
        <w:rPr>
          <w:rFonts w:eastAsia="Times New Roman"/>
          <w:i/>
          <w:color w:val="000000" w:themeColor="text1"/>
        </w:rPr>
        <w:t>Abdulkarim</w:t>
      </w:r>
      <w:proofErr w:type="spellEnd"/>
      <w:r w:rsidRPr="00E96164">
        <w:rPr>
          <w:rFonts w:eastAsia="Times New Roman"/>
          <w:i/>
          <w:color w:val="000000" w:themeColor="text1"/>
        </w:rPr>
        <w:t xml:space="preserve">, 2023). </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 </w:t>
      </w:r>
      <w:r w:rsidRPr="00E96164">
        <w:rPr>
          <w:rFonts w:eastAsia="Times New Roman"/>
          <w:i/>
          <w:color w:val="000000" w:themeColor="text1"/>
        </w:rPr>
        <w:t>(</w:t>
      </w:r>
      <w:proofErr w:type="spellStart"/>
      <w:r w:rsidRPr="00E96164">
        <w:rPr>
          <w:rFonts w:eastAsia="Times New Roman"/>
          <w:i/>
          <w:color w:val="000000" w:themeColor="text1"/>
        </w:rPr>
        <w:t>Zatorski</w:t>
      </w:r>
      <w:proofErr w:type="spellEnd"/>
      <w:r w:rsidRPr="00E96164">
        <w:rPr>
          <w:rFonts w:eastAsia="Times New Roman"/>
          <w:i/>
          <w:color w:val="000000" w:themeColor="text1"/>
        </w:rPr>
        <w:t>, 2017).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w:t>
      </w:r>
      <w:proofErr w:type="spellStart"/>
      <w:r w:rsidRPr="00D7082F">
        <w:rPr>
          <w:color w:val="000000" w:themeColor="text1"/>
        </w:rPr>
        <w:t>indole</w:t>
      </w:r>
      <w:proofErr w:type="spellEnd"/>
      <w:r w:rsidRPr="00D7082F">
        <w:rPr>
          <w:color w:val="000000" w:themeColor="text1"/>
        </w:rPr>
        <w:t xml:space="preserve"> derivative, non-steroidal, anti-inflammatory drug with anti-inflammatory, analgesic, and antipyretic effects. It is used in the treatment of </w:t>
      </w:r>
      <w:proofErr w:type="spellStart"/>
      <w:r w:rsidRPr="00D7082F">
        <w:rPr>
          <w:color w:val="000000" w:themeColor="text1"/>
        </w:rPr>
        <w:t>ankylosing</w:t>
      </w:r>
      <w:proofErr w:type="spellEnd"/>
      <w:r w:rsidRPr="00D7082F">
        <w:rPr>
          <w:color w:val="000000" w:themeColor="text1"/>
        </w:rPr>
        <w:t xml:space="preserve"> spondylitis, osteoarthritis, rheumatoid arthritis, gout arthritis, bursitis, tendonitis, </w:t>
      </w:r>
      <w:proofErr w:type="spellStart"/>
      <w:r w:rsidRPr="00D7082F">
        <w:rPr>
          <w:color w:val="000000" w:themeColor="text1"/>
        </w:rPr>
        <w:t>synovitis</w:t>
      </w:r>
      <w:proofErr w:type="spellEnd"/>
      <w:r w:rsidRPr="00D7082F">
        <w:rPr>
          <w:color w:val="000000" w:themeColor="text1"/>
        </w:rPr>
        <w:t xml:space="preserve">, and other inflammatory diseases because of its effective suppression of pain, fever, color, and </w:t>
      </w:r>
      <w:r w:rsidRPr="00E96164">
        <w:rPr>
          <w:i/>
          <w:color w:val="000000" w:themeColor="text1"/>
        </w:rPr>
        <w:t>edema (</w:t>
      </w:r>
      <w:proofErr w:type="spellStart"/>
      <w:r w:rsidRPr="00E96164">
        <w:rPr>
          <w:i/>
          <w:color w:val="000000" w:themeColor="text1"/>
        </w:rPr>
        <w:t>Botting</w:t>
      </w:r>
      <w:proofErr w:type="spellEnd"/>
      <w:r w:rsidRPr="00E96164">
        <w:rPr>
          <w:i/>
          <w:color w:val="000000" w:themeColor="text1"/>
        </w:rPr>
        <w:t>, 2006;</w:t>
      </w:r>
      <w:r w:rsidRPr="00E96164">
        <w:rPr>
          <w:i/>
          <w:color w:val="000000" w:themeColor="text1"/>
          <w:shd w:val="clear" w:color="auto" w:fill="FFFFFF"/>
        </w:rPr>
        <w:t xml:space="preserve"> </w:t>
      </w:r>
      <w:proofErr w:type="spellStart"/>
      <w:r w:rsidRPr="00E96164">
        <w:rPr>
          <w:i/>
          <w:color w:val="000000" w:themeColor="text1"/>
          <w:shd w:val="clear" w:color="auto" w:fill="FFFFFF"/>
        </w:rPr>
        <w:t>Suleyman</w:t>
      </w:r>
      <w:proofErr w:type="spellEnd"/>
      <w:r w:rsidRPr="00E96164">
        <w:rPr>
          <w:i/>
          <w:color w:val="000000" w:themeColor="text1"/>
          <w:shd w:val="clear" w:color="auto" w:fill="FFFFFF"/>
        </w:rPr>
        <w:t xml:space="preserve"> et al., 2010</w:t>
      </w:r>
      <w:r w:rsidRPr="00E96164">
        <w:rPr>
          <w:i/>
          <w:color w:val="000000" w:themeColor="text1"/>
        </w:rPr>
        <w:t xml:space="preserve">). </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w:t>
      </w:r>
      <w:proofErr w:type="spellStart"/>
      <w:r w:rsidRPr="00D7082F">
        <w:rPr>
          <w:color w:val="000000" w:themeColor="text1"/>
        </w:rPr>
        <w:t>Suleyman</w:t>
      </w:r>
      <w:proofErr w:type="spellEnd"/>
      <w:r w:rsidRPr="00D7082F">
        <w:rPr>
          <w:color w:val="000000" w:themeColor="text1"/>
        </w:rPr>
        <w:t xml:space="preserve"> et al., 2008). Indomethacin potently damages PG synthesis by inhibiting both the COX-1 and COX-2 enzymes. Inhibition of the COX-1 and COX-2 enzymes is necessary for gastric damage to occur (</w:t>
      </w:r>
      <w:proofErr w:type="spellStart"/>
      <w:r w:rsidRPr="00D7082F">
        <w:rPr>
          <w:color w:val="000000" w:themeColor="text1"/>
        </w:rPr>
        <w:t>Suleyman</w:t>
      </w:r>
      <w:proofErr w:type="spellEnd"/>
      <w:r w:rsidRPr="00D7082F">
        <w:rPr>
          <w:color w:val="000000" w:themeColor="text1"/>
        </w:rPr>
        <w:t xml:space="preserve"> et al., 2007). Indomethacin and similar NSAIDs, which inhibit both isoforms of the COX enzyme, produce more severe damage in gastric tissue, even gastrointestinal bleeding when combined with antithrombotic </w:t>
      </w:r>
      <w:r w:rsidRPr="00D7082F">
        <w:rPr>
          <w:color w:val="000000" w:themeColor="text1"/>
        </w:rPr>
        <w:lastRenderedPageBreak/>
        <w:t xml:space="preserve">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w:t>
      </w:r>
      <w:proofErr w:type="spellStart"/>
      <w:r w:rsidRPr="00D7082F">
        <w:rPr>
          <w:color w:val="000000" w:themeColor="text1"/>
        </w:rPr>
        <w:t>ulcerogenic</w:t>
      </w:r>
      <w:proofErr w:type="spellEnd"/>
      <w:r w:rsidRPr="00D7082F">
        <w:rPr>
          <w:color w:val="000000" w:themeColor="text1"/>
        </w:rPr>
        <w:t xml:space="preserve"> potential than other NSAIDs. The fact that </w:t>
      </w:r>
      <w:proofErr w:type="spellStart"/>
      <w:r w:rsidRPr="00D7082F">
        <w:rPr>
          <w:color w:val="000000" w:themeColor="text1"/>
        </w:rPr>
        <w:t>nimesulide</w:t>
      </w:r>
      <w:proofErr w:type="spellEnd"/>
      <w:r w:rsidRPr="00D7082F">
        <w:rPr>
          <w:color w:val="000000" w:themeColor="text1"/>
        </w:rPr>
        <w:t xml:space="preserve">, which is less selective for COX-2, is able to inhibit NSAID-induced gastric damage, while </w:t>
      </w:r>
      <w:proofErr w:type="spellStart"/>
      <w:r w:rsidRPr="00D7082F">
        <w:rPr>
          <w:color w:val="000000" w:themeColor="text1"/>
        </w:rPr>
        <w:t>celecoxib</w:t>
      </w:r>
      <w:proofErr w:type="spellEnd"/>
      <w:r w:rsidRPr="00D7082F">
        <w:rPr>
          <w:color w:val="000000" w:themeColor="text1"/>
        </w:rPr>
        <w:t xml:space="preserve"> and </w:t>
      </w:r>
      <w:proofErr w:type="spellStart"/>
      <w:r w:rsidRPr="00D7082F">
        <w:rPr>
          <w:color w:val="000000" w:themeColor="text1"/>
        </w:rPr>
        <w:t>rofecoxib</w:t>
      </w:r>
      <w:proofErr w:type="spellEnd"/>
      <w:r w:rsidRPr="00D7082F">
        <w:rPr>
          <w:color w:val="000000" w:themeColor="text1"/>
        </w:rPr>
        <w:t xml:space="preserve">,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 xml:space="preserve"> (</w:t>
      </w:r>
      <w:proofErr w:type="spellStart"/>
      <w:r w:rsidRPr="00E96164">
        <w:rPr>
          <w:i/>
          <w:color w:val="000000" w:themeColor="text1"/>
          <w:shd w:val="clear" w:color="auto" w:fill="FFFFFF"/>
        </w:rPr>
        <w:t>Adewoye</w:t>
      </w:r>
      <w:proofErr w:type="spellEnd"/>
      <w:r w:rsidRPr="00E96164">
        <w:rPr>
          <w:i/>
          <w:color w:val="000000" w:themeColor="text1"/>
          <w:shd w:val="clear" w:color="auto" w:fill="FFFFFF"/>
        </w:rPr>
        <w:t xml:space="preserve"> and Salami, 2013</w:t>
      </w:r>
      <w:r w:rsidRPr="00E96164">
        <w:rPr>
          <w:i/>
          <w:color w:val="000000" w:themeColor="text1"/>
        </w:rPr>
        <w:t>).</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has garnered attention due to its wide range of pharmacological effects and its traditional use in treating gastrointestinal complaints </w:t>
      </w:r>
      <w:r w:rsidRPr="00E96164">
        <w:rPr>
          <w:rFonts w:eastAsia="Times New Roman"/>
          <w:i/>
          <w:color w:val="000000" w:themeColor="text1"/>
        </w:rPr>
        <w:t>(</w:t>
      </w:r>
      <w:proofErr w:type="spellStart"/>
      <w:r w:rsidRPr="00E96164">
        <w:rPr>
          <w:rFonts w:eastAsia="Times New Roman"/>
          <w:i/>
          <w:color w:val="000000" w:themeColor="text1"/>
        </w:rPr>
        <w:t>Asusheyi</w:t>
      </w:r>
      <w:proofErr w:type="spellEnd"/>
      <w:r w:rsidRPr="00E96164">
        <w:rPr>
          <w:rFonts w:eastAsia="Times New Roman"/>
          <w:i/>
          <w:color w:val="000000" w:themeColor="text1"/>
        </w:rPr>
        <w:t xml:space="preserve"> et al., 2010)</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w:t>
      </w:r>
      <w:proofErr w:type="spellStart"/>
      <w:r w:rsidRPr="00D7082F">
        <w:rPr>
          <w:rFonts w:eastAsia="Times New Roman"/>
          <w:color w:val="000000" w:themeColor="text1"/>
        </w:rPr>
        <w:t>Femoe</w:t>
      </w:r>
      <w:proofErr w:type="spellEnd"/>
      <w:r w:rsidRPr="00D7082F">
        <w:rPr>
          <w:rFonts w:eastAsia="Times New Roman"/>
          <w:color w:val="000000" w:themeColor="text1"/>
        </w:rPr>
        <w:t xml:space="preserve"> et al., 2022). Furthermore, flavonoids and other </w:t>
      </w:r>
      <w:proofErr w:type="spellStart"/>
      <w:r w:rsidRPr="00D7082F">
        <w:rPr>
          <w:rFonts w:eastAsia="Times New Roman"/>
          <w:color w:val="000000" w:themeColor="text1"/>
        </w:rPr>
        <w:t>polyphenolic</w:t>
      </w:r>
      <w:proofErr w:type="spellEnd"/>
      <w:r w:rsidRPr="00D7082F">
        <w:rPr>
          <w:rFonts w:eastAsia="Times New Roman"/>
          <w:color w:val="000000" w:themeColor="text1"/>
        </w:rPr>
        <w:t xml:space="preserve"> compounds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may possess </w:t>
      </w:r>
      <w:proofErr w:type="spellStart"/>
      <w:r w:rsidRPr="00D7082F">
        <w:rPr>
          <w:rFonts w:eastAsia="Times New Roman"/>
          <w:color w:val="000000" w:themeColor="text1"/>
        </w:rPr>
        <w:t>antiulcerogenic</w:t>
      </w:r>
      <w:proofErr w:type="spellEnd"/>
      <w:r w:rsidRPr="00D7082F">
        <w:rPr>
          <w:rFonts w:eastAsia="Times New Roman"/>
          <w:color w:val="000000" w:themeColor="text1"/>
        </w:rPr>
        <w:t xml:space="preserve"> effects by reinforcing the mucosal barrier, inhibiting inflammatory cytokines, and modulating gastric acid secretion. Several in vivo studies have demonstrated the efficacy of plant extracts in protecting against NSAID-induced </w:t>
      </w:r>
      <w:r w:rsidRPr="00D7082F">
        <w:rPr>
          <w:rFonts w:eastAsia="Times New Roman"/>
          <w:color w:val="000000" w:themeColor="text1"/>
        </w:rPr>
        <w:lastRenderedPageBreak/>
        <w:t xml:space="preserve">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systems </w:t>
      </w:r>
      <w:r w:rsidRPr="00E96164">
        <w:rPr>
          <w:rFonts w:eastAsia="Times New Roman"/>
          <w:i/>
          <w:color w:val="000000" w:themeColor="text1"/>
        </w:rPr>
        <w:t>(Yousef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in ulcer treatment but also contribute to the development of novel, plant-based therapies with fewer adverse effects and greater accessibility.</w:t>
      </w:r>
    </w:p>
    <w:p w:rsidR="00FB724C" w:rsidRPr="00D7082F" w:rsidRDefault="00FB724C" w:rsidP="00FB724C">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w:t>
      </w:r>
      <w:proofErr w:type="spellStart"/>
      <w:r w:rsidRPr="00D7082F">
        <w:rPr>
          <w:rFonts w:eastAsia="Times New Roman"/>
          <w:color w:val="000000" w:themeColor="text1"/>
        </w:rPr>
        <w:t>nonsteroidal</w:t>
      </w:r>
      <w:proofErr w:type="spellEnd"/>
      <w:r w:rsidRPr="00D7082F">
        <w:rPr>
          <w:rFonts w:eastAsia="Times New Roman"/>
          <w:color w:val="000000" w:themeColor="text1"/>
        </w:rPr>
        <w:t xml:space="preserve">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injury and oxidative stress remains elusive. Medicinal plants, including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offer promising alternatives due to their antioxidant and </w:t>
      </w:r>
      <w:proofErr w:type="spellStart"/>
      <w:r w:rsidRPr="00D7082F">
        <w:rPr>
          <w:rFonts w:eastAsia="Times New Roman"/>
          <w:color w:val="000000" w:themeColor="text1"/>
        </w:rPr>
        <w:t>cytoprotective</w:t>
      </w:r>
      <w:proofErr w:type="spellEnd"/>
      <w:r w:rsidRPr="00D7082F">
        <w:rPr>
          <w:rFonts w:eastAsia="Times New Roman"/>
          <w:color w:val="000000" w:themeColor="text1"/>
        </w:rPr>
        <w:t xml:space="preserve"> properties. However, there is limited scientific data on the specific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on </w:t>
      </w:r>
      <w:r w:rsidRPr="00D7082F">
        <w:rPr>
          <w:rFonts w:eastAsia="Times New Roman"/>
          <w:color w:val="000000" w:themeColor="text1"/>
        </w:rPr>
        <w:lastRenderedPageBreak/>
        <w:t xml:space="preserve">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w:t>
      </w:r>
      <w:proofErr w:type="spellStart"/>
      <w:r w:rsidRPr="00D7082F">
        <w:rPr>
          <w:rFonts w:eastAsia="Times New Roman"/>
          <w:color w:val="000000" w:themeColor="text1"/>
        </w:rPr>
        <w:t>ulcerogenesis</w:t>
      </w:r>
      <w:proofErr w:type="spellEnd"/>
      <w:r w:rsidRPr="00D7082F">
        <w:rPr>
          <w:rFonts w:eastAsia="Times New Roman"/>
          <w:color w:val="000000" w:themeColor="text1"/>
        </w:rPr>
        <w:t xml:space="preserve"> is well-documented, yet few therapies directly address the oxidative imbalance associated with mucosal injury. The exploration of medicinal plants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FB724C"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lastRenderedPageBreak/>
        <w:t>1.4 Aim and objectives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extract on antioxidant status and lipid peroxidation in indomethacin-induced ulcer models.</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extract.</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evaluate the level of lipid peroxidation (via </w:t>
      </w:r>
      <w:proofErr w:type="spellStart"/>
      <w:r w:rsidRPr="00D7082F">
        <w:rPr>
          <w:rFonts w:eastAsia="Times New Roman"/>
          <w:color w:val="000000" w:themeColor="text1"/>
        </w:rPr>
        <w:t>malondialdehyde</w:t>
      </w:r>
      <w:proofErr w:type="spellEnd"/>
      <w:r w:rsidRPr="00D7082F">
        <w:rPr>
          <w:rFonts w:eastAsia="Times New Roman"/>
          <w:color w:val="000000" w:themeColor="text1"/>
        </w:rPr>
        <w:t xml:space="preserve"> levels) in gastric tissues of treated and untreated ulcer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w:t>
      </w:r>
      <w:proofErr w:type="spellStart"/>
      <w:r>
        <w:rPr>
          <w:rFonts w:eastAsia="Times New Roman"/>
          <w:color w:val="000000" w:themeColor="text1"/>
        </w:rPr>
        <w:t>ulcerogenic</w:t>
      </w:r>
      <w:proofErr w:type="spellEnd"/>
      <w:r>
        <w:rPr>
          <w:rFonts w:eastAsia="Times New Roman"/>
          <w:color w:val="000000" w:themeColor="text1"/>
        </w:rPr>
        <w:t xml:space="preserve"> effica</w:t>
      </w:r>
      <w:r w:rsidRPr="00D7082F">
        <w:rPr>
          <w:rFonts w:eastAsia="Times New Roman"/>
          <w:color w:val="000000" w:themeColor="text1"/>
        </w:rPr>
        <w:t xml:space="preserve">cy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with a standard anti-ulcer drug (omeprazole).</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responsible for its </w:t>
      </w:r>
      <w:proofErr w:type="spellStart"/>
      <w:r w:rsidRPr="00D7082F">
        <w:rPr>
          <w:rFonts w:eastAsia="Times New Roman"/>
          <w:color w:val="000000" w:themeColor="text1"/>
        </w:rPr>
        <w:t>gastroprotective</w:t>
      </w:r>
      <w:proofErr w:type="spellEnd"/>
      <w:r w:rsidRPr="00D7082F">
        <w:rPr>
          <w:rFonts w:eastAsia="Times New Roman"/>
          <w:color w:val="000000" w:themeColor="text1"/>
        </w:rPr>
        <w:t xml:space="preserve"> and antioxidant effects.</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rPr>
          <w:b/>
          <w:bCs/>
          <w:color w:val="000000" w:themeColor="text1"/>
        </w:rPr>
      </w:pPr>
    </w:p>
    <w:p w:rsidR="00FB724C" w:rsidRDefault="00FB724C" w:rsidP="00FB724C">
      <w:pPr>
        <w:spacing w:line="360" w:lineRule="auto"/>
        <w:jc w:val="center"/>
        <w:rPr>
          <w:b/>
          <w:bCs/>
          <w:color w:val="000000" w:themeColor="text1"/>
        </w:rPr>
      </w:pPr>
    </w:p>
    <w:p w:rsidR="00FB724C" w:rsidRDefault="00FB724C" w:rsidP="00FB724C">
      <w:pPr>
        <w:rPr>
          <w:b/>
          <w:bCs/>
          <w:color w:val="000000" w:themeColor="text1"/>
        </w:rPr>
      </w:pPr>
      <w:r>
        <w:rPr>
          <w:b/>
          <w:bCs/>
          <w:color w:val="000000" w:themeColor="text1"/>
        </w:rPr>
        <w:br w:type="page"/>
      </w:r>
    </w:p>
    <w:p w:rsidR="00FB724C" w:rsidRPr="00D7082F" w:rsidRDefault="00FB724C" w:rsidP="00FB724C">
      <w:pPr>
        <w:spacing w:line="360" w:lineRule="auto"/>
        <w:jc w:val="center"/>
        <w:rPr>
          <w:b/>
          <w:bCs/>
          <w:color w:val="000000" w:themeColor="text1"/>
        </w:rPr>
      </w:pPr>
      <w:r w:rsidRPr="00D7082F">
        <w:rPr>
          <w:b/>
          <w:bCs/>
          <w:color w:val="000000" w:themeColor="text1"/>
        </w:rPr>
        <w:lastRenderedPageBreak/>
        <w:t>CHAPTER TWO</w:t>
      </w:r>
    </w:p>
    <w:p w:rsidR="00FB724C" w:rsidRPr="00D7082F" w:rsidRDefault="00FB724C" w:rsidP="00FB724C">
      <w:pPr>
        <w:spacing w:line="360" w:lineRule="auto"/>
        <w:rPr>
          <w:b/>
          <w:bCs/>
          <w:color w:val="000000" w:themeColor="text1"/>
        </w:rPr>
      </w:pPr>
      <w:r w:rsidRPr="00D7082F">
        <w:rPr>
          <w:b/>
          <w:bCs/>
          <w:color w:val="000000" w:themeColor="text1"/>
        </w:rPr>
        <w:t>2.0 LITERATURE REVIEW</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w:t>
      </w:r>
      <w:proofErr w:type="spellStart"/>
      <w:r w:rsidRPr="00D7082F">
        <w:rPr>
          <w:rFonts w:eastAsia="Times New Roman"/>
          <w:color w:val="000000" w:themeColor="text1"/>
        </w:rPr>
        <w:t>Laine</w:t>
      </w:r>
      <w:proofErr w:type="spellEnd"/>
      <w:r w:rsidRPr="00D7082F">
        <w:rPr>
          <w:rFonts w:eastAsia="Times New Roman"/>
          <w:color w:val="000000" w:themeColor="text1"/>
        </w:rPr>
        <w:t xml:space="preserv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w:t>
      </w:r>
      <w:proofErr w:type="spellStart"/>
      <w:r w:rsidRPr="00D7082F">
        <w:rPr>
          <w:rFonts w:eastAsia="Times New Roman"/>
          <w:color w:val="000000" w:themeColor="text1"/>
        </w:rPr>
        <w:t>Malfertheiner</w:t>
      </w:r>
      <w:proofErr w:type="spellEnd"/>
      <w:r w:rsidRPr="00D7082F">
        <w:rPr>
          <w:rFonts w:eastAsia="Times New Roman"/>
          <w:color w:val="000000" w:themeColor="text1"/>
        </w:rPr>
        <w:t xml:space="preserve">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Contemporary research has increasingly highlighted the gut </w:t>
      </w:r>
      <w:proofErr w:type="spellStart"/>
      <w:r w:rsidRPr="00D7082F">
        <w:rPr>
          <w:rFonts w:eastAsia="Times New Roman"/>
          <w:color w:val="000000" w:themeColor="text1"/>
        </w:rPr>
        <w:t>microbiome’s</w:t>
      </w:r>
      <w:proofErr w:type="spellEnd"/>
      <w:r w:rsidRPr="00D7082F">
        <w:rPr>
          <w:rFonts w:eastAsia="Times New Roman"/>
          <w:color w:val="000000" w:themeColor="text1"/>
        </w:rPr>
        <w:t xml:space="preserve"> involvement in ulcer pathogenesis, indicating that variations in microbial populations can impact both disease progression and the healing process (</w:t>
      </w:r>
      <w:proofErr w:type="spellStart"/>
      <w:r w:rsidRPr="00D7082F">
        <w:rPr>
          <w:rFonts w:eastAsia="Times New Roman"/>
          <w:color w:val="000000" w:themeColor="text1"/>
        </w:rPr>
        <w:t>Lanas</w:t>
      </w:r>
      <w:proofErr w:type="spellEnd"/>
      <w:r w:rsidRPr="00D7082F">
        <w:rPr>
          <w:rFonts w:eastAsia="Times New Roman"/>
          <w:color w:val="000000" w:themeColor="text1"/>
        </w:rPr>
        <w:t xml:space="preserve"> and Chan, 2017). In addition, regenerative therapies—such as those utilizing stem cells—are being investigated for their potential in treating chronic ulcers, with encouraging findings related to tissue regeneration and recovery (</w:t>
      </w:r>
      <w:proofErr w:type="spellStart"/>
      <w:r w:rsidRPr="00D7082F">
        <w:rPr>
          <w:rFonts w:eastAsia="Times New Roman"/>
          <w:color w:val="000000" w:themeColor="text1"/>
        </w:rPr>
        <w:t>Liesegang</w:t>
      </w:r>
      <w:proofErr w:type="spellEnd"/>
      <w:r w:rsidRPr="00D7082F">
        <w:rPr>
          <w:rFonts w:eastAsia="Times New Roman"/>
          <w:color w:val="000000" w:themeColor="text1"/>
        </w:rPr>
        <w:t xml:space="preserve">, 2019). The field of </w:t>
      </w:r>
      <w:proofErr w:type="spellStart"/>
      <w:r w:rsidRPr="00D7082F">
        <w:rPr>
          <w:rFonts w:eastAsia="Times New Roman"/>
          <w:color w:val="000000" w:themeColor="text1"/>
        </w:rPr>
        <w:t>phytomedicine</w:t>
      </w:r>
      <w:proofErr w:type="spellEnd"/>
      <w:r w:rsidRPr="00D7082F">
        <w:rPr>
          <w:rFonts w:eastAsia="Times New Roman"/>
          <w:color w:val="000000" w:themeColor="text1"/>
        </w:rPr>
        <w:t xml:space="preserve"> has also made strides, with ongoing studies examining natural bioactive compounds like flavonoids and polyphenols for their anti-</w:t>
      </w:r>
      <w:proofErr w:type="spellStart"/>
      <w:r w:rsidRPr="00D7082F">
        <w:rPr>
          <w:rFonts w:eastAsia="Times New Roman"/>
          <w:color w:val="000000" w:themeColor="text1"/>
        </w:rPr>
        <w:t>ulcerogenic</w:t>
      </w:r>
      <w:proofErr w:type="spellEnd"/>
      <w:r w:rsidRPr="00D7082F">
        <w:rPr>
          <w:rFonts w:eastAsia="Times New Roman"/>
          <w:color w:val="000000" w:themeColor="text1"/>
        </w:rPr>
        <w:t xml:space="preserve"> properties, which may serve as supportive treatment options (</w:t>
      </w:r>
      <w:proofErr w:type="spellStart"/>
      <w:r w:rsidRPr="00054A97">
        <w:rPr>
          <w:rFonts w:eastAsia="Times New Roman"/>
          <w:i/>
          <w:color w:val="000000" w:themeColor="text1"/>
        </w:rPr>
        <w:t>Malfertheiner</w:t>
      </w:r>
      <w:proofErr w:type="spellEnd"/>
      <w:r w:rsidRPr="00054A97">
        <w:rPr>
          <w:rFonts w:eastAsia="Times New Roman"/>
          <w:i/>
          <w:color w:val="000000" w:themeColor="text1"/>
        </w:rPr>
        <w:t xml:space="preserve"> et al., 2017).</w:t>
      </w:r>
      <w:r w:rsidRPr="00D7082F">
        <w:rPr>
          <w:rFonts w:eastAsia="Times New Roman"/>
          <w:color w:val="000000" w:themeColor="text1"/>
        </w:rPr>
        <w:t xml:space="preserve"> Despite these medical advances, ulcers continue to be a pressing public health issue globally, particularly in low-resource settings where </w:t>
      </w:r>
      <w:r w:rsidRPr="00D7082F">
        <w:rPr>
          <w:rFonts w:eastAsia="Times New Roman"/>
          <w:color w:val="000000" w:themeColor="text1"/>
        </w:rPr>
        <w:lastRenderedPageBreak/>
        <w:t xml:space="preserve">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w:t>
      </w:r>
      <w:proofErr w:type="spellStart"/>
      <w:r w:rsidRPr="00D7082F">
        <w:rPr>
          <w:color w:val="000000" w:themeColor="text1"/>
        </w:rPr>
        <w:t>nonsteroidal</w:t>
      </w:r>
      <w:proofErr w:type="spellEnd"/>
      <w:r w:rsidRPr="00D7082F">
        <w:rPr>
          <w:color w:val="000000" w:themeColor="text1"/>
        </w:rPr>
        <w:t xml:space="preserve"> anti-inflammatory drugs (NSAIDs) </w:t>
      </w:r>
      <w:r w:rsidRPr="00E96164">
        <w:rPr>
          <w:i/>
          <w:color w:val="000000" w:themeColor="text1"/>
        </w:rPr>
        <w:t>(</w:t>
      </w:r>
      <w:proofErr w:type="spellStart"/>
      <w:r w:rsidRPr="00E96164">
        <w:rPr>
          <w:i/>
          <w:color w:val="000000" w:themeColor="text1"/>
        </w:rPr>
        <w:t>Malfertheiner</w:t>
      </w:r>
      <w:proofErr w:type="spellEnd"/>
      <w:r w:rsidRPr="00E96164">
        <w:rPr>
          <w:i/>
          <w:color w:val="000000" w:themeColor="text1"/>
        </w:rPr>
        <w:t xml:space="preserve">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w:t>
      </w:r>
      <w:proofErr w:type="spellStart"/>
      <w:r w:rsidRPr="00E96164">
        <w:rPr>
          <w:i/>
          <w:color w:val="000000" w:themeColor="text1"/>
        </w:rPr>
        <w:t>Laine</w:t>
      </w:r>
      <w:proofErr w:type="spellEnd"/>
      <w:r w:rsidRPr="00E96164">
        <w:rPr>
          <w:i/>
          <w:color w:val="000000" w:themeColor="text1"/>
        </w:rPr>
        <w:t xml:space="preserv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w:t>
      </w:r>
      <w:proofErr w:type="spellStart"/>
      <w:r w:rsidRPr="00E96164">
        <w:rPr>
          <w:i/>
          <w:color w:val="000000" w:themeColor="text1"/>
        </w:rPr>
        <w:t>Lanas</w:t>
      </w:r>
      <w:proofErr w:type="spellEnd"/>
      <w:r w:rsidRPr="00E96164">
        <w:rPr>
          <w:i/>
          <w:color w:val="000000" w:themeColor="text1"/>
        </w:rPr>
        <w:t xml:space="preserve"> and Chan, 2017).</w:t>
      </w:r>
    </w:p>
    <w:p w:rsidR="00FB724C" w:rsidRPr="00D7082F" w:rsidRDefault="00FB724C" w:rsidP="00FB724C">
      <w:pPr>
        <w:spacing w:line="360" w:lineRule="auto"/>
        <w:jc w:val="both"/>
        <w:rPr>
          <w:b/>
          <w:color w:val="000000" w:themeColor="text1"/>
        </w:rPr>
      </w:pPr>
      <w:r w:rsidRPr="00D7082F">
        <w:rPr>
          <w:b/>
          <w:color w:val="000000" w:themeColor="text1"/>
        </w:rPr>
        <w:t>2.1 Ulcer</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Ulcers are characterized as open sores or lesions that form on the skin or mucosal surfaces, triggered by a range of etiological factors, including infections, chronic medical conditions, and drug-induced tissue damage (</w:t>
      </w:r>
      <w:proofErr w:type="spellStart"/>
      <w:r w:rsidRPr="00D7082F">
        <w:rPr>
          <w:rFonts w:eastAsia="Times New Roman"/>
          <w:color w:val="000000" w:themeColor="text1"/>
        </w:rPr>
        <w:t>Lanas</w:t>
      </w:r>
      <w:proofErr w:type="spellEnd"/>
      <w:r w:rsidRPr="00D7082F">
        <w:rPr>
          <w:rFonts w:eastAsia="Times New Roman"/>
          <w:color w:val="000000" w:themeColor="text1"/>
        </w:rPr>
        <w:t xml:space="preserve"> and Chan, 2017). These lesions can manifest in various areas of the body, such as the gastrointestinal tract—specifically as gastric and duodenal ulcers—the skin (as pressure ulcers), and the oral cavity (</w:t>
      </w: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dietary practices, the availability of healthcare services, and the rate of </w:t>
      </w:r>
      <w:r w:rsidRPr="00D7082F">
        <w:rPr>
          <w:rFonts w:eastAsia="Times New Roman"/>
          <w:i/>
          <w:iCs/>
          <w:color w:val="000000" w:themeColor="text1"/>
        </w:rPr>
        <w:t xml:space="preserve">Helicobacter </w:t>
      </w:r>
      <w:r w:rsidRPr="00D7082F">
        <w:rPr>
          <w:rFonts w:eastAsia="Times New Roman"/>
          <w:i/>
          <w:iCs/>
          <w:color w:val="000000" w:themeColor="text1"/>
        </w:rPr>
        <w:lastRenderedPageBreak/>
        <w:t>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w:t>
      </w:r>
      <w:proofErr w:type="spellStart"/>
      <w:r w:rsidRPr="00054A97">
        <w:rPr>
          <w:rFonts w:eastAsia="Times New Roman"/>
          <w:i/>
          <w:color w:val="000000" w:themeColor="text1"/>
        </w:rPr>
        <w:t>Lanas</w:t>
      </w:r>
      <w:proofErr w:type="spellEnd"/>
      <w:r w:rsidRPr="00054A97">
        <w:rPr>
          <w:rFonts w:eastAsia="Times New Roman"/>
          <w:i/>
          <w:color w:val="000000" w:themeColor="text1"/>
        </w:rPr>
        <w:t xml:space="preserve"> and Chan, 2017)</w:t>
      </w:r>
      <w:r w:rsidRPr="00D7082F">
        <w:rPr>
          <w:rFonts w:eastAsia="Times New Roman"/>
          <w:color w:val="000000" w:themeColor="text1"/>
        </w:rPr>
        <w:t xml:space="preserve">. Nonetheless, the widespread use of </w:t>
      </w:r>
      <w:proofErr w:type="spellStart"/>
      <w:r w:rsidRPr="00D7082F">
        <w:rPr>
          <w:rFonts w:eastAsia="Times New Roman"/>
          <w:color w:val="000000" w:themeColor="text1"/>
        </w:rPr>
        <w:t>nonsteroidal</w:t>
      </w:r>
      <w:proofErr w:type="spellEnd"/>
      <w:r w:rsidRPr="00D7082F">
        <w:rPr>
          <w:rFonts w:eastAsia="Times New Roman"/>
          <w:color w:val="000000" w:themeColor="text1"/>
        </w:rPr>
        <w:t xml:space="preserve"> anti-inflammatory drugs (NSAIDs), particularly among older adults, continues to be a major contributor to ulcer development </w:t>
      </w:r>
      <w:r w:rsidRPr="00E96164">
        <w:rPr>
          <w:rFonts w:eastAsia="Times New Roman"/>
          <w:i/>
          <w:color w:val="000000" w:themeColor="text1"/>
        </w:rPr>
        <w:t>(</w:t>
      </w:r>
      <w:proofErr w:type="spellStart"/>
      <w:r w:rsidRPr="00E96164">
        <w:rPr>
          <w:rFonts w:eastAsia="Times New Roman"/>
          <w:i/>
          <w:color w:val="000000" w:themeColor="text1"/>
        </w:rPr>
        <w:t>Laine</w:t>
      </w:r>
      <w:proofErr w:type="spellEnd"/>
      <w:r w:rsidRPr="00E96164">
        <w:rPr>
          <w:rFonts w:eastAsia="Times New Roman"/>
          <w:i/>
          <w:color w:val="000000" w:themeColor="text1"/>
        </w:rPr>
        <w:t xml:space="preserve"> et al., 2021).</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Previously, H2-receptor antagonists like ranitidine were commonly used, but their popularity has waned due to the greater efficacy of PPIs (</w:t>
      </w:r>
      <w:proofErr w:type="spellStart"/>
      <w:r w:rsidRPr="00D7082F">
        <w:rPr>
          <w:rFonts w:eastAsia="Times New Roman"/>
          <w:color w:val="000000" w:themeColor="text1"/>
        </w:rPr>
        <w:t>Laine</w:t>
      </w:r>
      <w:proofErr w:type="spellEnd"/>
      <w:r w:rsidRPr="00D7082F">
        <w:rPr>
          <w:rFonts w:eastAsia="Times New Roman"/>
          <w:color w:val="000000" w:themeColor="text1"/>
        </w:rPr>
        <w:t xml:space="preserv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w:t>
      </w:r>
      <w:proofErr w:type="spellStart"/>
      <w:r w:rsidRPr="00D7082F">
        <w:rPr>
          <w:rFonts w:eastAsia="Times New Roman"/>
          <w:color w:val="000000" w:themeColor="text1"/>
        </w:rPr>
        <w:t>Malfertheiner</w:t>
      </w:r>
      <w:proofErr w:type="spellEnd"/>
      <w:r w:rsidRPr="00D7082F">
        <w:rPr>
          <w:rFonts w:eastAsia="Times New Roman"/>
          <w:color w:val="000000" w:themeColor="text1"/>
        </w:rPr>
        <w:t xml:space="preserve">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w:t>
      </w:r>
      <w:proofErr w:type="spellStart"/>
      <w:r w:rsidRPr="00D7082F">
        <w:rPr>
          <w:rFonts w:eastAsia="Times New Roman"/>
          <w:color w:val="000000" w:themeColor="text1"/>
        </w:rPr>
        <w:t>microbiome’s</w:t>
      </w:r>
      <w:proofErr w:type="spellEnd"/>
      <w:r w:rsidRPr="00D7082F">
        <w:rPr>
          <w:rFonts w:eastAsia="Times New Roman"/>
          <w:color w:val="000000" w:themeColor="text1"/>
        </w:rPr>
        <w:t xml:space="preserve"> role in the pathophysiology of ulcers, indicating that the composition of gut microbes can significantly affect both disease progression and the healing process (</w:t>
      </w:r>
      <w:proofErr w:type="spellStart"/>
      <w:r w:rsidRPr="00D7082F">
        <w:rPr>
          <w:rFonts w:eastAsia="Times New Roman"/>
          <w:color w:val="000000" w:themeColor="text1"/>
        </w:rPr>
        <w:t>Lanas</w:t>
      </w:r>
      <w:proofErr w:type="spellEnd"/>
      <w:r w:rsidRPr="00D7082F">
        <w:rPr>
          <w:rFonts w:eastAsia="Times New Roman"/>
          <w:color w:val="000000" w:themeColor="text1"/>
        </w:rPr>
        <w:t xml:space="preserve"> and Chan, 2017). In parallel, regenerative medicine approaches—particularly those involving stem cell therapy—have been explored for managing chronic ulcers, demonstrating encouraging outcomes in terms of tissue regeneration and recovery (</w:t>
      </w:r>
      <w:proofErr w:type="spellStart"/>
      <w:r w:rsidRPr="00D7082F">
        <w:rPr>
          <w:rFonts w:eastAsia="Times New Roman"/>
          <w:color w:val="000000" w:themeColor="text1"/>
        </w:rPr>
        <w:t>Liesegang</w:t>
      </w:r>
      <w:proofErr w:type="spellEnd"/>
      <w:r w:rsidRPr="00D7082F">
        <w:rPr>
          <w:rFonts w:eastAsia="Times New Roman"/>
          <w:color w:val="000000" w:themeColor="text1"/>
        </w:rPr>
        <w:t xml:space="preserve">, 2019). The field of </w:t>
      </w:r>
      <w:proofErr w:type="spellStart"/>
      <w:r w:rsidRPr="00D7082F">
        <w:rPr>
          <w:rFonts w:eastAsia="Times New Roman"/>
          <w:color w:val="000000" w:themeColor="text1"/>
        </w:rPr>
        <w:t>phytomedicine</w:t>
      </w:r>
      <w:proofErr w:type="spellEnd"/>
      <w:r w:rsidRPr="00D7082F">
        <w:rPr>
          <w:rFonts w:eastAsia="Times New Roman"/>
          <w:color w:val="000000" w:themeColor="text1"/>
        </w:rPr>
        <w:t xml:space="preserve"> has also advanced, leading to studies </w:t>
      </w:r>
      <w:r w:rsidRPr="00D7082F">
        <w:rPr>
          <w:rFonts w:eastAsia="Times New Roman"/>
          <w:color w:val="000000" w:themeColor="text1"/>
        </w:rPr>
        <w:lastRenderedPageBreak/>
        <w:t>on natural compounds with anti-</w:t>
      </w:r>
      <w:proofErr w:type="spellStart"/>
      <w:r w:rsidRPr="00D7082F">
        <w:rPr>
          <w:rFonts w:eastAsia="Times New Roman"/>
          <w:color w:val="000000" w:themeColor="text1"/>
        </w:rPr>
        <w:t>ulcerogenic</w:t>
      </w:r>
      <w:proofErr w:type="spellEnd"/>
      <w:r w:rsidRPr="00D7082F">
        <w:rPr>
          <w:rFonts w:eastAsia="Times New Roman"/>
          <w:color w:val="000000" w:themeColor="text1"/>
        </w:rPr>
        <w:t xml:space="preserve"> effects, such as flavonoids and polyphenols, which may serve as valuable adjunct therapies </w:t>
      </w:r>
      <w:r w:rsidRPr="00E96164">
        <w:rPr>
          <w:rFonts w:eastAsia="Times New Roman"/>
          <w:i/>
          <w:color w:val="000000" w:themeColor="text1"/>
        </w:rPr>
        <w:t>(</w:t>
      </w:r>
      <w:proofErr w:type="spellStart"/>
      <w:r w:rsidRPr="00E96164">
        <w:rPr>
          <w:rFonts w:eastAsia="Times New Roman"/>
          <w:i/>
          <w:color w:val="000000" w:themeColor="text1"/>
        </w:rPr>
        <w:t>Malfertheiner</w:t>
      </w:r>
      <w:proofErr w:type="spellEnd"/>
      <w:r w:rsidRPr="00E96164">
        <w:rPr>
          <w:rFonts w:eastAsia="Times New Roman"/>
          <w:i/>
          <w:color w:val="000000" w:themeColor="text1"/>
        </w:rPr>
        <w:t xml:space="preserve"> et al.,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proofErr w:type="spellStart"/>
      <w:r w:rsidRPr="005E0ADE">
        <w:rPr>
          <w:rFonts w:eastAsia="Times New Roman"/>
          <w:i/>
          <w:color w:val="000000" w:themeColor="text1"/>
        </w:rPr>
        <w:t>Laine</w:t>
      </w:r>
      <w:proofErr w:type="spellEnd"/>
      <w:r w:rsidRPr="005E0ADE">
        <w:rPr>
          <w:rFonts w:eastAsia="Times New Roman"/>
          <w:i/>
          <w:color w:val="000000" w:themeColor="text1"/>
        </w:rPr>
        <w:t xml:space="preserv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w:t>
      </w:r>
      <w:proofErr w:type="spellStart"/>
      <w:r w:rsidRPr="00E96164">
        <w:rPr>
          <w:rFonts w:eastAsia="Times New Roman"/>
          <w:i/>
          <w:color w:val="000000" w:themeColor="text1"/>
        </w:rPr>
        <w:t>Lanas</w:t>
      </w:r>
      <w:proofErr w:type="spellEnd"/>
      <w:r w:rsidRPr="00E96164">
        <w:rPr>
          <w:rFonts w:eastAsia="Times New Roman"/>
          <w:i/>
          <w:color w:val="000000" w:themeColor="text1"/>
        </w:rPr>
        <w:t xml:space="preserve"> and Chan,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w:t>
      </w:r>
      <w:proofErr w:type="spellStart"/>
      <w:r w:rsidRPr="00E96164">
        <w:rPr>
          <w:rFonts w:eastAsia="Times New Roman"/>
          <w:i/>
          <w:color w:val="000000" w:themeColor="text1"/>
        </w:rPr>
        <w:t>Malfertheiner</w:t>
      </w:r>
      <w:proofErr w:type="spellEnd"/>
      <w:r w:rsidRPr="00E96164">
        <w:rPr>
          <w:rFonts w:eastAsia="Times New Roman"/>
          <w:i/>
          <w:color w:val="000000" w:themeColor="text1"/>
        </w:rPr>
        <w:t xml:space="preserve"> et al., 2017).</w:t>
      </w:r>
    </w:p>
    <w:p w:rsidR="00FB724C" w:rsidRPr="00D7082F" w:rsidRDefault="00FB724C" w:rsidP="00FB724C">
      <w:pPr>
        <w:spacing w:line="360" w:lineRule="auto"/>
        <w:jc w:val="both"/>
        <w:rPr>
          <w:b/>
          <w:color w:val="000000" w:themeColor="text1"/>
        </w:rPr>
      </w:pPr>
      <w:r w:rsidRPr="00D7082F">
        <w:rPr>
          <w:b/>
          <w:color w:val="000000" w:themeColor="text1"/>
        </w:rPr>
        <w:t>2.2 Types of Ulcer</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2.2.1 Peptic Ulcer</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w:t>
      </w:r>
      <w:proofErr w:type="spellStart"/>
      <w:r w:rsidRPr="00D7082F">
        <w:rPr>
          <w:rFonts w:eastAsia="Times New Roman"/>
          <w:color w:val="000000" w:themeColor="text1"/>
        </w:rPr>
        <w:t>hypersecretory</w:t>
      </w:r>
      <w:proofErr w:type="spellEnd"/>
      <w:r w:rsidRPr="00D7082F">
        <w:rPr>
          <w:rFonts w:eastAsia="Times New Roman"/>
          <w:color w:val="000000" w:themeColor="text1"/>
        </w:rPr>
        <w:t xml:space="preserve"> conditions such as </w:t>
      </w:r>
      <w:proofErr w:type="spellStart"/>
      <w:r w:rsidRPr="00D7082F">
        <w:rPr>
          <w:rFonts w:eastAsia="Times New Roman"/>
          <w:color w:val="000000" w:themeColor="text1"/>
        </w:rPr>
        <w:t>Zollinger</w:t>
      </w:r>
      <w:proofErr w:type="spellEnd"/>
      <w:r w:rsidRPr="00D7082F">
        <w:rPr>
          <w:rFonts w:eastAsia="Times New Roman"/>
          <w:color w:val="000000" w:themeColor="text1"/>
        </w:rPr>
        <w:t xml:space="preserve">-Ellison syndrome, the presence of Cameron ulcers in hiatal hernias, or ectopic gastric mucosa found in anomalies like </w:t>
      </w:r>
      <w:proofErr w:type="spellStart"/>
      <w:r w:rsidRPr="00D7082F">
        <w:rPr>
          <w:rFonts w:eastAsia="Times New Roman"/>
          <w:color w:val="000000" w:themeColor="text1"/>
        </w:rPr>
        <w:t>Meckel’s</w:t>
      </w:r>
      <w:proofErr w:type="spellEnd"/>
      <w:r w:rsidRPr="00D7082F">
        <w:rPr>
          <w:rFonts w:eastAsia="Times New Roman"/>
          <w:color w:val="000000" w:themeColor="text1"/>
        </w:rPr>
        <w:t xml:space="preserve"> diverticulum (</w:t>
      </w:r>
      <w:proofErr w:type="spellStart"/>
      <w:r w:rsidRPr="00D7082F">
        <w:rPr>
          <w:rFonts w:eastAsia="Times New Roman"/>
          <w:color w:val="000000" w:themeColor="text1"/>
        </w:rPr>
        <w:t>Kalyanakrishnan</w:t>
      </w:r>
      <w:proofErr w:type="spellEnd"/>
      <w:r w:rsidRPr="00D7082F">
        <w:rPr>
          <w:rFonts w:eastAsia="Times New Roman"/>
          <w:color w:val="000000" w:themeColor="text1"/>
        </w:rPr>
        <w:t xml:space="preserve">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w:t>
      </w:r>
      <w:proofErr w:type="spellStart"/>
      <w:r w:rsidRPr="00E96164">
        <w:rPr>
          <w:rFonts w:eastAsia="Times New Roman"/>
          <w:i/>
          <w:color w:val="000000" w:themeColor="text1"/>
        </w:rPr>
        <w:t>Agréus</w:t>
      </w:r>
      <w:proofErr w:type="spellEnd"/>
      <w:r w:rsidRPr="00E96164">
        <w:rPr>
          <w:rFonts w:eastAsia="Times New Roman"/>
          <w:i/>
          <w:color w:val="000000" w:themeColor="text1"/>
        </w:rPr>
        <w:t xml:space="preserve"> et al., 2016).</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 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w:t>
      </w:r>
      <w:proofErr w:type="spellStart"/>
      <w:r w:rsidRPr="00D7082F">
        <w:rPr>
          <w:rFonts w:eastAsia="Times New Roman"/>
          <w:color w:val="000000" w:themeColor="text1"/>
        </w:rPr>
        <w:t>nonsteroidal</w:t>
      </w:r>
      <w:proofErr w:type="spellEnd"/>
      <w:r w:rsidRPr="00D7082F">
        <w:rPr>
          <w:rFonts w:eastAsia="Times New Roman"/>
          <w:color w:val="000000" w:themeColor="text1"/>
        </w:rPr>
        <w:t xml:space="preserve"> anti-inflammatory drugs (NSAIDs) (</w:t>
      </w:r>
      <w:proofErr w:type="spellStart"/>
      <w:r w:rsidRPr="00D7082F">
        <w:rPr>
          <w:rFonts w:eastAsia="Times New Roman"/>
          <w:color w:val="000000" w:themeColor="text1"/>
        </w:rPr>
        <w:t>Kurata</w:t>
      </w:r>
      <w:proofErr w:type="spellEnd"/>
      <w:r w:rsidRPr="00D7082F">
        <w:rPr>
          <w:rFonts w:eastAsia="Times New Roman"/>
          <w:color w:val="000000" w:themeColor="text1"/>
        </w:rPr>
        <w:t xml:space="preserve"> and </w:t>
      </w:r>
      <w:proofErr w:type="spellStart"/>
      <w:r w:rsidRPr="00D7082F">
        <w:rPr>
          <w:rFonts w:eastAsia="Times New Roman"/>
          <w:color w:val="000000" w:themeColor="text1"/>
        </w:rPr>
        <w:t>Nogawa</w:t>
      </w:r>
      <w:proofErr w:type="spellEnd"/>
      <w:r w:rsidRPr="00D7082F">
        <w:rPr>
          <w:rFonts w:eastAsia="Times New Roman"/>
          <w:color w:val="000000" w:themeColor="text1"/>
        </w:rPr>
        <w:t xml:space="preserve">, 1997). While </w:t>
      </w:r>
      <w:r w:rsidRPr="00D7082F">
        <w:rPr>
          <w:rFonts w:eastAsia="Times New Roman"/>
          <w:i/>
          <w:iCs/>
          <w:color w:val="000000" w:themeColor="text1"/>
        </w:rPr>
        <w:t>H. pylori</w:t>
      </w:r>
      <w:r w:rsidRPr="00D7082F">
        <w:rPr>
          <w:rFonts w:eastAsia="Times New Roman"/>
          <w:color w:val="000000" w:themeColor="text1"/>
        </w:rPr>
        <w:t xml:space="preserve"> is present in the </w:t>
      </w:r>
      <w:proofErr w:type="spellStart"/>
      <w:r w:rsidRPr="00D7082F">
        <w:rPr>
          <w:rFonts w:eastAsia="Times New Roman"/>
          <w:color w:val="000000" w:themeColor="text1"/>
        </w:rPr>
        <w:t>gastroduodenal</w:t>
      </w:r>
      <w:proofErr w:type="spellEnd"/>
      <w:r w:rsidRPr="00D7082F">
        <w:rPr>
          <w:rFonts w:eastAsia="Times New Roman"/>
          <w:color w:val="000000" w:themeColor="text1"/>
        </w:rPr>
        <w:t xml:space="preserve"> lining of most individuals with duodenal ulcers, only about 10 to 15 percent of those infected go on to develop ulcers. The bacterium adheres to the gastric mucosa, and its pathogenicity is heightened by the presence of an outer inflammatory protein and a functional </w:t>
      </w:r>
      <w:proofErr w:type="spellStart"/>
      <w:r w:rsidRPr="00D7082F">
        <w:rPr>
          <w:rFonts w:eastAsia="Times New Roman"/>
          <w:color w:val="000000" w:themeColor="text1"/>
        </w:rPr>
        <w:t>cytotoxin</w:t>
      </w:r>
      <w:proofErr w:type="spellEnd"/>
      <w:r w:rsidRPr="00D7082F">
        <w:rPr>
          <w:rFonts w:eastAsia="Times New Roman"/>
          <w:color w:val="000000" w:themeColor="text1"/>
        </w:rPr>
        <w:t xml:space="preserve">-associated gene (cag) island within its genome, both of which contribute to its </w:t>
      </w:r>
      <w:proofErr w:type="spellStart"/>
      <w:r w:rsidRPr="00D7082F">
        <w:rPr>
          <w:rFonts w:eastAsia="Times New Roman"/>
          <w:color w:val="000000" w:themeColor="text1"/>
        </w:rPr>
        <w:t>ulcerogenic</w:t>
      </w:r>
      <w:proofErr w:type="spellEnd"/>
      <w:r w:rsidRPr="00D7082F">
        <w:rPr>
          <w:rFonts w:eastAsia="Times New Roman"/>
          <w:color w:val="000000" w:themeColor="text1"/>
        </w:rPr>
        <w:t xml:space="preserve"> potential (Nilsson et al., 2003). Infected individuals typically exhibit elevated basal and meal-induced gastrin secretion, along with diminished production of gastric </w:t>
      </w:r>
      <w:r w:rsidRPr="00D7082F">
        <w:rPr>
          <w:rFonts w:eastAsia="Times New Roman"/>
          <w:color w:val="000000" w:themeColor="text1"/>
        </w:rPr>
        <w:lastRenderedPageBreak/>
        <w:t xml:space="preserve">mucus and duodenal bicarbonate—conditions that collectively promote ulcer development </w:t>
      </w:r>
      <w:r w:rsidRPr="00B811FF">
        <w:rPr>
          <w:rFonts w:eastAsia="Times New Roman"/>
          <w:i/>
          <w:color w:val="000000" w:themeColor="text1"/>
        </w:rPr>
        <w:t>(Nilsson et al., 2003).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7595F7D9" wp14:editId="155240DD">
            <wp:extent cx="2926899"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427"/>
                    <a:stretch/>
                  </pic:blipFill>
                  <pic:spPr bwMode="auto">
                    <a:xfrm>
                      <a:off x="0" y="0"/>
                      <a:ext cx="2929971" cy="2803289"/>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 xml:space="preserve">Source: </w:t>
      </w:r>
      <w:proofErr w:type="spellStart"/>
      <w:r>
        <w:rPr>
          <w:bCs/>
          <w:color w:val="000000" w:themeColor="text1"/>
        </w:rPr>
        <w:t>lauret</w:t>
      </w:r>
      <w:proofErr w:type="spellEnd"/>
      <w:r>
        <w:rPr>
          <w:bCs/>
          <w:color w:val="000000" w:themeColor="text1"/>
        </w:rPr>
        <w:t xml:space="preserve"> (2015)</w:t>
      </w:r>
    </w:p>
    <w:p w:rsidR="00FB724C" w:rsidRPr="00D7082F" w:rsidRDefault="00FB724C" w:rsidP="00FB724C">
      <w:pPr>
        <w:spacing w:line="360" w:lineRule="auto"/>
        <w:jc w:val="both"/>
        <w:rPr>
          <w:b/>
          <w:color w:val="000000" w:themeColor="text1"/>
        </w:rPr>
      </w:pPr>
      <w:r w:rsidRPr="00D7082F">
        <w:rPr>
          <w:b/>
          <w:color w:val="000000" w:themeColor="text1"/>
        </w:rPr>
        <w:t>2.2.2 Skin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w:t>
      </w:r>
      <w:r w:rsidRPr="00D7082F">
        <w:rPr>
          <w:color w:val="000000" w:themeColor="text1"/>
        </w:rPr>
        <w:lastRenderedPageBreak/>
        <w:t xml:space="preserve">systemic diseases </w:t>
      </w:r>
      <w:r w:rsidRPr="00B811FF">
        <w:rPr>
          <w:i/>
          <w:color w:val="000000" w:themeColor="text1"/>
        </w:rPr>
        <w:t>(</w:t>
      </w:r>
      <w:proofErr w:type="spellStart"/>
      <w:r w:rsidRPr="00B811FF">
        <w:rPr>
          <w:i/>
          <w:color w:val="000000" w:themeColor="text1"/>
        </w:rPr>
        <w:t>Sen</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w:t>
      </w:r>
      <w:proofErr w:type="spellStart"/>
      <w:r w:rsidRPr="00B811FF">
        <w:rPr>
          <w:i/>
          <w:color w:val="000000" w:themeColor="text1"/>
        </w:rPr>
        <w:t>Guo</w:t>
      </w:r>
      <w:proofErr w:type="spellEnd"/>
      <w:r w:rsidRPr="00B811FF">
        <w:rPr>
          <w:i/>
          <w:color w:val="000000" w:themeColor="text1"/>
        </w:rPr>
        <w:t xml:space="preserve"> and </w:t>
      </w:r>
      <w:proofErr w:type="spellStart"/>
      <w:r w:rsidRPr="00B811FF">
        <w:rPr>
          <w:i/>
          <w:color w:val="000000" w:themeColor="text1"/>
        </w:rPr>
        <w:t>DiPietro</w:t>
      </w:r>
      <w:proofErr w:type="spellEnd"/>
      <w:r w:rsidRPr="00B811FF">
        <w:rPr>
          <w:i/>
          <w:color w:val="000000" w:themeColor="text1"/>
        </w:rPr>
        <w:t>, 2010).</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w:t>
      </w:r>
      <w:proofErr w:type="spellStart"/>
      <w:r w:rsidRPr="00B811FF">
        <w:rPr>
          <w:i/>
          <w:color w:val="000000" w:themeColor="text1"/>
        </w:rPr>
        <w:t>Mustoe</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w:t>
      </w:r>
      <w:proofErr w:type="spellStart"/>
      <w:r w:rsidRPr="00B811FF">
        <w:rPr>
          <w:i/>
          <w:color w:val="000000" w:themeColor="text1"/>
        </w:rPr>
        <w:t>Eming</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w:t>
      </w:r>
      <w:proofErr w:type="spellStart"/>
      <w:r w:rsidRPr="00B811FF">
        <w:rPr>
          <w:i/>
          <w:color w:val="000000" w:themeColor="text1"/>
        </w:rPr>
        <w:t>Bjarnsholt</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2008).</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w:t>
      </w:r>
      <w:proofErr w:type="spellStart"/>
      <w:r w:rsidRPr="00B811FF">
        <w:rPr>
          <w:i/>
          <w:color w:val="000000" w:themeColor="text1"/>
        </w:rPr>
        <w:t>Sen</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w:t>
      </w:r>
      <w:r w:rsidRPr="00D7082F">
        <w:rPr>
          <w:color w:val="000000" w:themeColor="text1"/>
        </w:rPr>
        <w:lastRenderedPageBreak/>
        <w:t xml:space="preserve">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FB724C" w:rsidRPr="00B811FF" w:rsidRDefault="00FB724C" w:rsidP="00FB724C">
      <w:pPr>
        <w:spacing w:line="360" w:lineRule="auto"/>
        <w:jc w:val="both"/>
        <w:rPr>
          <w:b/>
          <w:i/>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0F8F09AC" wp14:editId="7D72C57A">
            <wp:extent cx="3357677" cy="2069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7">
                      <a:extLst>
                        <a:ext uri="{28A0092B-C50C-407E-A947-70E740481C1C}">
                          <a14:useLocalDpi xmlns:a14="http://schemas.microsoft.com/office/drawing/2010/main"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lang w:val="fr-FR"/>
        </w:rPr>
      </w:pPr>
      <w:r>
        <w:rPr>
          <w:bCs/>
          <w:color w:val="000000" w:themeColor="text1"/>
          <w:lang w:val="fr-FR"/>
        </w:rPr>
        <w:t xml:space="preserve">Source: </w:t>
      </w:r>
      <w:proofErr w:type="spellStart"/>
      <w:r>
        <w:rPr>
          <w:bCs/>
          <w:color w:val="000000" w:themeColor="text1"/>
          <w:lang w:val="fr-FR"/>
        </w:rPr>
        <w:t>kuma</w:t>
      </w:r>
      <w:proofErr w:type="spellEnd"/>
      <w:r>
        <w:rPr>
          <w:bCs/>
          <w:color w:val="000000" w:themeColor="text1"/>
          <w:lang w:val="fr-FR"/>
        </w:rPr>
        <w:t xml:space="preserve"> (2004) </w:t>
      </w:r>
    </w:p>
    <w:p w:rsidR="00FB724C" w:rsidRDefault="00FB724C" w:rsidP="00FB724C">
      <w:pPr>
        <w:spacing w:line="360" w:lineRule="auto"/>
        <w:jc w:val="both"/>
        <w:rPr>
          <w:b/>
          <w:color w:val="000000" w:themeColor="text1"/>
        </w:rPr>
      </w:pPr>
    </w:p>
    <w:p w:rsidR="00FB724C"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2.2.3 Mouth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w:t>
      </w:r>
      <w:proofErr w:type="spellStart"/>
      <w:r w:rsidRPr="00D7082F">
        <w:rPr>
          <w:rFonts w:eastAsia="Times New Roman"/>
          <w:color w:val="000000" w:themeColor="text1"/>
        </w:rPr>
        <w:t>buccal</w:t>
      </w:r>
      <w:proofErr w:type="spellEnd"/>
      <w:r w:rsidRPr="00D7082F">
        <w:rPr>
          <w:rFonts w:eastAsia="Times New Roman"/>
          <w:color w:val="000000" w:themeColor="text1"/>
        </w:rPr>
        <w:t xml:space="preserve">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w:t>
      </w:r>
      <w:proofErr w:type="spellStart"/>
      <w:r w:rsidRPr="00B811FF">
        <w:rPr>
          <w:rFonts w:eastAsia="Times New Roman"/>
          <w:i/>
          <w:color w:val="000000" w:themeColor="text1"/>
        </w:rPr>
        <w:t>Yogarajah</w:t>
      </w:r>
      <w:proofErr w:type="spellEnd"/>
      <w:r w:rsidRPr="00B811FF">
        <w:rPr>
          <w:rFonts w:eastAsia="Times New Roman"/>
          <w:i/>
          <w:color w:val="000000" w:themeColor="text1"/>
        </w:rPr>
        <w:t xml:space="preserve"> and </w:t>
      </w:r>
      <w:proofErr w:type="spellStart"/>
      <w:r w:rsidRPr="00B811FF">
        <w:rPr>
          <w:rFonts w:eastAsia="Times New Roman"/>
          <w:i/>
          <w:color w:val="000000" w:themeColor="text1"/>
        </w:rPr>
        <w:t>Setterfield</w:t>
      </w:r>
      <w:proofErr w:type="spellEnd"/>
      <w:r w:rsidRPr="00B811FF">
        <w:rPr>
          <w:rFonts w:eastAsia="Times New Roman"/>
          <w:i/>
          <w:color w:val="000000" w:themeColor="text1"/>
        </w:rPr>
        <w:t>, 2021).</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w:t>
      </w: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and </w:t>
      </w:r>
      <w:proofErr w:type="spellStart"/>
      <w:r w:rsidRPr="00D7082F">
        <w:rPr>
          <w:rFonts w:eastAsia="Times New Roman"/>
          <w:color w:val="000000" w:themeColor="text1"/>
        </w:rPr>
        <w:t>histopathological</w:t>
      </w:r>
      <w:proofErr w:type="spellEnd"/>
      <w:r w:rsidRPr="00D7082F">
        <w:rPr>
          <w:rFonts w:eastAsia="Times New Roman"/>
          <w:color w:val="000000" w:themeColor="text1"/>
        </w:rPr>
        <w:t xml:space="preserve"> features. Most ulcerative oral lesions fall into one of four categories: infectious, immune-mediated, traumatic, or neoplastic </w:t>
      </w:r>
      <w:r w:rsidRPr="00B811FF">
        <w:rPr>
          <w:rFonts w:eastAsia="Times New Roman"/>
          <w:i/>
          <w:color w:val="000000" w:themeColor="text1"/>
        </w:rPr>
        <w:t>(Fitzpatrick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w:t>
      </w:r>
      <w:proofErr w:type="spellStart"/>
      <w:r w:rsidRPr="00D7082F">
        <w:rPr>
          <w:rFonts w:eastAsia="Times New Roman"/>
          <w:color w:val="000000" w:themeColor="text1"/>
        </w:rPr>
        <w:t>Leao</w:t>
      </w:r>
      <w:proofErr w:type="spellEnd"/>
      <w:r w:rsidRPr="00D7082F">
        <w:rPr>
          <w:rFonts w:eastAsia="Times New Roman"/>
          <w:color w:val="000000" w:themeColor="text1"/>
        </w:rPr>
        <w:t xml:space="preserve">). Rarely, intranasal cocaine use can lead to ischemic necrosis involving the floor of the nose, progressing to hard palate ulceration and </w:t>
      </w:r>
      <w:proofErr w:type="spellStart"/>
      <w:r w:rsidRPr="00D7082F">
        <w:rPr>
          <w:rFonts w:eastAsia="Times New Roman"/>
          <w:color w:val="000000" w:themeColor="text1"/>
        </w:rPr>
        <w:t>oronasal</w:t>
      </w:r>
      <w:proofErr w:type="spellEnd"/>
      <w:r w:rsidRPr="00D7082F">
        <w:rPr>
          <w:rFonts w:eastAsia="Times New Roman"/>
          <w:color w:val="000000" w:themeColor="text1"/>
        </w:rPr>
        <w:t xml:space="preserve"> fistula formation. Additionally, local radiotherapy and certain cytotoxic chemotherapy agents may cause oral </w:t>
      </w:r>
      <w:proofErr w:type="spellStart"/>
      <w:r w:rsidRPr="00D7082F">
        <w:rPr>
          <w:rFonts w:eastAsia="Times New Roman"/>
          <w:color w:val="000000" w:themeColor="text1"/>
        </w:rPr>
        <w:t>mucositis</w:t>
      </w:r>
      <w:proofErr w:type="spellEnd"/>
      <w:r w:rsidRPr="00D7082F">
        <w:rPr>
          <w:rFonts w:eastAsia="Times New Roman"/>
          <w:color w:val="000000" w:themeColor="text1"/>
        </w:rPr>
        <w:t xml:space="preserve">, which presents as painful mucosal erythema, ulceration, and epithelial sloughing </w:t>
      </w:r>
      <w:r w:rsidRPr="00B811FF">
        <w:rPr>
          <w:rFonts w:eastAsia="Times New Roman"/>
          <w:i/>
          <w:color w:val="000000" w:themeColor="text1"/>
        </w:rPr>
        <w:t>(Scully et al., 2004).</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The exact mechanism behind </w:t>
      </w:r>
      <w:proofErr w:type="spellStart"/>
      <w:r w:rsidRPr="00D7082F">
        <w:rPr>
          <w:rFonts w:eastAsia="Times New Roman"/>
          <w:color w:val="000000" w:themeColor="text1"/>
        </w:rPr>
        <w:t>mucositis</w:t>
      </w:r>
      <w:proofErr w:type="spellEnd"/>
      <w:r w:rsidRPr="00D7082F">
        <w:rPr>
          <w:rFonts w:eastAsia="Times New Roman"/>
          <w:color w:val="000000" w:themeColor="text1"/>
        </w:rPr>
        <w:t xml:space="preserve"> is not fully understood, though it is thought to stem from impaired basal cell proliferation rather than alterations in the oral </w:t>
      </w:r>
      <w:proofErr w:type="spellStart"/>
      <w:r w:rsidRPr="00D7082F">
        <w:rPr>
          <w:rFonts w:eastAsia="Times New Roman"/>
          <w:color w:val="000000" w:themeColor="text1"/>
        </w:rPr>
        <w:t>microbiota</w:t>
      </w:r>
      <w:proofErr w:type="spellEnd"/>
      <w:r w:rsidRPr="00D7082F">
        <w:rPr>
          <w:rFonts w:eastAsia="Times New Roman"/>
          <w:color w:val="000000" w:themeColor="text1"/>
        </w:rPr>
        <w:t xml:space="preserve">, such as increases in Gram-negative bacteria like </w:t>
      </w:r>
      <w:proofErr w:type="spellStart"/>
      <w:r w:rsidRPr="00D7082F">
        <w:rPr>
          <w:rFonts w:eastAsia="Times New Roman"/>
          <w:i/>
          <w:iCs/>
          <w:color w:val="000000" w:themeColor="text1"/>
        </w:rPr>
        <w:t>Enterobacteriaceae</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Stokman</w:t>
      </w:r>
      <w:proofErr w:type="spellEnd"/>
      <w:r w:rsidRPr="00D7082F">
        <w:rPr>
          <w:rFonts w:eastAsia="Times New Roman"/>
          <w:color w:val="000000" w:themeColor="text1"/>
        </w:rPr>
        <w:t xml:space="preserve"> et al., 2003). Managing oral </w:t>
      </w:r>
      <w:proofErr w:type="spellStart"/>
      <w:r w:rsidRPr="00D7082F">
        <w:rPr>
          <w:rFonts w:eastAsia="Times New Roman"/>
          <w:color w:val="000000" w:themeColor="text1"/>
        </w:rPr>
        <w:t>mucositis</w:t>
      </w:r>
      <w:proofErr w:type="spellEnd"/>
      <w:r w:rsidRPr="00D7082F">
        <w:rPr>
          <w:rFonts w:eastAsia="Times New Roman"/>
          <w:color w:val="000000" w:themeColor="text1"/>
        </w:rPr>
        <w:t xml:space="preserve"> remains challenging. While </w:t>
      </w:r>
      <w:proofErr w:type="spellStart"/>
      <w:r w:rsidRPr="00D7082F">
        <w:rPr>
          <w:rFonts w:eastAsia="Times New Roman"/>
          <w:color w:val="000000" w:themeColor="text1"/>
        </w:rPr>
        <w:t>benzydamine</w:t>
      </w:r>
      <w:proofErr w:type="spellEnd"/>
      <w:r w:rsidRPr="00D7082F">
        <w:rPr>
          <w:rFonts w:eastAsia="Times New Roman"/>
          <w:color w:val="000000" w:themeColor="text1"/>
        </w:rPr>
        <w:t xml:space="preserve"> hydrochloride mouth rinses or sprays may offer symptom relief, opioid analgesics are often necessary for adequate pain control. Although </w:t>
      </w:r>
      <w:proofErr w:type="spellStart"/>
      <w:r w:rsidRPr="00D7082F">
        <w:rPr>
          <w:rFonts w:eastAsia="Times New Roman"/>
          <w:color w:val="000000" w:themeColor="text1"/>
        </w:rPr>
        <w:t>chlorhexidine</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gluconate</w:t>
      </w:r>
      <w:proofErr w:type="spellEnd"/>
      <w:r w:rsidRPr="00D7082F">
        <w:rPr>
          <w:rFonts w:eastAsia="Times New Roman"/>
          <w:color w:val="000000" w:themeColor="text1"/>
        </w:rPr>
        <w:t xml:space="preserve"> is widely used in clinical settings, it does not significantly improve </w:t>
      </w:r>
      <w:proofErr w:type="spellStart"/>
      <w:r w:rsidRPr="00D7082F">
        <w:rPr>
          <w:rFonts w:eastAsia="Times New Roman"/>
          <w:color w:val="000000" w:themeColor="text1"/>
        </w:rPr>
        <w:t>mucositis</w:t>
      </w:r>
      <w:proofErr w:type="spellEnd"/>
      <w:r w:rsidRPr="00D7082F">
        <w:rPr>
          <w:rFonts w:eastAsia="Times New Roman"/>
          <w:color w:val="000000" w:themeColor="text1"/>
        </w:rPr>
        <w:t xml:space="preserve"> symptoms. Emerging therapies under early clinical evaluation include granulocyte-macrophage colony-stimulating factor (GM-CSF) and </w:t>
      </w:r>
      <w:proofErr w:type="spellStart"/>
      <w:r w:rsidRPr="00D7082F">
        <w:rPr>
          <w:rFonts w:eastAsia="Times New Roman"/>
          <w:color w:val="000000" w:themeColor="text1"/>
        </w:rPr>
        <w:t>protegrins</w:t>
      </w:r>
      <w:proofErr w:type="spellEnd"/>
      <w:r w:rsidRPr="00D7082F">
        <w:rPr>
          <w:rFonts w:eastAsia="Times New Roman"/>
          <w:color w:val="000000" w:themeColor="text1"/>
        </w:rPr>
        <w:t xml:space="preserve"> </w:t>
      </w:r>
      <w:r w:rsidRPr="00B811FF">
        <w:rPr>
          <w:rFonts w:eastAsia="Times New Roman"/>
          <w:i/>
          <w:color w:val="000000" w:themeColor="text1"/>
        </w:rPr>
        <w:t xml:space="preserve">(Chen et al., 2000; </w:t>
      </w:r>
      <w:proofErr w:type="spellStart"/>
      <w:r w:rsidRPr="00B811FF">
        <w:rPr>
          <w:rFonts w:eastAsia="Times New Roman"/>
          <w:i/>
          <w:color w:val="000000" w:themeColor="text1"/>
        </w:rPr>
        <w:t>Mantovani</w:t>
      </w:r>
      <w:proofErr w:type="spellEnd"/>
      <w:r w:rsidRPr="00B811FF">
        <w:rPr>
          <w:rFonts w:eastAsia="Times New Roman"/>
          <w:i/>
          <w:color w:val="000000" w:themeColor="text1"/>
        </w:rPr>
        <w:t xml:space="preserve"> et al., 2003).</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ulcers are the most common type of oral ulcer and generally resolve within 10 to 14 days without treatment. These lesions typically appear as small, round or oval ulcers with a </w:t>
      </w:r>
      <w:proofErr w:type="spellStart"/>
      <w:r w:rsidRPr="00D7082F">
        <w:rPr>
          <w:rFonts w:eastAsia="Times New Roman"/>
          <w:color w:val="000000" w:themeColor="text1"/>
        </w:rPr>
        <w:t>pseudomembrane</w:t>
      </w:r>
      <w:proofErr w:type="spellEnd"/>
      <w:r w:rsidRPr="00D7082F">
        <w:rPr>
          <w:rFonts w:eastAsia="Times New Roman"/>
          <w:color w:val="000000" w:themeColor="text1"/>
        </w:rPr>
        <w:t xml:space="preserve"> center and an erythematous halo, primarily affecting non-keratinized mucosa. Current treatments focus on 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w:t>
      </w:r>
      <w:proofErr w:type="spellStart"/>
      <w:r w:rsidRPr="00B811FF">
        <w:rPr>
          <w:rFonts w:eastAsia="Times New Roman"/>
          <w:i/>
          <w:color w:val="000000" w:themeColor="text1"/>
        </w:rPr>
        <w:t>Dhanshri</w:t>
      </w:r>
      <w:proofErr w:type="spellEnd"/>
      <w:r w:rsidRPr="00B811FF">
        <w:rPr>
          <w:rFonts w:eastAsia="Times New Roman"/>
          <w:i/>
          <w:color w:val="000000" w:themeColor="text1"/>
        </w:rPr>
        <w:t xml:space="preserve">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roofErr w:type="spellStart"/>
      <w:r w:rsidRPr="00D7082F">
        <w:rPr>
          <w:rFonts w:eastAsia="Times New Roman"/>
          <w:color w:val="000000" w:themeColor="text1"/>
        </w:rPr>
        <w:t>Herpetiform</w:t>
      </w:r>
      <w:proofErr w:type="spellEnd"/>
      <w:r w:rsidRPr="00D7082F">
        <w:rPr>
          <w:rFonts w:eastAsia="Times New Roman"/>
          <w:color w:val="000000" w:themeColor="text1"/>
        </w:rPr>
        <w:t xml:space="preserve"> ulcers, a subtype of </w:t>
      </w: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ulcers, are so named due to their resemblance to herpes lesions, although they are not caused by the herpes virus and are non-contagious. These ulcers recur rapidly and may give the impression of a persistent condition. </w:t>
      </w:r>
      <w:proofErr w:type="spellStart"/>
      <w:r w:rsidRPr="00D7082F">
        <w:rPr>
          <w:rFonts w:eastAsia="Times New Roman"/>
          <w:color w:val="000000" w:themeColor="text1"/>
        </w:rPr>
        <w:t>Herpetiform</w:t>
      </w:r>
      <w:proofErr w:type="spellEnd"/>
      <w:r w:rsidRPr="00D7082F">
        <w:rPr>
          <w:rFonts w:eastAsia="Times New Roman"/>
          <w:color w:val="000000" w:themeColor="text1"/>
        </w:rPr>
        <w:t xml:space="preserve">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w:t>
      </w:r>
      <w:proofErr w:type="spellStart"/>
      <w:r w:rsidRPr="00D7082F">
        <w:rPr>
          <w:rFonts w:eastAsia="Times New Roman"/>
          <w:color w:val="000000" w:themeColor="text1"/>
        </w:rPr>
        <w:t>Herpetiform</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ulcers, which account for approximately </w:t>
      </w:r>
      <w:r w:rsidRPr="00D7082F">
        <w:rPr>
          <w:rFonts w:eastAsia="Times New Roman"/>
          <w:color w:val="000000" w:themeColor="text1"/>
        </w:rPr>
        <w:lastRenderedPageBreak/>
        <w:t xml:space="preserve">5% of recurrent </w:t>
      </w:r>
      <w:proofErr w:type="spellStart"/>
      <w:r w:rsidRPr="00D7082F">
        <w:rPr>
          <w:rFonts w:eastAsia="Times New Roman"/>
          <w:color w:val="000000" w:themeColor="text1"/>
        </w:rPr>
        <w:t>aphthous</w:t>
      </w:r>
      <w:proofErr w:type="spellEnd"/>
      <w:r w:rsidRPr="00D7082F">
        <w:rPr>
          <w:rFonts w:eastAsia="Times New Roman"/>
          <w:color w:val="000000" w:themeColor="text1"/>
        </w:rPr>
        <w:t xml:space="preserve">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w:t>
      </w:r>
      <w:proofErr w:type="spellStart"/>
      <w:r w:rsidRPr="00B811FF">
        <w:rPr>
          <w:rFonts w:eastAsia="Times New Roman"/>
          <w:i/>
          <w:color w:val="000000" w:themeColor="text1"/>
        </w:rPr>
        <w:t>Dhanshri</w:t>
      </w:r>
      <w:proofErr w:type="spellEnd"/>
      <w:r w:rsidRPr="00B811FF">
        <w:rPr>
          <w:rFonts w:eastAsia="Times New Roman"/>
          <w:i/>
          <w:color w:val="000000" w:themeColor="text1"/>
        </w:rPr>
        <w:t xml:space="preserve">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w:t>
      </w:r>
      <w:proofErr w:type="spellStart"/>
      <w:r w:rsidRPr="00B811FF">
        <w:rPr>
          <w:rFonts w:eastAsia="Times New Roman"/>
          <w:i/>
          <w:color w:val="000000" w:themeColor="text1"/>
        </w:rPr>
        <w:t>Dhanshri</w:t>
      </w:r>
      <w:proofErr w:type="spellEnd"/>
      <w:r w:rsidRPr="00B811FF">
        <w:rPr>
          <w:rFonts w:eastAsia="Times New Roman"/>
          <w:i/>
          <w:color w:val="000000" w:themeColor="text1"/>
        </w:rPr>
        <w:t xml:space="preserve"> et al., 2024).</w:t>
      </w: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370EC9CA" wp14:editId="4D601696">
            <wp:extent cx="2794000" cy="27178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8">
                      <a:extLst>
                        <a:ext uri="{28A0092B-C50C-407E-A947-70E740481C1C}">
                          <a14:useLocalDpi xmlns:a14="http://schemas.microsoft.com/office/drawing/2010/main" val="0"/>
                        </a:ext>
                      </a:extLst>
                    </a:blip>
                    <a:stretch>
                      <a:fillRect/>
                    </a:stretch>
                  </pic:blipFill>
                  <pic:spPr>
                    <a:xfrm>
                      <a:off x="0" y="0"/>
                      <a:ext cx="2794000" cy="2717800"/>
                    </a:xfrm>
                    <a:prstGeom prst="rect">
                      <a:avLst/>
                    </a:prstGeom>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 xml:space="preserve">Source: </w:t>
      </w:r>
      <w:proofErr w:type="spellStart"/>
      <w:r>
        <w:rPr>
          <w:bCs/>
          <w:color w:val="000000" w:themeColor="text1"/>
        </w:rPr>
        <w:t>Crispian</w:t>
      </w:r>
      <w:proofErr w:type="spellEnd"/>
      <w:r>
        <w:rPr>
          <w:bCs/>
          <w:color w:val="000000" w:themeColor="text1"/>
        </w:rPr>
        <w:t xml:space="preserve"> and Rosemary (2000)</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2.2.4 Corneal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w:t>
      </w:r>
      <w:proofErr w:type="spellStart"/>
      <w:r w:rsidRPr="00D7082F">
        <w:rPr>
          <w:rFonts w:eastAsia="Times New Roman"/>
          <w:color w:val="000000" w:themeColor="text1"/>
        </w:rPr>
        <w:t>Acanthamoeba</w:t>
      </w:r>
      <w:proofErr w:type="spellEnd"/>
      <w:r w:rsidRPr="00D7082F">
        <w:rPr>
          <w:rFonts w:eastAsia="Times New Roman"/>
          <w:color w:val="000000" w:themeColor="text1"/>
        </w:rPr>
        <w:t xml:space="preserve">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w:t>
      </w:r>
      <w:proofErr w:type="spellStart"/>
      <w:r w:rsidRPr="00D7082F">
        <w:rPr>
          <w:rFonts w:eastAsia="Times New Roman"/>
          <w:color w:val="000000" w:themeColor="text1"/>
        </w:rPr>
        <w:t>Acanthamoeba</w:t>
      </w:r>
      <w:proofErr w:type="spellEnd"/>
      <w:r w:rsidRPr="00D7082F">
        <w:rPr>
          <w:rFonts w:eastAsia="Times New Roman"/>
          <w:color w:val="000000" w:themeColor="text1"/>
        </w:rPr>
        <w:t xml:space="preserve"> keratitis primarily affects contact lens users who are exposed to contaminated water. Differentiating between these causes is critical, as the treatment approach varies greatly. Non-infectious causes, though rarer, are also significant. These include </w:t>
      </w:r>
      <w:proofErr w:type="spellStart"/>
      <w:r w:rsidRPr="00D7082F">
        <w:rPr>
          <w:rFonts w:eastAsia="Times New Roman"/>
          <w:color w:val="000000" w:themeColor="text1"/>
        </w:rPr>
        <w:t>neurotrophic</w:t>
      </w:r>
      <w:proofErr w:type="spellEnd"/>
      <w:r w:rsidRPr="00D7082F">
        <w:rPr>
          <w:rFonts w:eastAsia="Times New Roman"/>
          <w:color w:val="000000" w:themeColor="text1"/>
        </w:rPr>
        <w:t xml:space="preserve">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w:t>
      </w:r>
      <w:proofErr w:type="spellStart"/>
      <w:r w:rsidRPr="00D7082F">
        <w:rPr>
          <w:rFonts w:eastAsia="Times New Roman"/>
          <w:color w:val="000000" w:themeColor="text1"/>
        </w:rPr>
        <w:t>Acanthamoeba</w:t>
      </w:r>
      <w:proofErr w:type="spellEnd"/>
      <w:r w:rsidRPr="00D7082F">
        <w:rPr>
          <w:rFonts w:eastAsia="Times New Roman"/>
          <w:color w:val="000000" w:themeColor="text1"/>
        </w:rPr>
        <w:t xml:space="preserve">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w:t>
      </w:r>
      <w:proofErr w:type="spellStart"/>
      <w:r w:rsidRPr="00D7082F">
        <w:rPr>
          <w:rFonts w:eastAsia="Times New Roman"/>
          <w:color w:val="000000" w:themeColor="text1"/>
        </w:rPr>
        <w:t>Acanthamoeba</w:t>
      </w:r>
      <w:proofErr w:type="spellEnd"/>
      <w:r w:rsidRPr="00D7082F">
        <w:rPr>
          <w:rFonts w:eastAsia="Times New Roman"/>
          <w:color w:val="000000" w:themeColor="text1"/>
        </w:rPr>
        <w:t xml:space="preserve">, while non-infectious causes may </w:t>
      </w:r>
      <w:r w:rsidRPr="00D7082F">
        <w:rPr>
          <w:rFonts w:eastAsia="Times New Roman"/>
          <w:color w:val="000000" w:themeColor="text1"/>
        </w:rPr>
        <w:lastRenderedPageBreak/>
        <w:t xml:space="preserve">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w:t>
      </w:r>
      <w:proofErr w:type="spellStart"/>
      <w:r w:rsidRPr="00B811FF">
        <w:rPr>
          <w:rFonts w:eastAsia="Times New Roman"/>
          <w:i/>
          <w:color w:val="000000" w:themeColor="text1"/>
        </w:rPr>
        <w:t>Adepoju</w:t>
      </w:r>
      <w:proofErr w:type="spellEnd"/>
      <w:r w:rsidRPr="00B811FF">
        <w:rPr>
          <w:rFonts w:eastAsia="Times New Roman"/>
          <w:i/>
          <w:color w:val="000000" w:themeColor="text1"/>
        </w:rPr>
        <w:t xml:space="preserve">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over-the-counter drugs </w:t>
      </w:r>
      <w:r w:rsidRPr="00B811FF">
        <w:rPr>
          <w:rFonts w:eastAsia="Times New Roman"/>
          <w:i/>
          <w:color w:val="000000" w:themeColor="text1"/>
        </w:rPr>
        <w:t>(</w:t>
      </w:r>
      <w:proofErr w:type="spellStart"/>
      <w:r w:rsidRPr="00B811FF">
        <w:rPr>
          <w:rFonts w:eastAsia="Times New Roman"/>
          <w:i/>
          <w:color w:val="000000" w:themeColor="text1"/>
        </w:rPr>
        <w:t>Adepoju</w:t>
      </w:r>
      <w:proofErr w:type="spellEnd"/>
      <w:r w:rsidRPr="00B811FF">
        <w:rPr>
          <w:rFonts w:eastAsia="Times New Roman"/>
          <w:i/>
          <w:color w:val="000000" w:themeColor="text1"/>
        </w:rPr>
        <w:t xml:space="preserve">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FB724C" w:rsidRPr="00D7082F" w:rsidRDefault="00FB724C" w:rsidP="00FB724C">
      <w:pPr>
        <w:spacing w:line="360" w:lineRule="auto"/>
        <w:jc w:val="center"/>
        <w:rPr>
          <w:rFonts w:eastAsia="Times New Roman"/>
          <w:color w:val="000000" w:themeColor="text1"/>
        </w:rPr>
      </w:pPr>
      <w:r w:rsidRPr="00D7082F">
        <w:rPr>
          <w:rFonts w:eastAsia="Times New Roman"/>
          <w:noProof/>
          <w:color w:val="000000" w:themeColor="text1"/>
        </w:rPr>
        <w:lastRenderedPageBreak/>
        <w:drawing>
          <wp:inline distT="0" distB="0" distL="0" distR="0" wp14:anchorId="7A4F47EA" wp14:editId="4E86CA87">
            <wp:extent cx="3204057" cy="1945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9114" cy="1954987"/>
                    </a:xfrm>
                    <a:prstGeom prst="rect">
                      <a:avLst/>
                    </a:prstGeom>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Source: WHO (2015)</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t>2.2.5 Diabetic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w:t>
      </w:r>
      <w:r w:rsidRPr="00D7082F">
        <w:rPr>
          <w:color w:val="000000" w:themeColor="text1"/>
        </w:rPr>
        <w:lastRenderedPageBreak/>
        <w:t xml:space="preserve">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jc w:val="both"/>
        <w:rPr>
          <w:rFonts w:eastAsia="Times New Roman"/>
          <w:noProof/>
          <w:color w:val="000000" w:themeColor="text1"/>
        </w:rPr>
      </w:pPr>
    </w:p>
    <w:p w:rsidR="00FB724C" w:rsidRPr="00D7082F" w:rsidRDefault="00FB724C" w:rsidP="00FB724C">
      <w:pPr>
        <w:spacing w:line="360" w:lineRule="auto"/>
        <w:jc w:val="both"/>
        <w:rPr>
          <w:rFonts w:eastAsia="Times New Roman"/>
          <w:color w:val="000000" w:themeColor="text1"/>
        </w:rPr>
      </w:pPr>
      <w:r w:rsidRPr="00D7082F">
        <w:rPr>
          <w:rFonts w:eastAsia="Times New Roman"/>
          <w:noProof/>
          <w:color w:val="000000" w:themeColor="text1"/>
        </w:rPr>
        <w:drawing>
          <wp:inline distT="0" distB="0" distL="0" distR="0" wp14:anchorId="241473E3" wp14:editId="3FAE92F2">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10" cstate="print">
                      <a:extLs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Source: Raja (2023)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lastRenderedPageBreak/>
        <w:drawing>
          <wp:inline distT="0" distB="0" distL="0" distR="0" wp14:anchorId="274832B2" wp14:editId="17CD95E8">
            <wp:extent cx="2633472" cy="3352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1">
                      <a:extLst>
                        <a:ext uri="{28A0092B-C50C-407E-A947-70E740481C1C}">
                          <a14:useLocalDpi xmlns:a14="http://schemas.microsoft.com/office/drawing/2010/main"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a:ext>
                    </a:extLst>
                  </pic:spPr>
                </pic:pic>
              </a:graphicData>
            </a:graphic>
          </wp:inline>
        </w:drawing>
      </w:r>
    </w:p>
    <w:p w:rsidR="00FB724C" w:rsidRDefault="00FB724C" w:rsidP="00FB724C">
      <w:pPr>
        <w:spacing w:line="360" w:lineRule="auto"/>
        <w:jc w:val="center"/>
        <w:rPr>
          <w:rFonts w:eastAsia="Times New Roman"/>
          <w:color w:val="000000" w:themeColor="text1"/>
        </w:rPr>
      </w:pPr>
      <w:r>
        <w:rPr>
          <w:rFonts w:eastAsia="Times New Roman"/>
          <w:color w:val="000000" w:themeColor="text1"/>
        </w:rPr>
        <w:t>Source: RACGP (2022)</w:t>
      </w:r>
    </w:p>
    <w:p w:rsidR="00FB724C" w:rsidRPr="00D7082F" w:rsidRDefault="00FB724C" w:rsidP="00FB724C">
      <w:pPr>
        <w:spacing w:line="360" w:lineRule="auto"/>
        <w:jc w:val="both"/>
        <w:rPr>
          <w:b/>
          <w:color w:val="000000" w:themeColor="text1"/>
        </w:rPr>
      </w:pPr>
      <w:r w:rsidRPr="00D7082F">
        <w:rPr>
          <w:b/>
          <w:color w:val="000000" w:themeColor="text1"/>
        </w:rPr>
        <w:t>2.2.6 Stomach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The process of digestion and the role of the stomach in maintaining health have fascinated humans since ancient times (</w:t>
      </w:r>
      <w:proofErr w:type="spellStart"/>
      <w:r w:rsidRPr="00D7082F">
        <w:rPr>
          <w:rFonts w:eastAsia="Times New Roman"/>
          <w:color w:val="000000" w:themeColor="text1"/>
        </w:rPr>
        <w:t>Modlin</w:t>
      </w:r>
      <w:proofErr w:type="spellEnd"/>
      <w:r w:rsidRPr="00D7082F">
        <w:rPr>
          <w:rFonts w:eastAsia="Times New Roman"/>
          <w:color w:val="000000" w:themeColor="text1"/>
        </w:rPr>
        <w:t xml:space="preserve">,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w:t>
      </w:r>
      <w:proofErr w:type="spellStart"/>
      <w:r w:rsidRPr="00B811FF">
        <w:rPr>
          <w:rFonts w:eastAsia="Times New Roman"/>
          <w:i/>
          <w:color w:val="000000" w:themeColor="text1"/>
        </w:rPr>
        <w:t>Malfertheiner</w:t>
      </w:r>
      <w:proofErr w:type="spellEnd"/>
      <w:r w:rsidRPr="00B811FF">
        <w:rPr>
          <w:rFonts w:eastAsia="Times New Roman"/>
          <w:i/>
          <w:color w:val="000000" w:themeColor="text1"/>
        </w:rPr>
        <w:t xml:space="preserve">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w:t>
      </w:r>
      <w:proofErr w:type="spellStart"/>
      <w:r w:rsidRPr="00D7082F">
        <w:rPr>
          <w:rFonts w:eastAsia="Times New Roman"/>
          <w:color w:val="000000" w:themeColor="text1"/>
        </w:rPr>
        <w:t>Lanas</w:t>
      </w:r>
      <w:proofErr w:type="spellEnd"/>
      <w:r w:rsidRPr="00D7082F">
        <w:rPr>
          <w:rFonts w:eastAsia="Times New Roman"/>
          <w:color w:val="000000" w:themeColor="text1"/>
        </w:rPr>
        <w:t xml:space="preserve"> and Chan, 2017). Other </w:t>
      </w:r>
      <w:r w:rsidRPr="00D7082F">
        <w:rPr>
          <w:rFonts w:eastAsia="Times New Roman"/>
          <w:color w:val="000000" w:themeColor="text1"/>
        </w:rPr>
        <w:lastRenderedPageBreak/>
        <w:t xml:space="preserve">contributing factors include smoking, heavy alcohol use, stress, and poor dietary habits </w:t>
      </w:r>
      <w:r w:rsidRPr="00B811FF">
        <w:rPr>
          <w:rFonts w:eastAsia="Times New Roman"/>
          <w:i/>
          <w:color w:val="000000" w:themeColor="text1"/>
        </w:rPr>
        <w:t>(Sung et al., 2020).</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w:t>
      </w:r>
      <w:proofErr w:type="spellStart"/>
      <w:r w:rsidRPr="00B811FF">
        <w:rPr>
          <w:rFonts w:eastAsia="Times New Roman"/>
          <w:i/>
          <w:color w:val="000000" w:themeColor="text1"/>
        </w:rPr>
        <w:t>Malfertheiner</w:t>
      </w:r>
      <w:proofErr w:type="spellEnd"/>
      <w:r w:rsidRPr="00B811FF">
        <w:rPr>
          <w:rFonts w:eastAsia="Times New Roman"/>
          <w:i/>
          <w:color w:val="000000" w:themeColor="text1"/>
        </w:rPr>
        <w:t xml:space="preserve">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w:t>
      </w:r>
      <w:proofErr w:type="spellStart"/>
      <w:r w:rsidRPr="00B811FF">
        <w:rPr>
          <w:rFonts w:eastAsia="Times New Roman"/>
          <w:i/>
          <w:color w:val="000000" w:themeColor="text1"/>
        </w:rPr>
        <w:t>Lanas</w:t>
      </w:r>
      <w:proofErr w:type="spellEnd"/>
      <w:r w:rsidRPr="00B811FF">
        <w:rPr>
          <w:rFonts w:eastAsia="Times New Roman"/>
          <w:i/>
          <w:color w:val="000000" w:themeColor="text1"/>
        </w:rPr>
        <w:t xml:space="preserve">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w:t>
      </w:r>
      <w:proofErr w:type="spellStart"/>
      <w:r w:rsidRPr="00B811FF">
        <w:rPr>
          <w:rFonts w:eastAsia="Times New Roman"/>
          <w:i/>
          <w:color w:val="000000" w:themeColor="text1"/>
        </w:rPr>
        <w:t>Malfertheiner</w:t>
      </w:r>
      <w:proofErr w:type="spellEnd"/>
      <w:r w:rsidRPr="00B811FF">
        <w:rPr>
          <w:rFonts w:eastAsia="Times New Roman"/>
          <w:i/>
          <w:color w:val="000000" w:themeColor="text1"/>
        </w:rPr>
        <w:t xml:space="preserve"> et al., 2017).</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produces virulence factors such as </w:t>
      </w:r>
      <w:proofErr w:type="spellStart"/>
      <w:r w:rsidRPr="00D7082F">
        <w:rPr>
          <w:rFonts w:eastAsia="Times New Roman"/>
          <w:color w:val="000000" w:themeColor="text1"/>
        </w:rPr>
        <w:t>cytotoxin</w:t>
      </w:r>
      <w:proofErr w:type="spellEnd"/>
      <w:r w:rsidRPr="00D7082F">
        <w:rPr>
          <w:rFonts w:eastAsia="Times New Roman"/>
          <w:color w:val="000000" w:themeColor="text1"/>
        </w:rPr>
        <w:t>-associated gene A (</w:t>
      </w:r>
      <w:proofErr w:type="spellStart"/>
      <w:r w:rsidRPr="00D7082F">
        <w:rPr>
          <w:rFonts w:eastAsia="Times New Roman"/>
          <w:color w:val="000000" w:themeColor="text1"/>
        </w:rPr>
        <w:t>CagA</w:t>
      </w:r>
      <w:proofErr w:type="spellEnd"/>
      <w:r w:rsidRPr="00D7082F">
        <w:rPr>
          <w:rFonts w:eastAsia="Times New Roman"/>
          <w:color w:val="000000" w:themeColor="text1"/>
        </w:rPr>
        <w:t xml:space="preserve">) and </w:t>
      </w:r>
      <w:proofErr w:type="spellStart"/>
      <w:r w:rsidRPr="00D7082F">
        <w:rPr>
          <w:rFonts w:eastAsia="Times New Roman"/>
          <w:color w:val="000000" w:themeColor="text1"/>
        </w:rPr>
        <w:t>vacuolating</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cytotoxin</w:t>
      </w:r>
      <w:proofErr w:type="spellEnd"/>
      <w:r w:rsidRPr="00D7082F">
        <w:rPr>
          <w:rFonts w:eastAsia="Times New Roman"/>
          <w:color w:val="000000" w:themeColor="text1"/>
        </w:rPr>
        <w:t xml:space="preserve"> A (</w:t>
      </w:r>
      <w:proofErr w:type="spellStart"/>
      <w:r w:rsidRPr="00D7082F">
        <w:rPr>
          <w:rFonts w:eastAsia="Times New Roman"/>
          <w:color w:val="000000" w:themeColor="text1"/>
        </w:rPr>
        <w:t>VacA</w:t>
      </w:r>
      <w:proofErr w:type="spellEnd"/>
      <w:r w:rsidRPr="00D7082F">
        <w:rPr>
          <w:rFonts w:eastAsia="Times New Roman"/>
          <w:color w:val="000000" w:themeColor="text1"/>
        </w:rPr>
        <w:t xml:space="preserve">), which exacerbate epithelial damage and promote ulcer development </w:t>
      </w:r>
      <w:r w:rsidRPr="00B811FF">
        <w:rPr>
          <w:rFonts w:eastAsia="Times New Roman"/>
          <w:i/>
          <w:color w:val="000000" w:themeColor="text1"/>
        </w:rPr>
        <w:t>(Sugano et al., 2021).</w:t>
      </w:r>
    </w:p>
    <w:p w:rsidR="00FB724C" w:rsidRPr="00D7082F" w:rsidRDefault="00FB724C" w:rsidP="00FB724C">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14:anchorId="44FCA472" wp14:editId="2B3D87FA">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p>
    <w:p w:rsidR="00FB724C" w:rsidRPr="00D7082F" w:rsidRDefault="00FB724C" w:rsidP="00FB724C">
      <w:pPr>
        <w:spacing w:before="100" w:beforeAutospacing="1" w:after="100" w:afterAutospacing="1" w:line="360" w:lineRule="auto"/>
        <w:jc w:val="center"/>
        <w:rPr>
          <w:color w:val="000000" w:themeColor="text1"/>
        </w:rPr>
      </w:pPr>
      <w:r>
        <w:rPr>
          <w:color w:val="000000" w:themeColor="text1"/>
        </w:rPr>
        <w:t xml:space="preserve">Source: </w:t>
      </w:r>
      <w:proofErr w:type="spellStart"/>
      <w:r>
        <w:rPr>
          <w:color w:val="000000" w:themeColor="text1"/>
        </w:rPr>
        <w:t>Nagm</w:t>
      </w:r>
      <w:proofErr w:type="spellEnd"/>
      <w:r>
        <w:rPr>
          <w:color w:val="000000" w:themeColor="text1"/>
        </w:rPr>
        <w:t xml:space="preserve"> (2011) </w:t>
      </w:r>
    </w:p>
    <w:p w:rsidR="00FB724C" w:rsidRDefault="00FB724C" w:rsidP="00FB724C">
      <w:pPr>
        <w:spacing w:line="360" w:lineRule="auto"/>
        <w:jc w:val="both"/>
        <w:rPr>
          <w:b/>
          <w:bCs/>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 Causes of Ulcer</w:t>
      </w:r>
    </w:p>
    <w:p w:rsidR="00FB724C" w:rsidRPr="00D7082F" w:rsidRDefault="00FB724C" w:rsidP="00FB724C">
      <w:pPr>
        <w:spacing w:line="360" w:lineRule="auto"/>
        <w:jc w:val="both"/>
        <w:rPr>
          <w:b/>
          <w:bCs/>
          <w:color w:val="000000" w:themeColor="text1"/>
        </w:rPr>
      </w:pPr>
      <w:r w:rsidRPr="00D7082F">
        <w:rPr>
          <w:b/>
          <w:bCs/>
          <w:color w:val="000000" w:themeColor="text1"/>
        </w:rPr>
        <w:t>2.3.1 Psychological Causes</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w:t>
      </w:r>
      <w:proofErr w:type="spellStart"/>
      <w:r w:rsidRPr="00D7082F">
        <w:rPr>
          <w:rFonts w:eastAsia="Times New Roman"/>
          <w:color w:val="000000" w:themeColor="text1"/>
        </w:rPr>
        <w:t>Mirsky</w:t>
      </w:r>
      <w:proofErr w:type="spellEnd"/>
      <w:r w:rsidRPr="00D7082F">
        <w:rPr>
          <w:rFonts w:eastAsia="Times New Roman"/>
          <w:color w:val="000000" w:themeColor="text1"/>
        </w:rPr>
        <w:t xml:space="preserve"> and Weiner </w:t>
      </w:r>
      <w:r w:rsidRPr="00B811FF">
        <w:rPr>
          <w:rFonts w:eastAsia="Times New Roman"/>
          <w:i/>
          <w:color w:val="000000" w:themeColor="text1"/>
        </w:rPr>
        <w:t>(</w:t>
      </w:r>
      <w:proofErr w:type="spellStart"/>
      <w:r w:rsidRPr="00B811FF">
        <w:rPr>
          <w:rFonts w:eastAsia="Times New Roman"/>
          <w:i/>
          <w:color w:val="000000" w:themeColor="text1"/>
        </w:rPr>
        <w:t>Niasiry</w:t>
      </w:r>
      <w:proofErr w:type="spellEnd"/>
      <w:r w:rsidRPr="00B811FF">
        <w:rPr>
          <w:rFonts w:eastAsia="Times New Roman"/>
          <w:i/>
          <w:color w:val="000000" w:themeColor="text1"/>
        </w:rPr>
        <w:t xml:space="preserve"> and Piper, 1985).</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w:t>
      </w:r>
      <w:proofErr w:type="spellStart"/>
      <w:r w:rsidRPr="00B811FF">
        <w:rPr>
          <w:rFonts w:eastAsia="Times New Roman"/>
          <w:i/>
          <w:color w:val="000000" w:themeColor="text1"/>
        </w:rPr>
        <w:t>Magni</w:t>
      </w:r>
      <w:proofErr w:type="spellEnd"/>
      <w:r w:rsidRPr="00B811FF">
        <w:rPr>
          <w:rFonts w:eastAsia="Times New Roman"/>
          <w:i/>
          <w:color w:val="000000" w:themeColor="text1"/>
        </w:rPr>
        <w:t xml:space="preserve"> et al., 1987).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To explore the psychogenic factors in the etiology of peptic ulcer disease, advanced behavioral research methodologies have been employed, leading to three distinct research areas: (1) personality and psychological factors; (2) stressful life events; and (3) </w:t>
      </w:r>
      <w:proofErr w:type="spellStart"/>
      <w:r w:rsidRPr="00D7082F">
        <w:rPr>
          <w:rFonts w:eastAsia="Times New Roman"/>
          <w:color w:val="000000" w:themeColor="text1"/>
        </w:rPr>
        <w:t>biopsychological</w:t>
      </w:r>
      <w:proofErr w:type="spellEnd"/>
      <w:r w:rsidRPr="00D7082F">
        <w:rPr>
          <w:rFonts w:eastAsia="Times New Roman"/>
          <w:color w:val="000000" w:themeColor="text1"/>
        </w:rPr>
        <w:t xml:space="preserve"> interactions.</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lastRenderedPageBreak/>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w:t>
      </w:r>
      <w:proofErr w:type="spellStart"/>
      <w:r w:rsidRPr="00D7082F">
        <w:rPr>
          <w:rFonts w:eastAsia="Times New Roman"/>
          <w:color w:val="000000" w:themeColor="text1"/>
        </w:rPr>
        <w:t>Rahe's</w:t>
      </w:r>
      <w:proofErr w:type="spellEnd"/>
      <w:r w:rsidRPr="00D7082F">
        <w:rPr>
          <w:rFonts w:eastAsia="Times New Roman"/>
          <w:color w:val="000000" w:themeColor="text1"/>
        </w:rPr>
        <w:t xml:space="preserve"> Schedule of Recent Events, are associated with greater </w:t>
      </w:r>
      <w:r w:rsidRPr="00D7082F">
        <w:rPr>
          <w:rFonts w:eastAsia="Times New Roman"/>
          <w:color w:val="000000" w:themeColor="text1"/>
        </w:rPr>
        <w:lastRenderedPageBreak/>
        <w:t>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FB724C" w:rsidRPr="00054A97" w:rsidRDefault="00FB724C" w:rsidP="00FB724C">
      <w:pPr>
        <w:spacing w:before="100" w:beforeAutospacing="1" w:after="100" w:afterAutospacing="1" w:line="360" w:lineRule="auto"/>
        <w:jc w:val="both"/>
        <w:rPr>
          <w:rFonts w:eastAsia="Times New Roman"/>
          <w:i/>
          <w:color w:val="000000" w:themeColor="text1"/>
        </w:rPr>
      </w:pPr>
      <w:proofErr w:type="spellStart"/>
      <w:r w:rsidRPr="00D7082F">
        <w:rPr>
          <w:rFonts w:eastAsia="Times New Roman"/>
          <w:b/>
          <w:bCs/>
          <w:color w:val="000000" w:themeColor="text1"/>
        </w:rPr>
        <w:t>Biopsychological</w:t>
      </w:r>
      <w:proofErr w:type="spellEnd"/>
      <w:r w:rsidRPr="00D7082F">
        <w:rPr>
          <w:rFonts w:eastAsia="Times New Roman"/>
          <w:b/>
          <w:bCs/>
          <w:color w:val="000000" w:themeColor="text1"/>
        </w:rPr>
        <w:t xml:space="preserve"> Interaction:</w:t>
      </w:r>
      <w:r w:rsidRPr="00D7082F">
        <w:rPr>
          <w:rFonts w:eastAsia="Times New Roman"/>
          <w:color w:val="000000" w:themeColor="text1"/>
        </w:rPr>
        <w:t xml:space="preserve"> Studies on </w:t>
      </w:r>
      <w:proofErr w:type="spellStart"/>
      <w:r w:rsidRPr="00D7082F">
        <w:rPr>
          <w:rFonts w:eastAsia="Times New Roman"/>
          <w:color w:val="000000" w:themeColor="text1"/>
        </w:rPr>
        <w:t>biopsychological</w:t>
      </w:r>
      <w:proofErr w:type="spellEnd"/>
      <w:r w:rsidRPr="00D7082F">
        <w:rPr>
          <w:rFonts w:eastAsia="Times New Roman"/>
          <w:color w:val="000000" w:themeColor="text1"/>
        </w:rPr>
        <w:t xml:space="preserve">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FB724C" w:rsidRPr="00D7082F" w:rsidRDefault="00FB724C" w:rsidP="00FB724C">
      <w:pPr>
        <w:spacing w:line="360" w:lineRule="auto"/>
        <w:jc w:val="both"/>
        <w:rPr>
          <w:b/>
          <w:bCs/>
          <w:color w:val="000000" w:themeColor="text1"/>
        </w:rPr>
      </w:pPr>
      <w:r w:rsidRPr="00D7082F">
        <w:rPr>
          <w:b/>
          <w:bCs/>
          <w:color w:val="000000" w:themeColor="text1"/>
        </w:rPr>
        <w:t>2.3.2 Medication</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w:t>
      </w:r>
      <w:proofErr w:type="spellStart"/>
      <w:r w:rsidRPr="00D7082F">
        <w:rPr>
          <w:color w:val="000000" w:themeColor="text1"/>
        </w:rPr>
        <w:t>mucositis</w:t>
      </w:r>
      <w:proofErr w:type="spellEnd"/>
      <w:r w:rsidRPr="00D7082F">
        <w:rPr>
          <w:color w:val="000000" w:themeColor="text1"/>
        </w:rPr>
        <w:t xml:space="preserve">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w:t>
      </w:r>
      <w:proofErr w:type="spellStart"/>
      <w:r w:rsidRPr="00D7082F">
        <w:rPr>
          <w:color w:val="000000" w:themeColor="text1"/>
        </w:rPr>
        <w:t>bleomycin</w:t>
      </w:r>
      <w:proofErr w:type="spellEnd"/>
      <w:r w:rsidRPr="00D7082F">
        <w:rPr>
          <w:color w:val="000000" w:themeColor="text1"/>
        </w:rPr>
        <w:t xml:space="preserve">, and </w:t>
      </w:r>
      <w:proofErr w:type="spellStart"/>
      <w:r w:rsidRPr="00D7082F">
        <w:rPr>
          <w:color w:val="000000" w:themeColor="text1"/>
        </w:rPr>
        <w:t>cisplatin</w:t>
      </w:r>
      <w:proofErr w:type="spellEnd"/>
      <w:r w:rsidRPr="00D7082F">
        <w:rPr>
          <w:color w:val="000000" w:themeColor="text1"/>
        </w:rPr>
        <w:t xml:space="preserve">.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w:t>
      </w:r>
      <w:proofErr w:type="spellStart"/>
      <w:r w:rsidRPr="00054A97">
        <w:rPr>
          <w:i/>
          <w:color w:val="000000" w:themeColor="text1"/>
        </w:rPr>
        <w:t>Ozkaya</w:t>
      </w:r>
      <w:proofErr w:type="spellEnd"/>
      <w:r w:rsidRPr="00054A97">
        <w:rPr>
          <w:i/>
          <w:color w:val="000000" w:themeColor="text1"/>
        </w:rPr>
        <w:t>, 2013</w:t>
      </w:r>
      <w:r w:rsidRPr="00D7082F">
        <w:rPr>
          <w:color w:val="000000" w:themeColor="text1"/>
        </w:rPr>
        <w:t xml:space="preserve">). Single or multiple large ulcerations are seen on every site of the oral mucosa. Generally, the ulceration is larger than </w:t>
      </w:r>
      <w:proofErr w:type="spellStart"/>
      <w:r w:rsidRPr="00D7082F">
        <w:rPr>
          <w:color w:val="000000" w:themeColor="text1"/>
        </w:rPr>
        <w:t>aphthous</w:t>
      </w:r>
      <w:proofErr w:type="spellEnd"/>
      <w:r w:rsidRPr="00D7082F">
        <w:rPr>
          <w:color w:val="000000" w:themeColor="text1"/>
        </w:rPr>
        <w:t xml:space="preserve"> ulceration, with a flat surface showing slightly </w:t>
      </w:r>
      <w:r w:rsidRPr="00D7082F">
        <w:rPr>
          <w:color w:val="000000" w:themeColor="text1"/>
        </w:rPr>
        <w:lastRenderedPageBreak/>
        <w:t xml:space="preserve">white appear </w:t>
      </w:r>
      <w:proofErr w:type="spellStart"/>
      <w:r w:rsidRPr="00D7082F">
        <w:rPr>
          <w:color w:val="000000" w:themeColor="text1"/>
        </w:rPr>
        <w:t>ance</w:t>
      </w:r>
      <w:proofErr w:type="spellEnd"/>
      <w:r w:rsidRPr="00D7082F">
        <w:rPr>
          <w:color w:val="000000" w:themeColor="text1"/>
        </w:rPr>
        <w:t xml:space="preserve">. The margin of the ulcer is clear and often slightly raised; however, the ulcers are unaccompanied by any induration. They often resemble traumatic and </w:t>
      </w:r>
      <w:proofErr w:type="spellStart"/>
      <w:r w:rsidRPr="00D7082F">
        <w:rPr>
          <w:color w:val="000000" w:themeColor="text1"/>
        </w:rPr>
        <w:t>decubital</w:t>
      </w:r>
      <w:proofErr w:type="spellEnd"/>
      <w:r w:rsidRPr="00D7082F">
        <w:rPr>
          <w:color w:val="000000" w:themeColor="text1"/>
        </w:rPr>
        <w:t xml:space="preserve"> ulcers, but no irritant factors are apparent in their vicinity. A multiple </w:t>
      </w:r>
      <w:proofErr w:type="spellStart"/>
      <w:r w:rsidRPr="00D7082F">
        <w:rPr>
          <w:color w:val="000000" w:themeColor="text1"/>
        </w:rPr>
        <w:t>aphthous</w:t>
      </w:r>
      <w:proofErr w:type="spellEnd"/>
      <w:r w:rsidRPr="00D7082F">
        <w:rPr>
          <w:color w:val="000000" w:themeColor="text1"/>
        </w:rPr>
        <w:t xml:space="preserve"> ulceration type has also been reported. Topical steroids are ineffective for these forms of ulceration. </w:t>
      </w:r>
      <w:proofErr w:type="spellStart"/>
      <w:r w:rsidRPr="00D7082F">
        <w:rPr>
          <w:color w:val="000000" w:themeColor="text1"/>
        </w:rPr>
        <w:t>Histopathological</w:t>
      </w:r>
      <w:proofErr w:type="spellEnd"/>
      <w:r w:rsidRPr="00D7082F">
        <w:rPr>
          <w:color w:val="000000" w:themeColor="text1"/>
        </w:rPr>
        <w:t xml:space="preserve">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Many kinds of drugs cause oral ulcerations, including some b blockers, </w:t>
      </w:r>
      <w:proofErr w:type="spellStart"/>
      <w:r w:rsidRPr="00D7082F">
        <w:rPr>
          <w:color w:val="000000" w:themeColor="text1"/>
        </w:rPr>
        <w:t>immunosuppressants</w:t>
      </w:r>
      <w:proofErr w:type="spellEnd"/>
      <w:r w:rsidRPr="00D7082F">
        <w:rPr>
          <w:color w:val="000000" w:themeColor="text1"/>
        </w:rPr>
        <w:t xml:space="preserve">, anticholinergic </w:t>
      </w:r>
      <w:proofErr w:type="spellStart"/>
      <w:r w:rsidRPr="00D7082F">
        <w:rPr>
          <w:color w:val="000000" w:themeColor="text1"/>
        </w:rPr>
        <w:t>bronchodila</w:t>
      </w:r>
      <w:proofErr w:type="spellEnd"/>
      <w:r w:rsidRPr="00D7082F">
        <w:rPr>
          <w:color w:val="000000" w:themeColor="text1"/>
        </w:rPr>
        <w:t xml:space="preserve"> tors, platelet aggregation inhibitors, vasodilators, protease inhibitors, antibiotics, non-steroidal anti-inflammatory drugs (NSAIDs), </w:t>
      </w:r>
      <w:proofErr w:type="spellStart"/>
      <w:r w:rsidRPr="00D7082F">
        <w:rPr>
          <w:color w:val="000000" w:themeColor="text1"/>
        </w:rPr>
        <w:t>antiretrovirals</w:t>
      </w:r>
      <w:proofErr w:type="spellEnd"/>
      <w:r w:rsidRPr="00D7082F">
        <w:rPr>
          <w:color w:val="000000" w:themeColor="text1"/>
        </w:rPr>
        <w:t xml:space="preserve">, and </w:t>
      </w:r>
      <w:proofErr w:type="spellStart"/>
      <w:r w:rsidRPr="00D7082F">
        <w:rPr>
          <w:color w:val="000000" w:themeColor="text1"/>
        </w:rPr>
        <w:t>antihypertensives</w:t>
      </w:r>
      <w:proofErr w:type="spellEnd"/>
      <w:r w:rsidRPr="00D7082F">
        <w:rPr>
          <w:color w:val="000000" w:themeColor="text1"/>
        </w:rPr>
        <w:t xml:space="preserve"> (Table 2) </w:t>
      </w:r>
      <w:r w:rsidRPr="00054A97">
        <w:rPr>
          <w:i/>
          <w:color w:val="000000" w:themeColor="text1"/>
        </w:rPr>
        <w:t xml:space="preserve">(Scully and </w:t>
      </w:r>
      <w:proofErr w:type="spellStart"/>
      <w:r w:rsidRPr="00054A97">
        <w:rPr>
          <w:i/>
          <w:color w:val="000000" w:themeColor="text1"/>
        </w:rPr>
        <w:t>Bagan</w:t>
      </w:r>
      <w:proofErr w:type="spellEnd"/>
      <w:r w:rsidRPr="00054A97">
        <w:rPr>
          <w:i/>
          <w:color w:val="000000" w:themeColor="text1"/>
        </w:rPr>
        <w:t>,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w:t>
      </w:r>
      <w:proofErr w:type="spellStart"/>
      <w:r w:rsidRPr="00D7082F">
        <w:rPr>
          <w:color w:val="000000" w:themeColor="text1"/>
        </w:rPr>
        <w:t>osteo</w:t>
      </w:r>
      <w:proofErr w:type="spellEnd"/>
      <w:r w:rsidRPr="00D7082F">
        <w:rPr>
          <w:color w:val="000000" w:themeColor="text1"/>
        </w:rPr>
        <w:t xml:space="preserve"> </w:t>
      </w:r>
      <w:proofErr w:type="spellStart"/>
      <w:r w:rsidRPr="00D7082F">
        <w:rPr>
          <w:color w:val="000000" w:themeColor="text1"/>
        </w:rPr>
        <w:t>porosis</w:t>
      </w:r>
      <w:proofErr w:type="spellEnd"/>
      <w:r w:rsidRPr="00D7082F">
        <w:rPr>
          <w:color w:val="000000" w:themeColor="text1"/>
        </w:rPr>
        <w:t>.</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Alendronate (bisphosphonate). Alendronate is a drug belonging to the </w:t>
      </w:r>
      <w:proofErr w:type="spellStart"/>
      <w:r w:rsidRPr="00D7082F">
        <w:rPr>
          <w:color w:val="000000" w:themeColor="text1"/>
        </w:rPr>
        <w:t>diphosphonate</w:t>
      </w:r>
      <w:proofErr w:type="spellEnd"/>
      <w:r w:rsidRPr="00D7082F">
        <w:rPr>
          <w:color w:val="000000" w:themeColor="text1"/>
        </w:rPr>
        <w:t xml:space="preserv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proofErr w:type="spellStart"/>
      <w:r w:rsidRPr="00D7082F">
        <w:rPr>
          <w:color w:val="000000" w:themeColor="text1"/>
          <w:shd w:val="clear" w:color="auto" w:fill="FFFFFF"/>
        </w:rPr>
        <w:t>Jinbu</w:t>
      </w:r>
      <w:proofErr w:type="spellEnd"/>
      <w:r w:rsidRPr="00D7082F">
        <w:rPr>
          <w:color w:val="000000" w:themeColor="text1"/>
          <w:shd w:val="clear" w:color="auto" w:fill="FFFFFF"/>
        </w:rPr>
        <w:t xml:space="preserve"> and </w:t>
      </w:r>
      <w:proofErr w:type="spellStart"/>
      <w:r w:rsidRPr="00D7082F">
        <w:rPr>
          <w:color w:val="000000" w:themeColor="text1"/>
          <w:shd w:val="clear" w:color="auto" w:fill="FFFFFF"/>
        </w:rPr>
        <w:t>Demitsu</w:t>
      </w:r>
      <w:proofErr w:type="spellEnd"/>
      <w:r w:rsidRPr="00D7082F">
        <w:rPr>
          <w:color w:val="000000" w:themeColor="text1"/>
          <w:shd w:val="clear" w:color="auto" w:fill="FFFFFF"/>
        </w:rPr>
        <w:t>, (2014).</w:t>
      </w:r>
    </w:p>
    <w:p w:rsidR="00FB724C" w:rsidRPr="00D7082F" w:rsidRDefault="00FB724C" w:rsidP="00FB724C">
      <w:pPr>
        <w:spacing w:line="360" w:lineRule="auto"/>
        <w:jc w:val="center"/>
        <w:rPr>
          <w:b/>
          <w:bCs/>
          <w:color w:val="000000" w:themeColor="text1"/>
        </w:rPr>
      </w:pPr>
      <w:r w:rsidRPr="00D7082F">
        <w:rPr>
          <w:b/>
          <w:bCs/>
          <w:noProof/>
          <w:color w:val="000000" w:themeColor="text1"/>
        </w:rPr>
        <w:lastRenderedPageBreak/>
        <w:drawing>
          <wp:inline distT="0" distB="0" distL="0" distR="0" wp14:anchorId="72963E23" wp14:editId="08DAA706">
            <wp:extent cx="3871295" cy="2865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1295" cy="2865368"/>
                    </a:xfrm>
                    <a:prstGeom prst="rect">
                      <a:avLst/>
                    </a:prstGeom>
                  </pic:spPr>
                </pic:pic>
              </a:graphicData>
            </a:graphic>
          </wp:inline>
        </w:drawing>
      </w:r>
    </w:p>
    <w:p w:rsidR="00FB724C" w:rsidRDefault="00FB724C" w:rsidP="00FB724C">
      <w:pPr>
        <w:spacing w:line="360" w:lineRule="auto"/>
        <w:jc w:val="center"/>
        <w:rPr>
          <w:color w:val="000000" w:themeColor="text1"/>
        </w:rPr>
      </w:pPr>
      <w:r>
        <w:rPr>
          <w:color w:val="000000" w:themeColor="text1"/>
          <w:shd w:val="clear" w:color="auto" w:fill="FFFFFF"/>
        </w:rPr>
        <w:t xml:space="preserve">Source: </w:t>
      </w:r>
      <w:proofErr w:type="spellStart"/>
      <w:r>
        <w:rPr>
          <w:color w:val="000000" w:themeColor="text1"/>
          <w:shd w:val="clear" w:color="auto" w:fill="FFFFFF"/>
        </w:rPr>
        <w:t>Jinbu</w:t>
      </w:r>
      <w:proofErr w:type="spellEnd"/>
      <w:r>
        <w:rPr>
          <w:color w:val="000000" w:themeColor="text1"/>
          <w:shd w:val="clear" w:color="auto" w:fill="FFFFFF"/>
        </w:rPr>
        <w:t xml:space="preserve"> and </w:t>
      </w:r>
      <w:proofErr w:type="spellStart"/>
      <w:r>
        <w:rPr>
          <w:color w:val="000000" w:themeColor="text1"/>
          <w:shd w:val="clear" w:color="auto" w:fill="FFFFFF"/>
        </w:rPr>
        <w:t>Demitsu</w:t>
      </w:r>
      <w:proofErr w:type="spellEnd"/>
      <w:r>
        <w:rPr>
          <w:color w:val="000000" w:themeColor="text1"/>
          <w:shd w:val="clear" w:color="auto" w:fill="FFFFFF"/>
        </w:rPr>
        <w:t xml:space="preserve"> (2014)</w:t>
      </w:r>
    </w:p>
    <w:p w:rsidR="00FB724C" w:rsidRDefault="00FB724C" w:rsidP="00FB724C">
      <w:pPr>
        <w:spacing w:line="360" w:lineRule="auto"/>
        <w:ind w:firstLine="720"/>
        <w:jc w:val="both"/>
        <w:rPr>
          <w:i/>
          <w:color w:val="000000" w:themeColor="text1"/>
        </w:rPr>
      </w:pPr>
      <w:r w:rsidRPr="00D7082F">
        <w:rPr>
          <w:color w:val="000000" w:themeColor="text1"/>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D7082F">
        <w:rPr>
          <w:color w:val="000000" w:themeColor="text1"/>
          <w:shd w:val="clear" w:color="auto" w:fill="FFFFFF"/>
        </w:rPr>
        <w:t xml:space="preserve"> </w:t>
      </w:r>
      <w:r w:rsidRPr="00D7082F">
        <w:rPr>
          <w:color w:val="000000" w:themeColor="text1"/>
        </w:rPr>
        <w:t xml:space="preserve">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w:t>
      </w:r>
      <w:proofErr w:type="spellStart"/>
      <w:r w:rsidRPr="00D7082F">
        <w:rPr>
          <w:color w:val="000000" w:themeColor="text1"/>
        </w:rPr>
        <w:t>diclofenac</w:t>
      </w:r>
      <w:proofErr w:type="spellEnd"/>
      <w:r w:rsidRPr="00D7082F">
        <w:rPr>
          <w:color w:val="000000" w:themeColor="text1"/>
        </w:rPr>
        <w:t xml:space="preserve">, </w:t>
      </w:r>
      <w:proofErr w:type="spellStart"/>
      <w:r w:rsidRPr="00D7082F">
        <w:rPr>
          <w:color w:val="000000" w:themeColor="text1"/>
        </w:rPr>
        <w:t>tolmetin</w:t>
      </w:r>
      <w:proofErr w:type="spellEnd"/>
      <w:r w:rsidRPr="00D7082F">
        <w:rPr>
          <w:color w:val="000000" w:themeColor="text1"/>
        </w:rPr>
        <w:t xml:space="preserve">, </w:t>
      </w:r>
      <w:proofErr w:type="spellStart"/>
      <w:r w:rsidRPr="00D7082F">
        <w:rPr>
          <w:color w:val="000000" w:themeColor="text1"/>
        </w:rPr>
        <w:t>piroxicam</w:t>
      </w:r>
      <w:proofErr w:type="spellEnd"/>
      <w:r w:rsidRPr="00D7082F">
        <w:rPr>
          <w:color w:val="000000" w:themeColor="text1"/>
        </w:rPr>
        <w:t xml:space="preserve">, </w:t>
      </w:r>
      <w:proofErr w:type="spellStart"/>
      <w:r w:rsidRPr="00D7082F">
        <w:rPr>
          <w:color w:val="000000" w:themeColor="text1"/>
        </w:rPr>
        <w:t>fenoprofen</w:t>
      </w:r>
      <w:proofErr w:type="spellEnd"/>
      <w:r w:rsidRPr="00D7082F">
        <w:rPr>
          <w:color w:val="000000" w:themeColor="text1"/>
        </w:rPr>
        <w:t xml:space="preserve">, indomethacin, </w:t>
      </w:r>
      <w:proofErr w:type="spellStart"/>
      <w:r w:rsidRPr="00D7082F">
        <w:rPr>
          <w:color w:val="000000" w:themeColor="text1"/>
        </w:rPr>
        <w:t>oxaprozin</w:t>
      </w:r>
      <w:proofErr w:type="spellEnd"/>
      <w:r w:rsidRPr="00D7082F">
        <w:rPr>
          <w:color w:val="000000" w:themeColor="text1"/>
        </w:rPr>
        <w:t xml:space="preserve">, </w:t>
      </w:r>
      <w:proofErr w:type="spellStart"/>
      <w:r w:rsidRPr="00D7082F">
        <w:rPr>
          <w:color w:val="000000" w:themeColor="text1"/>
        </w:rPr>
        <w:t>ketoprofen</w:t>
      </w:r>
      <w:proofErr w:type="spellEnd"/>
      <w:r w:rsidRPr="00D7082F">
        <w:rPr>
          <w:color w:val="000000" w:themeColor="text1"/>
        </w:rPr>
        <w:t xml:space="preserve">, </w:t>
      </w:r>
      <w:proofErr w:type="spellStart"/>
      <w:r w:rsidRPr="00D7082F">
        <w:rPr>
          <w:color w:val="000000" w:themeColor="text1"/>
        </w:rPr>
        <w:t>sulindac</w:t>
      </w:r>
      <w:proofErr w:type="spellEnd"/>
      <w:r w:rsidRPr="00D7082F">
        <w:rPr>
          <w:color w:val="000000" w:themeColor="text1"/>
        </w:rPr>
        <w:t xml:space="preserve">, </w:t>
      </w:r>
      <w:proofErr w:type="spellStart"/>
      <w:r w:rsidRPr="00D7082F">
        <w:rPr>
          <w:color w:val="000000" w:themeColor="text1"/>
        </w:rPr>
        <w:t>nabumetone</w:t>
      </w:r>
      <w:proofErr w:type="spellEnd"/>
      <w:r w:rsidRPr="00D7082F">
        <w:rPr>
          <w:color w:val="000000" w:themeColor="text1"/>
        </w:rPr>
        <w:t xml:space="preserve">, </w:t>
      </w:r>
      <w:proofErr w:type="spellStart"/>
      <w:r w:rsidRPr="00D7082F">
        <w:rPr>
          <w:color w:val="000000" w:themeColor="text1"/>
        </w:rPr>
        <w:t>etodolac</w:t>
      </w:r>
      <w:proofErr w:type="spellEnd"/>
      <w:r w:rsidRPr="00D7082F">
        <w:rPr>
          <w:color w:val="000000" w:themeColor="text1"/>
        </w:rPr>
        <w:t xml:space="preserve">, and </w:t>
      </w:r>
      <w:proofErr w:type="spellStart"/>
      <w:r w:rsidRPr="00D7082F">
        <w:rPr>
          <w:color w:val="000000" w:themeColor="text1"/>
        </w:rPr>
        <w:t>salsalate</w:t>
      </w:r>
      <w:proofErr w:type="spellEnd"/>
      <w:r w:rsidRPr="00D7082F">
        <w:rPr>
          <w:color w:val="000000" w:themeColor="text1"/>
        </w:rPr>
        <w:t xml:space="preserv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w:t>
      </w:r>
      <w:proofErr w:type="spellStart"/>
      <w:r w:rsidRPr="00B811FF">
        <w:rPr>
          <w:i/>
          <w:color w:val="000000" w:themeColor="text1"/>
        </w:rPr>
        <w:t>Debjit</w:t>
      </w:r>
      <w:proofErr w:type="spellEnd"/>
      <w:r w:rsidRPr="00B811FF">
        <w:rPr>
          <w:i/>
          <w:color w:val="000000" w:themeColor="text1"/>
        </w:rPr>
        <w:t xml:space="preserve"> </w:t>
      </w:r>
      <w:r w:rsidRPr="00B811FF">
        <w:rPr>
          <w:i/>
          <w:iCs/>
          <w:color w:val="000000" w:themeColor="text1"/>
        </w:rPr>
        <w:t>et al</w:t>
      </w:r>
      <w:r w:rsidRPr="00B811FF">
        <w:rPr>
          <w:i/>
          <w:color w:val="000000" w:themeColor="text1"/>
        </w:rPr>
        <w:t>., 2010).</w:t>
      </w:r>
    </w:p>
    <w:p w:rsidR="00FB724C" w:rsidRDefault="00FB724C" w:rsidP="00FB724C">
      <w:pPr>
        <w:spacing w:line="360" w:lineRule="auto"/>
        <w:ind w:firstLine="720"/>
        <w:jc w:val="both"/>
        <w:rPr>
          <w:i/>
          <w:color w:val="000000" w:themeColor="text1"/>
        </w:rPr>
      </w:pPr>
    </w:p>
    <w:p w:rsidR="00FB724C" w:rsidRPr="00D7082F" w:rsidRDefault="00FB724C" w:rsidP="00FB724C">
      <w:pPr>
        <w:spacing w:line="360" w:lineRule="auto"/>
        <w:ind w:firstLine="720"/>
        <w:jc w:val="both"/>
        <w:rPr>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2.3.3 Dietary Factors</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w:t>
      </w:r>
      <w:proofErr w:type="spellStart"/>
      <w:r w:rsidRPr="00D7082F">
        <w:rPr>
          <w:color w:val="000000" w:themeColor="text1"/>
          <w:sz w:val="28"/>
          <w:szCs w:val="28"/>
        </w:rPr>
        <w:t>nonsteroidal</w:t>
      </w:r>
      <w:proofErr w:type="spellEnd"/>
      <w:r w:rsidRPr="00D7082F">
        <w:rPr>
          <w:color w:val="000000" w:themeColor="text1"/>
          <w:sz w:val="28"/>
          <w:szCs w:val="28"/>
        </w:rPr>
        <w:t xml:space="preserve"> anti-inflammatory drug (NSAID) use, and lifestyle factors such as diet (</w:t>
      </w:r>
      <w:proofErr w:type="spellStart"/>
      <w:r w:rsidRPr="00D7082F">
        <w:rPr>
          <w:color w:val="000000" w:themeColor="text1"/>
          <w:sz w:val="28"/>
          <w:szCs w:val="28"/>
        </w:rPr>
        <w:t>Lanas</w:t>
      </w:r>
      <w:proofErr w:type="spellEnd"/>
      <w:r w:rsidRPr="00D7082F">
        <w:rPr>
          <w:color w:val="000000" w:themeColor="text1"/>
          <w:sz w:val="28"/>
          <w:szCs w:val="28"/>
        </w:rPr>
        <w:t xml:space="preserve">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2019). However, other research indicates that capsaicin may have protective effects by stimulating mucus secretion and promoting gastric mucosal blood flow (</w:t>
      </w:r>
      <w:proofErr w:type="spellStart"/>
      <w:r w:rsidRPr="00D7082F">
        <w:rPr>
          <w:color w:val="000000" w:themeColor="text1"/>
          <w:sz w:val="28"/>
          <w:szCs w:val="28"/>
        </w:rPr>
        <w:t>Satyanarayana</w:t>
      </w:r>
      <w:proofErr w:type="spellEnd"/>
      <w:r w:rsidRPr="00D7082F">
        <w:rPr>
          <w:color w:val="000000" w:themeColor="text1"/>
          <w:sz w:val="28"/>
          <w:szCs w:val="28"/>
        </w:rPr>
        <w:t xml:space="preserve">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w:t>
      </w:r>
      <w:proofErr w:type="spellStart"/>
      <w:r w:rsidRPr="008A6B85">
        <w:rPr>
          <w:i/>
          <w:color w:val="000000" w:themeColor="text1"/>
          <w:sz w:val="28"/>
          <w:szCs w:val="28"/>
        </w:rPr>
        <w:t>Gaddy</w:t>
      </w:r>
      <w:proofErr w:type="spellEnd"/>
      <w:r w:rsidRPr="008A6B85">
        <w:rPr>
          <w:i/>
          <w:color w:val="000000" w:themeColor="text1"/>
          <w:sz w:val="28"/>
          <w:szCs w:val="28"/>
        </w:rPr>
        <w:t xml:space="preserve">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w:t>
      </w:r>
      <w:proofErr w:type="spellStart"/>
      <w:r w:rsidRPr="008A6B85">
        <w:rPr>
          <w:i/>
          <w:color w:val="000000" w:themeColor="text1"/>
          <w:sz w:val="28"/>
          <w:szCs w:val="28"/>
        </w:rPr>
        <w:t>Matsuhashi</w:t>
      </w:r>
      <w:proofErr w:type="spellEnd"/>
      <w:r w:rsidRPr="008A6B85">
        <w:rPr>
          <w:i/>
          <w:color w:val="000000" w:themeColor="text1"/>
          <w:sz w:val="28"/>
          <w:szCs w:val="28"/>
        </w:rPr>
        <w:t xml:space="preserve">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xml:space="preserve">., 2021). Acidic drinks, such as </w:t>
      </w:r>
      <w:r w:rsidRPr="00D7082F">
        <w:rPr>
          <w:color w:val="000000" w:themeColor="text1"/>
          <w:sz w:val="28"/>
          <w:szCs w:val="28"/>
        </w:rPr>
        <w:lastRenderedPageBreak/>
        <w:t>citrus juices, may also irritate the gastric lining, further contributing to mucosal damage.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w:t>
      </w:r>
      <w:proofErr w:type="spellStart"/>
      <w:r w:rsidRPr="00D7082F">
        <w:rPr>
          <w:color w:val="000000" w:themeColor="text1"/>
          <w:sz w:val="28"/>
          <w:szCs w:val="28"/>
        </w:rPr>
        <w:t>ulcerogenesis</w:t>
      </w:r>
      <w:proofErr w:type="spellEnd"/>
      <w:r w:rsidRPr="00D7082F">
        <w:rPr>
          <w:color w:val="000000" w:themeColor="text1"/>
          <w:sz w:val="28"/>
          <w:szCs w:val="28"/>
        </w:rPr>
        <w:t xml:space="preserve">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w:t>
      </w:r>
      <w:proofErr w:type="spellStart"/>
      <w:r w:rsidRPr="00D7082F">
        <w:rPr>
          <w:color w:val="000000" w:themeColor="text1"/>
          <w:sz w:val="28"/>
          <w:szCs w:val="28"/>
        </w:rPr>
        <w:t>microbiota</w:t>
      </w:r>
      <w:proofErr w:type="spellEnd"/>
      <w:r w:rsidRPr="00D7082F">
        <w:rPr>
          <w:color w:val="000000" w:themeColor="text1"/>
          <w:sz w:val="28"/>
          <w:szCs w:val="28"/>
        </w:rPr>
        <w:t xml:space="preserve">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w:t>
      </w:r>
      <w:proofErr w:type="spellStart"/>
      <w:r w:rsidRPr="00D7082F">
        <w:rPr>
          <w:color w:val="000000" w:themeColor="text1"/>
          <w:sz w:val="28"/>
          <w:szCs w:val="28"/>
        </w:rPr>
        <w:t>gastroprotective</w:t>
      </w:r>
      <w:proofErr w:type="spellEnd"/>
      <w:r w:rsidRPr="00D7082F">
        <w:rPr>
          <w:color w:val="000000" w:themeColor="text1"/>
          <w:sz w:val="28"/>
          <w:szCs w:val="28"/>
        </w:rPr>
        <w:t xml:space="preserve"> properties (Liu </w:t>
      </w:r>
      <w:r w:rsidRPr="00D7082F">
        <w:rPr>
          <w:i/>
          <w:iCs/>
          <w:color w:val="000000" w:themeColor="text1"/>
          <w:sz w:val="28"/>
          <w:szCs w:val="28"/>
        </w:rPr>
        <w:t>et al</w:t>
      </w:r>
      <w:r w:rsidRPr="00D7082F">
        <w:rPr>
          <w:color w:val="000000" w:themeColor="text1"/>
          <w:sz w:val="28"/>
          <w:szCs w:val="28"/>
        </w:rPr>
        <w:t>., 2020).</w:t>
      </w:r>
    </w:p>
    <w:p w:rsidR="00FB724C" w:rsidRPr="00D7082F" w:rsidRDefault="00FB724C" w:rsidP="00FB724C">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14:anchorId="474650A5" wp14:editId="6F909E02">
            <wp:extent cx="5448300" cy="4870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extLst>
                        <a:ext uri="{28A0092B-C50C-407E-A947-70E740481C1C}">
                          <a14:useLocalDpi xmlns:a14="http://schemas.microsoft.com/office/drawing/2010/main"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5"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FB724C" w:rsidRPr="00D7082F" w:rsidRDefault="00FB724C" w:rsidP="00FB724C">
      <w:pPr>
        <w:spacing w:line="360" w:lineRule="auto"/>
        <w:jc w:val="both"/>
        <w:rPr>
          <w:b/>
          <w:bCs/>
          <w:color w:val="000000" w:themeColor="text1"/>
        </w:rPr>
      </w:pPr>
      <w:r w:rsidRPr="00D7082F">
        <w:rPr>
          <w:b/>
          <w:bCs/>
          <w:color w:val="000000" w:themeColor="text1"/>
        </w:rPr>
        <w:t>2.4 Pathophysiology of Ulcer</w:t>
      </w:r>
    </w:p>
    <w:p w:rsidR="00FB724C" w:rsidRPr="008A6B85" w:rsidRDefault="00FB724C" w:rsidP="00FB724C">
      <w:pPr>
        <w:spacing w:line="360" w:lineRule="auto"/>
        <w:ind w:firstLine="720"/>
        <w:jc w:val="both"/>
        <w:rPr>
          <w:i/>
          <w:color w:val="000000" w:themeColor="text1"/>
        </w:rPr>
      </w:pPr>
      <w:r w:rsidRPr="00D7082F">
        <w:rPr>
          <w:color w:val="000000" w:themeColor="text1"/>
        </w:rPr>
        <w:t>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w:t>
      </w:r>
      <w:proofErr w:type="spellStart"/>
      <w:r w:rsidRPr="00D7082F">
        <w:rPr>
          <w:color w:val="000000" w:themeColor="text1"/>
        </w:rPr>
        <w:t>HCl</w:t>
      </w:r>
      <w:proofErr w:type="spellEnd"/>
      <w:r w:rsidRPr="00D7082F">
        <w:rPr>
          <w:color w:val="000000" w:themeColor="text1"/>
        </w:rPr>
        <w:t xml:space="preserve">)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t xml:space="preserve">(Kumar </w:t>
      </w:r>
      <w:r w:rsidRPr="008A6B85">
        <w:rPr>
          <w:i/>
          <w:iCs/>
          <w:color w:val="000000" w:themeColor="text1"/>
        </w:rPr>
        <w:t xml:space="preserve">et </w:t>
      </w:r>
      <w:r w:rsidRPr="008A6B85">
        <w:rPr>
          <w:i/>
          <w:iCs/>
          <w:color w:val="000000" w:themeColor="text1"/>
        </w:rPr>
        <w:lastRenderedPageBreak/>
        <w:t>al</w:t>
      </w:r>
      <w:r w:rsidRPr="008A6B85">
        <w:rPr>
          <w:i/>
          <w:color w:val="000000" w:themeColor="text1"/>
        </w:rPr>
        <w:t>., 2021).</w:t>
      </w:r>
      <w:r w:rsidRPr="00D7082F">
        <w:rPr>
          <w:color w:val="000000" w:themeColor="text1"/>
        </w:rPr>
        <w:t xml:space="preserve"> Excessive acid production leads to mucosal erosion and ulcer formation, especially in conditions such as </w:t>
      </w:r>
      <w:proofErr w:type="spellStart"/>
      <w:r w:rsidRPr="00D7082F">
        <w:rPr>
          <w:color w:val="000000" w:themeColor="text1"/>
        </w:rPr>
        <w:t>Zollinger</w:t>
      </w:r>
      <w:proofErr w:type="spellEnd"/>
      <w:r w:rsidRPr="00D7082F">
        <w:rPr>
          <w:color w:val="000000" w:themeColor="text1"/>
        </w:rPr>
        <w:t>-Ellison syndrome (</w:t>
      </w:r>
      <w:proofErr w:type="spellStart"/>
      <w:r w:rsidRPr="00D7082F">
        <w:rPr>
          <w:color w:val="000000" w:themeColor="text1"/>
        </w:rPr>
        <w:t>Sundaram</w:t>
      </w:r>
      <w:proofErr w:type="spellEnd"/>
      <w:r w:rsidRPr="00D7082F">
        <w:rPr>
          <w:color w:val="000000" w:themeColor="text1"/>
        </w:rPr>
        <w:t xml:space="preserve"> and </w:t>
      </w:r>
      <w:proofErr w:type="spellStart"/>
      <w:r w:rsidRPr="00D7082F">
        <w:rPr>
          <w:color w:val="000000" w:themeColor="text1"/>
        </w:rPr>
        <w:t>Sitaraman</w:t>
      </w:r>
      <w:proofErr w:type="spellEnd"/>
      <w:r w:rsidRPr="00D7082F">
        <w:rPr>
          <w:color w:val="000000" w:themeColor="text1"/>
        </w:rPr>
        <w:t xml:space="preserve">, 2018). Pepsin, a </w:t>
      </w:r>
      <w:proofErr w:type="spellStart"/>
      <w:r w:rsidRPr="00D7082F">
        <w:rPr>
          <w:color w:val="000000" w:themeColor="text1"/>
        </w:rPr>
        <w:t>proteolytic</w:t>
      </w:r>
      <w:proofErr w:type="spellEnd"/>
      <w:r w:rsidRPr="00D7082F">
        <w:rPr>
          <w:color w:val="000000" w:themeColor="text1"/>
        </w:rPr>
        <w:t xml:space="preserve">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 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proofErr w:type="spellStart"/>
      <w:r w:rsidRPr="008A6B85">
        <w:rPr>
          <w:i/>
          <w:color w:val="000000" w:themeColor="text1"/>
          <w:shd w:val="clear" w:color="auto" w:fill="FFFFFF"/>
        </w:rPr>
        <w:t>Holle</w:t>
      </w:r>
      <w:proofErr w:type="spellEnd"/>
      <w:r w:rsidRPr="008A6B85">
        <w:rPr>
          <w:i/>
          <w:color w:val="000000" w:themeColor="text1"/>
          <w:shd w:val="clear" w:color="auto" w:fill="FFFFFF"/>
        </w:rPr>
        <w:t>, 2010).</w:t>
      </w:r>
    </w:p>
    <w:p w:rsidR="00FB724C" w:rsidRPr="00D7082F" w:rsidRDefault="00FB724C" w:rsidP="00FB724C">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protect the gastric mucosa? It normally activates epithelial mucus and bicarbonate production. This is pronounced in ulcer patients, particularly in </w:t>
      </w:r>
      <w:proofErr w:type="spellStart"/>
      <w:r w:rsidRPr="00D7082F">
        <w:rPr>
          <w:color w:val="000000" w:themeColor="text1"/>
        </w:rPr>
        <w:t>gastroduedenal</w:t>
      </w:r>
      <w:proofErr w:type="spellEnd"/>
      <w:r w:rsidRPr="00D7082F">
        <w:rPr>
          <w:color w:val="000000" w:themeColor="text1"/>
        </w:rPr>
        <w:t xml:space="preserve"> (GD) type. However, in these patients the genetically induced changes in the gastrointestinal motility and also the alterations in the chemical composition of the mucus with the increased low molecular glycoproteins are pathological, as </w:t>
      </w:r>
      <w:proofErr w:type="spellStart"/>
      <w:r w:rsidRPr="00D7082F">
        <w:rPr>
          <w:color w:val="000000" w:themeColor="text1"/>
        </w:rPr>
        <w:t>proteolytic</w:t>
      </w:r>
      <w:proofErr w:type="spellEnd"/>
      <w:r w:rsidRPr="00D7082F">
        <w:rPr>
          <w:color w:val="000000" w:themeColor="text1"/>
        </w:rPr>
        <w:t xml:space="preserve"> decomposition from the lumen and H+-ion </w:t>
      </w:r>
      <w:proofErr w:type="spellStart"/>
      <w:r w:rsidRPr="00D7082F">
        <w:rPr>
          <w:color w:val="000000" w:themeColor="text1"/>
        </w:rPr>
        <w:t>rediffusion</w:t>
      </w:r>
      <w:proofErr w:type="spellEnd"/>
      <w:r w:rsidRPr="00D7082F">
        <w:rPr>
          <w:color w:val="000000" w:themeColor="text1"/>
        </w:rPr>
        <w:t xml:space="preserve"> are favored. Stimulation normally influences gastric blood flow. It is known that no necrosis develops when there is a 4-fold increase in flow or when the mucous membrane is perfused with pure O2. In comparison, when the mucosal blood flow is reduced subliminal </w:t>
      </w:r>
      <w:proofErr w:type="spellStart"/>
      <w:r w:rsidRPr="00D7082F">
        <w:rPr>
          <w:color w:val="000000" w:themeColor="text1"/>
        </w:rPr>
        <w:t>noxae</w:t>
      </w:r>
      <w:proofErr w:type="spellEnd"/>
      <w:r w:rsidRPr="00D7082F">
        <w:rPr>
          <w:color w:val="000000" w:themeColor="text1"/>
        </w:rPr>
        <w:t xml:space="preserve"> cause an increase in H+-ion </w:t>
      </w:r>
      <w:proofErr w:type="spellStart"/>
      <w:r w:rsidRPr="00D7082F">
        <w:rPr>
          <w:color w:val="000000" w:themeColor="text1"/>
        </w:rPr>
        <w:t>rediffusion</w:t>
      </w:r>
      <w:proofErr w:type="spellEnd"/>
      <w:r w:rsidRPr="00D7082F">
        <w:rPr>
          <w:color w:val="000000" w:themeColor="text1"/>
        </w:rPr>
        <w:t xml:space="preserve"> and extreme damage to the mucosa. There is, however, no ulcer without acid. In DU and GU the lower limit of acid stimulation is 10 </w:t>
      </w:r>
      <w:proofErr w:type="spellStart"/>
      <w:r w:rsidRPr="00D7082F">
        <w:rPr>
          <w:color w:val="000000" w:themeColor="text1"/>
        </w:rPr>
        <w:t>mEq</w:t>
      </w:r>
      <w:proofErr w:type="spellEnd"/>
      <w:r w:rsidRPr="00D7082F">
        <w:rPr>
          <w:color w:val="000000" w:themeColor="text1"/>
        </w:rPr>
        <w:t xml:space="preserve">/h. Some 50-70% of DU are </w:t>
      </w:r>
      <w:proofErr w:type="spellStart"/>
      <w:r w:rsidRPr="00D7082F">
        <w:rPr>
          <w:color w:val="000000" w:themeColor="text1"/>
        </w:rPr>
        <w:t>hyperacidic</w:t>
      </w:r>
      <w:proofErr w:type="spellEnd"/>
      <w:r w:rsidRPr="00D7082F">
        <w:rPr>
          <w:color w:val="000000" w:themeColor="text1"/>
        </w:rPr>
        <w:t xml:space="preserve"> with a 50% increase in the maximal acid output MAO. The cephalic phase also brings an increase in secretion response of 50-70% (</w:t>
      </w:r>
      <w:proofErr w:type="spellStart"/>
      <w:r w:rsidRPr="00D7082F">
        <w:rPr>
          <w:color w:val="000000" w:themeColor="text1"/>
          <w:shd w:val="clear" w:color="auto" w:fill="FFFFFF"/>
        </w:rPr>
        <w:t>Holle</w:t>
      </w:r>
      <w:proofErr w:type="spellEnd"/>
      <w:r w:rsidRPr="00D7082F">
        <w:rPr>
          <w:color w:val="000000" w:themeColor="text1"/>
          <w:shd w:val="clear" w:color="auto" w:fill="FFFFFF"/>
        </w:rPr>
        <w:t>, 2010).</w:t>
      </w:r>
    </w:p>
    <w:p w:rsidR="00FB724C" w:rsidRPr="00D7082F" w:rsidRDefault="00FB724C" w:rsidP="00FB724C">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w:t>
      </w:r>
      <w:proofErr w:type="spellStart"/>
      <w:r w:rsidRPr="008A6B85">
        <w:rPr>
          <w:i/>
          <w:color w:val="000000" w:themeColor="text1"/>
        </w:rPr>
        <w:t>Hooi</w:t>
      </w:r>
      <w:proofErr w:type="spellEnd"/>
      <w:r w:rsidRPr="008A6B85">
        <w:rPr>
          <w:i/>
          <w:color w:val="000000" w:themeColor="text1"/>
        </w:rPr>
        <w:t xml:space="preserve">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w:t>
      </w:r>
      <w:proofErr w:type="spellStart"/>
      <w:r w:rsidRPr="00D7082F">
        <w:rPr>
          <w:color w:val="000000" w:themeColor="text1"/>
        </w:rPr>
        <w:t>cytotoxins</w:t>
      </w:r>
      <w:proofErr w:type="spellEnd"/>
      <w:r w:rsidRPr="00D7082F">
        <w:rPr>
          <w:color w:val="000000" w:themeColor="text1"/>
        </w:rPr>
        <w:t xml:space="preserve"> such as </w:t>
      </w:r>
      <w:proofErr w:type="spellStart"/>
      <w:r w:rsidRPr="00D7082F">
        <w:rPr>
          <w:color w:val="000000" w:themeColor="text1"/>
        </w:rPr>
        <w:t>CagA</w:t>
      </w:r>
      <w:proofErr w:type="spellEnd"/>
      <w:r w:rsidRPr="00D7082F">
        <w:rPr>
          <w:color w:val="000000" w:themeColor="text1"/>
        </w:rPr>
        <w:t xml:space="preserve"> (</w:t>
      </w:r>
      <w:proofErr w:type="spellStart"/>
      <w:r w:rsidRPr="00D7082F">
        <w:rPr>
          <w:color w:val="000000" w:themeColor="text1"/>
        </w:rPr>
        <w:t>cytotoxin</w:t>
      </w:r>
      <w:proofErr w:type="spellEnd"/>
      <w:r w:rsidRPr="00D7082F">
        <w:rPr>
          <w:color w:val="000000" w:themeColor="text1"/>
        </w:rPr>
        <w:t xml:space="preserve">-associated gene A) and </w:t>
      </w:r>
      <w:proofErr w:type="spellStart"/>
      <w:r w:rsidRPr="00D7082F">
        <w:rPr>
          <w:color w:val="000000" w:themeColor="text1"/>
        </w:rPr>
        <w:t>VacA</w:t>
      </w:r>
      <w:proofErr w:type="spellEnd"/>
      <w:r w:rsidRPr="00D7082F">
        <w:rPr>
          <w:color w:val="000000" w:themeColor="text1"/>
        </w:rPr>
        <w:t xml:space="preserve"> (</w:t>
      </w:r>
      <w:proofErr w:type="spellStart"/>
      <w:r w:rsidRPr="00D7082F">
        <w:rPr>
          <w:color w:val="000000" w:themeColor="text1"/>
        </w:rPr>
        <w:t>vacuolating</w:t>
      </w:r>
      <w:proofErr w:type="spellEnd"/>
      <w:r w:rsidRPr="00D7082F">
        <w:rPr>
          <w:color w:val="000000" w:themeColor="text1"/>
        </w:rPr>
        <w:t xml:space="preserve"> </w:t>
      </w:r>
      <w:proofErr w:type="spellStart"/>
      <w:r w:rsidRPr="00D7082F">
        <w:rPr>
          <w:color w:val="000000" w:themeColor="text1"/>
        </w:rPr>
        <w:t>cytotoxin</w:t>
      </w:r>
      <w:proofErr w:type="spellEnd"/>
      <w:r w:rsidRPr="00D7082F">
        <w:rPr>
          <w:color w:val="000000" w:themeColor="text1"/>
        </w:rPr>
        <w:t xml:space="preserve"> A), leading to epithelial cell damage, inflammation, and disruption of gastric mucosal integrity (</w:t>
      </w:r>
      <w:proofErr w:type="spellStart"/>
      <w:r w:rsidRPr="00D7082F">
        <w:rPr>
          <w:color w:val="000000" w:themeColor="text1"/>
        </w:rPr>
        <w:t>Chey</w:t>
      </w:r>
      <w:proofErr w:type="spellEnd"/>
      <w:r w:rsidRPr="00D7082F">
        <w:rPr>
          <w:color w:val="000000" w:themeColor="text1"/>
        </w:rPr>
        <w:t xml:space="preserve"> and </w:t>
      </w:r>
      <w:proofErr w:type="spellStart"/>
      <w:r w:rsidRPr="00D7082F">
        <w:rPr>
          <w:color w:val="000000" w:themeColor="text1"/>
        </w:rPr>
        <w:t>Leontiadis</w:t>
      </w:r>
      <w:proofErr w:type="spellEnd"/>
      <w:r w:rsidRPr="00D7082F">
        <w:rPr>
          <w:color w:val="000000" w:themeColor="text1"/>
        </w:rPr>
        <w:t>, 2018).</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w:t>
      </w:r>
      <w:proofErr w:type="spellStart"/>
      <w:r w:rsidRPr="00D7082F">
        <w:rPr>
          <w:color w:val="000000" w:themeColor="text1"/>
        </w:rPr>
        <w:t>multigene</w:t>
      </w:r>
      <w:proofErr w:type="spellEnd"/>
      <w:r w:rsidRPr="00D7082F">
        <w:rPr>
          <w:color w:val="000000" w:themeColor="text1"/>
        </w:rPr>
        <w:t xml:space="preserve"> locus. It induces gastritis augmenting the risk for </w:t>
      </w:r>
      <w:proofErr w:type="spellStart"/>
      <w:r w:rsidRPr="00D7082F">
        <w:rPr>
          <w:color w:val="000000" w:themeColor="text1"/>
        </w:rPr>
        <w:t>atrophie</w:t>
      </w:r>
      <w:proofErr w:type="spellEnd"/>
      <w:r w:rsidRPr="00D7082F">
        <w:rPr>
          <w:color w:val="000000" w:themeColor="text1"/>
        </w:rPr>
        <w:t xml:space="preserve"> gastritis and distal gastric cancer. In most people, however, it remains asymptomatic. It would be useful to identify a few people with high risk, because they could serve as a paradigm for the </w:t>
      </w:r>
      <w:proofErr w:type="spellStart"/>
      <w:r w:rsidRPr="00D7082F">
        <w:rPr>
          <w:color w:val="000000" w:themeColor="text1"/>
        </w:rPr>
        <w:t>chronie</w:t>
      </w:r>
      <w:proofErr w:type="spellEnd"/>
      <w:r w:rsidRPr="00D7082F">
        <w:rPr>
          <w:color w:val="000000" w:themeColor="text1"/>
        </w:rPr>
        <w:t xml:space="preserve"> role of inflammation in the genesis of malignancies that arise in the gastrointestinal tract. Helicobacter pylori is not the only organism that is believed to cause active </w:t>
      </w:r>
      <w:proofErr w:type="spellStart"/>
      <w:r w:rsidRPr="00D7082F">
        <w:rPr>
          <w:color w:val="000000" w:themeColor="text1"/>
        </w:rPr>
        <w:t>chronie</w:t>
      </w:r>
      <w:proofErr w:type="spellEnd"/>
      <w:r w:rsidRPr="00D7082F">
        <w:rPr>
          <w:color w:val="000000" w:themeColor="text1"/>
        </w:rPr>
        <w:t xml:space="preserve"> gastritis in man. Other infections with spiral organisms have been described (Israel and Peek, 2006).</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The bacillus is sensitive to penicillin, erythromycin, </w:t>
      </w:r>
      <w:proofErr w:type="spellStart"/>
      <w:r w:rsidRPr="00D7082F">
        <w:rPr>
          <w:color w:val="000000" w:themeColor="text1"/>
        </w:rPr>
        <w:t>cephalosporins</w:t>
      </w:r>
      <w:proofErr w:type="spellEnd"/>
      <w:r w:rsidRPr="00D7082F">
        <w:rPr>
          <w:color w:val="000000" w:themeColor="text1"/>
        </w:rPr>
        <w:t xml:space="preserve">,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w:t>
      </w:r>
      <w:proofErr w:type="spellStart"/>
      <w:r w:rsidRPr="00D7082F">
        <w:rPr>
          <w:color w:val="000000" w:themeColor="text1"/>
        </w:rPr>
        <w:t>amoxycillin</w:t>
      </w:r>
      <w:proofErr w:type="spellEnd"/>
      <w:r w:rsidRPr="00D7082F">
        <w:rPr>
          <w:color w:val="000000" w:themeColor="text1"/>
        </w:rPr>
        <w:t xml:space="preserve">. In 70% of patients the peptic ulcer healed within 4 weeks, but only 41-48% of the Helicobacter organism were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w:t>
      </w:r>
      <w:r w:rsidRPr="00D7082F">
        <w:rPr>
          <w:color w:val="000000" w:themeColor="text1"/>
        </w:rPr>
        <w:lastRenderedPageBreak/>
        <w:t>of 75% of those given the combination of omeprazole plus clarithromycin, had Helicobacter eradication, but at 6 months 30% in one study and 52% in another had ulcer recurrence. In a third study at final analyses after 4-6 weeks 50-70% of ulcers had not healed (</w:t>
      </w:r>
      <w:proofErr w:type="spellStart"/>
      <w:r w:rsidRPr="008A6B85">
        <w:rPr>
          <w:i/>
          <w:color w:val="000000" w:themeColor="text1"/>
        </w:rPr>
        <w:t>Bamett</w:t>
      </w:r>
      <w:proofErr w:type="spellEnd"/>
      <w:r w:rsidRPr="008A6B85">
        <w:rPr>
          <w:i/>
          <w:color w:val="000000" w:themeColor="text1"/>
        </w:rPr>
        <w:t>, 1995).</w:t>
      </w:r>
    </w:p>
    <w:p w:rsidR="00FB724C" w:rsidRPr="008A6B85"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w:t>
      </w:r>
      <w:proofErr w:type="spellStart"/>
      <w:r w:rsidRPr="008A6B85">
        <w:rPr>
          <w:i/>
          <w:color w:val="000000" w:themeColor="text1"/>
          <w:sz w:val="28"/>
          <w:szCs w:val="28"/>
        </w:rPr>
        <w:t>Cryer</w:t>
      </w:r>
      <w:proofErr w:type="spellEnd"/>
      <w:r w:rsidRPr="008A6B85">
        <w:rPr>
          <w:i/>
          <w:color w:val="000000" w:themeColor="text1"/>
          <w:sz w:val="28"/>
          <w:szCs w:val="28"/>
        </w:rPr>
        <w:t xml:space="preserve">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w:t>
      </w:r>
      <w:proofErr w:type="spellStart"/>
      <w:r w:rsidRPr="008A6B85">
        <w:rPr>
          <w:i/>
          <w:color w:val="000000" w:themeColor="text1"/>
          <w:sz w:val="28"/>
          <w:szCs w:val="28"/>
        </w:rPr>
        <w:t>Lanza</w:t>
      </w:r>
      <w:proofErr w:type="spellEnd"/>
      <w:r w:rsidRPr="008A6B85">
        <w:rPr>
          <w:i/>
          <w:color w:val="000000" w:themeColor="text1"/>
          <w:sz w:val="28"/>
          <w:szCs w:val="28"/>
        </w:rPr>
        <w:t xml:space="preserve">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 xml:space="preserve">(Allen and </w:t>
      </w:r>
      <w:proofErr w:type="spellStart"/>
      <w:r w:rsidRPr="008A6B85">
        <w:rPr>
          <w:i/>
          <w:color w:val="000000" w:themeColor="text1"/>
          <w:sz w:val="28"/>
          <w:szCs w:val="28"/>
        </w:rPr>
        <w:t>Flemström</w:t>
      </w:r>
      <w:proofErr w:type="spellEnd"/>
      <w:r w:rsidRPr="008A6B85">
        <w:rPr>
          <w:i/>
          <w:color w:val="000000" w:themeColor="text1"/>
          <w:sz w:val="28"/>
          <w:szCs w:val="28"/>
        </w:rPr>
        <w:t>,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w:t>
      </w:r>
      <w:proofErr w:type="spellStart"/>
      <w:r w:rsidRPr="00D7082F">
        <w:rPr>
          <w:color w:val="000000" w:themeColor="text1"/>
          <w:sz w:val="28"/>
          <w:szCs w:val="28"/>
        </w:rPr>
        <w:t>Sostres</w:t>
      </w:r>
      <w:proofErr w:type="spellEnd"/>
      <w:r w:rsidRPr="00D7082F">
        <w:rPr>
          <w:color w:val="000000" w:themeColor="text1"/>
          <w:sz w:val="28"/>
          <w:szCs w:val="28"/>
        </w:rPr>
        <w:t xml:space="preserve">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gastrin production, leading to elevated acid levels that overwhelm bicarbonate buffering in the duodenum (Feldman and Graham, 2021). Gastric metaplasia, where gastric-type epithelial cells </w:t>
      </w:r>
      <w:r w:rsidRPr="00D7082F">
        <w:rPr>
          <w:color w:val="000000" w:themeColor="text1"/>
          <w:sz w:val="28"/>
          <w:szCs w:val="28"/>
        </w:rPr>
        <w:lastRenderedPageBreak/>
        <w:t xml:space="preserve">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w:t>
      </w:r>
      <w:proofErr w:type="spellStart"/>
      <w:r w:rsidRPr="008A6B85">
        <w:rPr>
          <w:i/>
          <w:color w:val="000000" w:themeColor="text1"/>
          <w:sz w:val="28"/>
          <w:szCs w:val="28"/>
        </w:rPr>
        <w:t>Malfertheiner</w:t>
      </w:r>
      <w:proofErr w:type="spellEnd"/>
      <w:r w:rsidRPr="008A6B85">
        <w:rPr>
          <w:i/>
          <w:color w:val="000000" w:themeColor="text1"/>
          <w:sz w:val="28"/>
          <w:szCs w:val="28"/>
        </w:rPr>
        <w:t xml:space="preserve"> </w:t>
      </w:r>
      <w:r w:rsidRPr="008A6B85">
        <w:rPr>
          <w:i/>
          <w:iCs/>
          <w:color w:val="000000" w:themeColor="text1"/>
          <w:sz w:val="28"/>
          <w:szCs w:val="28"/>
        </w:rPr>
        <w:t>et al</w:t>
      </w:r>
      <w:r w:rsidRPr="008A6B85">
        <w:rPr>
          <w:i/>
          <w:color w:val="000000" w:themeColor="text1"/>
          <w:sz w:val="28"/>
          <w:szCs w:val="28"/>
        </w:rPr>
        <w:t>., 2018).</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2.5 Antioxidants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(Pham-</w:t>
      </w:r>
      <w:proofErr w:type="spellStart"/>
      <w:r w:rsidRPr="008A6B85">
        <w:rPr>
          <w:i/>
          <w:color w:val="000000" w:themeColor="text1"/>
          <w:sz w:val="28"/>
          <w:szCs w:val="28"/>
        </w:rPr>
        <w:t>Huy</w:t>
      </w:r>
      <w:proofErr w:type="spellEnd"/>
      <w:r w:rsidRPr="008A6B85">
        <w:rPr>
          <w:i/>
          <w:color w:val="000000" w:themeColor="text1"/>
          <w:sz w:val="28"/>
          <w:szCs w:val="28"/>
        </w:rPr>
        <w:t xml:space="preserve">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w:t>
      </w:r>
      <w:proofErr w:type="spellStart"/>
      <w:r>
        <w:rPr>
          <w:color w:val="000000" w:themeColor="text1"/>
          <w:sz w:val="28"/>
          <w:szCs w:val="28"/>
        </w:rPr>
        <w:t>Halliwell</w:t>
      </w:r>
      <w:proofErr w:type="spellEnd"/>
      <w:r>
        <w:rPr>
          <w:color w:val="000000" w:themeColor="text1"/>
          <w:sz w:val="28"/>
          <w:szCs w:val="28"/>
        </w:rPr>
        <w:t xml:space="preserve"> and</w:t>
      </w:r>
      <w:r w:rsidRPr="00D7082F">
        <w:rPr>
          <w:color w:val="000000" w:themeColor="text1"/>
          <w:sz w:val="28"/>
          <w:szCs w:val="28"/>
        </w:rPr>
        <w:t xml:space="preserve"> </w:t>
      </w:r>
      <w:proofErr w:type="spellStart"/>
      <w:r w:rsidRPr="00D7082F">
        <w:rPr>
          <w:color w:val="000000" w:themeColor="text1"/>
          <w:sz w:val="28"/>
          <w:szCs w:val="28"/>
        </w:rPr>
        <w:t>Gutteridge</w:t>
      </w:r>
      <w:proofErr w:type="spellEnd"/>
      <w:r w:rsidRPr="00D7082F">
        <w:rPr>
          <w:color w:val="000000" w:themeColor="text1"/>
          <w:sz w:val="28"/>
          <w:szCs w:val="28"/>
        </w:rPr>
        <w:t xml:space="preserv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maintaining a diet rich in natural antioxidant sources is recommended for overall health and disease prevention </w:t>
      </w:r>
      <w:r w:rsidRPr="008A6B85">
        <w:rPr>
          <w:i/>
          <w:color w:val="000000" w:themeColor="text1"/>
          <w:sz w:val="28"/>
          <w:szCs w:val="28"/>
        </w:rPr>
        <w:t>(Lobo et al., 2010).</w:t>
      </w:r>
      <w:r w:rsidRPr="00D7082F">
        <w:rPr>
          <w:color w:val="000000" w:themeColor="text1"/>
          <w:sz w:val="28"/>
          <w:szCs w:val="28"/>
        </w:rPr>
        <w:t xml:space="preserve"> </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2.6 Types of antioxidant </w:t>
      </w:r>
    </w:p>
    <w:p w:rsidR="00FB724C" w:rsidRPr="00D7082F" w:rsidRDefault="00FB724C" w:rsidP="00FB724C">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b/>
          <w:bCs/>
          <w:color w:val="000000" w:themeColor="text1"/>
          <w:sz w:val="28"/>
          <w:szCs w:val="28"/>
        </w:rPr>
        <w:t xml:space="preserve"> </w:t>
      </w:r>
      <w:r w:rsidRPr="00D7082F">
        <w:rPr>
          <w:color w:val="000000" w:themeColor="text1"/>
          <w:sz w:val="28"/>
          <w:szCs w:val="28"/>
        </w:rPr>
        <w:t>and</w:t>
      </w:r>
      <w:r w:rsidRPr="00D7082F">
        <w:rPr>
          <w:b/>
          <w:bCs/>
          <w:color w:val="000000" w:themeColor="text1"/>
          <w:sz w:val="28"/>
          <w:szCs w:val="28"/>
        </w:rPr>
        <w:t xml:space="preserve"> </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FB724C"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w:t>
      </w:r>
      <w:proofErr w:type="spellStart"/>
      <w:r w:rsidRPr="00D7082F">
        <w:rPr>
          <w:rStyle w:val="Strong"/>
          <w:color w:val="000000" w:themeColor="text1"/>
          <w:sz w:val="28"/>
          <w:szCs w:val="28"/>
        </w:rPr>
        <w:t>tocopherol</w:t>
      </w:r>
      <w:proofErr w:type="spellEnd"/>
      <w:r w:rsidRPr="00D7082F">
        <w:rPr>
          <w:rStyle w:val="Strong"/>
          <w:color w:val="000000" w:themeColor="text1"/>
          <w:sz w:val="28"/>
          <w:szCs w:val="28"/>
        </w:rPr>
        <w:t>)</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proofErr w:type="spellStart"/>
      <w:r w:rsidRPr="00A01ECE">
        <w:rPr>
          <w:i/>
          <w:color w:val="000000" w:themeColor="text1"/>
          <w:sz w:val="28"/>
          <w:szCs w:val="28"/>
        </w:rPr>
        <w:t>Pisoschi</w:t>
      </w:r>
      <w:proofErr w:type="spellEnd"/>
      <w:r w:rsidRPr="00A01ECE">
        <w:rPr>
          <w:i/>
          <w:color w:val="000000" w:themeColor="text1"/>
          <w:sz w:val="28"/>
          <w:szCs w:val="28"/>
        </w:rPr>
        <w:t xml:space="preserve"> and Pop, 2015).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FB724C" w:rsidRPr="008A6B85"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w:t>
      </w:r>
      <w:r w:rsidRPr="00D7082F">
        <w:rPr>
          <w:rFonts w:eastAsia="Times New Roman"/>
          <w:color w:val="000000" w:themeColor="text1"/>
        </w:rPr>
        <w:lastRenderedPageBreak/>
        <w:t xml:space="preserve">cumulative measure of these compounds in a sample is referred to as the Total Phenolic Content (TPC), and it is a widely accepted indicator of a plant’s antioxidant potential. In recent years, medicinal plants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have gained attention for their high TPC and associated health benefits. TPC is typically assessed using the </w:t>
      </w:r>
      <w:proofErr w:type="spellStart"/>
      <w:r w:rsidRPr="00D7082F">
        <w:rPr>
          <w:rFonts w:eastAsia="Times New Roman"/>
          <w:color w:val="000000" w:themeColor="text1"/>
        </w:rPr>
        <w:t>Folin</w:t>
      </w:r>
      <w:proofErr w:type="spellEnd"/>
      <w:r w:rsidRPr="00D7082F">
        <w:rPr>
          <w:rFonts w:eastAsia="Times New Roman"/>
          <w:color w:val="000000" w:themeColor="text1"/>
        </w:rPr>
        <w:t>–</w:t>
      </w:r>
      <w:proofErr w:type="spellStart"/>
      <w:r w:rsidRPr="00D7082F">
        <w:rPr>
          <w:rFonts w:eastAsia="Times New Roman"/>
          <w:color w:val="000000" w:themeColor="text1"/>
        </w:rPr>
        <w:t>Ciocalteu</w:t>
      </w:r>
      <w:proofErr w:type="spellEnd"/>
      <w:r w:rsidRPr="00D7082F">
        <w:rPr>
          <w:rFonts w:eastAsia="Times New Roman"/>
          <w:color w:val="000000" w:themeColor="text1"/>
        </w:rPr>
        <w:t xml:space="preserve"> assay, and results are expressed in </w:t>
      </w:r>
      <w:proofErr w:type="spellStart"/>
      <w:r w:rsidRPr="00D7082F">
        <w:rPr>
          <w:rFonts w:eastAsia="Times New Roman"/>
          <w:color w:val="000000" w:themeColor="text1"/>
        </w:rPr>
        <w:t>gallic</w:t>
      </w:r>
      <w:proofErr w:type="spellEnd"/>
      <w:r w:rsidRPr="00D7082F">
        <w:rPr>
          <w:rFonts w:eastAsia="Times New Roman"/>
          <w:color w:val="000000" w:themeColor="text1"/>
        </w:rPr>
        <w:t xml:space="preserve"> acid equivalents (GAE). A high TPC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w:t>
      </w:r>
      <w:proofErr w:type="spellStart"/>
      <w:r w:rsidRPr="00D7082F">
        <w:rPr>
          <w:rFonts w:eastAsia="Times New Roman"/>
          <w:color w:val="000000" w:themeColor="text1"/>
        </w:rPr>
        <w:t>Ogunmoyole</w:t>
      </w:r>
      <w:proofErr w:type="spellEnd"/>
      <w:r w:rsidRPr="00D7082F">
        <w:rPr>
          <w:rFonts w:eastAsia="Times New Roman"/>
          <w:color w:val="000000" w:themeColor="text1"/>
        </w:rPr>
        <w:t xml:space="preserv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have been shown to mitigate such damage by reducing lipid peroxidation and enhancing mucosal protection (</w:t>
      </w:r>
      <w:proofErr w:type="spellStart"/>
      <w:r w:rsidRPr="00D7082F">
        <w:rPr>
          <w:rFonts w:eastAsia="Times New Roman"/>
          <w:color w:val="000000" w:themeColor="text1"/>
        </w:rPr>
        <w:t>Akinmoladun</w:t>
      </w:r>
      <w:proofErr w:type="spellEnd"/>
      <w:r w:rsidRPr="00D7082F">
        <w:rPr>
          <w:rFonts w:eastAsia="Times New Roman"/>
          <w:color w:val="000000" w:themeColor="text1"/>
        </w:rPr>
        <w:t xml:space="preserve"> </w:t>
      </w:r>
      <w:r w:rsidRPr="00D7082F">
        <w:rPr>
          <w:rFonts w:eastAsia="Times New Roman"/>
          <w:i/>
          <w:iCs/>
          <w:color w:val="000000" w:themeColor="text1"/>
        </w:rPr>
        <w:t>et al</w:t>
      </w:r>
      <w:r w:rsidRPr="00D7082F">
        <w:rPr>
          <w:rFonts w:eastAsia="Times New Roman"/>
          <w:color w:val="000000" w:themeColor="text1"/>
        </w:rPr>
        <w:t xml:space="preserve">., 2020). In animal studies,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w:t>
      </w:r>
      <w:proofErr w:type="spellStart"/>
      <w:r w:rsidRPr="008A6B85">
        <w:rPr>
          <w:rFonts w:eastAsia="Times New Roman"/>
          <w:i/>
          <w:color w:val="000000" w:themeColor="text1"/>
        </w:rPr>
        <w:t>Ezekwesili</w:t>
      </w:r>
      <w:proofErr w:type="spellEnd"/>
      <w:r w:rsidRPr="008A6B85">
        <w:rPr>
          <w:rFonts w:eastAsia="Times New Roman"/>
          <w:i/>
          <w:color w:val="000000" w:themeColor="text1"/>
        </w:rPr>
        <w:t xml:space="preserve"> </w:t>
      </w:r>
      <w:r w:rsidRPr="008A6B85">
        <w:rPr>
          <w:rFonts w:eastAsia="Times New Roman"/>
          <w:i/>
          <w:iCs/>
          <w:color w:val="000000" w:themeColor="text1"/>
        </w:rPr>
        <w:t>et al</w:t>
      </w:r>
      <w:r w:rsidRPr="008A6B85">
        <w:rPr>
          <w:rFonts w:eastAsia="Times New Roman"/>
          <w:i/>
          <w:color w:val="000000" w:themeColor="text1"/>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are a large class of naturally occurring </w:t>
      </w:r>
      <w:proofErr w:type="spellStart"/>
      <w:r w:rsidRPr="00D7082F">
        <w:rPr>
          <w:rFonts w:eastAsia="Times New Roman"/>
          <w:color w:val="000000" w:themeColor="text1"/>
        </w:rPr>
        <w:t>polyphenolic</w:t>
      </w:r>
      <w:proofErr w:type="spellEnd"/>
      <w:r w:rsidRPr="00D7082F">
        <w:rPr>
          <w:rFonts w:eastAsia="Times New Roman"/>
          <w:color w:val="000000" w:themeColor="text1"/>
        </w:rPr>
        <w:t xml:space="preserve"> compounds that serve as powerful non-enzymatic antioxidants. They are known for their capacity to scavenge free radicals, inhibit oxidative damage, and modulate inflammatory responses, making them central to the prevention and management of </w:t>
      </w:r>
      <w:r w:rsidRPr="00D7082F">
        <w:rPr>
          <w:rFonts w:eastAsia="Times New Roman"/>
          <w:color w:val="000000" w:themeColor="text1"/>
        </w:rPr>
        <w:lastRenderedPageBreak/>
        <w:t xml:space="preserve">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TFC plays a crucial role in its </w:t>
      </w:r>
      <w:proofErr w:type="spellStart"/>
      <w:r w:rsidRPr="00D7082F">
        <w:rPr>
          <w:rFonts w:eastAsia="Times New Roman"/>
          <w:color w:val="000000" w:themeColor="text1"/>
        </w:rPr>
        <w:t>gastroprotective</w:t>
      </w:r>
      <w:proofErr w:type="spellEnd"/>
      <w:r w:rsidRPr="00D7082F">
        <w:rPr>
          <w:rFonts w:eastAsia="Times New Roman"/>
          <w:color w:val="000000" w:themeColor="text1"/>
        </w:rPr>
        <w:t xml:space="preserve">, anti-inflammatory, and wound-healing properties. TFC is typically determined using the </w:t>
      </w:r>
      <w:proofErr w:type="spellStart"/>
      <w:r w:rsidRPr="00D7082F">
        <w:rPr>
          <w:rFonts w:eastAsia="Times New Roman"/>
          <w:color w:val="000000" w:themeColor="text1"/>
        </w:rPr>
        <w:t>aluminium</w:t>
      </w:r>
      <w:proofErr w:type="spellEnd"/>
      <w:r w:rsidRPr="00D7082F">
        <w:rPr>
          <w:rFonts w:eastAsia="Times New Roman"/>
          <w:color w:val="000000" w:themeColor="text1"/>
        </w:rPr>
        <w:t xml:space="preserve"> chloride colorimetric method and results are expressed in </w:t>
      </w:r>
      <w:proofErr w:type="spellStart"/>
      <w:r w:rsidRPr="00D7082F">
        <w:rPr>
          <w:rFonts w:eastAsia="Times New Roman"/>
          <w:color w:val="000000" w:themeColor="text1"/>
        </w:rPr>
        <w:t>quercetin</w:t>
      </w:r>
      <w:proofErr w:type="spellEnd"/>
      <w:r w:rsidRPr="00D7082F">
        <w:rPr>
          <w:rFonts w:eastAsia="Times New Roman"/>
          <w:color w:val="000000" w:themeColor="text1"/>
        </w:rPr>
        <w:t xml:space="preserve"> equivalents (QE). Studies on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have revealed that it contains a high flavonoid content, particularly in its </w:t>
      </w:r>
      <w:proofErr w:type="spellStart"/>
      <w:r w:rsidRPr="00D7082F">
        <w:rPr>
          <w:rFonts w:eastAsia="Times New Roman"/>
          <w:color w:val="000000" w:themeColor="text1"/>
        </w:rPr>
        <w:t>ethanolic</w:t>
      </w:r>
      <w:proofErr w:type="spellEnd"/>
      <w:r w:rsidRPr="00D7082F">
        <w:rPr>
          <w:rFonts w:eastAsia="Times New Roman"/>
          <w:color w:val="000000" w:themeColor="text1"/>
        </w:rPr>
        <w:t xml:space="preserve"> and aqueous leaf extracts, which correlates with its notable antioxidant activity (</w:t>
      </w:r>
      <w:proofErr w:type="spellStart"/>
      <w:r w:rsidRPr="008A6B85">
        <w:rPr>
          <w:rFonts w:eastAsia="Times New Roman"/>
          <w:i/>
          <w:color w:val="000000" w:themeColor="text1"/>
        </w:rPr>
        <w:t>Ogunmoyole</w:t>
      </w:r>
      <w:proofErr w:type="spellEnd"/>
      <w:r w:rsidRPr="008A6B85">
        <w:rPr>
          <w:rFonts w:eastAsia="Times New Roman"/>
          <w:i/>
          <w:color w:val="000000" w:themeColor="text1"/>
        </w:rPr>
        <w:t xml:space="preserve"> </w:t>
      </w:r>
      <w:r w:rsidRPr="008A6B85">
        <w:rPr>
          <w:rFonts w:eastAsia="Times New Roman"/>
          <w:i/>
          <w:iCs/>
          <w:color w:val="000000" w:themeColor="text1"/>
        </w:rPr>
        <w:t>et al</w:t>
      </w:r>
      <w:r w:rsidRPr="008A6B85">
        <w:rPr>
          <w:rFonts w:eastAsia="Times New Roman"/>
          <w:i/>
          <w:color w:val="000000" w:themeColor="text1"/>
        </w:rPr>
        <w:t>.,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contribute to ulcer prevention through several biological mechanisms. Firstly, they </w:t>
      </w:r>
      <w:proofErr w:type="spellStart"/>
      <w:r w:rsidRPr="00D7082F">
        <w:rPr>
          <w:rFonts w:eastAsia="Times New Roman"/>
          <w:color w:val="000000" w:themeColor="text1"/>
        </w:rPr>
        <w:t>neutralise</w:t>
      </w:r>
      <w:proofErr w:type="spellEnd"/>
      <w:r w:rsidRPr="00D7082F">
        <w:rPr>
          <w:rFonts w:eastAsia="Times New Roman"/>
          <w:color w:val="000000" w:themeColor="text1"/>
        </w:rPr>
        <w:t xml:space="preserv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D7082F">
        <w:rPr>
          <w:rFonts w:eastAsia="Times New Roman"/>
          <w:color w:val="000000" w:themeColor="text1"/>
        </w:rPr>
        <w:t xml:space="preserve"> </w:t>
      </w:r>
      <w:r w:rsidRPr="008A6B85">
        <w:rPr>
          <w:rFonts w:eastAsia="Times New Roman"/>
          <w:i/>
          <w:color w:val="000000" w:themeColor="text1"/>
        </w:rPr>
        <w:t>(</w:t>
      </w:r>
      <w:proofErr w:type="spellStart"/>
      <w:r w:rsidRPr="008A6B85">
        <w:rPr>
          <w:rFonts w:eastAsia="Times New Roman"/>
          <w:i/>
          <w:color w:val="000000" w:themeColor="text1"/>
        </w:rPr>
        <w:t>Ezekwesili</w:t>
      </w:r>
      <w:proofErr w:type="spellEnd"/>
      <w:r w:rsidRPr="008A6B85">
        <w:rPr>
          <w:rFonts w:eastAsia="Times New Roman"/>
          <w:i/>
          <w:color w:val="000000" w:themeColor="text1"/>
        </w:rPr>
        <w:t xml:space="preserve">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proofErr w:type="spellStart"/>
      <w:r w:rsidRPr="008A6B85">
        <w:rPr>
          <w:rFonts w:eastAsia="Times New Roman"/>
          <w:b/>
          <w:i/>
          <w:color w:val="000000" w:themeColor="text1"/>
        </w:rPr>
        <w:t>Akinmoladun</w:t>
      </w:r>
      <w:proofErr w:type="spellEnd"/>
      <w:r w:rsidRPr="008A6B85">
        <w:rPr>
          <w:rFonts w:eastAsia="Times New Roman"/>
          <w:b/>
          <w:i/>
          <w:color w:val="000000" w:themeColor="text1"/>
        </w:rPr>
        <w:t xml:space="preserve"> </w:t>
      </w:r>
      <w:r w:rsidRPr="008A6B85">
        <w:rPr>
          <w:rFonts w:eastAsia="Times New Roman"/>
          <w:b/>
          <w:i/>
          <w:iCs/>
          <w:color w:val="000000" w:themeColor="text1"/>
        </w:rPr>
        <w:t>et al</w:t>
      </w:r>
      <w:r w:rsidRPr="008A6B85">
        <w:rPr>
          <w:rFonts w:eastAsia="Times New Roman"/>
          <w:b/>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2.6.1.3 Ferric reducing antioxidant power (FRAP)</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w:t>
      </w:r>
      <w:r w:rsidRPr="00D7082F">
        <w:rPr>
          <w:rFonts w:eastAsia="Times New Roman"/>
          <w:color w:val="000000" w:themeColor="text1"/>
        </w:rPr>
        <w:lastRenderedPageBreak/>
        <w:t xml:space="preserve">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a medicinal plant long used in traditional systems for treating stomach-related disorders, has demonstrated notable FRAP activity, especially in its leaf extracts. The antioxidant power exhibited is primarily attributed to its abundance of </w:t>
      </w:r>
      <w:proofErr w:type="spellStart"/>
      <w:r w:rsidRPr="00D7082F">
        <w:rPr>
          <w:rFonts w:eastAsia="Times New Roman"/>
          <w:color w:val="000000" w:themeColor="text1"/>
        </w:rPr>
        <w:t>polyphenolic</w:t>
      </w:r>
      <w:proofErr w:type="spellEnd"/>
      <w:r w:rsidRPr="00D7082F">
        <w:rPr>
          <w:rFonts w:eastAsia="Times New Roman"/>
          <w:color w:val="000000" w:themeColor="text1"/>
        </w:rPr>
        <w:t xml:space="preserve">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w:t>
      </w:r>
      <w:proofErr w:type="spellStart"/>
      <w:r w:rsidRPr="00D7082F">
        <w:rPr>
          <w:rFonts w:eastAsia="Times New Roman"/>
          <w:color w:val="000000" w:themeColor="text1"/>
        </w:rPr>
        <w:t>ulcerogenesis</w:t>
      </w:r>
      <w:proofErr w:type="spellEnd"/>
      <w:r w:rsidRPr="00D7082F">
        <w:rPr>
          <w:rFonts w:eastAsia="Times New Roman"/>
          <w:color w:val="000000" w:themeColor="text1"/>
        </w:rPr>
        <w:t xml:space="preserve">, contributing to mucosal erosion through the generation of free radicals that damage cell membranes, proteins, and DNA. Substances with high FRAP values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these include flavonoids, tannins, and </w:t>
      </w:r>
      <w:proofErr w:type="spellStart"/>
      <w:r w:rsidRPr="00D7082F">
        <w:rPr>
          <w:rFonts w:eastAsia="Times New Roman"/>
          <w:color w:val="000000" w:themeColor="text1"/>
        </w:rPr>
        <w:t>saponins</w:t>
      </w:r>
      <w:proofErr w:type="spellEnd"/>
      <w:r w:rsidRPr="00D7082F">
        <w:rPr>
          <w:rFonts w:eastAsia="Times New Roman"/>
          <w:color w:val="000000" w:themeColor="text1"/>
        </w:rPr>
        <w:t xml:space="preserve">, which may act synergistically to </w:t>
      </w:r>
      <w:proofErr w:type="spellStart"/>
      <w:r w:rsidRPr="00D7082F">
        <w:rPr>
          <w:rFonts w:eastAsia="Times New Roman"/>
          <w:color w:val="000000" w:themeColor="text1"/>
        </w:rPr>
        <w:t>neutralise</w:t>
      </w:r>
      <w:proofErr w:type="spellEnd"/>
      <w:r w:rsidRPr="00D7082F">
        <w:rPr>
          <w:rFonts w:eastAsia="Times New Roman"/>
          <w:color w:val="000000" w:themeColor="text1"/>
        </w:rPr>
        <w:t xml:space="preserve"> free radicals and reduce inflammation. This synergistic action contributes to the plant’s broader therapeutic roles, including its </w:t>
      </w:r>
      <w:proofErr w:type="spellStart"/>
      <w:r w:rsidRPr="00D7082F">
        <w:rPr>
          <w:rFonts w:eastAsia="Times New Roman"/>
          <w:color w:val="000000" w:themeColor="text1"/>
        </w:rPr>
        <w:t>gastroprotective</w:t>
      </w:r>
      <w:proofErr w:type="spellEnd"/>
      <w:r w:rsidRPr="00D7082F">
        <w:rPr>
          <w:rFonts w:eastAsia="Times New Roman"/>
          <w:color w:val="000000" w:themeColor="text1"/>
        </w:rPr>
        <w:t xml:space="preser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 xml:space="preserve">-azino-bis C3 </w:t>
      </w:r>
      <w:proofErr w:type="spellStart"/>
      <w:r w:rsidRPr="00D7082F">
        <w:rPr>
          <w:b/>
          <w:bCs/>
          <w:color w:val="000000" w:themeColor="text1"/>
          <w:sz w:val="28"/>
          <w:szCs w:val="28"/>
        </w:rPr>
        <w:t>ethylbenzothiazoline</w:t>
      </w:r>
      <w:proofErr w:type="spellEnd"/>
      <w:r w:rsidRPr="00D7082F">
        <w:rPr>
          <w:b/>
          <w:bCs/>
          <w:color w:val="000000" w:themeColor="text1"/>
          <w:sz w:val="28"/>
          <w:szCs w:val="28"/>
        </w:rPr>
        <w:t>-b-</w:t>
      </w:r>
      <w:proofErr w:type="spellStart"/>
      <w:r w:rsidRPr="00D7082F">
        <w:rPr>
          <w:b/>
          <w:bCs/>
          <w:color w:val="000000" w:themeColor="text1"/>
          <w:sz w:val="28"/>
          <w:szCs w:val="28"/>
        </w:rPr>
        <w:t>sulphonic</w:t>
      </w:r>
      <w:proofErr w:type="spellEnd"/>
      <w:r w:rsidRPr="00D7082F">
        <w:rPr>
          <w:b/>
          <w:bCs/>
          <w:color w:val="000000" w:themeColor="text1"/>
          <w:sz w:val="28"/>
          <w:szCs w:val="28"/>
        </w:rPr>
        <w:t xml:space="preserve"> acid (ABTS)</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ABTS [2,</w:t>
      </w:r>
      <w:r>
        <w:rPr>
          <w:rFonts w:eastAsia="Times New Roman"/>
          <w:color w:val="000000" w:themeColor="text1"/>
        </w:rPr>
        <w:t xml:space="preserve"> </w:t>
      </w:r>
      <w:r w:rsidRPr="00D7082F">
        <w:rPr>
          <w:rFonts w:eastAsia="Times New Roman"/>
          <w:color w:val="000000" w:themeColor="text1"/>
        </w:rPr>
        <w:t>2′-azino-</w:t>
      </w:r>
      <w:proofErr w:type="gramStart"/>
      <w:r w:rsidRPr="00D7082F">
        <w:rPr>
          <w:rFonts w:eastAsia="Times New Roman"/>
          <w:color w:val="000000" w:themeColor="text1"/>
        </w:rPr>
        <w:t>bis(</w:t>
      </w:r>
      <w:proofErr w:type="gramEnd"/>
      <w:r w:rsidRPr="00D7082F">
        <w:rPr>
          <w:rFonts w:eastAsia="Times New Roman"/>
          <w:color w:val="000000" w:themeColor="text1"/>
        </w:rPr>
        <w:t xml:space="preserve">3-ethylbenzothiazoline-6-sulphonic acid)] assay is a reliable method for determining the antioxidant capacity of natural compounds and plant extracts. It evaluates the ability of antioxidants to quench the ABTS⁺• radical </w:t>
      </w:r>
      <w:proofErr w:type="spellStart"/>
      <w:r w:rsidRPr="00D7082F">
        <w:rPr>
          <w:rFonts w:eastAsia="Times New Roman"/>
          <w:color w:val="000000" w:themeColor="text1"/>
        </w:rPr>
        <w:t>cation</w:t>
      </w:r>
      <w:proofErr w:type="spellEnd"/>
      <w:r w:rsidRPr="00D7082F">
        <w:rPr>
          <w:rFonts w:eastAsia="Times New Roman"/>
          <w:color w:val="000000" w:themeColor="text1"/>
        </w:rPr>
        <w:t xml:space="preserve">, producing a measurable reduction in absorbance. The higher the antioxidant activity, the more effectively the extract </w:t>
      </w:r>
      <w:proofErr w:type="spellStart"/>
      <w:r w:rsidRPr="00D7082F">
        <w:rPr>
          <w:rFonts w:eastAsia="Times New Roman"/>
          <w:color w:val="000000" w:themeColor="text1"/>
        </w:rPr>
        <w:t>neutralises</w:t>
      </w:r>
      <w:proofErr w:type="spellEnd"/>
      <w:r w:rsidRPr="00D7082F">
        <w:rPr>
          <w:rFonts w:eastAsia="Times New Roman"/>
          <w:color w:val="000000" w:themeColor="text1"/>
        </w:rPr>
        <w:t xml:space="preserve"> free radicals, making this assay </w:t>
      </w:r>
      <w:r w:rsidRPr="00D7082F">
        <w:rPr>
          <w:rFonts w:eastAsia="Times New Roman"/>
          <w:color w:val="000000" w:themeColor="text1"/>
        </w:rPr>
        <w:lastRenderedPageBreak/>
        <w:t xml:space="preserve">especially relevant in studies exploring the gastro protective potential of medicinal plants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w:t>
      </w:r>
      <w:proofErr w:type="spellStart"/>
      <w:r w:rsidRPr="008D6EF1">
        <w:rPr>
          <w:rFonts w:eastAsia="Times New Roman"/>
          <w:i/>
          <w:color w:val="000000" w:themeColor="text1"/>
        </w:rPr>
        <w:t>Adepoju</w:t>
      </w:r>
      <w:proofErr w:type="spellEnd"/>
      <w:r w:rsidRPr="008D6EF1">
        <w:rPr>
          <w:rFonts w:eastAsia="Times New Roman"/>
          <w:i/>
          <w:color w:val="000000" w:themeColor="text1"/>
        </w:rPr>
        <w:t xml:space="preserve">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w:t>
      </w:r>
      <w:proofErr w:type="spellStart"/>
      <w:r w:rsidRPr="00D7082F">
        <w:rPr>
          <w:rFonts w:eastAsia="Times New Roman"/>
          <w:color w:val="000000" w:themeColor="text1"/>
        </w:rPr>
        <w:t>polyphenolic</w:t>
      </w:r>
      <w:proofErr w:type="spellEnd"/>
      <w:r w:rsidRPr="00D7082F">
        <w:rPr>
          <w:rFonts w:eastAsia="Times New Roman"/>
          <w:color w:val="000000" w:themeColor="text1"/>
        </w:rPr>
        <w:t xml:space="preserve"> compounds, which are known to donate hydrogen atoms or electrons to </w:t>
      </w:r>
      <w:proofErr w:type="spellStart"/>
      <w:r w:rsidRPr="00D7082F">
        <w:rPr>
          <w:rFonts w:eastAsia="Times New Roman"/>
          <w:color w:val="000000" w:themeColor="text1"/>
        </w:rPr>
        <w:t>stabilise</w:t>
      </w:r>
      <w:proofErr w:type="spellEnd"/>
      <w:r w:rsidRPr="00D7082F">
        <w:rPr>
          <w:rFonts w:eastAsia="Times New Roman"/>
          <w:color w:val="000000" w:themeColor="text1"/>
        </w:rPr>
        <w:t xml:space="preserve"> free radicals and prevent cellular damage.</w:t>
      </w:r>
    </w:p>
    <w:p w:rsidR="00FB724C" w:rsidRPr="008D6EF1"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extracts to scavenge ABTS radicals suggests that the plant can protect gastric tissue by </w:t>
      </w:r>
      <w:proofErr w:type="spellStart"/>
      <w:r w:rsidRPr="00D7082F">
        <w:rPr>
          <w:rFonts w:eastAsia="Times New Roman"/>
          <w:color w:val="000000" w:themeColor="text1"/>
        </w:rPr>
        <w:t>neutralising</w:t>
      </w:r>
      <w:proofErr w:type="spellEnd"/>
      <w:r w:rsidRPr="00D7082F">
        <w:rPr>
          <w:rFonts w:eastAsia="Times New Roman"/>
          <w:color w:val="000000" w:themeColor="text1"/>
        </w:rPr>
        <w:t xml:space="preserve"> free radicals, thereby preventing or reducing ulcer formation </w:t>
      </w:r>
      <w:r w:rsidRPr="00A01ECE">
        <w:rPr>
          <w:rFonts w:eastAsia="Times New Roman"/>
          <w:i/>
          <w:color w:val="000000" w:themeColor="text1"/>
        </w:rPr>
        <w:t>(</w:t>
      </w:r>
      <w:proofErr w:type="spellStart"/>
      <w:r w:rsidRPr="00A01ECE">
        <w:rPr>
          <w:rFonts w:eastAsia="Times New Roman"/>
          <w:i/>
          <w:color w:val="000000" w:themeColor="text1"/>
        </w:rPr>
        <w:t>Nwanya</w:t>
      </w:r>
      <w:proofErr w:type="spellEnd"/>
      <w:r w:rsidRPr="00A01ECE">
        <w:rPr>
          <w:rFonts w:eastAsia="Times New Roman"/>
          <w:i/>
          <w:color w:val="000000" w:themeColor="text1"/>
        </w:rPr>
        <w:t xml:space="preserve">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w:t>
      </w:r>
      <w:proofErr w:type="spellStart"/>
      <w:r w:rsidRPr="008D6EF1">
        <w:rPr>
          <w:rFonts w:eastAsia="Times New Roman"/>
          <w:i/>
          <w:color w:val="000000" w:themeColor="text1"/>
        </w:rPr>
        <w:t>Odeyemi</w:t>
      </w:r>
      <w:proofErr w:type="spellEnd"/>
      <w:r w:rsidRPr="008D6EF1">
        <w:rPr>
          <w:rFonts w:eastAsia="Times New Roman"/>
          <w:i/>
          <w:color w:val="000000" w:themeColor="text1"/>
        </w:rPr>
        <w:t xml:space="preserve"> </w:t>
      </w:r>
      <w:r w:rsidRPr="008D6EF1">
        <w:rPr>
          <w:rFonts w:eastAsia="Times New Roman"/>
          <w:i/>
          <w:iCs/>
          <w:color w:val="000000" w:themeColor="text1"/>
        </w:rPr>
        <w:t>et al</w:t>
      </w:r>
      <w:r w:rsidRPr="008D6EF1">
        <w:rPr>
          <w:rFonts w:eastAsia="Times New Roman"/>
          <w:i/>
          <w:color w:val="000000" w:themeColor="text1"/>
        </w:rPr>
        <w:t>., 2022)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w:t>
      </w:r>
      <w:r w:rsidRPr="00D7082F">
        <w:rPr>
          <w:rFonts w:eastAsia="Times New Roman"/>
          <w:color w:val="000000" w:themeColor="text1"/>
        </w:rPr>
        <w:lastRenderedPageBreak/>
        <w:t xml:space="preserve">valuable insight into its potential biological protective effects. Medicinal plants like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w:t>
      </w:r>
      <w:proofErr w:type="spellStart"/>
      <w:r w:rsidRPr="00D7082F">
        <w:rPr>
          <w:rFonts w:eastAsia="Times New Roman"/>
          <w:color w:val="000000" w:themeColor="text1"/>
        </w:rPr>
        <w:t>neutralise</w:t>
      </w:r>
      <w:proofErr w:type="spellEnd"/>
      <w:r w:rsidRPr="00D7082F">
        <w:rPr>
          <w:rFonts w:eastAsia="Times New Roman"/>
          <w:color w:val="000000" w:themeColor="text1"/>
        </w:rPr>
        <w:t xml:space="preserve"> free radicals </w:t>
      </w:r>
      <w:r w:rsidRPr="00282F4A">
        <w:rPr>
          <w:rFonts w:eastAsia="Times New Roman"/>
          <w:i/>
          <w:color w:val="000000" w:themeColor="text1"/>
        </w:rPr>
        <w:t>(</w:t>
      </w:r>
      <w:proofErr w:type="spellStart"/>
      <w:r w:rsidRPr="00282F4A">
        <w:rPr>
          <w:rFonts w:eastAsia="Times New Roman"/>
          <w:i/>
          <w:color w:val="000000" w:themeColor="text1"/>
        </w:rPr>
        <w:t>Olasehinde</w:t>
      </w:r>
      <w:proofErr w:type="spellEnd"/>
      <w:r w:rsidRPr="00282F4A">
        <w:rPr>
          <w:rFonts w:eastAsia="Times New Roman"/>
          <w:i/>
          <w:color w:val="000000" w:themeColor="text1"/>
        </w:rPr>
        <w:t xml:space="preserve"> </w:t>
      </w:r>
      <w:r w:rsidRPr="00282F4A">
        <w:rPr>
          <w:rFonts w:eastAsia="Times New Roman"/>
          <w:i/>
          <w:iCs/>
          <w:color w:val="000000" w:themeColor="text1"/>
        </w:rPr>
        <w:t>et al</w:t>
      </w:r>
      <w:r w:rsidRPr="00282F4A">
        <w:rPr>
          <w:rFonts w:eastAsia="Times New Roman"/>
          <w:i/>
          <w:color w:val="000000" w:themeColor="text1"/>
        </w:rPr>
        <w:t>., 2022).</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with high DPPH scavenging capacity have been found to reduce oxidative stress markers, thereby supporting their </w:t>
      </w:r>
      <w:proofErr w:type="spellStart"/>
      <w:r w:rsidRPr="00D7082F">
        <w:rPr>
          <w:rFonts w:eastAsia="Times New Roman"/>
          <w:color w:val="000000" w:themeColor="text1"/>
        </w:rPr>
        <w:t>gastroprotective</w:t>
      </w:r>
      <w:proofErr w:type="spellEnd"/>
      <w:r w:rsidRPr="00D7082F">
        <w:rPr>
          <w:rFonts w:eastAsia="Times New Roman"/>
          <w:color w:val="000000" w:themeColor="text1"/>
        </w:rPr>
        <w:t xml:space="preserve"> potential </w:t>
      </w:r>
      <w:r w:rsidRPr="00282F4A">
        <w:rPr>
          <w:rFonts w:eastAsia="Times New Roman"/>
          <w:i/>
          <w:color w:val="000000" w:themeColor="text1"/>
        </w:rPr>
        <w:t>(</w:t>
      </w:r>
      <w:proofErr w:type="spellStart"/>
      <w:r w:rsidRPr="00282F4A">
        <w:rPr>
          <w:rFonts w:eastAsia="Times New Roman"/>
          <w:i/>
          <w:color w:val="000000" w:themeColor="text1"/>
        </w:rPr>
        <w:t>Iroanya</w:t>
      </w:r>
      <w:proofErr w:type="spellEnd"/>
      <w:r w:rsidRPr="00282F4A">
        <w:rPr>
          <w:rFonts w:eastAsia="Times New Roman"/>
          <w:i/>
          <w:color w:val="000000" w:themeColor="text1"/>
        </w:rPr>
        <w:t xml:space="preserve"> and </w:t>
      </w:r>
      <w:proofErr w:type="spellStart"/>
      <w:r w:rsidRPr="00282F4A">
        <w:rPr>
          <w:rFonts w:eastAsia="Times New Roman"/>
          <w:i/>
          <w:color w:val="000000" w:themeColor="text1"/>
        </w:rPr>
        <w:t>Onajobi</w:t>
      </w:r>
      <w:proofErr w:type="spellEnd"/>
      <w:r w:rsidRPr="00282F4A">
        <w:rPr>
          <w:rFonts w:eastAsia="Times New Roman"/>
          <w:i/>
          <w:color w:val="000000" w:themeColor="text1"/>
        </w:rPr>
        <w:t>,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w:t>
      </w:r>
      <w:proofErr w:type="spellStart"/>
      <w:r w:rsidRPr="00282F4A">
        <w:rPr>
          <w:rFonts w:eastAsia="Times New Roman"/>
          <w:i/>
          <w:color w:val="000000" w:themeColor="text1"/>
        </w:rPr>
        <w:t>Ajiboye</w:t>
      </w:r>
      <w:proofErr w:type="spellEnd"/>
      <w:r w:rsidRPr="00282F4A">
        <w:rPr>
          <w:rFonts w:eastAsia="Times New Roman"/>
          <w:i/>
          <w:color w:val="000000" w:themeColor="text1"/>
        </w:rPr>
        <w:t xml:space="preserve"> </w:t>
      </w:r>
      <w:r w:rsidRPr="00282F4A">
        <w:rPr>
          <w:rFonts w:eastAsia="Times New Roman"/>
          <w:i/>
          <w:iCs/>
          <w:color w:val="000000" w:themeColor="text1"/>
        </w:rPr>
        <w:t>et al</w:t>
      </w:r>
      <w:r w:rsidRPr="00282F4A">
        <w:rPr>
          <w:rFonts w:eastAsia="Times New Roman"/>
          <w:i/>
          <w:color w:val="000000" w:themeColor="text1"/>
        </w:rPr>
        <w:t>., 2021).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FB724C" w:rsidRPr="00D7082F" w:rsidRDefault="00FB724C" w:rsidP="00FB724C">
      <w:pPr>
        <w:pStyle w:val="NormalWeb"/>
        <w:spacing w:line="360" w:lineRule="auto"/>
        <w:ind w:firstLine="720"/>
        <w:jc w:val="both"/>
        <w:rPr>
          <w:b/>
          <w:bCs/>
          <w:color w:val="000000" w:themeColor="text1"/>
          <w:sz w:val="28"/>
          <w:szCs w:val="28"/>
        </w:rPr>
      </w:pPr>
      <w:r w:rsidRPr="00D7082F">
        <w:rPr>
          <w:color w:val="000000" w:themeColor="text1"/>
          <w:sz w:val="28"/>
          <w:szCs w:val="28"/>
        </w:rPr>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w:t>
      </w:r>
      <w:proofErr w:type="spellStart"/>
      <w:r w:rsidRPr="00D7082F">
        <w:rPr>
          <w:rStyle w:val="Strong"/>
          <w:color w:val="000000" w:themeColor="text1"/>
          <w:sz w:val="28"/>
          <w:szCs w:val="28"/>
        </w:rPr>
        <w:t>GPx</w:t>
      </w:r>
      <w:proofErr w:type="spellEnd"/>
      <w:r w:rsidRPr="00D7082F">
        <w:rPr>
          <w:rStyle w:val="Strong"/>
          <w:color w:val="000000" w:themeColor="text1"/>
          <w:sz w:val="28"/>
          <w:szCs w:val="28"/>
        </w:rPr>
        <w:t>)</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w:t>
      </w:r>
      <w:r w:rsidRPr="00D7082F">
        <w:rPr>
          <w:color w:val="000000" w:themeColor="text1"/>
          <w:sz w:val="28"/>
          <w:szCs w:val="28"/>
        </w:rPr>
        <w:lastRenderedPageBreak/>
        <w:t xml:space="preserve">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w:t>
      </w:r>
      <w:proofErr w:type="spellStart"/>
      <w:r>
        <w:rPr>
          <w:i/>
          <w:color w:val="000000" w:themeColor="text1"/>
          <w:sz w:val="28"/>
          <w:szCs w:val="28"/>
        </w:rPr>
        <w:t>Apel</w:t>
      </w:r>
      <w:proofErr w:type="spellEnd"/>
      <w:r>
        <w:rPr>
          <w:i/>
          <w:color w:val="000000" w:themeColor="text1"/>
          <w:sz w:val="28"/>
          <w:szCs w:val="28"/>
        </w:rPr>
        <w:t xml:space="preserve"> and</w:t>
      </w:r>
      <w:r w:rsidRPr="00282F4A">
        <w:rPr>
          <w:i/>
          <w:color w:val="000000" w:themeColor="text1"/>
          <w:sz w:val="28"/>
          <w:szCs w:val="28"/>
        </w:rPr>
        <w:t xml:space="preserve"> </w:t>
      </w:r>
      <w:proofErr w:type="spellStart"/>
      <w:r w:rsidRPr="00282F4A">
        <w:rPr>
          <w:i/>
          <w:color w:val="000000" w:themeColor="text1"/>
          <w:sz w:val="28"/>
          <w:szCs w:val="28"/>
        </w:rPr>
        <w:t>Hirt</w:t>
      </w:r>
      <w:proofErr w:type="spellEnd"/>
      <w:r w:rsidRPr="00282F4A">
        <w:rPr>
          <w:i/>
          <w:color w:val="000000" w:themeColor="text1"/>
          <w:sz w:val="28"/>
          <w:szCs w:val="28"/>
        </w:rPr>
        <w:t>, 2004).</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w:t>
      </w:r>
      <w:proofErr w:type="spellStart"/>
      <w:r w:rsidRPr="00D7082F">
        <w:rPr>
          <w:color w:val="000000" w:themeColor="text1"/>
          <w:sz w:val="28"/>
          <w:szCs w:val="28"/>
        </w:rPr>
        <w:t>Mittler</w:t>
      </w:r>
      <w:proofErr w:type="spellEnd"/>
      <w:r w:rsidRPr="00D7082F">
        <w:rPr>
          <w:color w:val="000000" w:themeColor="text1"/>
          <w:sz w:val="28"/>
          <w:szCs w:val="28"/>
        </w:rPr>
        <w:t>, 2002)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FB724C" w:rsidRPr="00282F4A"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proofErr w:type="spellStart"/>
      <w:r w:rsidRPr="00282F4A">
        <w:rPr>
          <w:i/>
          <w:color w:val="000000" w:themeColor="text1"/>
          <w:sz w:val="28"/>
          <w:szCs w:val="28"/>
          <w:shd w:val="clear" w:color="auto" w:fill="FFFFFF"/>
        </w:rPr>
        <w:t>Bafana</w:t>
      </w:r>
      <w:proofErr w:type="spellEnd"/>
      <w:r w:rsidRPr="00282F4A">
        <w:rPr>
          <w:i/>
          <w:color w:val="000000" w:themeColor="text1"/>
          <w:sz w:val="28"/>
          <w:szCs w:val="28"/>
          <w:shd w:val="clear" w:color="auto" w:fill="FFFFFF"/>
        </w:rPr>
        <w:t xml:space="preserve">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SOD is ubiquitous to all forms of life. Four different types of metal centers have been detected in SOD, dividing this family into </w:t>
      </w:r>
      <w:proofErr w:type="spellStart"/>
      <w:r w:rsidRPr="00D7082F">
        <w:rPr>
          <w:color w:val="000000" w:themeColor="text1"/>
          <w:sz w:val="28"/>
          <w:szCs w:val="28"/>
        </w:rPr>
        <w:t>Cu</w:t>
      </w:r>
      <w:proofErr w:type="gramStart"/>
      <w:r w:rsidRPr="00D7082F">
        <w:rPr>
          <w:color w:val="000000" w:themeColor="text1"/>
          <w:sz w:val="28"/>
          <w:szCs w:val="28"/>
        </w:rPr>
        <w:t>,Zn</w:t>
      </w:r>
      <w:proofErr w:type="spellEnd"/>
      <w:proofErr w:type="gramEnd"/>
      <w:r w:rsidRPr="00D7082F">
        <w:rPr>
          <w:color w:val="000000" w:themeColor="text1"/>
          <w:sz w:val="28"/>
          <w:szCs w:val="28"/>
        </w:rPr>
        <w:t xml:space="preserve">-, Fe-, </w:t>
      </w:r>
      <w:proofErr w:type="spellStart"/>
      <w:r w:rsidRPr="00D7082F">
        <w:rPr>
          <w:color w:val="000000" w:themeColor="text1"/>
          <w:sz w:val="28"/>
          <w:szCs w:val="28"/>
        </w:rPr>
        <w:t>Mn</w:t>
      </w:r>
      <w:proofErr w:type="spellEnd"/>
      <w:r w:rsidRPr="00D7082F">
        <w:rPr>
          <w:color w:val="000000" w:themeColor="text1"/>
          <w:sz w:val="28"/>
          <w:szCs w:val="28"/>
        </w:rPr>
        <w:t xml:space="preserve">- and Ni-SODs. </w:t>
      </w:r>
      <w:r w:rsidRPr="00D7082F">
        <w:rPr>
          <w:color w:val="000000" w:themeColor="text1"/>
          <w:sz w:val="28"/>
          <w:szCs w:val="28"/>
        </w:rPr>
        <w:lastRenderedPageBreak/>
        <w:t>The evolution of SOD and other antioxidant enzymes was probably triggered by production of O2 by photosynthetic organisms about 2 billion years ago. Two major kinds of SOD appeared independently in prokaryotes at that time, Cu, Zn SODs and Fe SODs/</w:t>
      </w:r>
      <w:proofErr w:type="spellStart"/>
      <w:r w:rsidRPr="00D7082F">
        <w:rPr>
          <w:color w:val="000000" w:themeColor="text1"/>
          <w:sz w:val="28"/>
          <w:szCs w:val="28"/>
        </w:rPr>
        <w:t>Mn</w:t>
      </w:r>
      <w:proofErr w:type="spellEnd"/>
      <w:r w:rsidRPr="00D7082F">
        <w:rPr>
          <w:color w:val="000000" w:themeColor="text1"/>
          <w:sz w:val="28"/>
          <w:szCs w:val="28"/>
        </w:rPr>
        <w:t xml:space="preserve"> SODs. Fe/</w:t>
      </w:r>
      <w:proofErr w:type="spellStart"/>
      <w:r w:rsidRPr="00D7082F">
        <w:rPr>
          <w:color w:val="000000" w:themeColor="text1"/>
          <w:sz w:val="28"/>
          <w:szCs w:val="28"/>
        </w:rPr>
        <w:t>Mn</w:t>
      </w:r>
      <w:proofErr w:type="spellEnd"/>
      <w:r w:rsidRPr="00D7082F">
        <w:rPr>
          <w:color w:val="000000" w:themeColor="text1"/>
          <w:sz w:val="28"/>
          <w:szCs w:val="28"/>
        </w:rPr>
        <w:t xml:space="preserve"> SODs then evolved into Fe and </w:t>
      </w:r>
      <w:proofErr w:type="spellStart"/>
      <w:r w:rsidRPr="00D7082F">
        <w:rPr>
          <w:color w:val="000000" w:themeColor="text1"/>
          <w:sz w:val="28"/>
          <w:szCs w:val="28"/>
        </w:rPr>
        <w:t>Mn</w:t>
      </w:r>
      <w:proofErr w:type="spellEnd"/>
      <w:r w:rsidRPr="00D7082F">
        <w:rPr>
          <w:color w:val="000000" w:themeColor="text1"/>
          <w:sz w:val="28"/>
          <w:szCs w:val="28"/>
        </w:rPr>
        <w:t xml:space="preserve"> SODs by gene duplication. This may be the reason why Fe and </w:t>
      </w:r>
      <w:proofErr w:type="spellStart"/>
      <w:r w:rsidRPr="00D7082F">
        <w:rPr>
          <w:color w:val="000000" w:themeColor="text1"/>
          <w:sz w:val="28"/>
          <w:szCs w:val="28"/>
        </w:rPr>
        <w:t>Mn</w:t>
      </w:r>
      <w:proofErr w:type="spellEnd"/>
      <w:r w:rsidRPr="00D7082F">
        <w:rPr>
          <w:color w:val="000000" w:themeColor="text1"/>
          <w:sz w:val="28"/>
          <w:szCs w:val="28"/>
        </w:rPr>
        <w:t xml:space="preserve">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w:t>
      </w:r>
      <w:proofErr w:type="spellStart"/>
      <w:r w:rsidRPr="00D7082F">
        <w:rPr>
          <w:color w:val="000000" w:themeColor="text1"/>
          <w:sz w:val="28"/>
          <w:szCs w:val="28"/>
        </w:rPr>
        <w:t>Mn</w:t>
      </w:r>
      <w:proofErr w:type="spellEnd"/>
      <w:r w:rsidRPr="00D7082F">
        <w:rPr>
          <w:color w:val="000000" w:themeColor="text1"/>
          <w:sz w:val="28"/>
          <w:szCs w:val="28"/>
        </w:rPr>
        <w:t xml:space="preserve">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w:t>
      </w:r>
      <w:proofErr w:type="spellStart"/>
      <w:r w:rsidRPr="00D7082F">
        <w:rPr>
          <w:color w:val="000000" w:themeColor="text1"/>
          <w:sz w:val="28"/>
          <w:szCs w:val="28"/>
        </w:rPr>
        <w:t>Mn</w:t>
      </w:r>
      <w:proofErr w:type="spellEnd"/>
      <w:r w:rsidRPr="00D7082F">
        <w:rPr>
          <w:color w:val="000000" w:themeColor="text1"/>
          <w:sz w:val="28"/>
          <w:szCs w:val="28"/>
        </w:rPr>
        <w:t xml:space="preserve">. A phylogenetic tree of Fe- and </w:t>
      </w:r>
      <w:proofErr w:type="spellStart"/>
      <w:r w:rsidRPr="00D7082F">
        <w:rPr>
          <w:color w:val="000000" w:themeColor="text1"/>
          <w:sz w:val="28"/>
          <w:szCs w:val="28"/>
        </w:rPr>
        <w:t>Mn</w:t>
      </w:r>
      <w:proofErr w:type="spellEnd"/>
      <w:r w:rsidRPr="00D7082F">
        <w:rPr>
          <w:color w:val="000000" w:themeColor="text1"/>
          <w:sz w:val="28"/>
          <w:szCs w:val="28"/>
        </w:rPr>
        <w:t xml:space="preserve"> SODs shows short distances separating Fe SODs from </w:t>
      </w:r>
      <w:proofErr w:type="spellStart"/>
      <w:r w:rsidRPr="00D7082F">
        <w:rPr>
          <w:color w:val="000000" w:themeColor="text1"/>
          <w:sz w:val="28"/>
          <w:szCs w:val="28"/>
        </w:rPr>
        <w:t>Mn</w:t>
      </w:r>
      <w:proofErr w:type="spellEnd"/>
      <w:r w:rsidRPr="00D7082F">
        <w:rPr>
          <w:color w:val="000000" w:themeColor="text1"/>
          <w:sz w:val="28"/>
          <w:szCs w:val="28"/>
        </w:rPr>
        <w:t xml:space="preserve"> SODs, confirming a common phylogenetic origin for these two, and suggesting likely frequent horizontal gene transfer. The tree also clearly separates </w:t>
      </w:r>
      <w:proofErr w:type="spellStart"/>
      <w:r w:rsidRPr="00D7082F">
        <w:rPr>
          <w:color w:val="000000" w:themeColor="text1"/>
          <w:sz w:val="28"/>
          <w:szCs w:val="28"/>
        </w:rPr>
        <w:t>archaeal</w:t>
      </w:r>
      <w:proofErr w:type="spellEnd"/>
      <w:r w:rsidRPr="00D7082F">
        <w:rPr>
          <w:color w:val="000000" w:themeColor="text1"/>
          <w:sz w:val="28"/>
          <w:szCs w:val="28"/>
        </w:rPr>
        <w:t xml:space="preserve"> SODs from other prokaryotic SODs (Schafer and </w:t>
      </w:r>
      <w:proofErr w:type="spellStart"/>
      <w:r w:rsidRPr="00D7082F">
        <w:rPr>
          <w:color w:val="000000" w:themeColor="text1"/>
          <w:sz w:val="28"/>
          <w:szCs w:val="28"/>
        </w:rPr>
        <w:t>Kardinahl</w:t>
      </w:r>
      <w:proofErr w:type="spellEnd"/>
      <w:r w:rsidRPr="00D7082F">
        <w:rPr>
          <w:color w:val="000000" w:themeColor="text1"/>
          <w:sz w:val="28"/>
          <w:szCs w:val="28"/>
        </w:rPr>
        <w:t xml:space="preserve">, 2003). </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FB724C" w:rsidRPr="00D7082F" w:rsidRDefault="00FB724C" w:rsidP="00FB724C">
      <w:pPr>
        <w:pStyle w:val="NormalWeb"/>
        <w:spacing w:line="360" w:lineRule="auto"/>
        <w:jc w:val="both"/>
        <w:rPr>
          <w:b/>
          <w:bCs/>
          <w:color w:val="000000" w:themeColor="text1"/>
          <w:sz w:val="28"/>
          <w:szCs w:val="28"/>
        </w:rPr>
      </w:pPr>
      <w:r w:rsidRPr="00D7082F">
        <w:rPr>
          <w:b/>
          <w:bCs/>
          <w:noProof/>
          <w:color w:val="000000" w:themeColor="text1"/>
          <w:sz w:val="28"/>
          <w:szCs w:val="28"/>
        </w:rPr>
        <w:drawing>
          <wp:inline distT="0" distB="0" distL="0" distR="0" wp14:anchorId="1A0AAB4A" wp14:editId="2659F367">
            <wp:extent cx="2417197" cy="637665"/>
            <wp:effectExtent l="0" t="0" r="2540" b="0"/>
            <wp:docPr id="132032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6"/>
                    <a:stretch>
                      <a:fillRect/>
                    </a:stretch>
                  </pic:blipFill>
                  <pic:spPr>
                    <a:xfrm>
                      <a:off x="0" y="0"/>
                      <a:ext cx="2429697" cy="640963"/>
                    </a:xfrm>
                    <a:prstGeom prst="rect">
                      <a:avLst/>
                    </a:prstGeom>
                  </pic:spPr>
                </pic:pic>
              </a:graphicData>
            </a:graphic>
          </wp:inline>
        </w:drawing>
      </w:r>
    </w:p>
    <w:p w:rsidR="00FB724C" w:rsidRPr="00282F4A" w:rsidRDefault="00FB724C" w:rsidP="00FB724C">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w:t>
      </w:r>
      <w:r w:rsidRPr="00D7082F">
        <w:rPr>
          <w:color w:val="000000" w:themeColor="text1"/>
          <w:sz w:val="28"/>
          <w:szCs w:val="28"/>
        </w:rPr>
        <w:lastRenderedPageBreak/>
        <w:t xml:space="preserve">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proofErr w:type="spellStart"/>
      <w:r w:rsidRPr="00282F4A">
        <w:rPr>
          <w:i/>
          <w:color w:val="000000" w:themeColor="text1"/>
          <w:sz w:val="28"/>
          <w:szCs w:val="28"/>
          <w:shd w:val="clear" w:color="auto" w:fill="FFFFFF"/>
        </w:rPr>
        <w:t>Bafana</w:t>
      </w:r>
      <w:proofErr w:type="spellEnd"/>
      <w:r w:rsidRPr="00282F4A">
        <w:rPr>
          <w:i/>
          <w:color w:val="000000" w:themeColor="text1"/>
          <w:sz w:val="28"/>
          <w:szCs w:val="28"/>
          <w:shd w:val="clear" w:color="auto" w:fill="FFFFFF"/>
        </w:rPr>
        <w:t xml:space="preserve">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w:t>
      </w:r>
      <w:proofErr w:type="spellStart"/>
      <w:r w:rsidRPr="00D7082F">
        <w:rPr>
          <w:rFonts w:eastAsia="Times New Roman"/>
          <w:color w:val="000000" w:themeColor="text1"/>
        </w:rPr>
        <w:t>Chelikani</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Fita</w:t>
      </w:r>
      <w:proofErr w:type="spellEnd"/>
      <w:r w:rsidRPr="00D7082F">
        <w:rPr>
          <w:rFonts w:eastAsia="Times New Roman"/>
          <w:color w:val="000000" w:themeColor="text1"/>
        </w:rPr>
        <w:t xml:space="preserve">, and </w:t>
      </w:r>
      <w:proofErr w:type="spellStart"/>
      <w:r w:rsidRPr="00D7082F">
        <w:rPr>
          <w:rFonts w:eastAsia="Times New Roman"/>
          <w:color w:val="000000" w:themeColor="text1"/>
        </w:rPr>
        <w:t>Loewen</w:t>
      </w:r>
      <w:proofErr w:type="spellEnd"/>
      <w:r w:rsidRPr="00D7082F">
        <w:rPr>
          <w:rFonts w:eastAsia="Times New Roman"/>
          <w:color w:val="000000" w:themeColor="text1"/>
        </w:rPr>
        <w:t xml:space="preserve">,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w:t>
      </w:r>
      <w:proofErr w:type="spellStart"/>
      <w:r w:rsidRPr="00282F4A">
        <w:rPr>
          <w:rFonts w:eastAsia="Times New Roman"/>
          <w:i/>
          <w:color w:val="000000" w:themeColor="text1"/>
        </w:rPr>
        <w:t>Halliwell</w:t>
      </w:r>
      <w:proofErr w:type="spellEnd"/>
      <w:r w:rsidRPr="00282F4A">
        <w:rPr>
          <w:rFonts w:eastAsia="Times New Roman"/>
          <w:i/>
          <w:color w:val="000000" w:themeColor="text1"/>
        </w:rPr>
        <w:t xml:space="preserve"> and </w:t>
      </w:r>
      <w:proofErr w:type="spellStart"/>
      <w:r w:rsidRPr="00282F4A">
        <w:rPr>
          <w:rFonts w:eastAsia="Times New Roman"/>
          <w:i/>
          <w:color w:val="000000" w:themeColor="text1"/>
        </w:rPr>
        <w:t>Gutteridge</w:t>
      </w:r>
      <w:proofErr w:type="spellEnd"/>
      <w:r w:rsidRPr="00282F4A">
        <w:rPr>
          <w:rFonts w:eastAsia="Times New Roman"/>
          <w:i/>
          <w:color w:val="000000" w:themeColor="text1"/>
        </w:rPr>
        <w:t>, 2015).</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FB724C" w:rsidRPr="00282F4A"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FB724C" w:rsidRDefault="00FB724C" w:rsidP="00FB724C">
      <w:pPr>
        <w:pStyle w:val="NormalWeb"/>
        <w:spacing w:line="360" w:lineRule="auto"/>
        <w:jc w:val="both"/>
        <w:rPr>
          <w:b/>
          <w:bCs/>
          <w:color w:val="000000" w:themeColor="text1"/>
          <w:sz w:val="28"/>
          <w:szCs w:val="28"/>
        </w:rPr>
      </w:pPr>
    </w:p>
    <w:p w:rsidR="00FB724C" w:rsidRDefault="00FB724C" w:rsidP="00FB724C">
      <w:pPr>
        <w:pStyle w:val="NormalWeb"/>
        <w:spacing w:line="360" w:lineRule="auto"/>
        <w:jc w:val="both"/>
        <w:rPr>
          <w:b/>
          <w:bCs/>
          <w:color w:val="000000" w:themeColor="text1"/>
          <w:sz w:val="28"/>
          <w:szCs w:val="28"/>
        </w:rPr>
      </w:pP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 Lipid peroxidation parameters </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w:t>
      </w:r>
      <w:proofErr w:type="spellStart"/>
      <w:r w:rsidRPr="00D7082F">
        <w:rPr>
          <w:color w:val="000000" w:themeColor="text1"/>
        </w:rPr>
        <w:t>oxidizable</w:t>
      </w:r>
      <w:proofErr w:type="spellEnd"/>
      <w:r w:rsidRPr="00D7082F">
        <w:rPr>
          <w:color w:val="000000" w:themeColor="text1"/>
        </w:rPr>
        <w:t xml:space="preserv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w:t>
      </w:r>
      <w:proofErr w:type="spellStart"/>
      <w:r w:rsidRPr="00282F4A">
        <w:rPr>
          <w:i/>
          <w:color w:val="000000" w:themeColor="text1"/>
        </w:rPr>
        <w:t>Valgimigli</w:t>
      </w:r>
      <w:proofErr w:type="spellEnd"/>
      <w:r w:rsidRPr="00282F4A">
        <w:rPr>
          <w:i/>
          <w:color w:val="000000" w:themeColor="text1"/>
        </w:rPr>
        <w:t xml:space="preserve">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w:t>
      </w:r>
      <w:proofErr w:type="spellStart"/>
      <w:r w:rsidRPr="00D7082F">
        <w:rPr>
          <w:color w:val="000000" w:themeColor="text1"/>
        </w:rPr>
        <w:t>terpenes</w:t>
      </w:r>
      <w:proofErr w:type="spellEnd"/>
      <w:r w:rsidRPr="00D7082F">
        <w:rPr>
          <w:color w:val="000000" w:themeColor="text1"/>
        </w:rPr>
        <w:t xml:space="preserve"> and </w:t>
      </w:r>
      <w:proofErr w:type="spellStart"/>
      <w:r w:rsidRPr="00D7082F">
        <w:rPr>
          <w:color w:val="000000" w:themeColor="text1"/>
        </w:rPr>
        <w:t>terpenoids</w:t>
      </w:r>
      <w:proofErr w:type="spellEnd"/>
      <w:r w:rsidRPr="00D7082F">
        <w:rPr>
          <w:color w:val="000000" w:themeColor="text1"/>
        </w:rPr>
        <w:t xml:space="preserve"> from essential oils, which act by favoring the radical-chain termination without actually impairing propagation </w:t>
      </w:r>
      <w:r w:rsidRPr="00282F4A">
        <w:rPr>
          <w:i/>
          <w:color w:val="000000" w:themeColor="text1"/>
        </w:rPr>
        <w:t>(</w:t>
      </w:r>
      <w:proofErr w:type="spellStart"/>
      <w:r w:rsidRPr="00282F4A">
        <w:rPr>
          <w:i/>
          <w:color w:val="000000" w:themeColor="text1"/>
        </w:rPr>
        <w:t>Amorati</w:t>
      </w:r>
      <w:proofErr w:type="spellEnd"/>
      <w:r w:rsidRPr="00282F4A">
        <w:rPr>
          <w:i/>
          <w:color w:val="000000" w:themeColor="text1"/>
        </w:rPr>
        <w:t xml:space="preserve"> and </w:t>
      </w:r>
      <w:proofErr w:type="spellStart"/>
      <w:r w:rsidRPr="00282F4A">
        <w:rPr>
          <w:i/>
          <w:color w:val="000000" w:themeColor="text1"/>
        </w:rPr>
        <w:t>Valgimigli</w:t>
      </w:r>
      <w:proofErr w:type="spellEnd"/>
      <w:r w:rsidRPr="00282F4A">
        <w:rPr>
          <w:i/>
          <w:color w:val="000000" w:themeColor="text1"/>
        </w:rPr>
        <w:t>, 2018)</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autoxidation, the formal insertion of one molecule of oxygen in the C-H bond of a hydrocarbon to afford a </w:t>
      </w:r>
      <w:proofErr w:type="spellStart"/>
      <w:r w:rsidRPr="00D7082F">
        <w:rPr>
          <w:color w:val="000000" w:themeColor="text1"/>
        </w:rPr>
        <w:t>hydroperoxide</w:t>
      </w:r>
      <w:proofErr w:type="spellEnd"/>
      <w:r w:rsidRPr="00D7082F">
        <w:rPr>
          <w:color w:val="000000" w:themeColor="text1"/>
        </w:rPr>
        <w:t xml:space="preserve">: </w:t>
      </w:r>
    </w:p>
    <w:p w:rsidR="00FB724C" w:rsidRPr="00D7082F" w:rsidRDefault="00FB724C" w:rsidP="00FB724C">
      <w:pPr>
        <w:autoSpaceDE w:val="0"/>
        <w:autoSpaceDN w:val="0"/>
        <w:adjustRightInd w:val="0"/>
        <w:spacing w:after="0" w:line="360" w:lineRule="auto"/>
        <w:jc w:val="cente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63DB6EC3" wp14:editId="74351F74">
                <wp:simplePos x="0" y="0"/>
                <wp:positionH relativeFrom="column">
                  <wp:posOffset>2787015</wp:posOffset>
                </wp:positionH>
                <wp:positionV relativeFrom="paragraph">
                  <wp:posOffset>95885</wp:posOffset>
                </wp:positionV>
                <wp:extent cx="453390" cy="14605"/>
                <wp:effectExtent l="5715" t="61595" r="17145" b="3810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1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35C58" id="_x0000_t32" coordsize="21600,21600" o:spt="32" o:oned="t" path="m,l21600,21600e" filled="f">
                <v:path arrowok="t" fillok="f" o:connecttype="none"/>
                <o:lock v:ext="edit" shapetype="t"/>
              </v:shapetype>
              <v:shape id="AutoShape 5" o:spid="_x0000_s1026" type="#_x0000_t32" style="position:absolute;margin-left:219.45pt;margin-top:7.55pt;width:35.7pt;height:1.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mc:Fallback>
        </mc:AlternateContent>
      </w:r>
      <w:r w:rsidRPr="00D7082F">
        <w:rPr>
          <w:color w:val="000000" w:themeColor="text1"/>
        </w:rPr>
        <w:t xml:space="preserve"> R-H + O</w:t>
      </w:r>
      <w:r w:rsidRPr="00D7082F">
        <w:rPr>
          <w:color w:val="000000" w:themeColor="text1"/>
          <w:vertAlign w:val="subscript"/>
        </w:rPr>
        <w:t>2</w:t>
      </w:r>
      <w:r w:rsidRPr="00D7082F">
        <w:rPr>
          <w:color w:val="000000" w:themeColor="text1"/>
        </w:rPr>
        <w:t xml:space="preserve">           R-OO-H.</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Indeed, lipid peroxidation is one embodiment of hydrocarbon autoxidation. While the direct reaction with ground state (triplet) oxygen is spin restricted and too slow to occur, the transformation of hydrocarbons (or lipids) by oxygen to </w:t>
      </w:r>
      <w:proofErr w:type="spellStart"/>
      <w:r w:rsidRPr="00D7082F">
        <w:rPr>
          <w:color w:val="000000" w:themeColor="text1"/>
        </w:rPr>
        <w:t>hydroperoxides</w:t>
      </w:r>
      <w:proofErr w:type="spellEnd"/>
      <w:r w:rsidRPr="00D7082F">
        <w:rPr>
          <w:color w:val="000000" w:themeColor="text1"/>
        </w:rPr>
        <w:t xml:space="preserve"> and further oxidized products occurs rapidly and efficiently via the intermediation of </w:t>
      </w:r>
      <w:proofErr w:type="spellStart"/>
      <w:r w:rsidRPr="00D7082F">
        <w:rPr>
          <w:color w:val="000000" w:themeColor="text1"/>
        </w:rPr>
        <w:t>peroxyl</w:t>
      </w:r>
      <w:proofErr w:type="spellEnd"/>
      <w:r w:rsidRPr="00D7082F">
        <w:rPr>
          <w:color w:val="000000" w:themeColor="text1"/>
        </w:rPr>
        <w:t xml:space="preserve"> radicals (ROO_), in a chain reaction that can be triggered by a multitude of events in any chemical system, such as in food or in living </w:t>
      </w:r>
      <w:r w:rsidRPr="00D7082F">
        <w:rPr>
          <w:color w:val="000000" w:themeColor="text1"/>
        </w:rPr>
        <w:lastRenderedPageBreak/>
        <w:t>organisms, and it can be blocked or prevented by antioxidants. LP is a radical chain reaction composed of the canonical three stages of initiation,</w:t>
      </w:r>
    </w:p>
    <w:p w:rsidR="00FB724C" w:rsidRPr="00D7082F" w:rsidRDefault="00FB724C" w:rsidP="00FB724C">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w:t>
      </w:r>
      <w:proofErr w:type="spellStart"/>
      <w:r w:rsidRPr="00D7082F">
        <w:rPr>
          <w:color w:val="000000" w:themeColor="text1"/>
        </w:rPr>
        <w:t>oxidizable</w:t>
      </w:r>
      <w:proofErr w:type="spellEnd"/>
      <w:r w:rsidRPr="00D7082F">
        <w:rPr>
          <w:color w:val="000000" w:themeColor="text1"/>
        </w:rPr>
        <w:t xml:space="preserve"> substrate (</w:t>
      </w:r>
      <w:proofErr w:type="spellStart"/>
      <w:r w:rsidRPr="00D7082F">
        <w:rPr>
          <w:color w:val="000000" w:themeColor="text1"/>
          <w:shd w:val="clear" w:color="auto" w:fill="FFFFFF"/>
        </w:rPr>
        <w:t>Valgimigli</w:t>
      </w:r>
      <w:proofErr w:type="spellEnd"/>
      <w:r w:rsidRPr="00D7082F">
        <w:rPr>
          <w:color w:val="000000" w:themeColor="text1"/>
          <w:shd w:val="clear" w:color="auto" w:fill="FFFFFF"/>
        </w:rPr>
        <w:t>, 2023).</w:t>
      </w:r>
    </w:p>
    <w:p w:rsidR="00FB724C" w:rsidRPr="00D7082F" w:rsidRDefault="00FB724C" w:rsidP="00FB724C">
      <w:pPr>
        <w:autoSpaceDE w:val="0"/>
        <w:autoSpaceDN w:val="0"/>
        <w:adjustRightInd w:val="0"/>
        <w:spacing w:after="0" w:line="360" w:lineRule="auto"/>
        <w:jc w:val="both"/>
        <w:rPr>
          <w:color w:val="000000" w:themeColor="text1"/>
        </w:rPr>
      </w:pPr>
      <w:r w:rsidRPr="00D7082F">
        <w:rPr>
          <w:noProof/>
          <w:color w:val="000000" w:themeColor="text1"/>
        </w:rPr>
        <w:drawing>
          <wp:inline distT="0" distB="0" distL="0" distR="0" wp14:anchorId="3504A592" wp14:editId="0E509268">
            <wp:extent cx="6496216" cy="4470739"/>
            <wp:effectExtent l="0" t="0" r="0" b="6350"/>
            <wp:docPr id="112931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7"/>
                    <a:stretch>
                      <a:fillRect/>
                    </a:stretch>
                  </pic:blipFill>
                  <pic:spPr>
                    <a:xfrm>
                      <a:off x="0" y="0"/>
                      <a:ext cx="6502084" cy="4474777"/>
                    </a:xfrm>
                    <a:prstGeom prst="rect">
                      <a:avLst/>
                    </a:prstGeom>
                  </pic:spPr>
                </pic:pic>
              </a:graphicData>
            </a:graphic>
          </wp:inline>
        </w:drawing>
      </w:r>
    </w:p>
    <w:p w:rsidR="00FB724C" w:rsidRPr="00D7082F" w:rsidRDefault="00FB724C" w:rsidP="00FB724C">
      <w:pPr>
        <w:autoSpaceDE w:val="0"/>
        <w:autoSpaceDN w:val="0"/>
        <w:adjustRightInd w:val="0"/>
        <w:spacing w:after="0" w:line="360" w:lineRule="auto"/>
        <w:jc w:val="center"/>
        <w:rPr>
          <w:color w:val="000000" w:themeColor="text1"/>
        </w:rPr>
      </w:pPr>
      <w:r>
        <w:rPr>
          <w:color w:val="000000" w:themeColor="text1"/>
        </w:rPr>
        <w:t xml:space="preserve">Source: </w:t>
      </w:r>
      <w:proofErr w:type="spellStart"/>
      <w:r w:rsidRPr="00D7082F">
        <w:rPr>
          <w:color w:val="000000" w:themeColor="text1"/>
          <w:shd w:val="clear" w:color="auto" w:fill="FFFFFF"/>
        </w:rPr>
        <w:t>Valgimigli</w:t>
      </w:r>
      <w:proofErr w:type="spellEnd"/>
      <w:r w:rsidRPr="00D7082F">
        <w:rPr>
          <w:color w:val="000000" w:themeColor="text1"/>
          <w:shd w:val="clear" w:color="auto" w:fill="FFFFFF"/>
        </w:rPr>
        <w:t xml:space="preserve">, </w:t>
      </w:r>
      <w:r>
        <w:rPr>
          <w:color w:val="000000" w:themeColor="text1"/>
          <w:shd w:val="clear" w:color="auto" w:fill="FFFFFF"/>
        </w:rPr>
        <w:t>(2023)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proofErr w:type="spellStart"/>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roofErr w:type="spellEnd"/>
      <w:r w:rsidRPr="00D7082F">
        <w:rPr>
          <w:b/>
          <w:bCs/>
          <w:color w:val="000000" w:themeColor="text1"/>
          <w:sz w:val="28"/>
          <w:szCs w:val="28"/>
        </w:rPr>
        <w:t xml:space="preserv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t>
      </w:r>
      <w:r w:rsidRPr="00D7082F">
        <w:rPr>
          <w:color w:val="000000" w:themeColor="text1"/>
          <w:sz w:val="28"/>
          <w:szCs w:val="28"/>
        </w:rPr>
        <w:lastRenderedPageBreak/>
        <w:t xml:space="preserve">which the most important are reduced glutathione (GSH) and oxidized glutathione (GSSG).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Blood plasma, for example, contains only about 20mM of glutathione and the dominant form there is oxidized glutathione (GSSG) </w:t>
      </w:r>
      <w:r w:rsidRPr="00282F4A">
        <w:rPr>
          <w:i/>
          <w:color w:val="000000" w:themeColor="text1"/>
          <w:sz w:val="28"/>
          <w:szCs w:val="28"/>
        </w:rPr>
        <w:t>(</w:t>
      </w:r>
      <w:proofErr w:type="spellStart"/>
      <w:r w:rsidRPr="00282F4A">
        <w:rPr>
          <w:i/>
          <w:color w:val="000000" w:themeColor="text1"/>
          <w:sz w:val="28"/>
          <w:szCs w:val="28"/>
        </w:rPr>
        <w:t>Lushchak</w:t>
      </w:r>
      <w:proofErr w:type="spellEnd"/>
      <w:r w:rsidRPr="00282F4A">
        <w:rPr>
          <w:i/>
          <w:color w:val="000000" w:themeColor="text1"/>
          <w:sz w:val="28"/>
          <w:szCs w:val="28"/>
        </w:rPr>
        <w:t xml:space="preserve">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w:t>
      </w:r>
      <w:proofErr w:type="spellStart"/>
      <w:r w:rsidRPr="00D7082F">
        <w:rPr>
          <w:color w:val="000000" w:themeColor="text1"/>
          <w:sz w:val="28"/>
          <w:szCs w:val="28"/>
        </w:rPr>
        <w:t>defence</w:t>
      </w:r>
      <w:proofErr w:type="spellEnd"/>
      <w:r w:rsidRPr="00D7082F">
        <w:rPr>
          <w:color w:val="000000" w:themeColor="text1"/>
          <w:sz w:val="28"/>
          <w:szCs w:val="28"/>
        </w:rPr>
        <w:t xml:space="preserve"> against ROS. For example, it participates in the detoxification processes of electrophilic compounds (</w:t>
      </w:r>
      <w:proofErr w:type="spellStart"/>
      <w:r w:rsidRPr="00D7082F">
        <w:rPr>
          <w:color w:val="000000" w:themeColor="text1"/>
          <w:sz w:val="28"/>
          <w:szCs w:val="28"/>
        </w:rPr>
        <w:t>xenobiotics</w:t>
      </w:r>
      <w:proofErr w:type="spellEnd"/>
      <w:r w:rsidRPr="00D7082F">
        <w:rPr>
          <w:color w:val="000000" w:themeColor="text1"/>
          <w:sz w:val="28"/>
          <w:szCs w:val="28"/>
        </w:rPr>
        <w:t xml:space="preserve">), and in the metabolism of prostaglandins and </w:t>
      </w:r>
      <w:proofErr w:type="spellStart"/>
      <w:r w:rsidRPr="00D7082F">
        <w:rPr>
          <w:color w:val="000000" w:themeColor="text1"/>
          <w:sz w:val="28"/>
          <w:szCs w:val="28"/>
        </w:rPr>
        <w:t>leukotrienes</w:t>
      </w:r>
      <w:proofErr w:type="spellEnd"/>
      <w:r w:rsidRPr="00D7082F">
        <w:rPr>
          <w:color w:val="000000" w:themeColor="text1"/>
          <w:sz w:val="28"/>
          <w:szCs w:val="28"/>
        </w:rPr>
        <w:t xml:space="preserve">. It is also involved in the transport of amino acids and in the absorption of micronutrients from the intestine, mainly iron and selenium. However, the predominant role of GSH is undoubtedly that of antioxidant. GSH as an antioxidant participates in several lines of </w:t>
      </w:r>
      <w:proofErr w:type="spellStart"/>
      <w:r w:rsidRPr="00D7082F">
        <w:rPr>
          <w:color w:val="000000" w:themeColor="text1"/>
          <w:sz w:val="28"/>
          <w:szCs w:val="28"/>
        </w:rPr>
        <w:t>defence</w:t>
      </w:r>
      <w:proofErr w:type="spellEnd"/>
      <w:r w:rsidRPr="00D7082F">
        <w:rPr>
          <w:color w:val="000000" w:themeColor="text1"/>
          <w:sz w:val="28"/>
          <w:szCs w:val="28"/>
        </w:rPr>
        <w:t xml:space="preserve"> against ROS. It plays an important role not only as a free radical scavenger, but is also engaged in the repair processes of damaged cells </w:t>
      </w:r>
      <w:r w:rsidRPr="00282F4A">
        <w:rPr>
          <w:i/>
          <w:color w:val="000000" w:themeColor="text1"/>
          <w:sz w:val="28"/>
          <w:szCs w:val="28"/>
        </w:rPr>
        <w:t>(</w:t>
      </w:r>
      <w:proofErr w:type="spellStart"/>
      <w:r w:rsidRPr="00282F4A">
        <w:rPr>
          <w:i/>
          <w:color w:val="000000" w:themeColor="text1"/>
          <w:sz w:val="28"/>
          <w:szCs w:val="28"/>
          <w:shd w:val="clear" w:color="auto" w:fill="FFFFFF"/>
        </w:rPr>
        <w:t>Mirończuk-Chodakowska</w:t>
      </w:r>
      <w:proofErr w:type="spellEnd"/>
      <w:r w:rsidRPr="00282F4A">
        <w:rPr>
          <w:i/>
          <w:color w:val="000000" w:themeColor="text1"/>
          <w:sz w:val="28"/>
          <w:szCs w:val="28"/>
          <w:shd w:val="clear" w:color="auto" w:fill="FFFFFF"/>
        </w:rPr>
        <w:t xml:space="preserve">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w:t>
      </w:r>
      <w:proofErr w:type="spellStart"/>
      <w:r w:rsidRPr="00D7082F">
        <w:rPr>
          <w:rFonts w:eastAsia="Times New Roman"/>
          <w:color w:val="000000" w:themeColor="text1"/>
        </w:rPr>
        <w:t>transferases</w:t>
      </w:r>
      <w:proofErr w:type="spellEnd"/>
      <w:r w:rsidRPr="00D7082F">
        <w:rPr>
          <w:rFonts w:eastAsia="Times New Roman"/>
          <w:color w:val="000000" w:themeColor="text1"/>
        </w:rPr>
        <w:t xml:space="preserve">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w:t>
      </w:r>
      <w:proofErr w:type="spellStart"/>
      <w:r w:rsidRPr="00D7082F">
        <w:rPr>
          <w:rFonts w:eastAsia="Times New Roman"/>
          <w:color w:val="000000" w:themeColor="text1"/>
        </w:rPr>
        <w:t>xenobiotics</w:t>
      </w:r>
      <w:proofErr w:type="spellEnd"/>
      <w:r w:rsidRPr="00D7082F">
        <w:rPr>
          <w:rFonts w:eastAsia="Times New Roman"/>
          <w:color w:val="000000" w:themeColor="text1"/>
        </w:rPr>
        <w:t xml:space="preserve">, and environmental toxins (Hayes, Flanagan, and </w:t>
      </w:r>
      <w:proofErr w:type="spellStart"/>
      <w:r w:rsidRPr="00D7082F">
        <w:rPr>
          <w:rFonts w:eastAsia="Times New Roman"/>
          <w:color w:val="000000" w:themeColor="text1"/>
        </w:rPr>
        <w:t>Jowsey</w:t>
      </w:r>
      <w:proofErr w:type="spellEnd"/>
      <w:r w:rsidRPr="00D7082F">
        <w:rPr>
          <w:rFonts w:eastAsia="Times New Roman"/>
          <w:color w:val="000000" w:themeColor="text1"/>
        </w:rPr>
        <w:t>, 2005). By facilitating the conjugation of GSH, GSTs help increase the solubility of toxic compounds, making them easier to excrete from the cell. This function is crucial for maintaining redox homeostasis and protecting cellular macromolecules from damage.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w:t>
      </w:r>
      <w:r w:rsidRPr="00D7082F">
        <w:rPr>
          <w:rFonts w:eastAsia="Times New Roman"/>
          <w:color w:val="000000" w:themeColor="text1"/>
        </w:rPr>
        <w:lastRenderedPageBreak/>
        <w:t xml:space="preserve">responses </w:t>
      </w:r>
      <w:r w:rsidRPr="00B609C1">
        <w:rPr>
          <w:rFonts w:eastAsia="Times New Roman"/>
          <w:i/>
          <w:color w:val="000000" w:themeColor="text1"/>
        </w:rPr>
        <w:t xml:space="preserve">(Townsend and </w:t>
      </w:r>
      <w:proofErr w:type="spellStart"/>
      <w:r w:rsidRPr="00B609C1">
        <w:rPr>
          <w:rFonts w:eastAsia="Times New Roman"/>
          <w:i/>
          <w:color w:val="000000" w:themeColor="text1"/>
        </w:rPr>
        <w:t>Tew</w:t>
      </w:r>
      <w:proofErr w:type="spellEnd"/>
      <w:r w:rsidRPr="00B609C1">
        <w:rPr>
          <w:rFonts w:eastAsia="Times New Roman"/>
          <w:i/>
          <w:color w:val="000000" w:themeColor="text1"/>
        </w:rPr>
        <w:t>,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lipid peroxidation products such as 4-hydroxynonenal (4-HNE), which are toxic and capable of forming adducts with proteins and DNA </w:t>
      </w:r>
      <w:r w:rsidRPr="00282F4A">
        <w:rPr>
          <w:rFonts w:eastAsia="Times New Roman"/>
          <w:i/>
          <w:color w:val="000000" w:themeColor="text1"/>
        </w:rPr>
        <w:t>(</w:t>
      </w:r>
      <w:proofErr w:type="spellStart"/>
      <w:r w:rsidRPr="00282F4A">
        <w:rPr>
          <w:rFonts w:eastAsia="Times New Roman"/>
          <w:i/>
          <w:color w:val="000000" w:themeColor="text1"/>
        </w:rPr>
        <w:t>Singhal</w:t>
      </w:r>
      <w:proofErr w:type="spellEnd"/>
      <w:r w:rsidRPr="00282F4A">
        <w:rPr>
          <w:rFonts w:eastAsia="Times New Roman"/>
          <w:i/>
          <w:color w:val="000000" w:themeColor="text1"/>
        </w:rPr>
        <w:t xml:space="preserve">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 xml:space="preserve"> GST activity is often used as a biomarker of oxidative stress and cellular response to toxic insult. Elevated or suppressed GST activity has been reported in various pathological conditions, including cancer, neurodegenerative diseases, and cardiovascular disorders (Board and </w:t>
      </w:r>
      <w:proofErr w:type="spellStart"/>
      <w:r w:rsidRPr="00D7082F">
        <w:rPr>
          <w:rFonts w:eastAsia="Times New Roman"/>
          <w:color w:val="000000" w:themeColor="text1"/>
        </w:rPr>
        <w:t>Menon</w:t>
      </w:r>
      <w:proofErr w:type="spellEnd"/>
      <w:r w:rsidRPr="00D7082F">
        <w:rPr>
          <w:rFonts w:eastAsia="Times New Roman"/>
          <w:color w:val="000000" w:themeColor="text1"/>
        </w:rPr>
        <w:t xml:space="preserve">, 2013). Moreover, polymorphisms in GST genes can affect individual susceptibility to environmental toxins and disease risk, highlighting their importance in toxicology and pharmacogenomics (Board and </w:t>
      </w:r>
      <w:proofErr w:type="spellStart"/>
      <w:r w:rsidRPr="00D7082F">
        <w:rPr>
          <w:rFonts w:eastAsia="Times New Roman"/>
          <w:color w:val="000000" w:themeColor="text1"/>
        </w:rPr>
        <w:t>Menon</w:t>
      </w:r>
      <w:proofErr w:type="spellEnd"/>
      <w:r w:rsidRPr="00D7082F">
        <w:rPr>
          <w:rFonts w:eastAsia="Times New Roman"/>
          <w:color w:val="000000" w:themeColor="text1"/>
        </w:rPr>
        <w:t>, 2013).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is a family of selenium-dependent antioxidant enzymes that play a critical role in protecting cells from oxidative damage. These enzymes catalyze the reduction of hydrogen peroxide (H₂O₂) and organic </w:t>
      </w:r>
      <w:proofErr w:type="spellStart"/>
      <w:r w:rsidRPr="00D7082F">
        <w:rPr>
          <w:rFonts w:eastAsia="Times New Roman"/>
          <w:color w:val="000000" w:themeColor="text1"/>
        </w:rPr>
        <w:t>hydroperoxides</w:t>
      </w:r>
      <w:proofErr w:type="spellEnd"/>
      <w:r w:rsidRPr="00D7082F">
        <w:rPr>
          <w:rFonts w:eastAsia="Times New Roman"/>
          <w:color w:val="000000" w:themeColor="text1"/>
        </w:rPr>
        <w:t xml:space="preserve"> into water and corresponding alcohols using reduced glutathione (GSH) as a substrate, thereby preventing the formation of reactive oxygen species (ROS)-induced damage (</w:t>
      </w:r>
      <w:proofErr w:type="spellStart"/>
      <w:r w:rsidRPr="00D7082F">
        <w:rPr>
          <w:rFonts w:eastAsia="Times New Roman"/>
          <w:color w:val="000000" w:themeColor="text1"/>
        </w:rPr>
        <w:t>Brigelius-Flohé</w:t>
      </w:r>
      <w:proofErr w:type="spellEnd"/>
      <w:r w:rsidRPr="00D7082F">
        <w:rPr>
          <w:rFonts w:eastAsia="Times New Roman"/>
          <w:color w:val="000000" w:themeColor="text1"/>
        </w:rPr>
        <w:t xml:space="preserve"> and </w:t>
      </w:r>
      <w:proofErr w:type="spellStart"/>
      <w:r w:rsidRPr="00D7082F">
        <w:rPr>
          <w:rFonts w:eastAsia="Times New Roman"/>
          <w:color w:val="000000" w:themeColor="text1"/>
        </w:rPr>
        <w:t>Maiorino</w:t>
      </w:r>
      <w:proofErr w:type="spellEnd"/>
      <w:r w:rsidRPr="00D7082F">
        <w:rPr>
          <w:rFonts w:eastAsia="Times New Roman"/>
          <w:color w:val="000000" w:themeColor="text1"/>
        </w:rPr>
        <w:t xml:space="preserve">, 2013). The general reaction catalyzed by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is as follows: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isoforms, GPx1 is the most abundant and ubiquitously expressed in the cytoplasm of nearly all mammalian tissues, while other isoforms such as GPx4 are involved in </w:t>
      </w:r>
      <w:r w:rsidRPr="00D7082F">
        <w:rPr>
          <w:rFonts w:eastAsia="Times New Roman"/>
          <w:color w:val="000000" w:themeColor="text1"/>
        </w:rPr>
        <w:lastRenderedPageBreak/>
        <w:t xml:space="preserve">reducing lipid </w:t>
      </w:r>
      <w:proofErr w:type="spellStart"/>
      <w:r w:rsidRPr="00D7082F">
        <w:rPr>
          <w:rFonts w:eastAsia="Times New Roman"/>
          <w:color w:val="000000" w:themeColor="text1"/>
        </w:rPr>
        <w:t>hydroperoxides</w:t>
      </w:r>
      <w:proofErr w:type="spellEnd"/>
      <w:r w:rsidRPr="00D7082F">
        <w:rPr>
          <w:rFonts w:eastAsia="Times New Roman"/>
          <w:color w:val="000000" w:themeColor="text1"/>
        </w:rPr>
        <w:t xml:space="preserve"> within membranes and lipoproteins (</w:t>
      </w:r>
      <w:proofErr w:type="spellStart"/>
      <w:r w:rsidRPr="00D7082F">
        <w:rPr>
          <w:rFonts w:eastAsia="Times New Roman"/>
          <w:color w:val="000000" w:themeColor="text1"/>
        </w:rPr>
        <w:t>Lubos</w:t>
      </w:r>
      <w:proofErr w:type="spellEnd"/>
      <w:r w:rsidRPr="00D7082F">
        <w:rPr>
          <w:rFonts w:eastAsia="Times New Roman"/>
          <w:color w:val="000000" w:themeColor="text1"/>
        </w:rPr>
        <w:t xml:space="preserve">, </w:t>
      </w:r>
      <w:proofErr w:type="spellStart"/>
      <w:r w:rsidRPr="00D7082F">
        <w:rPr>
          <w:rFonts w:eastAsia="Times New Roman"/>
          <w:color w:val="000000" w:themeColor="text1"/>
        </w:rPr>
        <w:t>Loscalzo</w:t>
      </w:r>
      <w:proofErr w:type="spellEnd"/>
      <w:r w:rsidRPr="00D7082F">
        <w:rPr>
          <w:rFonts w:eastAsia="Times New Roman"/>
          <w:color w:val="000000" w:themeColor="text1"/>
        </w:rPr>
        <w:t>, and Handy, 2011). GPx4, in particular, is crucial for protecting against lipid peroxidation and is essential for embryonic development and cellular viability.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roofErr w:type="spellStart"/>
      <w:r w:rsidRPr="00D7082F">
        <w:rPr>
          <w:rFonts w:eastAsia="Times New Roman"/>
          <w:color w:val="000000" w:themeColor="text1"/>
        </w:rPr>
        <w:t>GPx</w:t>
      </w:r>
      <w:proofErr w:type="spellEnd"/>
      <w:r w:rsidRPr="00D7082F">
        <w:rPr>
          <w:rFonts w:eastAsia="Times New Roman"/>
          <w:color w:val="000000" w:themeColor="text1"/>
        </w:rPr>
        <w:t xml:space="preserve"> activity is a key marker of the antioxidant capacity of cells and tissues. Decreased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activity has been associated with various pathological conditions, including cardiovascular disease, cancer, diabetes, and neurodegenerative disorders such as Alzheimer’s and Parkinson’s disease (Prasad, 2016). Selenium deficiency can impair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function, highlighting the importance of micronutrient status in maintaining antioxidant defenses.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w:t>
      </w:r>
      <w:proofErr w:type="spellStart"/>
      <w:r w:rsidRPr="00D7082F">
        <w:rPr>
          <w:b/>
          <w:bCs/>
          <w:color w:val="000000" w:themeColor="text1"/>
          <w:sz w:val="28"/>
          <w:szCs w:val="28"/>
        </w:rPr>
        <w:t>reductase</w:t>
      </w:r>
      <w:proofErr w:type="spellEnd"/>
      <w:r w:rsidRPr="00D7082F">
        <w:rPr>
          <w:b/>
          <w:bCs/>
          <w:color w:val="000000" w:themeColor="text1"/>
          <w:sz w:val="28"/>
          <w:szCs w:val="28"/>
        </w:rPr>
        <w:t xml:space="preserv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w:t>
      </w:r>
      <w:proofErr w:type="spellStart"/>
      <w:r w:rsidRPr="00D7082F">
        <w:rPr>
          <w:rFonts w:eastAsia="Times New Roman"/>
          <w:color w:val="000000" w:themeColor="text1"/>
        </w:rPr>
        <w:t>reductase</w:t>
      </w:r>
      <w:proofErr w:type="spellEnd"/>
      <w:r w:rsidRPr="00D7082F">
        <w:rPr>
          <w:rFonts w:eastAsia="Times New Roman"/>
          <w:color w:val="000000" w:themeColor="text1"/>
        </w:rPr>
        <w:t xml:space="preserve"> (GR) is a </w:t>
      </w:r>
      <w:proofErr w:type="spellStart"/>
      <w:r w:rsidRPr="00D7082F">
        <w:rPr>
          <w:rFonts w:eastAsia="Times New Roman"/>
          <w:color w:val="000000" w:themeColor="text1"/>
        </w:rPr>
        <w:t>flavoprotein</w:t>
      </w:r>
      <w:proofErr w:type="spellEnd"/>
      <w:r w:rsidRPr="00D7082F">
        <w:rPr>
          <w:rFonts w:eastAsia="Times New Roman"/>
          <w:color w:val="000000" w:themeColor="text1"/>
        </w:rPr>
        <w:t xml:space="preserve">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w:t>
      </w:r>
      <w:proofErr w:type="spellStart"/>
      <w:r w:rsidRPr="00D7082F">
        <w:rPr>
          <w:rFonts w:eastAsia="Times New Roman"/>
          <w:color w:val="000000" w:themeColor="text1"/>
        </w:rPr>
        <w:t>Couto</w:t>
      </w:r>
      <w:proofErr w:type="spellEnd"/>
      <w:r w:rsidRPr="00D7082F">
        <w:rPr>
          <w:rFonts w:eastAsia="Times New Roman"/>
          <w:color w:val="000000" w:themeColor="text1"/>
        </w:rPr>
        <w:t xml:space="preserve">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This NADPH-dependent reaction is critical for recycling GSH, thereby allowing continuous detoxification of peroxides through enzymes such as glutathione peroxidase (</w:t>
      </w:r>
      <w:proofErr w:type="spellStart"/>
      <w:r w:rsidRPr="00D7082F">
        <w:rPr>
          <w:rFonts w:eastAsia="Times New Roman"/>
          <w:color w:val="000000" w:themeColor="text1"/>
        </w:rPr>
        <w:t>GPx</w:t>
      </w:r>
      <w:proofErr w:type="spellEnd"/>
      <w:r w:rsidRPr="00D7082F">
        <w:rPr>
          <w:rFonts w:eastAsia="Times New Roman"/>
          <w:color w:val="000000" w:themeColor="text1"/>
        </w:rPr>
        <w:t xml:space="preserve">). Glutathione </w:t>
      </w:r>
      <w:proofErr w:type="spellStart"/>
      <w:r w:rsidRPr="00D7082F">
        <w:rPr>
          <w:rFonts w:eastAsia="Times New Roman"/>
          <w:color w:val="000000" w:themeColor="text1"/>
        </w:rPr>
        <w:t>reductase</w:t>
      </w:r>
      <w:proofErr w:type="spellEnd"/>
      <w:r w:rsidRPr="00D7082F">
        <w:rPr>
          <w:rFonts w:eastAsia="Times New Roman"/>
          <w:color w:val="000000" w:themeColor="text1"/>
        </w:rPr>
        <w:t xml:space="preserve"> plays a central role in the glutathione antioxidant system, which includes glutathione, glutathione peroxidase, and glutathione S-</w:t>
      </w:r>
      <w:proofErr w:type="spellStart"/>
      <w:r w:rsidRPr="00D7082F">
        <w:rPr>
          <w:rFonts w:eastAsia="Times New Roman"/>
          <w:color w:val="000000" w:themeColor="text1"/>
        </w:rPr>
        <w:t>transferase</w:t>
      </w:r>
      <w:proofErr w:type="spellEnd"/>
      <w:r w:rsidRPr="00D7082F">
        <w:rPr>
          <w:rFonts w:eastAsia="Times New Roman"/>
          <w:color w:val="000000" w:themeColor="text1"/>
        </w:rPr>
        <w:t xml:space="preserve">. The GSH/GSSG ratio maintained by GR is a widely recognized indicator of cellular oxidative stress. A low GSH/GSSG ratio typically </w:t>
      </w:r>
      <w:r w:rsidRPr="00D7082F">
        <w:rPr>
          <w:rFonts w:eastAsia="Times New Roman"/>
          <w:color w:val="000000" w:themeColor="text1"/>
        </w:rPr>
        <w:lastRenderedPageBreak/>
        <w:t xml:space="preserve">signifies oxidative damage and impaired antioxidant capacity (Forman, Zhang, and </w:t>
      </w:r>
      <w:proofErr w:type="spellStart"/>
      <w:r w:rsidRPr="00D7082F">
        <w:rPr>
          <w:rFonts w:eastAsia="Times New Roman"/>
          <w:color w:val="000000" w:themeColor="text1"/>
        </w:rPr>
        <w:t>Rinna</w:t>
      </w:r>
      <w:proofErr w:type="spellEnd"/>
      <w:r w:rsidRPr="00D7082F">
        <w:rPr>
          <w:rFonts w:eastAsia="Times New Roman"/>
          <w:color w:val="000000" w:themeColor="text1"/>
        </w:rPr>
        <w:t>, 2009).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w:t>
      </w:r>
      <w:proofErr w:type="spellStart"/>
      <w:r w:rsidRPr="00D7082F">
        <w:rPr>
          <w:rFonts w:eastAsia="Times New Roman"/>
          <w:color w:val="000000" w:themeColor="text1"/>
        </w:rPr>
        <w:t>Cidlowski</w:t>
      </w:r>
      <w:proofErr w:type="spellEnd"/>
      <w:r w:rsidRPr="00D7082F">
        <w:rPr>
          <w:rFonts w:eastAsia="Times New Roman"/>
          <w:color w:val="000000" w:themeColor="text1"/>
        </w:rPr>
        <w:t xml:space="preserve">,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w:t>
      </w:r>
      <w:proofErr w:type="spellStart"/>
      <w:r w:rsidRPr="00D7082F">
        <w:rPr>
          <w:color w:val="000000" w:themeColor="text1"/>
          <w:sz w:val="28"/>
          <w:szCs w:val="28"/>
        </w:rPr>
        <w:t>mM</w:t>
      </w:r>
      <w:proofErr w:type="spellEnd"/>
      <w:r w:rsidRPr="00D7082F">
        <w:rPr>
          <w:color w:val="000000" w:themeColor="text1"/>
          <w:sz w:val="28"/>
          <w:szCs w:val="28"/>
        </w:rPr>
        <w:t xml:space="preserve">)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w:t>
      </w:r>
      <w:proofErr w:type="spellStart"/>
      <w:r w:rsidRPr="00D7082F">
        <w:rPr>
          <w:color w:val="000000" w:themeColor="text1"/>
          <w:sz w:val="28"/>
          <w:szCs w:val="28"/>
        </w:rPr>
        <w:t>sulphydryl</w:t>
      </w:r>
      <w:proofErr w:type="spellEnd"/>
      <w:r w:rsidRPr="00D7082F">
        <w:rPr>
          <w:color w:val="000000" w:themeColor="text1"/>
          <w:sz w:val="28"/>
          <w:szCs w:val="28"/>
        </w:rPr>
        <w:t xml:space="preserve"> groups of protein in the reduced state </w:t>
      </w:r>
      <w:r w:rsidRPr="00282F4A">
        <w:rPr>
          <w:i/>
          <w:color w:val="000000" w:themeColor="text1"/>
          <w:sz w:val="28"/>
          <w:szCs w:val="28"/>
        </w:rPr>
        <w:t>(</w:t>
      </w:r>
      <w:proofErr w:type="spellStart"/>
      <w:r w:rsidRPr="00282F4A">
        <w:rPr>
          <w:i/>
          <w:color w:val="000000" w:themeColor="text1"/>
          <w:sz w:val="28"/>
          <w:szCs w:val="28"/>
        </w:rPr>
        <w:t>Alli</w:t>
      </w:r>
      <w:proofErr w:type="spellEnd"/>
      <w:r w:rsidRPr="00282F4A">
        <w:rPr>
          <w:i/>
          <w:color w:val="000000" w:themeColor="text1"/>
          <w:sz w:val="28"/>
          <w:szCs w:val="28"/>
        </w:rPr>
        <w:t xml:space="preserve"> </w:t>
      </w:r>
      <w:r w:rsidRPr="00282F4A">
        <w:rPr>
          <w:i/>
          <w:iCs/>
          <w:color w:val="000000" w:themeColor="text1"/>
          <w:sz w:val="28"/>
          <w:szCs w:val="28"/>
        </w:rPr>
        <w:t>et al</w:t>
      </w:r>
      <w:r w:rsidRPr="00282F4A">
        <w:rPr>
          <w:i/>
          <w:color w:val="000000" w:themeColor="text1"/>
          <w:sz w:val="28"/>
          <w:szCs w:val="28"/>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w:t>
      </w:r>
      <w:proofErr w:type="spellStart"/>
      <w:r w:rsidRPr="00D7082F">
        <w:rPr>
          <w:b/>
          <w:bCs/>
          <w:color w:val="000000" w:themeColor="text1"/>
          <w:sz w:val="28"/>
          <w:szCs w:val="28"/>
        </w:rPr>
        <w:t>Malondialdehyde</w:t>
      </w:r>
      <w:proofErr w:type="spellEnd"/>
      <w:r w:rsidRPr="00D7082F">
        <w:rPr>
          <w:b/>
          <w:bCs/>
          <w:color w:val="000000" w:themeColor="text1"/>
          <w:sz w:val="28"/>
          <w:szCs w:val="28"/>
        </w:rPr>
        <w:t xml:space="preserv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proofErr w:type="spellStart"/>
      <w:r w:rsidRPr="00D7082F">
        <w:rPr>
          <w:rStyle w:val="Strong"/>
          <w:color w:val="000000" w:themeColor="text1"/>
          <w:sz w:val="28"/>
          <w:szCs w:val="28"/>
        </w:rPr>
        <w:t>malondialdehyde</w:t>
      </w:r>
      <w:proofErr w:type="spellEnd"/>
      <w:r w:rsidRPr="00D7082F">
        <w:rPr>
          <w:rStyle w:val="Strong"/>
          <w:color w:val="000000" w:themeColor="text1"/>
          <w:sz w:val="28"/>
          <w:szCs w:val="28"/>
        </w:rPr>
        <w:t xml:space="preserve"> (MDA)</w:t>
      </w:r>
      <w:r w:rsidRPr="00D7082F">
        <w:rPr>
          <w:color w:val="000000" w:themeColor="text1"/>
          <w:sz w:val="28"/>
          <w:szCs w:val="28"/>
        </w:rPr>
        <w:t xml:space="preserve"> </w:t>
      </w:r>
      <w:r w:rsidRPr="00054883">
        <w:rPr>
          <w:i/>
          <w:color w:val="000000" w:themeColor="text1"/>
          <w:sz w:val="28"/>
          <w:szCs w:val="28"/>
        </w:rPr>
        <w:t>(</w:t>
      </w:r>
      <w:proofErr w:type="spellStart"/>
      <w:r w:rsidRPr="00054883">
        <w:rPr>
          <w:i/>
          <w:color w:val="000000" w:themeColor="text1"/>
          <w:sz w:val="28"/>
          <w:szCs w:val="28"/>
        </w:rPr>
        <w:t>Fauziah</w:t>
      </w:r>
      <w:proofErr w:type="spellEnd"/>
      <w:r w:rsidRPr="00054883">
        <w:rPr>
          <w:i/>
          <w:color w:val="000000" w:themeColor="text1"/>
          <w:sz w:val="28"/>
          <w:szCs w:val="28"/>
        </w:rPr>
        <w:t xml:space="preserve"> et al., 2018).</w:t>
      </w:r>
    </w:p>
    <w:p w:rsidR="00FB724C" w:rsidRPr="00D7082F" w:rsidRDefault="00FB724C" w:rsidP="00FB724C">
      <w:pPr>
        <w:pStyle w:val="NormalWeb"/>
        <w:spacing w:line="360" w:lineRule="auto"/>
        <w:ind w:firstLine="720"/>
        <w:jc w:val="both"/>
        <w:rPr>
          <w:color w:val="000000" w:themeColor="text1"/>
          <w:sz w:val="28"/>
          <w:szCs w:val="28"/>
        </w:rPr>
      </w:pPr>
      <w:proofErr w:type="spellStart"/>
      <w:r w:rsidRPr="00D7082F">
        <w:rPr>
          <w:color w:val="000000" w:themeColor="text1"/>
          <w:sz w:val="28"/>
          <w:szCs w:val="28"/>
        </w:rPr>
        <w:t>Malondialdehyde</w:t>
      </w:r>
      <w:proofErr w:type="spellEnd"/>
      <w:r w:rsidRPr="00D7082F">
        <w:rPr>
          <w:color w:val="000000" w:themeColor="text1"/>
          <w:sz w:val="28"/>
          <w:szCs w:val="28"/>
        </w:rPr>
        <w:t xml:space="preserve"> (MDA) is a reactive aldehyde and one of the final products of the peroxidation of PUFAs, particularly </w:t>
      </w:r>
      <w:proofErr w:type="spellStart"/>
      <w:r w:rsidRPr="00D7082F">
        <w:rPr>
          <w:color w:val="000000" w:themeColor="text1"/>
          <w:sz w:val="28"/>
          <w:szCs w:val="28"/>
        </w:rPr>
        <w:t>arachidonic</w:t>
      </w:r>
      <w:proofErr w:type="spellEnd"/>
      <w:r w:rsidRPr="00D7082F">
        <w:rPr>
          <w:color w:val="000000" w:themeColor="text1"/>
          <w:sz w:val="28"/>
          <w:szCs w:val="28"/>
        </w:rPr>
        <w:t xml:space="preserve"> acid and </w:t>
      </w:r>
      <w:proofErr w:type="spellStart"/>
      <w:r w:rsidRPr="00D7082F">
        <w:rPr>
          <w:color w:val="000000" w:themeColor="text1"/>
          <w:sz w:val="28"/>
          <w:szCs w:val="28"/>
        </w:rPr>
        <w:t>docosahexaenoic</w:t>
      </w:r>
      <w:proofErr w:type="spellEnd"/>
      <w:r w:rsidRPr="00D7082F">
        <w:rPr>
          <w:color w:val="000000" w:themeColor="text1"/>
          <w:sz w:val="28"/>
          <w:szCs w:val="28"/>
        </w:rPr>
        <w:t xml:space="preserve"> acid. During lipid peroxidation, reactive oxygen species (ROS) such as hydroxyl radicals attack the double bonds of PUFAs, initiating a chain reaction that leads to the formation of lipid </w:t>
      </w:r>
      <w:proofErr w:type="spellStart"/>
      <w:r w:rsidRPr="00D7082F">
        <w:rPr>
          <w:color w:val="000000" w:themeColor="text1"/>
          <w:sz w:val="28"/>
          <w:szCs w:val="28"/>
        </w:rPr>
        <w:t>hydroperoxides</w:t>
      </w:r>
      <w:proofErr w:type="spellEnd"/>
      <w:r w:rsidRPr="00D7082F">
        <w:rPr>
          <w:color w:val="000000" w:themeColor="text1"/>
          <w:sz w:val="28"/>
          <w:szCs w:val="28"/>
        </w:rPr>
        <w:t xml:space="preserve">.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w:t>
      </w:r>
      <w:proofErr w:type="spellStart"/>
      <w:r w:rsidRPr="00F51377">
        <w:rPr>
          <w:i/>
          <w:color w:val="000000" w:themeColor="text1"/>
          <w:sz w:val="28"/>
          <w:szCs w:val="28"/>
        </w:rPr>
        <w:t>Yekti</w:t>
      </w:r>
      <w:proofErr w:type="spellEnd"/>
      <w:r w:rsidRPr="00F51377">
        <w:rPr>
          <w:i/>
          <w:color w:val="000000" w:themeColor="text1"/>
          <w:sz w:val="28"/>
          <w:szCs w:val="28"/>
        </w:rPr>
        <w:t xml:space="preserve"> et al., 2018).</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w:t>
      </w:r>
      <w:proofErr w:type="spellStart"/>
      <w:r w:rsidRPr="00D7082F">
        <w:rPr>
          <w:color w:val="000000" w:themeColor="text1"/>
          <w:sz w:val="28"/>
          <w:szCs w:val="28"/>
        </w:rPr>
        <w:t>peroxyl</w:t>
      </w:r>
      <w:proofErr w:type="spellEnd"/>
      <w:r w:rsidRPr="00D7082F">
        <w:rPr>
          <w:color w:val="000000" w:themeColor="text1"/>
          <w:sz w:val="28"/>
          <w:szCs w:val="28"/>
        </w:rPr>
        <w:t xml:space="preserve"> radical, which in turn reacts with </w:t>
      </w:r>
      <w:r w:rsidRPr="00D7082F">
        <w:rPr>
          <w:color w:val="000000" w:themeColor="text1"/>
          <w:sz w:val="28"/>
          <w:szCs w:val="28"/>
        </w:rPr>
        <w:lastRenderedPageBreak/>
        <w:t xml:space="preserve">another PUFA, perpetuating the chain reaction in the propagation phase. The resulting lipid </w:t>
      </w:r>
      <w:proofErr w:type="spellStart"/>
      <w:r w:rsidRPr="00D7082F">
        <w:rPr>
          <w:color w:val="000000" w:themeColor="text1"/>
          <w:sz w:val="28"/>
          <w:szCs w:val="28"/>
        </w:rPr>
        <w:t>hydroperoxides</w:t>
      </w:r>
      <w:proofErr w:type="spellEnd"/>
      <w:r w:rsidRPr="00D7082F">
        <w:rPr>
          <w:color w:val="000000" w:themeColor="text1"/>
          <w:sz w:val="28"/>
          <w:szCs w:val="28"/>
        </w:rPr>
        <w:t xml:space="preserve">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w:t>
      </w:r>
      <w:proofErr w:type="spellStart"/>
      <w:r w:rsidRPr="00D7082F">
        <w:rPr>
          <w:color w:val="000000" w:themeColor="text1"/>
          <w:sz w:val="28"/>
          <w:szCs w:val="28"/>
        </w:rPr>
        <w:t>lipoxidation</w:t>
      </w:r>
      <w:proofErr w:type="spellEnd"/>
      <w:r w:rsidRPr="00D7082F">
        <w:rPr>
          <w:color w:val="000000" w:themeColor="text1"/>
          <w:sz w:val="28"/>
          <w:szCs w:val="28"/>
        </w:rPr>
        <w:t xml:space="preserve"> end-products (ALEs). These secondary reactions can modify protein function and DNA structure, contributing to cellular dysfunction and disease progression.</w:t>
      </w:r>
    </w:p>
    <w:p w:rsidR="00FB724C" w:rsidRPr="00F51377"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proofErr w:type="spellStart"/>
      <w:r w:rsidRPr="00D7082F">
        <w:rPr>
          <w:rStyle w:val="Strong"/>
          <w:color w:val="000000" w:themeColor="text1"/>
          <w:sz w:val="28"/>
          <w:szCs w:val="28"/>
        </w:rPr>
        <w:t>thiobarbituric</w:t>
      </w:r>
      <w:proofErr w:type="spellEnd"/>
      <w:r w:rsidRPr="00D7082F">
        <w:rPr>
          <w:rStyle w:val="Strong"/>
          <w:color w:val="000000" w:themeColor="text1"/>
          <w:sz w:val="28"/>
          <w:szCs w:val="28"/>
        </w:rPr>
        <w:t xml:space="preserve"> acid reactive substances (TBARS) assay</w:t>
      </w:r>
      <w:r w:rsidRPr="00D7082F">
        <w:rPr>
          <w:color w:val="000000" w:themeColor="text1"/>
          <w:sz w:val="28"/>
          <w:szCs w:val="28"/>
        </w:rPr>
        <w:t xml:space="preserve">, which detects MDA as a pink </w:t>
      </w:r>
      <w:proofErr w:type="spellStart"/>
      <w:r w:rsidRPr="00D7082F">
        <w:rPr>
          <w:color w:val="000000" w:themeColor="text1"/>
          <w:sz w:val="28"/>
          <w:szCs w:val="28"/>
        </w:rPr>
        <w:t>chromogen</w:t>
      </w:r>
      <w:proofErr w:type="spellEnd"/>
      <w:r w:rsidRPr="00D7082F">
        <w:rPr>
          <w:color w:val="000000" w:themeColor="text1"/>
          <w:sz w:val="28"/>
          <w:szCs w:val="28"/>
        </w:rPr>
        <w:t xml:space="preserve"> after reaction with </w:t>
      </w:r>
      <w:proofErr w:type="spellStart"/>
      <w:r w:rsidRPr="00D7082F">
        <w:rPr>
          <w:color w:val="000000" w:themeColor="text1"/>
          <w:sz w:val="28"/>
          <w:szCs w:val="28"/>
        </w:rPr>
        <w:t>thiobarbituric</w:t>
      </w:r>
      <w:proofErr w:type="spellEnd"/>
      <w:r w:rsidRPr="00D7082F">
        <w:rPr>
          <w:color w:val="000000" w:themeColor="text1"/>
          <w:sz w:val="28"/>
          <w:szCs w:val="28"/>
        </w:rPr>
        <w:t xml:space="preserve">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w:t>
      </w:r>
      <w:proofErr w:type="spellStart"/>
      <w:r>
        <w:rPr>
          <w:i/>
          <w:color w:val="000000" w:themeColor="text1"/>
          <w:sz w:val="28"/>
          <w:szCs w:val="28"/>
        </w:rPr>
        <w:t>Halliwell</w:t>
      </w:r>
      <w:proofErr w:type="spellEnd"/>
      <w:r>
        <w:rPr>
          <w:i/>
          <w:color w:val="000000" w:themeColor="text1"/>
          <w:sz w:val="28"/>
          <w:szCs w:val="28"/>
        </w:rPr>
        <w:t xml:space="preserve"> and</w:t>
      </w:r>
      <w:r w:rsidRPr="00F51377">
        <w:rPr>
          <w:i/>
          <w:color w:val="000000" w:themeColor="text1"/>
          <w:sz w:val="28"/>
          <w:szCs w:val="28"/>
        </w:rPr>
        <w:t xml:space="preserve"> </w:t>
      </w:r>
      <w:proofErr w:type="spellStart"/>
      <w:r w:rsidRPr="00F51377">
        <w:rPr>
          <w:i/>
          <w:color w:val="000000" w:themeColor="text1"/>
          <w:sz w:val="28"/>
          <w:szCs w:val="28"/>
        </w:rPr>
        <w:t>Gutteridge</w:t>
      </w:r>
      <w:proofErr w:type="spellEnd"/>
      <w:r w:rsidRPr="00F51377">
        <w:rPr>
          <w:i/>
          <w:color w:val="000000" w:themeColor="text1"/>
          <w:sz w:val="28"/>
          <w:szCs w:val="28"/>
        </w:rPr>
        <w:t>,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proofErr w:type="spellStart"/>
      <w:r w:rsidRPr="00F51377">
        <w:rPr>
          <w:i/>
          <w:color w:val="000000" w:themeColor="text1"/>
          <w:sz w:val="28"/>
          <w:szCs w:val="28"/>
        </w:rPr>
        <w:t>Zarkovic</w:t>
      </w:r>
      <w:proofErr w:type="spellEnd"/>
      <w:r w:rsidRPr="00F51377">
        <w:rPr>
          <w:i/>
          <w:color w:val="000000" w:themeColor="text1"/>
          <w:sz w:val="28"/>
          <w:szCs w:val="28"/>
        </w:rPr>
        <w:t>, 2003).</w:t>
      </w:r>
      <w:r w:rsidRPr="00D7082F">
        <w:rPr>
          <w:color w:val="000000" w:themeColor="text1"/>
          <w:sz w:val="28"/>
          <w:szCs w:val="28"/>
        </w:rPr>
        <w:t xml:space="preserve"> 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w:t>
      </w:r>
      <w:proofErr w:type="spellStart"/>
      <w:r w:rsidRPr="00054883">
        <w:rPr>
          <w:i/>
          <w:color w:val="000000" w:themeColor="text1"/>
          <w:sz w:val="28"/>
          <w:szCs w:val="28"/>
        </w:rPr>
        <w:t>Fauziah</w:t>
      </w:r>
      <w:proofErr w:type="spellEnd"/>
      <w:r w:rsidRPr="00054883">
        <w:rPr>
          <w:i/>
          <w:color w:val="000000" w:themeColor="text1"/>
          <w:sz w:val="28"/>
          <w:szCs w:val="28"/>
        </w:rPr>
        <w:t xml:space="preserve"> et al., 2018).</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 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 </w:t>
      </w:r>
      <w:r w:rsidRPr="00F51377">
        <w:rPr>
          <w:i/>
          <w:color w:val="000000" w:themeColor="text1"/>
          <w:sz w:val="28"/>
          <w:szCs w:val="28"/>
        </w:rPr>
        <w:t>(Del Rio et al., 2005).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2.7.6 </w:t>
      </w:r>
      <w:proofErr w:type="spellStart"/>
      <w:r w:rsidRPr="00D7082F">
        <w:rPr>
          <w:b/>
          <w:bCs/>
          <w:color w:val="000000" w:themeColor="text1"/>
          <w:sz w:val="28"/>
          <w:szCs w:val="28"/>
        </w:rPr>
        <w:t>Mycloperoxidase</w:t>
      </w:r>
      <w:proofErr w:type="spellEnd"/>
      <w:r w:rsidRPr="00D7082F">
        <w:rPr>
          <w:b/>
          <w:bCs/>
          <w:color w:val="000000" w:themeColor="text1"/>
          <w:sz w:val="28"/>
          <w:szCs w:val="28"/>
        </w:rPr>
        <w:t xml:space="preserv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w:t>
      </w:r>
      <w:proofErr w:type="spellStart"/>
      <w:r w:rsidRPr="00D7082F">
        <w:rPr>
          <w:rFonts w:eastAsia="Times New Roman"/>
          <w:color w:val="000000" w:themeColor="text1"/>
        </w:rPr>
        <w:t>heme</w:t>
      </w:r>
      <w:proofErr w:type="spellEnd"/>
      <w:r w:rsidRPr="00D7082F">
        <w:rPr>
          <w:rFonts w:eastAsia="Times New Roman"/>
          <w:color w:val="000000" w:themeColor="text1"/>
        </w:rPr>
        <w:t xml:space="preserve">-containing enzyme primarily located in the </w:t>
      </w:r>
      <w:proofErr w:type="spellStart"/>
      <w:r w:rsidRPr="00D7082F">
        <w:rPr>
          <w:rFonts w:eastAsia="Times New Roman"/>
          <w:color w:val="000000" w:themeColor="text1"/>
        </w:rPr>
        <w:t>azurophilic</w:t>
      </w:r>
      <w:proofErr w:type="spellEnd"/>
      <w:r w:rsidRPr="00D7082F">
        <w:rPr>
          <w:rFonts w:eastAsia="Times New Roman"/>
          <w:color w:val="000000" w:themeColor="text1"/>
        </w:rPr>
        <w:t xml:space="preserve"> granules of neutrophils and, to a lesser extent, in monocytes. It plays a critical role in the body's innate immune defense by catalyzing the production of </w:t>
      </w:r>
      <w:proofErr w:type="spellStart"/>
      <w:r w:rsidRPr="00D7082F">
        <w:rPr>
          <w:rFonts w:eastAsia="Times New Roman"/>
          <w:color w:val="000000" w:themeColor="text1"/>
        </w:rPr>
        <w:t>hypochlorous</w:t>
      </w:r>
      <w:proofErr w:type="spellEnd"/>
      <w:r w:rsidRPr="00D7082F">
        <w:rPr>
          <w:rFonts w:eastAsia="Times New Roman"/>
          <w:color w:val="000000" w:themeColor="text1"/>
        </w:rPr>
        <w:t xml:space="preserve"> acid (</w:t>
      </w:r>
      <w:proofErr w:type="spellStart"/>
      <w:r w:rsidRPr="00D7082F">
        <w:rPr>
          <w:rFonts w:eastAsia="Times New Roman"/>
          <w:color w:val="000000" w:themeColor="text1"/>
        </w:rPr>
        <w:t>HOCl</w:t>
      </w:r>
      <w:proofErr w:type="spellEnd"/>
      <w:r w:rsidRPr="00D7082F">
        <w:rPr>
          <w:rFonts w:eastAsia="Times New Roman"/>
          <w:color w:val="000000" w:themeColor="text1"/>
        </w:rPr>
        <w:t>) from hydrogen peroxide (H₂O₂) and chloride ions (</w:t>
      </w:r>
      <w:proofErr w:type="spellStart"/>
      <w:r w:rsidRPr="00D7082F">
        <w:rPr>
          <w:rFonts w:eastAsia="Times New Roman"/>
          <w:color w:val="000000" w:themeColor="text1"/>
        </w:rPr>
        <w:t>Cl</w:t>
      </w:r>
      <w:proofErr w:type="spellEnd"/>
      <w:r w:rsidRPr="00D7082F">
        <w:rPr>
          <w:rFonts w:eastAsia="Times New Roman"/>
          <w:color w:val="000000" w:themeColor="text1"/>
        </w:rPr>
        <w:t>⁻) during the respiratory burst in activated phagocytes (</w:t>
      </w:r>
      <w:proofErr w:type="spellStart"/>
      <w:r w:rsidRPr="00D7082F">
        <w:rPr>
          <w:rFonts w:eastAsia="Times New Roman"/>
          <w:color w:val="000000" w:themeColor="text1"/>
        </w:rPr>
        <w:t>Klebanoff</w:t>
      </w:r>
      <w:proofErr w:type="spellEnd"/>
      <w:r w:rsidRPr="00D7082F">
        <w:rPr>
          <w:rFonts w:eastAsia="Times New Roman"/>
          <w:color w:val="000000" w:themeColor="text1"/>
        </w:rPr>
        <w:t xml:space="preserve">, 2005). </w:t>
      </w:r>
      <w:proofErr w:type="spellStart"/>
      <w:r w:rsidRPr="00D7082F">
        <w:rPr>
          <w:rFonts w:eastAsia="Times New Roman"/>
          <w:color w:val="000000" w:themeColor="text1"/>
        </w:rPr>
        <w:lastRenderedPageBreak/>
        <w:t>Hypochlorous</w:t>
      </w:r>
      <w:proofErr w:type="spellEnd"/>
      <w:r w:rsidRPr="00D7082F">
        <w:rPr>
          <w:rFonts w:eastAsia="Times New Roman"/>
          <w:color w:val="000000" w:themeColor="text1"/>
        </w:rPr>
        <w:t xml:space="preserve"> acid is a powerful antimicrobial substance that can kill bacteria, viruses, and fungi, thus aiding in immune defense. However, excessive or uncontrolled MPO activity can lead to tissue damage due to the high reactivity of </w:t>
      </w:r>
      <w:proofErr w:type="spellStart"/>
      <w:r w:rsidRPr="00D7082F">
        <w:rPr>
          <w:rFonts w:eastAsia="Times New Roman"/>
          <w:color w:val="000000" w:themeColor="text1"/>
        </w:rPr>
        <w:t>HOCl</w:t>
      </w:r>
      <w:proofErr w:type="spellEnd"/>
      <w:r w:rsidRPr="00D7082F">
        <w:rPr>
          <w:rFonts w:eastAsia="Times New Roman"/>
          <w:color w:val="000000" w:themeColor="text1"/>
        </w:rPr>
        <w:t xml:space="preserve"> and other oxidants. These oxidants can cause oxidation of proteins, lipids, DNA, and other cellular components </w:t>
      </w:r>
      <w:r w:rsidRPr="00F51377">
        <w:rPr>
          <w:rFonts w:eastAsia="Times New Roman"/>
          <w:i/>
          <w:color w:val="000000" w:themeColor="text1"/>
        </w:rPr>
        <w:t>(</w:t>
      </w:r>
      <w:proofErr w:type="spellStart"/>
      <w:r w:rsidRPr="00F51377">
        <w:rPr>
          <w:rFonts w:eastAsia="Times New Roman"/>
          <w:i/>
          <w:color w:val="000000" w:themeColor="text1"/>
        </w:rPr>
        <w:t>Winterbourn</w:t>
      </w:r>
      <w:proofErr w:type="spellEnd"/>
      <w:r w:rsidRPr="00F51377">
        <w:rPr>
          <w:rFonts w:eastAsia="Times New Roman"/>
          <w:i/>
          <w:color w:val="000000" w:themeColor="text1"/>
        </w:rPr>
        <w:t xml:space="preserve"> et al., 2016).</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w:t>
      </w:r>
      <w:proofErr w:type="spellStart"/>
      <w:r w:rsidRPr="00D7082F">
        <w:rPr>
          <w:rFonts w:eastAsia="Times New Roman"/>
          <w:color w:val="000000" w:themeColor="text1"/>
        </w:rPr>
        <w:t>Podrez</w:t>
      </w:r>
      <w:proofErr w:type="spellEnd"/>
      <w:r w:rsidRPr="00D7082F">
        <w:rPr>
          <w:rFonts w:eastAsia="Times New Roman"/>
          <w:color w:val="000000" w:themeColor="text1"/>
        </w:rPr>
        <w:t xml:space="preserve">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line="360" w:lineRule="auto"/>
        <w:rPr>
          <w:rFonts w:eastAsia="Times New Roman"/>
          <w:color w:val="000000" w:themeColor="text1"/>
        </w:rPr>
      </w:pPr>
    </w:p>
    <w:p w:rsidR="00FB724C" w:rsidRPr="00D7082F" w:rsidRDefault="00FB724C" w:rsidP="00FB724C">
      <w:pPr>
        <w:spacing w:line="360" w:lineRule="auto"/>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E1580C" w:rsidRDefault="00FB724C" w:rsidP="00FB724C">
      <w:pPr>
        <w:spacing w:line="360" w:lineRule="auto"/>
        <w:jc w:val="center"/>
        <w:rPr>
          <w:b/>
          <w:bCs/>
        </w:rPr>
      </w:pPr>
    </w:p>
    <w:p w:rsidR="00FB724C" w:rsidRPr="00E1580C" w:rsidRDefault="00FB724C" w:rsidP="00FB724C">
      <w:pPr>
        <w:spacing w:after="0" w:line="480" w:lineRule="auto"/>
        <w:jc w:val="center"/>
        <w:rPr>
          <w:b/>
          <w:bCs/>
        </w:rPr>
      </w:pPr>
      <w:r w:rsidRPr="00E1580C">
        <w:rPr>
          <w:b/>
          <w:bCs/>
        </w:rPr>
        <w:lastRenderedPageBreak/>
        <w:t>CHAPTER THREE</w:t>
      </w:r>
    </w:p>
    <w:p w:rsidR="00FB724C" w:rsidRPr="00E1580C" w:rsidRDefault="00FB724C" w:rsidP="00FB724C">
      <w:pPr>
        <w:spacing w:after="0" w:line="480" w:lineRule="auto"/>
      </w:pPr>
      <w:r>
        <w:rPr>
          <w:b/>
          <w:bCs/>
        </w:rPr>
        <w:t>3.0</w:t>
      </w:r>
      <w:r>
        <w:rPr>
          <w:b/>
          <w:bCs/>
        </w:rPr>
        <w:tab/>
      </w:r>
      <w:r w:rsidRPr="00E1580C">
        <w:rPr>
          <w:b/>
          <w:bCs/>
        </w:rPr>
        <w:t>MATERIALS AND METHODS</w:t>
      </w:r>
    </w:p>
    <w:p w:rsidR="00FB724C" w:rsidRPr="00E1580C" w:rsidRDefault="00FB724C" w:rsidP="00FB724C">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FB724C" w:rsidRPr="00E1580C" w:rsidRDefault="00FB724C" w:rsidP="00FB724C">
      <w:pPr>
        <w:pStyle w:val="NormalWeb"/>
        <w:spacing w:after="0" w:afterAutospacing="0" w:line="480" w:lineRule="auto"/>
        <w:rPr>
          <w:sz w:val="28"/>
          <w:szCs w:val="28"/>
        </w:rPr>
      </w:pPr>
      <w:r w:rsidRPr="00E1580C">
        <w:rPr>
          <w:sz w:val="28"/>
          <w:szCs w:val="28"/>
        </w:rPr>
        <w:t xml:space="preserve">Fresh leaves of </w:t>
      </w:r>
      <w:proofErr w:type="spellStart"/>
      <w:r w:rsidRPr="00FD2E88">
        <w:rPr>
          <w:rStyle w:val="Emphasis"/>
          <w:rFonts w:eastAsiaTheme="majorEastAsia"/>
        </w:rPr>
        <w:t>Sida</w:t>
      </w:r>
      <w:proofErr w:type="spellEnd"/>
      <w:r w:rsidRPr="00FD2E88">
        <w:rPr>
          <w:rStyle w:val="Emphasis"/>
          <w:rFonts w:eastAsiaTheme="majorEastAsia"/>
        </w:rPr>
        <w:t xml:space="preserve"> </w:t>
      </w:r>
      <w:proofErr w:type="spellStart"/>
      <w:r w:rsidRPr="00FD2E88">
        <w:rPr>
          <w:rStyle w:val="Emphasis"/>
          <w:rFonts w:eastAsiaTheme="majorEastAsia"/>
        </w:rPr>
        <w:t>acuta</w:t>
      </w:r>
      <w:proofErr w:type="spellEnd"/>
      <w:r w:rsidRPr="00E1580C">
        <w:rPr>
          <w:sz w:val="28"/>
          <w:szCs w:val="28"/>
        </w:rPr>
        <w:t xml:space="preserve"> were collected from a natural habitat and identified by a biochemistry students in the Department of Science </w:t>
      </w:r>
      <w:proofErr w:type="spellStart"/>
      <w:r w:rsidRPr="00E1580C">
        <w:rPr>
          <w:sz w:val="28"/>
          <w:szCs w:val="28"/>
        </w:rPr>
        <w:t>labouratory</w:t>
      </w:r>
      <w:proofErr w:type="spellEnd"/>
      <w:r w:rsidRPr="00E1580C">
        <w:rPr>
          <w:sz w:val="28"/>
          <w:szCs w:val="28"/>
        </w:rPr>
        <w:t xml:space="preserve">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Indomethacin (Sigma-Aldrich, USA)</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Ethanol (analytical grade)</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Omeprazole (reference drug)</w:t>
      </w:r>
    </w:p>
    <w:p w:rsidR="00FB724C" w:rsidRPr="00E1580C" w:rsidRDefault="00FB724C" w:rsidP="00FB724C">
      <w:pPr>
        <w:pStyle w:val="NormalWeb"/>
        <w:numPr>
          <w:ilvl w:val="0"/>
          <w:numId w:val="26"/>
        </w:numPr>
        <w:spacing w:after="0" w:afterAutospacing="0" w:line="360" w:lineRule="auto"/>
        <w:rPr>
          <w:sz w:val="28"/>
          <w:szCs w:val="28"/>
        </w:rPr>
      </w:pPr>
      <w:proofErr w:type="spellStart"/>
      <w:r w:rsidRPr="00E1580C">
        <w:rPr>
          <w:sz w:val="28"/>
          <w:szCs w:val="28"/>
        </w:rPr>
        <w:t>Thiobarbituric</w:t>
      </w:r>
      <w:proofErr w:type="spellEnd"/>
      <w:r w:rsidRPr="00E1580C">
        <w:rPr>
          <w:sz w:val="28"/>
          <w:szCs w:val="28"/>
        </w:rPr>
        <w:t xml:space="preserve"> Acid (TBA)</w:t>
      </w:r>
    </w:p>
    <w:p w:rsidR="00FB724C" w:rsidRPr="00E1580C" w:rsidRDefault="00FB724C" w:rsidP="00FB724C">
      <w:pPr>
        <w:pStyle w:val="NormalWeb"/>
        <w:numPr>
          <w:ilvl w:val="0"/>
          <w:numId w:val="26"/>
        </w:numPr>
        <w:spacing w:after="0" w:afterAutospacing="0" w:line="360" w:lineRule="auto"/>
        <w:rPr>
          <w:sz w:val="28"/>
          <w:szCs w:val="28"/>
        </w:rPr>
      </w:pPr>
      <w:proofErr w:type="spellStart"/>
      <w:r w:rsidRPr="00E1580C">
        <w:rPr>
          <w:sz w:val="28"/>
          <w:szCs w:val="28"/>
        </w:rPr>
        <w:t>Trichloroacetic</w:t>
      </w:r>
      <w:proofErr w:type="spellEnd"/>
      <w:r w:rsidRPr="00E1580C">
        <w:rPr>
          <w:sz w:val="28"/>
          <w:szCs w:val="28"/>
        </w:rPr>
        <w:t xml:space="preserve"> Acid (TCA)</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Hydrogen Peroxide (H₂O₂)</w:t>
      </w:r>
    </w:p>
    <w:p w:rsidR="00FB724C" w:rsidRPr="00E1580C" w:rsidRDefault="00FB724C" w:rsidP="00FB724C">
      <w:pPr>
        <w:pStyle w:val="NormalWeb"/>
        <w:numPr>
          <w:ilvl w:val="0"/>
          <w:numId w:val="26"/>
        </w:numPr>
        <w:spacing w:after="0" w:afterAutospacing="0" w:line="360" w:lineRule="auto"/>
        <w:rPr>
          <w:sz w:val="28"/>
          <w:szCs w:val="28"/>
        </w:rPr>
      </w:pPr>
      <w:proofErr w:type="spellStart"/>
      <w:r w:rsidRPr="00E1580C">
        <w:rPr>
          <w:sz w:val="28"/>
          <w:szCs w:val="28"/>
        </w:rPr>
        <w:t>Ellman’s</w:t>
      </w:r>
      <w:proofErr w:type="spellEnd"/>
      <w:r w:rsidRPr="00E1580C">
        <w:rPr>
          <w:sz w:val="28"/>
          <w:szCs w:val="28"/>
        </w:rPr>
        <w:t xml:space="preserve"> reagent (DTNB)</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Phosphate buffer solution (PBS)</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Fifty two (52) adult male </w:t>
      </w:r>
      <w:proofErr w:type="spellStart"/>
      <w:r w:rsidRPr="00E1580C">
        <w:rPr>
          <w:sz w:val="28"/>
          <w:szCs w:val="28"/>
        </w:rPr>
        <w:t>Wistar</w:t>
      </w:r>
      <w:proofErr w:type="spellEnd"/>
      <w:r w:rsidRPr="00E1580C">
        <w:rPr>
          <w:sz w:val="28"/>
          <w:szCs w:val="28"/>
        </w:rPr>
        <w:t xml:space="preserve">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FB724C" w:rsidRPr="00E1580C" w:rsidRDefault="00FB724C" w:rsidP="00FB724C">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FB724C" w:rsidRPr="00E1580C" w:rsidRDefault="00FB724C" w:rsidP="00FB724C">
      <w:pPr>
        <w:pStyle w:val="NormalWeb"/>
        <w:spacing w:after="0" w:afterAutospacing="0" w:line="360" w:lineRule="auto"/>
        <w:rPr>
          <w:sz w:val="28"/>
          <w:szCs w:val="28"/>
        </w:rPr>
      </w:pPr>
      <w:r w:rsidRPr="00E1580C">
        <w:rPr>
          <w:sz w:val="28"/>
          <w:szCs w:val="28"/>
        </w:rPr>
        <w:t xml:space="preserve">The powdered </w:t>
      </w:r>
      <w:proofErr w:type="spellStart"/>
      <w:r w:rsidRPr="00FD2E88">
        <w:rPr>
          <w:rStyle w:val="Emphasis"/>
          <w:rFonts w:eastAsiaTheme="majorEastAsia"/>
        </w:rPr>
        <w:t>Sida</w:t>
      </w:r>
      <w:proofErr w:type="spellEnd"/>
      <w:r w:rsidRPr="00FD2E88">
        <w:rPr>
          <w:rStyle w:val="Emphasis"/>
          <w:rFonts w:eastAsiaTheme="majorEastAsia"/>
        </w:rPr>
        <w:t xml:space="preserve"> </w:t>
      </w:r>
      <w:proofErr w:type="spellStart"/>
      <w:r w:rsidRPr="00FD2E88">
        <w:rPr>
          <w:rStyle w:val="Emphasis"/>
          <w:rFonts w:eastAsiaTheme="majorEastAsia"/>
        </w:rPr>
        <w:t>acuta</w:t>
      </w:r>
      <w:proofErr w:type="spellEnd"/>
      <w:r w:rsidRPr="00E1580C">
        <w:rPr>
          <w:sz w:val="28"/>
          <w:szCs w:val="28"/>
        </w:rPr>
        <w:t xml:space="preserve"> leaves (500 g) were macerated in 70% ethanol for 72 hours with intermittent shaking. The mixture was filtered using </w:t>
      </w:r>
      <w:proofErr w:type="spellStart"/>
      <w:r w:rsidRPr="00E1580C">
        <w:rPr>
          <w:sz w:val="28"/>
          <w:szCs w:val="28"/>
        </w:rPr>
        <w:t>Whatman</w:t>
      </w:r>
      <w:proofErr w:type="spellEnd"/>
      <w:r w:rsidRPr="00E1580C">
        <w:rPr>
          <w:sz w:val="28"/>
          <w:szCs w:val="28"/>
        </w:rPr>
        <w:t xml:space="preserve"> No. 1 filter paper and concentrated using a rotary evaporator at 40°C to obtain a semi-solid crude extract. The extract was stored at 4°C until use.</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Fresh leaves of </w:t>
      </w:r>
      <w:proofErr w:type="spellStart"/>
      <w:r w:rsidRPr="00FD2E88">
        <w:rPr>
          <w:rStyle w:val="Strong"/>
          <w:i/>
          <w:iCs/>
          <w:sz w:val="28"/>
          <w:szCs w:val="28"/>
        </w:rPr>
        <w:t>Sida</w:t>
      </w:r>
      <w:proofErr w:type="spellEnd"/>
      <w:r w:rsidRPr="00FD2E88">
        <w:rPr>
          <w:rStyle w:val="Strong"/>
          <w:i/>
          <w:iCs/>
          <w:sz w:val="28"/>
          <w:szCs w:val="28"/>
        </w:rPr>
        <w:t xml:space="preserve"> </w:t>
      </w:r>
      <w:proofErr w:type="spellStart"/>
      <w:r w:rsidRPr="00FD2E88">
        <w:rPr>
          <w:rStyle w:val="Strong"/>
          <w:i/>
          <w:iCs/>
          <w:sz w:val="28"/>
          <w:szCs w:val="28"/>
        </w:rPr>
        <w:t>acuta</w:t>
      </w:r>
      <w:proofErr w:type="spellEnd"/>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FB724C" w:rsidRPr="00E1580C" w:rsidRDefault="00FB724C" w:rsidP="00FB724C">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proofErr w:type="spellStart"/>
      <w:r w:rsidRPr="00E1580C">
        <w:rPr>
          <w:rStyle w:val="Strong"/>
          <w:sz w:val="28"/>
          <w:szCs w:val="28"/>
        </w:rPr>
        <w:t>Whatman</w:t>
      </w:r>
      <w:proofErr w:type="spellEnd"/>
      <w:r w:rsidRPr="00E1580C">
        <w:rPr>
          <w:rStyle w:val="Strong"/>
          <w:sz w:val="28"/>
          <w:szCs w:val="28"/>
        </w:rPr>
        <w:t xml:space="preserve"> No. 1 filter paper</w:t>
      </w:r>
      <w:r w:rsidRPr="00E1580C">
        <w:rPr>
          <w:sz w:val="28"/>
          <w:szCs w:val="28"/>
        </w:rPr>
        <w:t>.</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FB724C" w:rsidRPr="00E1580C" w:rsidRDefault="00FB724C" w:rsidP="00FB724C">
      <w:pPr>
        <w:pStyle w:val="NormalWeb"/>
        <w:spacing w:after="0" w:afterAutospacing="0" w:line="360" w:lineRule="auto"/>
        <w:rPr>
          <w:sz w:val="28"/>
          <w:szCs w:val="28"/>
        </w:rPr>
      </w:pPr>
      <w:r w:rsidRPr="00E1580C">
        <w:rPr>
          <w:sz w:val="28"/>
          <w:szCs w:val="28"/>
        </w:rPr>
        <w:t>The percentage yield of the extract was calculated using the formula:</w:t>
      </w:r>
    </w:p>
    <w:p w:rsidR="00FB724C" w:rsidRPr="00E1580C" w:rsidRDefault="00FB724C" w:rsidP="00FB724C">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w:t>
      </w:r>
      <w:proofErr w:type="spellStart"/>
      <w:r w:rsidRPr="00E1580C">
        <w:rPr>
          <w:rStyle w:val="katex-error"/>
        </w:rPr>
        <w:t>frac</w:t>
      </w:r>
      <w:proofErr w:type="spellEnd"/>
      <w:r w:rsidRPr="00E1580C">
        <w:rPr>
          <w:rStyle w:val="katex-error"/>
        </w:rPr>
        <w:t>{\text{Weight of dried extract}}{\text{Weight of powdered leaves}} \right) \times 100</w:t>
      </w:r>
      <w:r w:rsidRPr="00E1580C">
        <w:t xml:space="preserve"> </w:t>
      </w:r>
    </w:p>
    <w:p w:rsidR="00FB724C" w:rsidRPr="00E1580C" w:rsidRDefault="00FB724C" w:rsidP="00FB724C">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FB724C" w:rsidRPr="00E1580C" w:rsidRDefault="00FB724C" w:rsidP="00FB724C">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FB724C" w:rsidRPr="00E1580C" w:rsidRDefault="00FB724C" w:rsidP="00FB724C">
      <w:pPr>
        <w:spacing w:after="0" w:line="360" w:lineRule="auto"/>
        <w:jc w:val="both"/>
        <w:rPr>
          <w:b/>
          <w:bCs/>
        </w:rPr>
      </w:pPr>
      <w:r w:rsidRPr="00E1580C">
        <w:rPr>
          <w:b/>
          <w:bCs/>
        </w:rPr>
        <w:t xml:space="preserve"> 3.3 Experimental design </w:t>
      </w:r>
    </w:p>
    <w:p w:rsidR="00FB724C" w:rsidRPr="00E1580C" w:rsidRDefault="00FB724C" w:rsidP="00FB724C">
      <w:pPr>
        <w:pStyle w:val="NormalWeb"/>
        <w:spacing w:after="0" w:afterAutospacing="0" w:line="360" w:lineRule="auto"/>
        <w:ind w:firstLine="720"/>
        <w:jc w:val="both"/>
        <w:rPr>
          <w:sz w:val="28"/>
          <w:szCs w:val="28"/>
        </w:rPr>
      </w:pPr>
      <w:r w:rsidRPr="00E1580C">
        <w:rPr>
          <w:sz w:val="28"/>
          <w:szCs w:val="28"/>
        </w:rPr>
        <w:t>Fifty two (52) white rats (</w:t>
      </w:r>
      <w:proofErr w:type="spellStart"/>
      <w:r w:rsidRPr="00E1580C">
        <w:rPr>
          <w:rStyle w:val="Emphasis"/>
          <w:rFonts w:eastAsiaTheme="majorEastAsia"/>
          <w:i w:val="0"/>
        </w:rPr>
        <w:t>Rattus</w:t>
      </w:r>
      <w:proofErr w:type="spellEnd"/>
      <w:r w:rsidRPr="00E1580C">
        <w:rPr>
          <w:rStyle w:val="Emphasis"/>
          <w:rFonts w:eastAsiaTheme="majorEastAsia"/>
          <w:i w:val="0"/>
        </w:rPr>
        <w:t xml:space="preserve"> </w:t>
      </w:r>
      <w:proofErr w:type="spellStart"/>
      <w:r w:rsidRPr="00E1580C">
        <w:rPr>
          <w:rStyle w:val="Emphasis"/>
          <w:rFonts w:eastAsiaTheme="majorEastAsia"/>
          <w:i w:val="0"/>
        </w:rPr>
        <w:t>norvegicus</w:t>
      </w:r>
      <w:proofErr w:type="spellEnd"/>
      <w:r w:rsidRPr="00E1580C">
        <w:rPr>
          <w:sz w:val="28"/>
          <w:szCs w:val="28"/>
        </w:rPr>
        <w:t xml:space="preserve">) of the </w:t>
      </w:r>
      <w:proofErr w:type="spellStart"/>
      <w:r w:rsidRPr="00E1580C">
        <w:rPr>
          <w:sz w:val="28"/>
          <w:szCs w:val="28"/>
        </w:rPr>
        <w:t>Wistar</w:t>
      </w:r>
      <w:proofErr w:type="spellEnd"/>
      <w:r w:rsidRPr="00E1580C">
        <w:rPr>
          <w:sz w:val="28"/>
          <w:szCs w:val="28"/>
        </w:rPr>
        <w:t xml:space="preserve"> breed, clinically healthy, females, weighing an average of 168.64 g obtained from the Kwara State, Nigeria. Were used for the study, the subjects were randomly assigned to 7 homogeneous groups, 8 individuals each. The animals were hosted in the </w:t>
      </w:r>
      <w:r w:rsidRPr="00E1580C">
        <w:rPr>
          <w:sz w:val="28"/>
          <w:szCs w:val="28"/>
        </w:rPr>
        <w:lastRenderedPageBreak/>
        <w:t xml:space="preserve">institutional </w:t>
      </w:r>
      <w:proofErr w:type="spellStart"/>
      <w:r w:rsidRPr="00E1580C">
        <w:rPr>
          <w:sz w:val="28"/>
          <w:szCs w:val="28"/>
        </w:rPr>
        <w:t>biobase</w:t>
      </w:r>
      <w:proofErr w:type="spellEnd"/>
      <w:r w:rsidRPr="00E1580C">
        <w:rPr>
          <w:sz w:val="28"/>
          <w:szCs w:val="28"/>
        </w:rPr>
        <w:t xml:space="preserve">, in </w:t>
      </w:r>
      <w:proofErr w:type="spellStart"/>
      <w:r w:rsidRPr="00E1580C">
        <w:rPr>
          <w:sz w:val="28"/>
          <w:szCs w:val="28"/>
        </w:rPr>
        <w:t>favourable</w:t>
      </w:r>
      <w:proofErr w:type="spellEnd"/>
      <w:r w:rsidRPr="00E1580C">
        <w:rPr>
          <w:sz w:val="28"/>
          <w:szCs w:val="28"/>
        </w:rPr>
        <w:t xml:space="preserv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FB724C" w:rsidRPr="00E1580C" w:rsidRDefault="00FB724C" w:rsidP="00FB724C">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FB724C" w:rsidRPr="00E1580C" w:rsidRDefault="00FB724C" w:rsidP="00FB724C">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25"/>
        <w:gridCol w:w="3150"/>
      </w:tblGrid>
      <w:tr w:rsidR="00FB724C" w:rsidRPr="00E1580C" w:rsidTr="00FF1768">
        <w:trPr>
          <w:tblHeader/>
          <w:tblCellSpacing w:w="15" w:type="dxa"/>
          <w:jc w:val="center"/>
        </w:trPr>
        <w:tc>
          <w:tcPr>
            <w:tcW w:w="3780" w:type="dxa"/>
            <w:tcBorders>
              <w:top w:val="single" w:sz="4" w:space="0" w:color="auto"/>
              <w:bottom w:val="single" w:sz="4" w:space="0" w:color="auto"/>
            </w:tcBorders>
            <w:vAlign w:val="center"/>
            <w:hideMark/>
          </w:tcPr>
          <w:p w:rsidR="00FB724C" w:rsidRPr="00E1580C" w:rsidRDefault="00FB724C" w:rsidP="00FF1768">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FB724C" w:rsidRPr="00E1580C" w:rsidRDefault="00FB724C" w:rsidP="00FF1768">
            <w:pPr>
              <w:spacing w:after="0" w:line="360" w:lineRule="auto"/>
              <w:jc w:val="center"/>
              <w:rPr>
                <w:b/>
                <w:bCs/>
              </w:rPr>
            </w:pPr>
            <w:r w:rsidRPr="00E1580C">
              <w:rPr>
                <w:rStyle w:val="Strong"/>
              </w:rPr>
              <w:t>Treatment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1</w:t>
            </w:r>
          </w:p>
        </w:tc>
        <w:tc>
          <w:tcPr>
            <w:tcW w:w="3105" w:type="dxa"/>
            <w:vAlign w:val="center"/>
            <w:hideMark/>
          </w:tcPr>
          <w:p w:rsidR="00FB724C" w:rsidRPr="00E1580C" w:rsidRDefault="00FB724C" w:rsidP="00FF1768">
            <w:pPr>
              <w:spacing w:after="0" w:line="360" w:lineRule="auto"/>
            </w:pPr>
            <w:r w:rsidRPr="00E1580C">
              <w:t>Control vector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2</w:t>
            </w:r>
          </w:p>
        </w:tc>
        <w:tc>
          <w:tcPr>
            <w:tcW w:w="3105" w:type="dxa"/>
            <w:vAlign w:val="center"/>
            <w:hideMark/>
          </w:tcPr>
          <w:p w:rsidR="00FB724C" w:rsidRPr="00E1580C" w:rsidRDefault="00FB724C" w:rsidP="00FF1768">
            <w:pPr>
              <w:spacing w:after="0" w:line="360" w:lineRule="auto"/>
            </w:pPr>
            <w:r w:rsidRPr="00E1580C">
              <w:t>Untreated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3</w:t>
            </w:r>
          </w:p>
        </w:tc>
        <w:tc>
          <w:tcPr>
            <w:tcW w:w="3105" w:type="dxa"/>
            <w:vAlign w:val="center"/>
            <w:hideMark/>
          </w:tcPr>
          <w:p w:rsidR="00FB724C" w:rsidRPr="00E1580C" w:rsidRDefault="00FB724C" w:rsidP="00FF1768">
            <w:pPr>
              <w:spacing w:after="0" w:line="360" w:lineRule="auto"/>
            </w:pPr>
            <w:r w:rsidRPr="00E1580C">
              <w:t>Treated with standard drug</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4</w:t>
            </w:r>
          </w:p>
        </w:tc>
        <w:tc>
          <w:tcPr>
            <w:tcW w:w="3105" w:type="dxa"/>
            <w:vAlign w:val="center"/>
            <w:hideMark/>
          </w:tcPr>
          <w:p w:rsidR="00FB724C" w:rsidRPr="00E1580C" w:rsidRDefault="00FB724C" w:rsidP="00FF1768">
            <w:pPr>
              <w:spacing w:after="0" w:line="360" w:lineRule="auto"/>
            </w:pPr>
            <w:r w:rsidRPr="00E1580C">
              <w:t>100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5</w:t>
            </w:r>
          </w:p>
        </w:tc>
        <w:tc>
          <w:tcPr>
            <w:tcW w:w="3105" w:type="dxa"/>
            <w:vAlign w:val="center"/>
            <w:hideMark/>
          </w:tcPr>
          <w:p w:rsidR="00FB724C" w:rsidRPr="00E1580C" w:rsidRDefault="00FB724C" w:rsidP="00FF1768">
            <w:pPr>
              <w:spacing w:after="0" w:line="360" w:lineRule="auto"/>
            </w:pPr>
            <w:r w:rsidRPr="00E1580C">
              <w:t>200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6</w:t>
            </w:r>
          </w:p>
        </w:tc>
        <w:tc>
          <w:tcPr>
            <w:tcW w:w="3105" w:type="dxa"/>
            <w:vAlign w:val="center"/>
            <w:hideMark/>
          </w:tcPr>
          <w:p w:rsidR="00FB724C" w:rsidRPr="00E1580C" w:rsidRDefault="00FB724C" w:rsidP="00FF1768">
            <w:pPr>
              <w:spacing w:after="0" w:line="360" w:lineRule="auto"/>
            </w:pPr>
            <w:r w:rsidRPr="00E1580C">
              <w:t>400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7</w:t>
            </w:r>
          </w:p>
        </w:tc>
        <w:tc>
          <w:tcPr>
            <w:tcW w:w="3105" w:type="dxa"/>
            <w:vAlign w:val="center"/>
            <w:hideMark/>
          </w:tcPr>
          <w:p w:rsidR="00FB724C" w:rsidRPr="00E1580C" w:rsidRDefault="00FB724C" w:rsidP="00FF1768">
            <w:pPr>
              <w:spacing w:after="0" w:line="360" w:lineRule="auto"/>
            </w:pPr>
            <w:r w:rsidRPr="00E1580C">
              <w:t>800 mg/kg of the extract</w:t>
            </w:r>
          </w:p>
        </w:tc>
      </w:tr>
    </w:tbl>
    <w:p w:rsidR="00FB724C" w:rsidRPr="00E1580C" w:rsidRDefault="00FB724C" w:rsidP="00FB724C">
      <w:pPr>
        <w:spacing w:after="0" w:line="360" w:lineRule="auto"/>
        <w:jc w:val="both"/>
        <w:rPr>
          <w:b/>
          <w:bCs/>
        </w:rPr>
      </w:pPr>
    </w:p>
    <w:p w:rsidR="00FB724C" w:rsidRPr="00E1580C" w:rsidRDefault="00FB724C" w:rsidP="00FB724C">
      <w:pPr>
        <w:spacing w:after="0" w:line="360" w:lineRule="auto"/>
        <w:jc w:val="both"/>
        <w:rPr>
          <w:b/>
          <w:bCs/>
        </w:rPr>
      </w:pPr>
      <w:r w:rsidRPr="00E1580C">
        <w:rPr>
          <w:b/>
          <w:bCs/>
        </w:rPr>
        <w:t xml:space="preserve">3.3.1 Determination of antioxidant properties </w:t>
      </w:r>
    </w:p>
    <w:p w:rsidR="00FB724C" w:rsidRPr="00E1580C" w:rsidRDefault="00FB724C" w:rsidP="00FB724C">
      <w:pPr>
        <w:spacing w:after="0" w:line="360" w:lineRule="auto"/>
        <w:jc w:val="both"/>
        <w:rPr>
          <w:b/>
          <w:bCs/>
        </w:rPr>
      </w:pPr>
      <w:r w:rsidRPr="00E1580C">
        <w:rPr>
          <w:b/>
          <w:bCs/>
        </w:rPr>
        <w:t>3.3.2 Determination of Ferric Reducing Antioxidant Power (FRAP)</w:t>
      </w:r>
    </w:p>
    <w:p w:rsidR="00FB724C" w:rsidRPr="00E1580C" w:rsidRDefault="00FB724C" w:rsidP="00FB724C">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FB724C" w:rsidRPr="00E1580C" w:rsidRDefault="00FB724C" w:rsidP="00FB724C">
      <w:pPr>
        <w:spacing w:before="100" w:beforeAutospacing="1" w:after="0" w:line="360" w:lineRule="auto"/>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 xml:space="preserve">Acetate buffer (300 </w:t>
      </w:r>
      <w:proofErr w:type="spellStart"/>
      <w:r w:rsidRPr="00E1580C">
        <w:rPr>
          <w:rFonts w:eastAsia="Times New Roman"/>
        </w:rPr>
        <w:t>mM</w:t>
      </w:r>
      <w:proofErr w:type="spellEnd"/>
      <w:r w:rsidRPr="00E1580C">
        <w:rPr>
          <w:rFonts w:eastAsia="Times New Roman"/>
        </w:rPr>
        <w:t>, pH 3.6)</w:t>
      </w:r>
      <w:r w:rsidRPr="00E1580C">
        <w:rPr>
          <w:rFonts w:eastAsia="Times New Roman"/>
          <w:b/>
          <w:bCs/>
        </w:rPr>
        <w:t xml:space="preserve">, </w:t>
      </w:r>
      <w:r w:rsidRPr="00E1580C">
        <w:rPr>
          <w:rFonts w:eastAsia="Times New Roman"/>
        </w:rPr>
        <w:t xml:space="preserve">TPTZ solution (10 </w:t>
      </w:r>
      <w:proofErr w:type="spellStart"/>
      <w:r w:rsidRPr="00E1580C">
        <w:rPr>
          <w:rFonts w:eastAsia="Times New Roman"/>
        </w:rPr>
        <w:t>mM</w:t>
      </w:r>
      <w:proofErr w:type="spellEnd"/>
      <w:r w:rsidRPr="00E1580C">
        <w:rPr>
          <w:rFonts w:eastAsia="Times New Roman"/>
        </w:rPr>
        <w:t xml:space="preserve"> in 40 </w:t>
      </w:r>
      <w:proofErr w:type="spellStart"/>
      <w:r w:rsidRPr="00E1580C">
        <w:rPr>
          <w:rFonts w:eastAsia="Times New Roman"/>
        </w:rPr>
        <w:t>mM</w:t>
      </w:r>
      <w:proofErr w:type="spellEnd"/>
      <w:r w:rsidRPr="00E1580C">
        <w:rPr>
          <w:rFonts w:eastAsia="Times New Roman"/>
        </w:rPr>
        <w:t xml:space="preserve"> </w:t>
      </w:r>
      <w:proofErr w:type="spellStart"/>
      <w:r w:rsidRPr="00E1580C">
        <w:rPr>
          <w:rFonts w:eastAsia="Times New Roman"/>
        </w:rPr>
        <w:t>HCl</w:t>
      </w:r>
      <w:proofErr w:type="spellEnd"/>
      <w:r w:rsidRPr="00E1580C">
        <w:rPr>
          <w:rFonts w:eastAsia="Times New Roman"/>
        </w:rPr>
        <w:t>)</w:t>
      </w:r>
      <w:r w:rsidRPr="00E1580C">
        <w:rPr>
          <w:rFonts w:eastAsia="Times New Roman"/>
          <w:b/>
          <w:bCs/>
        </w:rPr>
        <w:t xml:space="preserve">, </w:t>
      </w:r>
      <w:proofErr w:type="spellStart"/>
      <w:r w:rsidRPr="00E1580C">
        <w:rPr>
          <w:rFonts w:eastAsia="Times New Roman"/>
        </w:rPr>
        <w:t>FeCl</w:t>
      </w:r>
      <w:proofErr w:type="spellEnd"/>
      <w:r w:rsidRPr="00E1580C">
        <w:rPr>
          <w:rFonts w:eastAsia="Times New Roman"/>
        </w:rPr>
        <w:t xml:space="preserve">₃·6H₂O (20 </w:t>
      </w:r>
      <w:proofErr w:type="spellStart"/>
      <w:r w:rsidRPr="00E1580C">
        <w:rPr>
          <w:rFonts w:eastAsia="Times New Roman"/>
        </w:rPr>
        <w:t>mM</w:t>
      </w:r>
      <w:proofErr w:type="spellEnd"/>
      <w:r w:rsidRPr="00E1580C">
        <w:rPr>
          <w:rFonts w:eastAsia="Times New Roman"/>
        </w:rPr>
        <w:t>)</w:t>
      </w:r>
      <w:r w:rsidRPr="00E1580C">
        <w:rPr>
          <w:rFonts w:eastAsia="Times New Roman"/>
          <w:b/>
          <w:bCs/>
        </w:rPr>
        <w:t xml:space="preserve"> </w:t>
      </w:r>
      <w:r w:rsidRPr="00E1580C">
        <w:rPr>
          <w:rFonts w:eastAsia="Times New Roman"/>
        </w:rPr>
        <w:t xml:space="preserve">and FRAP reagent (prepared by mixing acetate buffer, TPTZ, and </w:t>
      </w:r>
      <w:proofErr w:type="spellStart"/>
      <w:r w:rsidRPr="00E1580C">
        <w:rPr>
          <w:rFonts w:eastAsia="Times New Roman"/>
        </w:rPr>
        <w:t>FeCl</w:t>
      </w:r>
      <w:proofErr w:type="spellEnd"/>
      <w:r w:rsidRPr="00E1580C">
        <w:rPr>
          <w:rFonts w:eastAsia="Times New Roman"/>
        </w:rPr>
        <w:t>₃ in 10:1:1 ratio)</w:t>
      </w:r>
    </w:p>
    <w:p w:rsidR="00FB724C" w:rsidRPr="00E1580C" w:rsidRDefault="00FB724C" w:rsidP="00FB724C">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rPr>
          <w:rFonts w:eastAsia="Times New Roman"/>
          <w:b/>
          <w:bCs/>
        </w:rPr>
        <w:t xml:space="preserve"> </w:t>
      </w:r>
      <w:r w:rsidRPr="00E1580C">
        <w:t xml:space="preserve">100 µL of plant extract was added to 3 mL of freshly prepared FRAP reagent. The mixture was incubated at 37°C for 4–6 minutes. Absorbance was measured at 593 nm using a spectrophotometer. </w:t>
      </w:r>
      <w:proofErr w:type="spellStart"/>
      <w:r w:rsidRPr="00E1580C">
        <w:t>FeSO</w:t>
      </w:r>
      <w:proofErr w:type="spellEnd"/>
      <w:r w:rsidRPr="00E1580C">
        <w:t>₄ was used as a standard for calibration, and the results were expressed as µ</w:t>
      </w:r>
      <w:proofErr w:type="spellStart"/>
      <w:r w:rsidRPr="00E1580C">
        <w:t>mol</w:t>
      </w:r>
      <w:proofErr w:type="spellEnd"/>
      <w:r w:rsidRPr="00E1580C">
        <w:t xml:space="preserve"> Fe²⁺ equivalents.</w:t>
      </w:r>
    </w:p>
    <w:p w:rsidR="00FB724C" w:rsidRPr="00E1580C" w:rsidRDefault="00FB724C" w:rsidP="00FB724C">
      <w:pPr>
        <w:spacing w:after="0" w:line="360" w:lineRule="auto"/>
        <w:jc w:val="both"/>
        <w:rPr>
          <w:b/>
          <w:bCs/>
        </w:rPr>
      </w:pPr>
      <w:r w:rsidRPr="00E1580C">
        <w:rPr>
          <w:b/>
          <w:bCs/>
        </w:rPr>
        <w:t xml:space="preserve">3.3.2 Determination of </w:t>
      </w:r>
      <w:proofErr w:type="spellStart"/>
      <w:r w:rsidRPr="00E1580C">
        <w:rPr>
          <w:b/>
          <w:bCs/>
        </w:rPr>
        <w:t>Azino-bis</w:t>
      </w:r>
      <w:proofErr w:type="spellEnd"/>
      <w:r w:rsidRPr="00E1580C">
        <w:rPr>
          <w:b/>
          <w:bCs/>
        </w:rPr>
        <w:t xml:space="preserve"> C3 ethyl </w:t>
      </w:r>
      <w:proofErr w:type="spellStart"/>
      <w:r w:rsidRPr="00E1580C">
        <w:rPr>
          <w:b/>
          <w:bCs/>
        </w:rPr>
        <w:t>Benzothiazoline</w:t>
      </w:r>
      <w:proofErr w:type="spellEnd"/>
      <w:r w:rsidRPr="00E1580C">
        <w:rPr>
          <w:b/>
          <w:bCs/>
        </w:rPr>
        <w:t xml:space="preserve">-b- </w:t>
      </w:r>
      <w:proofErr w:type="spellStart"/>
      <w:r w:rsidRPr="00E1580C">
        <w:rPr>
          <w:b/>
          <w:bCs/>
        </w:rPr>
        <w:t>sulphonic</w:t>
      </w:r>
      <w:proofErr w:type="spellEnd"/>
      <w:r w:rsidRPr="00E1580C">
        <w:rPr>
          <w:b/>
          <w:bCs/>
        </w:rPr>
        <w:t xml:space="preserve"> acid (ABTs)</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 xml:space="preserve">ABTS is oxidized to its radical </w:t>
      </w:r>
      <w:proofErr w:type="spellStart"/>
      <w:r w:rsidRPr="00E1580C">
        <w:rPr>
          <w:rFonts w:eastAsia="Times New Roman"/>
        </w:rPr>
        <w:t>cation</w:t>
      </w:r>
      <w:proofErr w:type="spellEnd"/>
      <w:r w:rsidRPr="00E1580C">
        <w:rPr>
          <w:rFonts w:eastAsia="Times New Roman"/>
        </w:rPr>
        <w:t xml:space="preserve"> (ABTS⁺•), which is blue-green and absorbs at 734 nm. Antioxidants reduce the ABTS⁺•, leading to </w:t>
      </w:r>
      <w:proofErr w:type="spellStart"/>
      <w:r w:rsidRPr="00E1580C">
        <w:rPr>
          <w:rFonts w:eastAsia="Times New Roman"/>
        </w:rPr>
        <w:t>decolorization</w:t>
      </w:r>
      <w:proofErr w:type="spellEnd"/>
      <w:r w:rsidRPr="00E1580C">
        <w:rPr>
          <w:rFonts w:eastAsia="Times New Roman"/>
        </w:rPr>
        <w:t>.</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 xml:space="preserve">ABTS (7 </w:t>
      </w:r>
      <w:proofErr w:type="spellStart"/>
      <w:r w:rsidRPr="00E1580C">
        <w:rPr>
          <w:rFonts w:eastAsia="Times New Roman"/>
        </w:rPr>
        <w:t>mM</w:t>
      </w:r>
      <w:proofErr w:type="spellEnd"/>
      <w:r w:rsidRPr="00E1580C">
        <w:rPr>
          <w:rFonts w:eastAsia="Times New Roman"/>
        </w:rPr>
        <w:t>)</w:t>
      </w:r>
      <w:r w:rsidRPr="00E1580C">
        <w:rPr>
          <w:rFonts w:eastAsia="Times New Roman"/>
          <w:b/>
          <w:bCs/>
        </w:rPr>
        <w:t xml:space="preserve"> </w:t>
      </w:r>
      <w:r w:rsidRPr="00E1580C">
        <w:rPr>
          <w:rFonts w:eastAsia="Times New Roman"/>
        </w:rPr>
        <w:t xml:space="preserve">and Potassium </w:t>
      </w:r>
      <w:proofErr w:type="spellStart"/>
      <w:r w:rsidRPr="00E1580C">
        <w:rPr>
          <w:rFonts w:eastAsia="Times New Roman"/>
        </w:rPr>
        <w:t>persulfate</w:t>
      </w:r>
      <w:proofErr w:type="spellEnd"/>
      <w:r w:rsidRPr="00E1580C">
        <w:rPr>
          <w:rFonts w:eastAsia="Times New Roman"/>
        </w:rPr>
        <w:t xml:space="preserve"> (2.45 </w:t>
      </w:r>
      <w:proofErr w:type="spellStart"/>
      <w:r w:rsidRPr="00E1580C">
        <w:rPr>
          <w:rFonts w:eastAsia="Times New Roman"/>
        </w:rPr>
        <w:t>mM</w:t>
      </w:r>
      <w:proofErr w:type="spellEnd"/>
      <w:r w:rsidRPr="00E1580C">
        <w:rPr>
          <w:rFonts w:eastAsia="Times New Roman"/>
        </w:rPr>
        <w:t>)</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 xml:space="preserve">ABTS⁺ was prepared by mixing ABTS and potassium </w:t>
      </w:r>
      <w:proofErr w:type="spellStart"/>
      <w:r w:rsidRPr="00E1580C">
        <w:rPr>
          <w:rFonts w:eastAsia="Times New Roman"/>
        </w:rPr>
        <w:t>persulfate</w:t>
      </w:r>
      <w:proofErr w:type="spellEnd"/>
      <w:r w:rsidRPr="00E1580C">
        <w:rPr>
          <w:rFonts w:eastAsia="Times New Roman"/>
        </w:rPr>
        <w:t xml:space="preserve">, then incubated in the dark for 12–16 hours. The ABTS⁺ solution was diluted with ethanol to an absorbance of ~0.700 at 734 nm. 100 µL of extract was added to 3.9 mL of diluted ABTS⁺ solution. Absorbance was measure at 734 nm after 6 minutes, compared with </w:t>
      </w:r>
      <w:proofErr w:type="spellStart"/>
      <w:r w:rsidRPr="00E1580C">
        <w:rPr>
          <w:rFonts w:eastAsia="Times New Roman"/>
        </w:rPr>
        <w:t>Trolox</w:t>
      </w:r>
      <w:proofErr w:type="spellEnd"/>
      <w:r w:rsidRPr="00E1580C">
        <w:rPr>
          <w:rFonts w:eastAsia="Times New Roman"/>
        </w:rPr>
        <w:t xml:space="preserve"> standard and the results was expressed as µ</w:t>
      </w:r>
      <w:proofErr w:type="spellStart"/>
      <w:r w:rsidRPr="00E1580C">
        <w:rPr>
          <w:rFonts w:eastAsia="Times New Roman"/>
        </w:rPr>
        <w:t>mol</w:t>
      </w:r>
      <w:proofErr w:type="spellEnd"/>
      <w:r w:rsidRPr="00E1580C">
        <w:rPr>
          <w:rFonts w:eastAsia="Times New Roman"/>
        </w:rPr>
        <w:t xml:space="preserve"> </w:t>
      </w:r>
      <w:proofErr w:type="spellStart"/>
      <w:r w:rsidRPr="00E1580C">
        <w:rPr>
          <w:rFonts w:eastAsia="Times New Roman"/>
        </w:rPr>
        <w:t>Trolox</w:t>
      </w:r>
      <w:proofErr w:type="spellEnd"/>
      <w:r w:rsidRPr="00E1580C">
        <w:rPr>
          <w:rFonts w:eastAsia="Times New Roman"/>
        </w:rPr>
        <w:t xml:space="preserve"> equivalents.</w:t>
      </w:r>
    </w:p>
    <w:p w:rsidR="00FB724C" w:rsidRPr="00E1580C" w:rsidRDefault="00FB724C" w:rsidP="00FB724C">
      <w:pPr>
        <w:spacing w:line="360" w:lineRule="auto"/>
        <w:jc w:val="both"/>
        <w:rPr>
          <w:b/>
          <w:bCs/>
        </w:rPr>
      </w:pPr>
      <w:r w:rsidRPr="00E1580C">
        <w:rPr>
          <w:b/>
          <w:bCs/>
        </w:rPr>
        <w:t xml:space="preserve">3.3.3 Determination of </w:t>
      </w:r>
      <w:proofErr w:type="spellStart"/>
      <w:r w:rsidRPr="00E1580C">
        <w:rPr>
          <w:b/>
          <w:bCs/>
        </w:rPr>
        <w:t>Diphenyl</w:t>
      </w:r>
      <w:proofErr w:type="spellEnd"/>
      <w:r w:rsidRPr="00E1580C">
        <w:rPr>
          <w:b/>
          <w:bCs/>
        </w:rPr>
        <w:t xml:space="preserve"> -1 </w:t>
      </w:r>
      <w:proofErr w:type="spellStart"/>
      <w:proofErr w:type="gramStart"/>
      <w:r w:rsidRPr="00E1580C">
        <w:rPr>
          <w:b/>
          <w:bCs/>
        </w:rPr>
        <w:t>pycrylhydraxyl</w:t>
      </w:r>
      <w:proofErr w:type="spellEnd"/>
      <w:r w:rsidRPr="00E1580C">
        <w:rPr>
          <w:b/>
          <w:bCs/>
        </w:rPr>
        <w:t xml:space="preserve">  (</w:t>
      </w:r>
      <w:proofErr w:type="gramEnd"/>
      <w:r w:rsidRPr="00E1580C">
        <w:rPr>
          <w:b/>
          <w:bCs/>
        </w:rPr>
        <w:t>DPPH)</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Principle:</w:t>
      </w:r>
      <w:r w:rsidRPr="00E1580C">
        <w:rPr>
          <w:rFonts w:eastAsia="Times New Roman"/>
          <w:b/>
          <w:bCs/>
        </w:rPr>
        <w:t xml:space="preserve"> </w:t>
      </w:r>
      <w:r w:rsidRPr="00E1580C">
        <w:rPr>
          <w:rFonts w:eastAsia="Times New Roman"/>
        </w:rPr>
        <w:t>DPPH is a stable free radical that changes color (deep violet to yellow) upon reduction by an antioxidant.</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Reagents: DPPH solution (0.1 </w:t>
      </w:r>
      <w:proofErr w:type="spellStart"/>
      <w:r w:rsidRPr="00E1580C">
        <w:rPr>
          <w:rFonts w:eastAsia="Times New Roman"/>
        </w:rPr>
        <w:t>mM</w:t>
      </w:r>
      <w:proofErr w:type="spellEnd"/>
      <w:r w:rsidRPr="00E1580C">
        <w:rPr>
          <w:rFonts w:eastAsia="Times New Roman"/>
        </w:rPr>
        <w:t xml:space="preserve"> in methanol)</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Procedure: 1 mL of DPPH </w:t>
      </w:r>
      <w:proofErr w:type="gramStart"/>
      <w:r w:rsidRPr="00E1580C">
        <w:rPr>
          <w:rFonts w:eastAsia="Times New Roman"/>
        </w:rPr>
        <w:t>solution  was</w:t>
      </w:r>
      <w:proofErr w:type="gramEnd"/>
      <w:r w:rsidRPr="00E1580C">
        <w:rPr>
          <w:rFonts w:eastAsia="Times New Roman"/>
        </w:rPr>
        <w:t xml:space="preserve"> mixed with 1 mL of extract. Incubated in the dark for 30 minutes at room temperature. Absorbance was measured at 517 nm.</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FB724C" w:rsidRPr="00E1580C" w:rsidRDefault="00FB724C" w:rsidP="00FB724C">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14:anchorId="440D5462" wp14:editId="4E6AFAB5">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8"/>
                    <a:stretch>
                      <a:fillRect/>
                    </a:stretch>
                  </pic:blipFill>
                  <pic:spPr>
                    <a:xfrm>
                      <a:off x="0" y="0"/>
                      <a:ext cx="2724530" cy="590632"/>
                    </a:xfrm>
                    <a:prstGeom prst="rect">
                      <a:avLst/>
                    </a:prstGeom>
                  </pic:spPr>
                </pic:pic>
              </a:graphicData>
            </a:graphic>
          </wp:inline>
        </w:drawing>
      </w:r>
      <w:r w:rsidRPr="00E1580C">
        <w:rPr>
          <w:rFonts w:eastAsia="Times New Roman"/>
        </w:rPr>
        <w:t>.</w:t>
      </w:r>
    </w:p>
    <w:p w:rsidR="00FB724C" w:rsidRPr="00E1580C" w:rsidRDefault="00FB724C" w:rsidP="00FB724C">
      <w:pPr>
        <w:spacing w:before="100" w:beforeAutospacing="1" w:after="100" w:afterAutospacing="1" w:line="360" w:lineRule="auto"/>
        <w:ind w:left="1080"/>
        <w:jc w:val="both"/>
        <w:rPr>
          <w:rFonts w:eastAsia="Times New Roman"/>
        </w:rPr>
      </w:pPr>
      <w:proofErr w:type="gramStart"/>
      <w:r w:rsidRPr="00E1580C">
        <w:t>where</w:t>
      </w:r>
      <w:proofErr w:type="gramEnd"/>
      <w:r w:rsidRPr="00E1580C">
        <w:t xml:space="preserve"> </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w:t>
      </w:r>
      <w:proofErr w:type="spellStart"/>
      <w:r w:rsidRPr="00E1580C">
        <w:rPr>
          <w:rFonts w:eastAsia="Times New Roman"/>
        </w:rPr>
        <w:t>mol</w:t>
      </w:r>
      <w:proofErr w:type="spellEnd"/>
      <w:r w:rsidRPr="00E1580C">
        <w:rPr>
          <w:rFonts w:eastAsia="Times New Roman"/>
        </w:rPr>
        <w:t xml:space="preserve"> </w:t>
      </w:r>
      <w:proofErr w:type="spellStart"/>
      <w:r w:rsidRPr="00E1580C">
        <w:rPr>
          <w:rFonts w:eastAsia="Times New Roman"/>
        </w:rPr>
        <w:t>Trolox</w:t>
      </w:r>
      <w:proofErr w:type="spellEnd"/>
      <w:r w:rsidRPr="00E1580C">
        <w:rPr>
          <w:rFonts w:eastAsia="Times New Roman"/>
        </w:rPr>
        <w:t xml:space="preserve"> equivalents.</w:t>
      </w:r>
    </w:p>
    <w:p w:rsidR="00FB724C" w:rsidRPr="00E1580C" w:rsidRDefault="00FB724C" w:rsidP="00FB724C">
      <w:pPr>
        <w:spacing w:line="360" w:lineRule="auto"/>
        <w:jc w:val="both"/>
        <w:rPr>
          <w:b/>
          <w:bCs/>
        </w:rPr>
      </w:pPr>
      <w:r w:rsidRPr="00E1580C">
        <w:rPr>
          <w:b/>
          <w:bCs/>
        </w:rPr>
        <w:t>3.3.4 Determination of total flavonoid content (TFC)</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FB724C" w:rsidRPr="00E1580C" w:rsidRDefault="00FB724C" w:rsidP="00FB724C">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2% Aluminum chloride in methanol</w:t>
      </w:r>
      <w:r w:rsidRPr="00E1580C">
        <w:rPr>
          <w:rFonts w:eastAsia="Times New Roman"/>
          <w:b/>
          <w:bCs/>
        </w:rPr>
        <w:t xml:space="preserve"> </w:t>
      </w:r>
      <w:r w:rsidRPr="00E1580C">
        <w:rPr>
          <w:rFonts w:eastAsia="Times New Roman"/>
        </w:rPr>
        <w:t>and Potassium acetate</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 xml:space="preserve">0.5 mL of extract was mixed with 0.5 mL of 2% </w:t>
      </w:r>
      <w:proofErr w:type="spellStart"/>
      <w:r w:rsidRPr="00E1580C">
        <w:rPr>
          <w:rFonts w:eastAsia="Times New Roman"/>
        </w:rPr>
        <w:t>AlCl</w:t>
      </w:r>
      <w:proofErr w:type="spellEnd"/>
      <w:r w:rsidRPr="00E1580C">
        <w:rPr>
          <w:rFonts w:eastAsia="Times New Roman"/>
        </w:rPr>
        <w:t xml:space="preserve">₃. Incubated for 30 minutes at room temperature. Absorbance was measured at 415 nm. Use </w:t>
      </w:r>
      <w:proofErr w:type="spellStart"/>
      <w:r w:rsidRPr="00E1580C">
        <w:rPr>
          <w:rFonts w:eastAsia="Times New Roman"/>
        </w:rPr>
        <w:t>quercetin</w:t>
      </w:r>
      <w:proofErr w:type="spellEnd"/>
      <w:r w:rsidRPr="00E1580C">
        <w:rPr>
          <w:rFonts w:eastAsia="Times New Roman"/>
        </w:rPr>
        <w:t xml:space="preserve"> as the standard and express results in mg </w:t>
      </w:r>
      <w:proofErr w:type="spellStart"/>
      <w:r w:rsidRPr="00E1580C">
        <w:rPr>
          <w:rFonts w:eastAsia="Times New Roman"/>
        </w:rPr>
        <w:t>quercetin</w:t>
      </w:r>
      <w:proofErr w:type="spellEnd"/>
      <w:r w:rsidRPr="00E1580C">
        <w:rPr>
          <w:rFonts w:eastAsia="Times New Roman"/>
        </w:rPr>
        <w:t xml:space="preserve"> equivalents (QE)/g of extract.</w:t>
      </w:r>
    </w:p>
    <w:p w:rsidR="00FB724C" w:rsidRPr="00E1580C" w:rsidRDefault="00FB724C" w:rsidP="00FB724C">
      <w:pPr>
        <w:spacing w:line="360" w:lineRule="auto"/>
        <w:jc w:val="both"/>
        <w:rPr>
          <w:b/>
          <w:bCs/>
        </w:rPr>
      </w:pPr>
      <w:r w:rsidRPr="00E1580C">
        <w:rPr>
          <w:b/>
          <w:bCs/>
        </w:rPr>
        <w:t>3.3.5 Determination of total phenolic content (TPC)</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Principle: The </w:t>
      </w:r>
      <w:proofErr w:type="spellStart"/>
      <w:r w:rsidRPr="00E1580C">
        <w:rPr>
          <w:rFonts w:eastAsia="Times New Roman"/>
        </w:rPr>
        <w:t>Folin</w:t>
      </w:r>
      <w:proofErr w:type="spellEnd"/>
      <w:r w:rsidRPr="00E1580C">
        <w:rPr>
          <w:rFonts w:eastAsia="Times New Roman"/>
        </w:rPr>
        <w:t>–</w:t>
      </w:r>
      <w:proofErr w:type="spellStart"/>
      <w:r w:rsidRPr="00E1580C">
        <w:rPr>
          <w:rFonts w:eastAsia="Times New Roman"/>
        </w:rPr>
        <w:t>Ciocalteu</w:t>
      </w:r>
      <w:proofErr w:type="spellEnd"/>
      <w:r w:rsidRPr="00E1580C">
        <w:rPr>
          <w:rFonts w:eastAsia="Times New Roman"/>
        </w:rPr>
        <w:t xml:space="preserve"> reagent reacts with </w:t>
      </w:r>
      <w:proofErr w:type="spellStart"/>
      <w:r w:rsidRPr="00E1580C">
        <w:rPr>
          <w:rFonts w:eastAsia="Times New Roman"/>
        </w:rPr>
        <w:t>phenolics</w:t>
      </w:r>
      <w:proofErr w:type="spellEnd"/>
      <w:r w:rsidRPr="00E1580C">
        <w:rPr>
          <w:rFonts w:eastAsia="Times New Roman"/>
        </w:rPr>
        <w:t xml:space="preserve"> to produce a blue complex detectable at 765 nm.</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Reagents: </w:t>
      </w:r>
      <w:proofErr w:type="spellStart"/>
      <w:r w:rsidRPr="00E1580C">
        <w:rPr>
          <w:rFonts w:eastAsia="Times New Roman"/>
        </w:rPr>
        <w:t>Folin</w:t>
      </w:r>
      <w:proofErr w:type="spellEnd"/>
      <w:r w:rsidRPr="00E1580C">
        <w:rPr>
          <w:rFonts w:eastAsia="Times New Roman"/>
        </w:rPr>
        <w:t>–</w:t>
      </w:r>
      <w:proofErr w:type="spellStart"/>
      <w:r w:rsidRPr="00E1580C">
        <w:rPr>
          <w:rFonts w:eastAsia="Times New Roman"/>
        </w:rPr>
        <w:t>Ciocalteu</w:t>
      </w:r>
      <w:proofErr w:type="spellEnd"/>
      <w:r w:rsidRPr="00E1580C">
        <w:rPr>
          <w:rFonts w:eastAsia="Times New Roman"/>
        </w:rPr>
        <w:t xml:space="preserve"> reagent (diluted 1:10) and Sodium carbonate (7.5%)</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Procedure: 0.5 mL of sample was mixed with 2.5 mL of </w:t>
      </w:r>
      <w:proofErr w:type="spellStart"/>
      <w:r w:rsidRPr="00E1580C">
        <w:rPr>
          <w:rFonts w:eastAsia="Times New Roman"/>
        </w:rPr>
        <w:t>Folin</w:t>
      </w:r>
      <w:proofErr w:type="spellEnd"/>
      <w:r w:rsidRPr="00E1580C">
        <w:rPr>
          <w:rFonts w:eastAsia="Times New Roman"/>
        </w:rPr>
        <w:t>–</w:t>
      </w:r>
      <w:proofErr w:type="spellStart"/>
      <w:r w:rsidRPr="00E1580C">
        <w:rPr>
          <w:rFonts w:eastAsia="Times New Roman"/>
        </w:rPr>
        <w:t>Ciocalteu</w:t>
      </w:r>
      <w:proofErr w:type="spellEnd"/>
      <w:r w:rsidRPr="00E1580C">
        <w:rPr>
          <w:rFonts w:eastAsia="Times New Roman"/>
        </w:rPr>
        <w:t xml:space="preserve"> reagent. After 5 minutes, 2 mL of sodium carbonate was added. Incubated for 30 minutes at room temperature. The absorbance was measured at 765 nm using </w:t>
      </w:r>
      <w:proofErr w:type="spellStart"/>
      <w:r w:rsidRPr="00E1580C">
        <w:rPr>
          <w:rFonts w:eastAsia="Times New Roman"/>
        </w:rPr>
        <w:t>gallic</w:t>
      </w:r>
      <w:proofErr w:type="spellEnd"/>
      <w:r w:rsidRPr="00E1580C">
        <w:rPr>
          <w:rFonts w:eastAsia="Times New Roman"/>
        </w:rPr>
        <w:t xml:space="preserve"> acid as standard and results was expressed as mg </w:t>
      </w:r>
      <w:proofErr w:type="spellStart"/>
      <w:r w:rsidRPr="00E1580C">
        <w:rPr>
          <w:rFonts w:eastAsia="Times New Roman"/>
        </w:rPr>
        <w:t>gallic</w:t>
      </w:r>
      <w:proofErr w:type="spellEnd"/>
      <w:r w:rsidRPr="00E1580C">
        <w:rPr>
          <w:rFonts w:eastAsia="Times New Roman"/>
        </w:rPr>
        <w:t xml:space="preserve"> acid equivalents (GAE)/g of extract.</w:t>
      </w:r>
    </w:p>
    <w:p w:rsidR="00FB724C" w:rsidRPr="00E1580C" w:rsidRDefault="00FB724C" w:rsidP="00FB724C">
      <w:pPr>
        <w:spacing w:after="0" w:line="480" w:lineRule="auto"/>
        <w:jc w:val="both"/>
        <w:rPr>
          <w:b/>
        </w:rPr>
      </w:pPr>
      <w:r w:rsidRPr="00E1580C">
        <w:rPr>
          <w:b/>
        </w:rPr>
        <w:lastRenderedPageBreak/>
        <w:t>3.3.6</w:t>
      </w:r>
      <w:r w:rsidRPr="00E1580C">
        <w:rPr>
          <w:b/>
        </w:rPr>
        <w:tab/>
        <w:t>Determination of Enzymatic Antioxidant</w:t>
      </w:r>
    </w:p>
    <w:p w:rsidR="00FB724C" w:rsidRPr="00E1580C" w:rsidRDefault="00FB724C" w:rsidP="00FB724C">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FB724C" w:rsidRPr="00E1580C" w:rsidRDefault="00FB724C" w:rsidP="00FB724C">
      <w:pPr>
        <w:pStyle w:val="NormalWeb"/>
        <w:spacing w:after="0" w:afterAutospacing="0" w:line="480" w:lineRule="auto"/>
        <w:rPr>
          <w:sz w:val="28"/>
          <w:szCs w:val="28"/>
        </w:rPr>
      </w:pPr>
      <w:r w:rsidRPr="00E1580C">
        <w:rPr>
          <w:sz w:val="28"/>
          <w:szCs w:val="28"/>
        </w:rPr>
        <w:t xml:space="preserve">SOD activity was determined based on its ability to inhibit the auto-oxidation of epinephrine, as described by </w:t>
      </w:r>
      <w:proofErr w:type="spellStart"/>
      <w:r w:rsidRPr="00E1580C">
        <w:rPr>
          <w:sz w:val="28"/>
          <w:szCs w:val="28"/>
        </w:rPr>
        <w:t>Misra</w:t>
      </w:r>
      <w:proofErr w:type="spellEnd"/>
      <w:r w:rsidRPr="00E1580C">
        <w:rPr>
          <w:sz w:val="28"/>
          <w:szCs w:val="28"/>
        </w:rPr>
        <w:t xml:space="preserve"> and </w:t>
      </w:r>
      <w:proofErr w:type="spellStart"/>
      <w:r w:rsidRPr="00E1580C">
        <w:rPr>
          <w:sz w:val="28"/>
          <w:szCs w:val="28"/>
        </w:rPr>
        <w:t>Fridovich</w:t>
      </w:r>
      <w:proofErr w:type="spellEnd"/>
      <w:r w:rsidRPr="00E1580C">
        <w:rPr>
          <w:sz w:val="28"/>
          <w:szCs w:val="28"/>
        </w:rPr>
        <w:t xml:space="preserve"> (1972).</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lastRenderedPageBreak/>
        <w:t xml:space="preserve"> Catalase (CAT) Activity</w:t>
      </w:r>
    </w:p>
    <w:p w:rsidR="00FB724C" w:rsidRPr="00E1580C" w:rsidRDefault="00FB724C" w:rsidP="00FB724C">
      <w:pPr>
        <w:pStyle w:val="NormalWeb"/>
        <w:spacing w:after="0" w:afterAutospacing="0" w:line="480" w:lineRule="auto"/>
        <w:rPr>
          <w:sz w:val="28"/>
          <w:szCs w:val="28"/>
        </w:rPr>
      </w:pPr>
      <w:r w:rsidRPr="00E1580C">
        <w:rPr>
          <w:sz w:val="28"/>
          <w:szCs w:val="28"/>
        </w:rPr>
        <w:t xml:space="preserve">Catalase activity was determined according to the method of </w:t>
      </w:r>
      <w:proofErr w:type="spellStart"/>
      <w:r w:rsidRPr="00E1580C">
        <w:rPr>
          <w:sz w:val="28"/>
          <w:szCs w:val="28"/>
        </w:rPr>
        <w:t>Aebi</w:t>
      </w:r>
      <w:proofErr w:type="spellEnd"/>
      <w:r w:rsidRPr="00E1580C">
        <w:rPr>
          <w:sz w:val="28"/>
          <w:szCs w:val="28"/>
        </w:rPr>
        <w:t xml:space="preserve"> (1984), which is based on the decomposition rate of hydrogen peroxide (H₂O₂).</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w:t>
      </w:r>
      <w:proofErr w:type="spellStart"/>
      <w:r w:rsidRPr="00E1580C">
        <w:rPr>
          <w:rStyle w:val="Strong"/>
          <w:sz w:val="28"/>
          <w:szCs w:val="28"/>
        </w:rPr>
        <w:t>mol</w:t>
      </w:r>
      <w:proofErr w:type="spellEnd"/>
      <w:r w:rsidRPr="00E1580C">
        <w:rPr>
          <w:rStyle w:val="Strong"/>
          <w:sz w:val="28"/>
          <w:szCs w:val="28"/>
        </w:rPr>
        <w:t xml:space="preserve"> H₂O₂ decomposed/min/mg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FB724C" w:rsidRPr="00E1580C" w:rsidRDefault="00FB724C" w:rsidP="00FB724C">
      <w:pPr>
        <w:pStyle w:val="NormalWeb"/>
        <w:rPr>
          <w:sz w:val="28"/>
          <w:szCs w:val="28"/>
        </w:rPr>
      </w:pPr>
      <w:r w:rsidRPr="00E1580C">
        <w:rPr>
          <w:sz w:val="28"/>
          <w:szCs w:val="28"/>
        </w:rPr>
        <w:t xml:space="preserve">Reduced glutathione levels were estimated using the method of </w:t>
      </w:r>
      <w:proofErr w:type="spellStart"/>
      <w:r w:rsidRPr="00E1580C">
        <w:rPr>
          <w:sz w:val="28"/>
          <w:szCs w:val="28"/>
        </w:rPr>
        <w:t>Ellman</w:t>
      </w:r>
      <w:proofErr w:type="spellEnd"/>
      <w:r w:rsidRPr="00E1580C">
        <w:rPr>
          <w:sz w:val="28"/>
          <w:szCs w:val="28"/>
        </w:rPr>
        <w:t xml:space="preserve"> (1959).</w:t>
      </w:r>
    </w:p>
    <w:p w:rsidR="00FB724C" w:rsidRPr="00E1580C" w:rsidRDefault="00FB724C" w:rsidP="00FB724C">
      <w:pPr>
        <w:pStyle w:val="NormalWeb"/>
        <w:rPr>
          <w:sz w:val="28"/>
          <w:szCs w:val="28"/>
        </w:rPr>
      </w:pPr>
      <w:r w:rsidRPr="00E1580C">
        <w:rPr>
          <w:rStyle w:val="Strong"/>
          <w:sz w:val="28"/>
          <w:szCs w:val="28"/>
        </w:rPr>
        <w:t>Procedure:</w:t>
      </w:r>
    </w:p>
    <w:p w:rsidR="00FB724C" w:rsidRPr="00E1580C" w:rsidRDefault="00FB724C" w:rsidP="00FB724C">
      <w:pPr>
        <w:pStyle w:val="NormalWeb"/>
        <w:numPr>
          <w:ilvl w:val="0"/>
          <w:numId w:val="30"/>
        </w:numPr>
        <w:rPr>
          <w:sz w:val="28"/>
          <w:szCs w:val="28"/>
        </w:rPr>
      </w:pPr>
      <w:r w:rsidRPr="00E1580C">
        <w:rPr>
          <w:sz w:val="28"/>
          <w:szCs w:val="28"/>
        </w:rPr>
        <w:t xml:space="preserve">Tissue homogenate was treated with 5% </w:t>
      </w:r>
      <w:proofErr w:type="spellStart"/>
      <w:r w:rsidRPr="00E1580C">
        <w:rPr>
          <w:sz w:val="28"/>
          <w:szCs w:val="28"/>
        </w:rPr>
        <w:t>trichloroacetic</w:t>
      </w:r>
      <w:proofErr w:type="spellEnd"/>
      <w:r w:rsidRPr="00E1580C">
        <w:rPr>
          <w:sz w:val="28"/>
          <w:szCs w:val="28"/>
        </w:rPr>
        <w:t xml:space="preserve"> acid (TCA) and centrifuged.</w:t>
      </w:r>
    </w:p>
    <w:p w:rsidR="00FB724C" w:rsidRPr="00E1580C" w:rsidRDefault="00FB724C" w:rsidP="00FB724C">
      <w:pPr>
        <w:pStyle w:val="NormalWeb"/>
        <w:numPr>
          <w:ilvl w:val="0"/>
          <w:numId w:val="30"/>
        </w:numPr>
        <w:rPr>
          <w:sz w:val="28"/>
          <w:szCs w:val="28"/>
        </w:rPr>
      </w:pPr>
      <w:r w:rsidRPr="00E1580C">
        <w:rPr>
          <w:sz w:val="28"/>
          <w:szCs w:val="28"/>
        </w:rPr>
        <w:t xml:space="preserve">The supernatant was mixed with </w:t>
      </w:r>
      <w:proofErr w:type="spellStart"/>
      <w:r w:rsidRPr="00E1580C">
        <w:rPr>
          <w:sz w:val="28"/>
          <w:szCs w:val="28"/>
        </w:rPr>
        <w:t>Ellman’s</w:t>
      </w:r>
      <w:proofErr w:type="spellEnd"/>
      <w:r w:rsidRPr="00E1580C">
        <w:rPr>
          <w:sz w:val="28"/>
          <w:szCs w:val="28"/>
        </w:rPr>
        <w:t xml:space="preserve"> reagent (DTNB) and phosphate buffer.</w:t>
      </w:r>
    </w:p>
    <w:p w:rsidR="00FB724C" w:rsidRPr="00E1580C" w:rsidRDefault="00FB724C" w:rsidP="00FB724C">
      <w:pPr>
        <w:pStyle w:val="NormalWeb"/>
        <w:numPr>
          <w:ilvl w:val="0"/>
          <w:numId w:val="30"/>
        </w:numPr>
        <w:rPr>
          <w:sz w:val="28"/>
          <w:szCs w:val="28"/>
        </w:rPr>
      </w:pPr>
      <w:r w:rsidRPr="00E1580C">
        <w:rPr>
          <w:sz w:val="28"/>
          <w:szCs w:val="28"/>
        </w:rPr>
        <w:t xml:space="preserve">The yellow color formed was measured at </w:t>
      </w:r>
      <w:r w:rsidRPr="00E1580C">
        <w:rPr>
          <w:rStyle w:val="Strong"/>
          <w:sz w:val="28"/>
          <w:szCs w:val="28"/>
        </w:rPr>
        <w:t>412 nm</w:t>
      </w:r>
      <w:r w:rsidRPr="00E1580C">
        <w:rPr>
          <w:sz w:val="28"/>
          <w:szCs w:val="28"/>
        </w:rPr>
        <w:t xml:space="preserve"> using a spectrophotometer.</w:t>
      </w:r>
    </w:p>
    <w:p w:rsidR="00FB724C" w:rsidRPr="00E1580C" w:rsidRDefault="00FB724C" w:rsidP="00FB724C">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w:t>
      </w:r>
      <w:proofErr w:type="spellStart"/>
      <w:r w:rsidRPr="00E1580C">
        <w:rPr>
          <w:rStyle w:val="Strong"/>
          <w:sz w:val="28"/>
          <w:szCs w:val="28"/>
        </w:rPr>
        <w:t>mol</w:t>
      </w:r>
      <w:proofErr w:type="spellEnd"/>
      <w:r w:rsidRPr="00E1580C">
        <w:rPr>
          <w:rStyle w:val="Strong"/>
          <w:sz w:val="28"/>
          <w:szCs w:val="28"/>
        </w:rPr>
        <w:t xml:space="preserve"> GSH/mg protein</w:t>
      </w:r>
      <w:r w:rsidRPr="00E1580C">
        <w:rPr>
          <w:sz w:val="28"/>
          <w:szCs w:val="28"/>
        </w:rPr>
        <w:t>.</w:t>
      </w:r>
    </w:p>
    <w:p w:rsidR="00FB724C" w:rsidRPr="00E1580C" w:rsidRDefault="00FB724C" w:rsidP="00FB724C">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lastRenderedPageBreak/>
        <w:t>Protein Estimation</w:t>
      </w:r>
    </w:p>
    <w:p w:rsidR="00FB724C" w:rsidRPr="00E1580C" w:rsidRDefault="00FB724C" w:rsidP="00FB724C">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FB724C" w:rsidRPr="00E1580C" w:rsidRDefault="00FB724C" w:rsidP="00FB724C">
      <w:pPr>
        <w:jc w:val="both"/>
      </w:pPr>
      <w:r w:rsidRPr="00E1580C">
        <w:rPr>
          <w:b/>
        </w:rPr>
        <w:t xml:space="preserve">3.4 </w:t>
      </w:r>
      <w:proofErr w:type="spellStart"/>
      <w:r w:rsidRPr="00E1580C">
        <w:rPr>
          <w:b/>
        </w:rPr>
        <w:t>Malondialdehyde</w:t>
      </w:r>
      <w:proofErr w:type="spellEnd"/>
    </w:p>
    <w:p w:rsidR="00FB724C" w:rsidRPr="00D7082F" w:rsidRDefault="00FB724C" w:rsidP="00FB724C">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FB724C" w:rsidRPr="000D313C" w:rsidRDefault="00FB724C" w:rsidP="00FB724C">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                             </w:t>
      </w:r>
      <w:r w:rsidRPr="000D313C">
        <w:rPr>
          <w:color w:val="000000" w:themeColor="text1"/>
        </w:rPr>
        <w:tab/>
      </w:r>
      <w:r w:rsidRPr="000D313C">
        <w:rPr>
          <w:color w:val="000000" w:themeColor="text1"/>
        </w:rPr>
        <w:tab/>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 xml:space="preserve">Extinction </w:t>
      </w:r>
      <w:proofErr w:type="spellStart"/>
      <w:r w:rsidRPr="000D313C">
        <w:rPr>
          <w:color w:val="000000" w:themeColor="text1"/>
        </w:rPr>
        <w:t>Coeff</w:t>
      </w:r>
      <w:proofErr w:type="spellEnd"/>
      <w:r w:rsidRPr="000D313C">
        <w:rPr>
          <w:color w:val="000000" w:themeColor="text1"/>
        </w:rPr>
        <w:t>.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FB724C" w:rsidRPr="000D313C" w:rsidRDefault="00FB724C" w:rsidP="00FB724C">
      <w:pPr>
        <w:spacing w:line="480" w:lineRule="auto"/>
        <w:rPr>
          <w:rFonts w:eastAsia="Times New Roman"/>
          <w:b/>
          <w:bCs/>
          <w:color w:val="000000" w:themeColor="text1"/>
        </w:rPr>
      </w:pPr>
      <w:r w:rsidRPr="000D313C">
        <w:rPr>
          <w:rFonts w:eastAsia="Times New Roman"/>
          <w:b/>
          <w:bCs/>
          <w:color w:val="000000" w:themeColor="text1"/>
        </w:rPr>
        <w:br w:type="page"/>
      </w:r>
    </w:p>
    <w:p w:rsidR="00FB724C" w:rsidRPr="000D313C" w:rsidRDefault="00FB724C" w:rsidP="00FB724C">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FB724C" w:rsidRPr="000D313C" w:rsidRDefault="00FB724C" w:rsidP="00FB724C">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FB724C" w:rsidRPr="000D313C" w:rsidRDefault="00FB724C" w:rsidP="00FB724C">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FB724C" w:rsidRPr="000D313C" w:rsidRDefault="00FB724C" w:rsidP="00FB724C">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proofErr w:type="spellStart"/>
      <w:r w:rsidRPr="00FD2E88">
        <w:rPr>
          <w:rStyle w:val="Emphasis"/>
          <w:color w:val="000000" w:themeColor="text1"/>
        </w:rPr>
        <w:t>Sida</w:t>
      </w:r>
      <w:proofErr w:type="spellEnd"/>
      <w:r w:rsidRPr="00FD2E88">
        <w:rPr>
          <w:rStyle w:val="Emphasis"/>
          <w:color w:val="000000" w:themeColor="text1"/>
        </w:rPr>
        <w:t xml:space="preserve"> </w:t>
      </w:r>
      <w:proofErr w:type="spellStart"/>
      <w:r w:rsidRPr="00FD2E88">
        <w:rPr>
          <w:rStyle w:val="Emphasis"/>
          <w:color w:val="000000" w:themeColor="text1"/>
        </w:rPr>
        <w:t>acuta</w:t>
      </w:r>
      <w:proofErr w:type="spellEnd"/>
      <w:r w:rsidRPr="000D313C">
        <w:rPr>
          <w:color w:val="000000" w:themeColor="text1"/>
        </w:rPr>
        <w:t>.</w:t>
      </w:r>
    </w:p>
    <w:p w:rsidR="00FB724C" w:rsidRPr="000D313C" w:rsidRDefault="00FB724C" w:rsidP="00FB724C">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3"/>
        <w:gridCol w:w="2106"/>
        <w:gridCol w:w="1762"/>
        <w:gridCol w:w="1770"/>
        <w:gridCol w:w="1389"/>
      </w:tblGrid>
      <w:tr w:rsidR="00FB724C" w:rsidRPr="000D313C" w:rsidTr="00FF1768">
        <w:trPr>
          <w:tblHeader/>
          <w:tblCellSpacing w:w="15" w:type="dxa"/>
        </w:trPr>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MDA (</w:t>
            </w:r>
            <w:proofErr w:type="spellStart"/>
            <w:r w:rsidRPr="000D313C">
              <w:rPr>
                <w:rFonts w:eastAsia="Times New Roman"/>
                <w:b/>
                <w:bCs/>
                <w:color w:val="000000" w:themeColor="text1"/>
              </w:rPr>
              <w:t>nmol</w:t>
            </w:r>
            <w:proofErr w:type="spellEnd"/>
            <w:r w:rsidRPr="000D313C">
              <w:rPr>
                <w:rFonts w:eastAsia="Times New Roman"/>
                <w:b/>
                <w:bCs/>
                <w:color w:val="000000" w:themeColor="text1"/>
              </w:rPr>
              <w:t>/mg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GSH (mg/</w:t>
            </w:r>
            <w:proofErr w:type="spellStart"/>
            <w:r w:rsidRPr="000D313C">
              <w:rPr>
                <w:rFonts w:eastAsia="Times New Roman"/>
                <w:b/>
                <w:bCs/>
                <w:color w:val="000000" w:themeColor="text1"/>
              </w:rPr>
              <w:t>dL</w:t>
            </w:r>
            <w:proofErr w:type="spellEnd"/>
            <w:r w:rsidRPr="000D313C">
              <w:rPr>
                <w:rFonts w:eastAsia="Times New Roman"/>
                <w:b/>
                <w:bCs/>
                <w:color w:val="000000" w:themeColor="text1"/>
              </w:rPr>
              <w:t>)</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5.13 ± 0.18</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1.74 ± 0.25</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4.92 ± 0.22</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IV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200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4.05 ± 0.30</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V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400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 xml:space="preserve">MDA: </w:t>
      </w:r>
      <w:proofErr w:type="spellStart"/>
      <w:r w:rsidRPr="007D1E62">
        <w:rPr>
          <w:rFonts w:eastAsia="Times New Roman"/>
          <w:color w:val="000000" w:themeColor="text1"/>
        </w:rPr>
        <w:t>Malondialdehyde</w:t>
      </w:r>
      <w:proofErr w:type="spellEnd"/>
      <w:r w:rsidRPr="007D1E62">
        <w:rPr>
          <w:rFonts w:eastAsia="Times New Roman"/>
          <w:color w:val="000000" w:themeColor="text1"/>
        </w:rPr>
        <w:t xml:space="preserve"> (marker of lipid peroxidation)</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SOD: Superoxide dismutase</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FB724C"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GSH: Glutathione</w:t>
      </w:r>
    </w:p>
    <w:p w:rsidR="00FB724C" w:rsidRPr="007D1E62"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w:t>
      </w:r>
      <w:proofErr w:type="spellStart"/>
      <w:r w:rsidRPr="00D7082F">
        <w:rPr>
          <w:rStyle w:val="Strong"/>
          <w:color w:val="000000" w:themeColor="text1"/>
          <w:sz w:val="28"/>
          <w:szCs w:val="28"/>
        </w:rPr>
        <w:t>Grp</w:t>
      </w:r>
      <w:proofErr w:type="spellEnd"/>
      <w:r w:rsidRPr="00D7082F">
        <w:rPr>
          <w:rStyle w:val="Strong"/>
          <w:color w:val="000000" w:themeColor="text1"/>
          <w:sz w:val="28"/>
          <w:szCs w:val="28"/>
        </w:rPr>
        <w:t xml:space="preserve"> 1):</w:t>
      </w:r>
      <w:r w:rsidRPr="00D7082F">
        <w:rPr>
          <w:color w:val="000000" w:themeColor="text1"/>
          <w:sz w:val="28"/>
          <w:szCs w:val="28"/>
        </w:rPr>
        <w:t xml:space="preserve"> 7.5–8.9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w:t>
      </w:r>
      <w:proofErr w:type="spellStart"/>
      <w:r w:rsidRPr="00D7082F">
        <w:rPr>
          <w:rStyle w:val="Strong"/>
          <w:color w:val="000000" w:themeColor="text1"/>
          <w:sz w:val="28"/>
          <w:szCs w:val="28"/>
        </w:rPr>
        <w:t>Grp</w:t>
      </w:r>
      <w:proofErr w:type="spellEnd"/>
      <w:r w:rsidRPr="00D7082F">
        <w:rPr>
          <w:rStyle w:val="Strong"/>
          <w:color w:val="000000" w:themeColor="text1"/>
          <w:sz w:val="28"/>
          <w:szCs w:val="28"/>
        </w:rPr>
        <w:t xml:space="preserve"> 2):</w:t>
      </w:r>
      <w:r w:rsidRPr="00D7082F">
        <w:rPr>
          <w:color w:val="000000" w:themeColor="text1"/>
          <w:sz w:val="28"/>
          <w:szCs w:val="28"/>
        </w:rPr>
        <w:t xml:space="preserve"> Slight reduction (6.5–7.1 ×10⁹/L), indicating inflammation and stress.</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proofErr w:type="spellStart"/>
      <w:r w:rsidRPr="00FD2E88">
        <w:rPr>
          <w:rStyle w:val="Emphasis"/>
          <w:rFonts w:eastAsiaTheme="majorEastAsia"/>
          <w:b/>
          <w:bCs/>
          <w:color w:val="000000" w:themeColor="text1"/>
        </w:rPr>
        <w:t>Sida</w:t>
      </w:r>
      <w:proofErr w:type="spellEnd"/>
      <w:r w:rsidRPr="00FD2E88">
        <w:rPr>
          <w:rStyle w:val="Emphasis"/>
          <w:rFonts w:eastAsiaTheme="majorEastAsia"/>
          <w:b/>
          <w:bCs/>
          <w:color w:val="000000" w:themeColor="text1"/>
        </w:rPr>
        <w:t xml:space="preserve"> </w:t>
      </w:r>
      <w:proofErr w:type="spellStart"/>
      <w:r w:rsidRPr="00FD2E88">
        <w:rPr>
          <w:rStyle w:val="Emphasis"/>
          <w:rFonts w:eastAsiaTheme="majorEastAsia"/>
          <w:b/>
          <w:bCs/>
          <w:color w:val="000000" w:themeColor="text1"/>
        </w:rPr>
        <w:t>acuta</w:t>
      </w:r>
      <w:proofErr w:type="spellEnd"/>
      <w:r w:rsidRPr="00D7082F">
        <w:rPr>
          <w:rStyle w:val="Strong"/>
          <w:color w:val="000000" w:themeColor="text1"/>
          <w:sz w:val="28"/>
          <w:szCs w:val="28"/>
        </w:rPr>
        <w:t>-Treated Groups (</w:t>
      </w:r>
      <w:proofErr w:type="spellStart"/>
      <w:r w:rsidRPr="00D7082F">
        <w:rPr>
          <w:rStyle w:val="Strong"/>
          <w:color w:val="000000" w:themeColor="text1"/>
          <w:sz w:val="28"/>
          <w:szCs w:val="28"/>
        </w:rPr>
        <w:t>Grp</w:t>
      </w:r>
      <w:proofErr w:type="spellEnd"/>
      <w:r w:rsidRPr="00D7082F">
        <w:rPr>
          <w:rStyle w:val="Strong"/>
          <w:color w:val="000000" w:themeColor="text1"/>
          <w:sz w:val="28"/>
          <w:szCs w:val="28"/>
        </w:rPr>
        <w:t xml:space="preserve"> 4 &amp; 5):</w:t>
      </w:r>
      <w:r w:rsidRPr="00D7082F">
        <w:rPr>
          <w:color w:val="000000" w:themeColor="text1"/>
          <w:sz w:val="28"/>
          <w:szCs w:val="28"/>
        </w:rPr>
        <w:t xml:space="preserve"> Elevated WBC in Group 4 (8.9–12.9 ×10⁹/L), showing immune stimulation. Group 5 also had moderately high values (7.5–8.8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w:t>
      </w:r>
      <w:proofErr w:type="spellStart"/>
      <w:r w:rsidRPr="00D7082F">
        <w:rPr>
          <w:rStyle w:val="Strong"/>
          <w:color w:val="000000" w:themeColor="text1"/>
          <w:sz w:val="28"/>
          <w:szCs w:val="28"/>
        </w:rPr>
        <w:t>Grp</w:t>
      </w:r>
      <w:proofErr w:type="spellEnd"/>
      <w:r w:rsidRPr="00D7082F">
        <w:rPr>
          <w:rStyle w:val="Strong"/>
          <w:color w:val="000000" w:themeColor="text1"/>
          <w:sz w:val="28"/>
          <w:szCs w:val="28"/>
        </w:rPr>
        <w:t xml:space="preserve"> 2):</w:t>
      </w:r>
      <w:r w:rsidRPr="00D7082F">
        <w:rPr>
          <w:color w:val="000000" w:themeColor="text1"/>
          <w:sz w:val="28"/>
          <w:szCs w:val="28"/>
        </w:rPr>
        <w:t xml:space="preserve"> RBC: 5.1–5.9 ×10¹²/L, HB: 10.5–12.7 g/dl, PCV: 32–38%. No severe anemia, but mild reduction in oxygen-carrying capacity is noted.</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proofErr w:type="spellStart"/>
      <w:r w:rsidRPr="00FD2E88">
        <w:rPr>
          <w:rStyle w:val="Emphasis"/>
          <w:rFonts w:eastAsiaTheme="majorEastAsia"/>
          <w:b/>
          <w:bCs/>
          <w:color w:val="000000" w:themeColor="text1"/>
        </w:rPr>
        <w:t>Sida</w:t>
      </w:r>
      <w:proofErr w:type="spellEnd"/>
      <w:r w:rsidRPr="00FD2E88">
        <w:rPr>
          <w:rStyle w:val="Emphasis"/>
          <w:rFonts w:eastAsiaTheme="majorEastAsia"/>
          <w:b/>
          <w:bCs/>
          <w:color w:val="000000" w:themeColor="text1"/>
        </w:rPr>
        <w:t xml:space="preserve"> </w:t>
      </w:r>
      <w:proofErr w:type="spellStart"/>
      <w:r w:rsidRPr="00FD2E88">
        <w:rPr>
          <w:rStyle w:val="Emphasis"/>
          <w:rFonts w:eastAsiaTheme="majorEastAsia"/>
          <w:b/>
          <w:bCs/>
          <w:color w:val="000000" w:themeColor="text1"/>
        </w:rPr>
        <w:t>acuta</w:t>
      </w:r>
      <w:proofErr w:type="spellEnd"/>
      <w:r w:rsidRPr="00D7082F">
        <w:rPr>
          <w:rStyle w:val="Strong"/>
          <w:color w:val="000000" w:themeColor="text1"/>
          <w:sz w:val="28"/>
          <w:szCs w:val="28"/>
        </w:rPr>
        <w:t xml:space="preserve"> (</w:t>
      </w:r>
      <w:proofErr w:type="spellStart"/>
      <w:r w:rsidRPr="00D7082F">
        <w:rPr>
          <w:rStyle w:val="Strong"/>
          <w:color w:val="000000" w:themeColor="text1"/>
          <w:sz w:val="28"/>
          <w:szCs w:val="28"/>
        </w:rPr>
        <w:t>Grp</w:t>
      </w:r>
      <w:proofErr w:type="spellEnd"/>
      <w:r w:rsidRPr="00D7082F">
        <w:rPr>
          <w:rStyle w:val="Strong"/>
          <w:color w:val="000000" w:themeColor="text1"/>
          <w:sz w:val="28"/>
          <w:szCs w:val="28"/>
        </w:rPr>
        <w:t xml:space="preserve"> 4 &amp; 5):</w:t>
      </w:r>
      <w:r w:rsidRPr="00D7082F">
        <w:rPr>
          <w:color w:val="000000" w:themeColor="text1"/>
          <w:sz w:val="28"/>
          <w:szCs w:val="28"/>
        </w:rPr>
        <w:t xml:space="preserve"> Generally higher RBC (up to 6.4), HB (up to 13.1), and PCV (up to 39%), indicating hematinic effect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has hematopoietic properties, possibly correcting NSAID-induced blood loss or oxidative anemia.</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w:t>
      </w:r>
      <w:proofErr w:type="spellStart"/>
      <w:r w:rsidRPr="00D7082F">
        <w:rPr>
          <w:color w:val="000000" w:themeColor="text1"/>
          <w:sz w:val="28"/>
          <w:szCs w:val="28"/>
        </w:rPr>
        <w:t>fl</w:t>
      </w:r>
      <w:proofErr w:type="spellEnd"/>
      <w:r w:rsidRPr="00D7082F">
        <w:rPr>
          <w:color w:val="000000" w:themeColor="text1"/>
          <w:sz w:val="28"/>
          <w:szCs w:val="28"/>
        </w:rPr>
        <w:t xml:space="preserve"> across all groups. </w:t>
      </w:r>
      <w:proofErr w:type="spellStart"/>
      <w:r w:rsidRPr="00D7082F">
        <w:rPr>
          <w:color w:val="000000" w:themeColor="text1"/>
          <w:sz w:val="28"/>
          <w:szCs w:val="28"/>
        </w:rPr>
        <w:t>Grp</w:t>
      </w:r>
      <w:proofErr w:type="spellEnd"/>
      <w:r w:rsidRPr="00D7082F">
        <w:rPr>
          <w:color w:val="000000" w:themeColor="text1"/>
          <w:sz w:val="28"/>
          <w:szCs w:val="28"/>
        </w:rPr>
        <w:t xml:space="preserve"> 1b (69 </w:t>
      </w:r>
      <w:proofErr w:type="spellStart"/>
      <w:r w:rsidRPr="00D7082F">
        <w:rPr>
          <w:color w:val="000000" w:themeColor="text1"/>
          <w:sz w:val="28"/>
          <w:szCs w:val="28"/>
        </w:rPr>
        <w:t>fl</w:t>
      </w:r>
      <w:proofErr w:type="spellEnd"/>
      <w:r w:rsidRPr="00D7082F">
        <w:rPr>
          <w:color w:val="000000" w:themeColor="text1"/>
          <w:sz w:val="28"/>
          <w:szCs w:val="28"/>
        </w:rPr>
        <w:t>) suggests macrocytic tendency; others are normocytic.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w:t>
      </w:r>
      <w:proofErr w:type="spellStart"/>
      <w:r w:rsidRPr="00D7082F">
        <w:rPr>
          <w:color w:val="000000" w:themeColor="text1"/>
          <w:sz w:val="28"/>
          <w:szCs w:val="28"/>
        </w:rPr>
        <w:t>hyperchromic</w:t>
      </w:r>
      <w:proofErr w:type="spellEnd"/>
      <w:r w:rsidRPr="00D7082F">
        <w:rPr>
          <w:color w:val="000000" w:themeColor="text1"/>
          <w:sz w:val="28"/>
          <w:szCs w:val="28"/>
        </w:rPr>
        <w:t xml:space="preserve"> red cells in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does not cause any harmful change in RBC morphology. It maintains normal erythrocyte status and may help restore RBC characteristics post-ulcer.</w:t>
      </w:r>
    </w:p>
    <w:p w:rsidR="00FB724C" w:rsidRPr="007D1E62" w:rsidRDefault="00FB724C" w:rsidP="00FB724C">
      <w:pPr>
        <w:spacing w:after="0" w:line="360" w:lineRule="auto"/>
        <w:jc w:val="both"/>
        <w:outlineLvl w:val="3"/>
        <w:rPr>
          <w:rFonts w:eastAsia="Times New Roman"/>
          <w:b/>
          <w:bCs/>
          <w:color w:val="000000" w:themeColor="text1"/>
        </w:rPr>
      </w:pPr>
      <w:proofErr w:type="spellStart"/>
      <w:r w:rsidRPr="00D7082F">
        <w:rPr>
          <w:rFonts w:eastAsia="Times New Roman"/>
          <w:b/>
          <w:bCs/>
          <w:color w:val="000000" w:themeColor="text1"/>
        </w:rPr>
        <w:t>Malondialdehyde</w:t>
      </w:r>
      <w:proofErr w:type="spellEnd"/>
      <w:r w:rsidRPr="00D7082F">
        <w:rPr>
          <w:rFonts w:eastAsia="Times New Roman"/>
          <w:b/>
          <w:bCs/>
          <w:color w:val="000000" w:themeColor="text1"/>
        </w:rPr>
        <w:t xml:space="preserve"> (MDA)</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significantly restored SOD levels, especially at 400 mg/kg, indicating enhanced scavenging of superoxide radicals.</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restored CAT activity in a dose-dependent manner, suggesting protection against hydrogen peroxide-mediated oxidative damage.</w:t>
      </w:r>
    </w:p>
    <w:p w:rsidR="00FB724C" w:rsidRDefault="00FB724C" w:rsidP="00FB724C">
      <w:pPr>
        <w:spacing w:after="0" w:line="360" w:lineRule="auto"/>
        <w:jc w:val="both"/>
        <w:outlineLvl w:val="3"/>
        <w:rPr>
          <w:rFonts w:eastAsia="Times New Roman"/>
          <w:b/>
          <w:bCs/>
          <w:color w:val="000000" w:themeColor="text1"/>
        </w:rPr>
      </w:pP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FB724C" w:rsidRPr="00D7082F"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significantly elevated GSH levels, especially at the higher dose, reflecting improved non-enzymatic antioxidant defense and cellular protection.</w:t>
      </w:r>
    </w:p>
    <w:p w:rsidR="00FB724C" w:rsidRPr="00D7082F" w:rsidRDefault="00FB724C" w:rsidP="00FB724C">
      <w:pPr>
        <w:spacing w:after="0" w:line="360" w:lineRule="auto"/>
        <w:jc w:val="both"/>
        <w:rPr>
          <w:rFonts w:eastAsia="Times New Roman"/>
          <w:color w:val="000000" w:themeColor="text1"/>
        </w:rPr>
      </w:pP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2045"/>
        <w:gridCol w:w="1677"/>
        <w:gridCol w:w="1572"/>
        <w:gridCol w:w="2716"/>
      </w:tblGrid>
      <w:tr w:rsidR="00FB724C" w:rsidRPr="00D7082F" w:rsidTr="00FF1768">
        <w:trPr>
          <w:tblHeader/>
          <w:tblCellSpacing w:w="15" w:type="dxa"/>
        </w:trPr>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Ulcer Control (</w:t>
            </w:r>
            <w:proofErr w:type="spellStart"/>
            <w:r w:rsidRPr="00D7082F">
              <w:rPr>
                <w:b/>
                <w:bCs/>
                <w:color w:val="000000" w:themeColor="text1"/>
              </w:rPr>
              <w:t>Grp</w:t>
            </w:r>
            <w:proofErr w:type="spellEnd"/>
            <w:r w:rsidRPr="00D7082F">
              <w:rPr>
                <w:b/>
                <w:bCs/>
                <w:color w:val="000000" w:themeColor="text1"/>
              </w:rPr>
              <w:t xml:space="preserve"> 2)</w:t>
            </w:r>
          </w:p>
        </w:tc>
        <w:tc>
          <w:tcPr>
            <w:tcW w:w="0" w:type="auto"/>
            <w:vAlign w:val="center"/>
            <w:hideMark/>
          </w:tcPr>
          <w:p w:rsidR="00FB724C" w:rsidRPr="00D7082F" w:rsidRDefault="00FB724C" w:rsidP="00FF1768">
            <w:pPr>
              <w:spacing w:after="0" w:line="360" w:lineRule="auto"/>
              <w:jc w:val="both"/>
              <w:rPr>
                <w:b/>
                <w:bCs/>
                <w:color w:val="000000" w:themeColor="text1"/>
              </w:rPr>
            </w:pPr>
            <w:proofErr w:type="spellStart"/>
            <w:r w:rsidRPr="00FD2E88">
              <w:rPr>
                <w:rStyle w:val="Emphasis"/>
                <w:b/>
                <w:bCs/>
                <w:color w:val="000000" w:themeColor="text1"/>
              </w:rPr>
              <w:t>Sida</w:t>
            </w:r>
            <w:proofErr w:type="spellEnd"/>
            <w:r w:rsidRPr="00FD2E88">
              <w:rPr>
                <w:rStyle w:val="Emphasis"/>
                <w:b/>
                <w:bCs/>
                <w:color w:val="000000" w:themeColor="text1"/>
              </w:rPr>
              <w:t xml:space="preserve"> </w:t>
            </w:r>
            <w:proofErr w:type="spellStart"/>
            <w:r w:rsidRPr="00FD2E88">
              <w:rPr>
                <w:rStyle w:val="Emphasis"/>
                <w:b/>
                <w:bCs/>
                <w:color w:val="000000" w:themeColor="text1"/>
              </w:rPr>
              <w:t>acuta</w:t>
            </w:r>
            <w:proofErr w:type="spellEnd"/>
            <w:r w:rsidRPr="00D7082F">
              <w:rPr>
                <w:b/>
                <w:bCs/>
                <w:color w:val="000000" w:themeColor="text1"/>
              </w:rPr>
              <w:t xml:space="preserve"> 200 mg/kg (</w:t>
            </w:r>
            <w:proofErr w:type="spellStart"/>
            <w:r w:rsidRPr="00D7082F">
              <w:rPr>
                <w:b/>
                <w:bCs/>
                <w:color w:val="000000" w:themeColor="text1"/>
              </w:rPr>
              <w:t>Grp</w:t>
            </w:r>
            <w:proofErr w:type="spellEnd"/>
            <w:r w:rsidRPr="00D7082F">
              <w:rPr>
                <w:b/>
                <w:bCs/>
                <w:color w:val="000000" w:themeColor="text1"/>
              </w:rPr>
              <w:t xml:space="preserve"> 4)</w:t>
            </w:r>
          </w:p>
        </w:tc>
        <w:tc>
          <w:tcPr>
            <w:tcW w:w="0" w:type="auto"/>
            <w:vAlign w:val="center"/>
            <w:hideMark/>
          </w:tcPr>
          <w:p w:rsidR="00FB724C" w:rsidRPr="00D7082F" w:rsidRDefault="00FB724C" w:rsidP="00FF1768">
            <w:pPr>
              <w:spacing w:after="0" w:line="360" w:lineRule="auto"/>
              <w:jc w:val="both"/>
              <w:rPr>
                <w:b/>
                <w:bCs/>
                <w:color w:val="000000" w:themeColor="text1"/>
              </w:rPr>
            </w:pPr>
            <w:proofErr w:type="spellStart"/>
            <w:r w:rsidRPr="00FD2E88">
              <w:rPr>
                <w:rStyle w:val="Emphasis"/>
                <w:b/>
                <w:bCs/>
                <w:color w:val="000000" w:themeColor="text1"/>
              </w:rPr>
              <w:t>Sida</w:t>
            </w:r>
            <w:proofErr w:type="spellEnd"/>
            <w:r w:rsidRPr="00FD2E88">
              <w:rPr>
                <w:rStyle w:val="Emphasis"/>
                <w:b/>
                <w:bCs/>
                <w:color w:val="000000" w:themeColor="text1"/>
              </w:rPr>
              <w:t xml:space="preserve"> </w:t>
            </w:r>
            <w:proofErr w:type="spellStart"/>
            <w:r w:rsidRPr="00FD2E88">
              <w:rPr>
                <w:rStyle w:val="Emphasis"/>
                <w:b/>
                <w:bCs/>
                <w:color w:val="000000" w:themeColor="text1"/>
              </w:rPr>
              <w:t>acuta</w:t>
            </w:r>
            <w:proofErr w:type="spellEnd"/>
            <w:r w:rsidRPr="00D7082F">
              <w:rPr>
                <w:b/>
                <w:bCs/>
                <w:color w:val="000000" w:themeColor="text1"/>
              </w:rPr>
              <w:t xml:space="preserve"> 400 mg/kg (</w:t>
            </w:r>
            <w:proofErr w:type="spellStart"/>
            <w:r w:rsidRPr="00D7082F">
              <w:rPr>
                <w:b/>
                <w:bCs/>
                <w:color w:val="000000" w:themeColor="text1"/>
              </w:rPr>
              <w:t>Grp</w:t>
            </w:r>
            <w:proofErr w:type="spellEnd"/>
            <w:r w:rsidRPr="00D7082F">
              <w:rPr>
                <w:b/>
                <w:bCs/>
                <w:color w:val="000000" w:themeColor="text1"/>
              </w:rPr>
              <w:t xml:space="preserve"> 5)</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Observation</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WBC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(6.5–7.1)</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(8.9–12.9)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(7.5–8.8)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Immune-stimulating effect</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RBC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Normal–High</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Hematinic activity</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HB</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10.5–12.7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9.5–14.7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9.2–13.1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Protective/restorative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PCV</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32–38%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29–44%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28–39%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Dose-dependent increase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Indices</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 toxic morphological effect</w:t>
            </w:r>
          </w:p>
        </w:tc>
      </w:tr>
    </w:tbl>
    <w:p w:rsidR="00FB724C" w:rsidRPr="00D7082F"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 xml:space="preserve">4.3 </w:t>
      </w:r>
      <w:proofErr w:type="spellStart"/>
      <w:r w:rsidRPr="00D7082F">
        <w:rPr>
          <w:rFonts w:eastAsia="Times New Roman"/>
          <w:b/>
          <w:bCs/>
          <w:color w:val="000000" w:themeColor="text1"/>
        </w:rPr>
        <w:t>Histopathological</w:t>
      </w:r>
      <w:proofErr w:type="spellEnd"/>
      <w:r w:rsidRPr="00D7082F">
        <w:rPr>
          <w:rFonts w:eastAsia="Times New Roman"/>
          <w:b/>
          <w:bCs/>
          <w:color w:val="000000" w:themeColor="text1"/>
        </w:rPr>
        <w:t xml:space="preserve"> Findings</w:t>
      </w:r>
    </w:p>
    <w:p w:rsidR="00FB724C" w:rsidRPr="007D1E62" w:rsidRDefault="00FB724C" w:rsidP="00FB724C">
      <w:pPr>
        <w:spacing w:after="0" w:line="360" w:lineRule="auto"/>
        <w:jc w:val="both"/>
        <w:outlineLvl w:val="2"/>
        <w:rPr>
          <w:rFonts w:eastAsia="Times New Roman"/>
          <w:b/>
          <w:bCs/>
          <w:color w:val="000000" w:themeColor="text1"/>
        </w:rPr>
      </w:pPr>
      <w:proofErr w:type="spellStart"/>
      <w:r w:rsidRPr="00D7082F">
        <w:rPr>
          <w:color w:val="000000" w:themeColor="text1"/>
        </w:rPr>
        <w:t>Histopathological</w:t>
      </w:r>
      <w:proofErr w:type="spellEnd"/>
      <w:r w:rsidRPr="00D7082F">
        <w:rPr>
          <w:color w:val="000000" w:themeColor="text1"/>
        </w:rPr>
        <w:t xml:space="preserve"> examination of gastric tissues was conducted to assess the structural integrity of the mucosa and to visually evaluate the protective effect of </w:t>
      </w:r>
      <w:proofErr w:type="spellStart"/>
      <w:r w:rsidRPr="00FD2E88">
        <w:rPr>
          <w:rStyle w:val="Emphasis"/>
          <w:color w:val="000000" w:themeColor="text1"/>
        </w:rPr>
        <w:t>Sida</w:t>
      </w:r>
      <w:proofErr w:type="spellEnd"/>
      <w:r w:rsidRPr="00FD2E88">
        <w:rPr>
          <w:rStyle w:val="Emphasis"/>
          <w:color w:val="000000" w:themeColor="text1"/>
        </w:rPr>
        <w:t xml:space="preserve"> </w:t>
      </w:r>
      <w:proofErr w:type="spellStart"/>
      <w:r w:rsidRPr="00FD2E88">
        <w:rPr>
          <w:rStyle w:val="Emphasis"/>
          <w:color w:val="000000" w:themeColor="text1"/>
        </w:rPr>
        <w:t>acuta</w:t>
      </w:r>
      <w:proofErr w:type="spellEnd"/>
      <w:r w:rsidRPr="00D7082F">
        <w:rPr>
          <w:color w:val="000000" w:themeColor="text1"/>
        </w:rPr>
        <w:t xml:space="preserve"> against indomethacin-induced gastric injury. Tissue sections were stained with </w:t>
      </w:r>
      <w:proofErr w:type="spellStart"/>
      <w:r w:rsidRPr="00D7082F">
        <w:rPr>
          <w:color w:val="000000" w:themeColor="text1"/>
        </w:rPr>
        <w:t>Hematoxylin</w:t>
      </w:r>
      <w:proofErr w:type="spellEnd"/>
      <w:r w:rsidRPr="00D7082F">
        <w:rPr>
          <w:color w:val="000000" w:themeColor="text1"/>
        </w:rPr>
        <w:t xml:space="preserve"> and Eosin (H&amp;E) and observed under a light microscope for pathological changes including epithelial erosion, inflammation, mucosal edema, and ulceration.</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w:t>
      </w:r>
      <w:proofErr w:type="spellStart"/>
      <w:r w:rsidRPr="007D1E62">
        <w:rPr>
          <w:rFonts w:eastAsia="Times New Roman"/>
          <w:color w:val="000000" w:themeColor="text1"/>
        </w:rPr>
        <w:t>histoarchitecture</w:t>
      </w:r>
      <w:proofErr w:type="spellEnd"/>
      <w:r w:rsidRPr="007D1E62">
        <w:rPr>
          <w:rFonts w:eastAsia="Times New Roman"/>
          <w:color w:val="000000" w:themeColor="text1"/>
        </w:rPr>
        <w:t>.</w:t>
      </w:r>
    </w:p>
    <w:p w:rsidR="00FB724C" w:rsidRPr="007D1E62" w:rsidRDefault="00FB724C" w:rsidP="00FB724C">
      <w:pPr>
        <w:numPr>
          <w:ilvl w:val="0"/>
          <w:numId w:val="11"/>
        </w:numPr>
        <w:spacing w:after="0" w:line="360" w:lineRule="auto"/>
        <w:jc w:val="both"/>
        <w:rPr>
          <w:rFonts w:eastAsia="Times New Roman"/>
          <w:color w:val="000000" w:themeColor="text1"/>
        </w:rPr>
      </w:pP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FB724C" w:rsidRPr="00D7082F" w:rsidRDefault="00FB724C" w:rsidP="00FB724C">
      <w:pPr>
        <w:numPr>
          <w:ilvl w:val="0"/>
          <w:numId w:val="11"/>
        </w:numPr>
        <w:spacing w:after="0" w:line="360" w:lineRule="auto"/>
        <w:jc w:val="both"/>
        <w:rPr>
          <w:rFonts w:eastAsia="Times New Roman"/>
          <w:color w:val="000000" w:themeColor="text1"/>
        </w:rPr>
      </w:pP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FB724C" w:rsidRPr="001235E5"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FB724C" w:rsidRDefault="00FB724C" w:rsidP="00FB724C">
      <w:pPr>
        <w:spacing w:after="0" w:line="360" w:lineRule="auto"/>
        <w:jc w:val="both"/>
        <w:outlineLvl w:val="3"/>
        <w:rPr>
          <w:rFonts w:eastAsia="Times New Roman"/>
          <w:b/>
          <w:bCs/>
          <w:color w:val="000000" w:themeColor="text1"/>
        </w:rPr>
      </w:pPr>
    </w:p>
    <w:p w:rsidR="00FB724C" w:rsidRDefault="00FB724C" w:rsidP="00FB724C">
      <w:pPr>
        <w:spacing w:after="0" w:line="360" w:lineRule="auto"/>
        <w:jc w:val="both"/>
        <w:outlineLvl w:val="3"/>
        <w:rPr>
          <w:rFonts w:eastAsia="Times New Roman"/>
          <w:b/>
          <w:bCs/>
          <w:color w:val="000000" w:themeColor="text1"/>
        </w:rPr>
      </w:pP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 xml:space="preserve">Group 4 – </w:t>
      </w: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(200 mg/kg)</w:t>
      </w:r>
    </w:p>
    <w:p w:rsidR="00FB724C" w:rsidRPr="001235E5"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FB724C" w:rsidRPr="001235E5" w:rsidRDefault="00FB724C" w:rsidP="00FB724C">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(400 mg/kg)</w:t>
      </w:r>
    </w:p>
    <w:p w:rsidR="00FB724C" w:rsidRPr="00D7082F"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gastric lesions and inflammation.</w:t>
      </w:r>
    </w:p>
    <w:p w:rsidR="00FB724C" w:rsidRPr="00D7082F" w:rsidRDefault="00FB724C" w:rsidP="00FB724C">
      <w:pPr>
        <w:spacing w:after="0" w:line="360" w:lineRule="auto"/>
        <w:jc w:val="both"/>
        <w:rPr>
          <w:rFonts w:eastAsia="Times New Roman"/>
          <w:color w:val="000000" w:themeColor="text1"/>
        </w:rPr>
      </w:pPr>
    </w:p>
    <w:p w:rsidR="00FB724C" w:rsidRPr="001235E5" w:rsidRDefault="00FB724C" w:rsidP="00FB724C">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 xml:space="preserve">Nearly complete protection. Gastric tissue showed minimal signs of erosion, well-preserved mucosal epithelium, and scanty inflammatory cells. Glandular and </w:t>
      </w:r>
      <w:proofErr w:type="spellStart"/>
      <w:r w:rsidRPr="001235E5">
        <w:rPr>
          <w:rFonts w:eastAsia="Times New Roman"/>
          <w:color w:val="000000" w:themeColor="text1"/>
        </w:rPr>
        <w:t>submucosal</w:t>
      </w:r>
      <w:proofErr w:type="spellEnd"/>
      <w:r w:rsidRPr="001235E5">
        <w:rPr>
          <w:rFonts w:eastAsia="Times New Roman"/>
          <w:color w:val="000000" w:themeColor="text1"/>
        </w:rPr>
        <w:t xml:space="preserve"> structures appeared normal.</w:t>
      </w:r>
    </w:p>
    <w:p w:rsidR="00FB724C" w:rsidRPr="001235E5" w:rsidRDefault="00FB724C" w:rsidP="00FB724C">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1235E5">
        <w:rPr>
          <w:rFonts w:eastAsia="Times New Roman"/>
          <w:color w:val="000000" w:themeColor="text1"/>
        </w:rPr>
        <w:t xml:space="preserve"> significantly protected the gastric mucosa, similar to omeprazole, indicating potent anti-ulcer and antioxidant activity.</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 Indomethacin (Combination/Recovery)</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1235E5">
        <w:rPr>
          <w:rFonts w:eastAsia="Times New Roman"/>
          <w:color w:val="000000" w:themeColor="text1"/>
        </w:rPr>
        <w:t xml:space="preserve"> even after damage has occurred.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1235E5">
        <w:rPr>
          <w:rFonts w:eastAsia="Times New Roman"/>
          <w:color w:val="000000" w:themeColor="text1"/>
        </w:rPr>
        <w:t xml:space="preserve"> to accelerate mucosal healing post-indomethacin exposure.</w:t>
      </w:r>
    </w:p>
    <w:p w:rsidR="00FB724C" w:rsidRDefault="00FB724C" w:rsidP="00FB724C">
      <w:pPr>
        <w:spacing w:after="0" w:line="360" w:lineRule="auto"/>
        <w:jc w:val="both"/>
        <w:outlineLvl w:val="2"/>
        <w:rPr>
          <w:rFonts w:eastAsia="Times New Roman"/>
          <w:b/>
          <w:bCs/>
          <w:color w:val="000000" w:themeColor="text1"/>
        </w:rPr>
      </w:pPr>
    </w:p>
    <w:p w:rsidR="00FB724C" w:rsidRDefault="00FB724C" w:rsidP="00FB724C">
      <w:pPr>
        <w:spacing w:line="360" w:lineRule="auto"/>
        <w:jc w:val="center"/>
        <w:rPr>
          <w:rFonts w:eastAsia="Times New Roman"/>
          <w:b/>
          <w:bCs/>
          <w:color w:val="000000" w:themeColor="text1"/>
        </w:rPr>
      </w:pPr>
    </w:p>
    <w:p w:rsidR="00FB724C" w:rsidRPr="00367A1C" w:rsidRDefault="00FB724C" w:rsidP="00FB724C">
      <w:pPr>
        <w:spacing w:line="360" w:lineRule="auto"/>
        <w:jc w:val="center"/>
        <w:rPr>
          <w:rFonts w:eastAsia="Times New Roman"/>
          <w:b/>
          <w:bCs/>
          <w:color w:val="000000" w:themeColor="text1"/>
        </w:rPr>
      </w:pPr>
      <w:r w:rsidRPr="00D7082F">
        <w:rPr>
          <w:rFonts w:eastAsia="Times New Roman"/>
          <w:b/>
          <w:bCs/>
          <w:color w:val="000000" w:themeColor="text1"/>
        </w:rPr>
        <w:lastRenderedPageBreak/>
        <w:t>CHAPTER FIVE</w:t>
      </w:r>
    </w:p>
    <w:p w:rsidR="00FB724C" w:rsidRPr="00367A1C" w:rsidRDefault="00FB724C" w:rsidP="00FB724C">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w:t>
      </w:r>
      <w:proofErr w:type="spellStart"/>
      <w:r w:rsidRPr="00440084">
        <w:rPr>
          <w:rFonts w:eastAsia="Times New Roman"/>
          <w:color w:val="000000" w:themeColor="text1"/>
        </w:rPr>
        <w:t>gastroprotective</w:t>
      </w:r>
      <w:proofErr w:type="spellEnd"/>
      <w:r w:rsidRPr="00440084">
        <w:rPr>
          <w:rFonts w:eastAsia="Times New Roman"/>
          <w:color w:val="000000" w:themeColor="text1"/>
        </w:rPr>
        <w:t xml:space="preser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on gastric ulcers induced by indomethacin in </w:t>
      </w:r>
      <w:proofErr w:type="spellStart"/>
      <w:r w:rsidRPr="00440084">
        <w:rPr>
          <w:rFonts w:eastAsia="Times New Roman"/>
          <w:color w:val="000000" w:themeColor="text1"/>
        </w:rPr>
        <w:t>Wistar</w:t>
      </w:r>
      <w:proofErr w:type="spellEnd"/>
      <w:r w:rsidRPr="00440084">
        <w:rPr>
          <w:rFonts w:eastAsia="Times New Roman"/>
          <w:color w:val="000000" w:themeColor="text1"/>
        </w:rPr>
        <w:t xml:space="preserve"> rats. Indomethacin, a non-steroidal anti-inflammatory drug (NSAID), is known to cause gastric mucosal injury primarily through the inhibition of prostaglandin synthesis and the generation of reactive oxygen species (ROS), leading to oxidative stress and ulceration.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w:t>
      </w:r>
      <w:proofErr w:type="spellStart"/>
      <w:r w:rsidRPr="00440084">
        <w:rPr>
          <w:rFonts w:eastAsia="Times New Roman"/>
          <w:color w:val="000000" w:themeColor="text1"/>
        </w:rPr>
        <w:t>malondialdehyde</w:t>
      </w:r>
      <w:proofErr w:type="spellEnd"/>
      <w:r w:rsidRPr="00440084">
        <w:rPr>
          <w:rFonts w:eastAsia="Times New Roman"/>
          <w:color w:val="000000" w:themeColor="text1"/>
        </w:rPr>
        <w:t xml:space="preserve"> (MDA), superoxide dismutase (SOD), catalase (CAT), and glutathione (GSH)—while hematological parameters such as WBC, RBC, hemoglobin, and PCV were also analyzed. Gastric tissues were histologically examined for structural damage or healing.</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w:t>
      </w:r>
      <w:proofErr w:type="spellStart"/>
      <w:r w:rsidRPr="00440084">
        <w:rPr>
          <w:rFonts w:eastAsia="Times New Roman"/>
          <w:color w:val="000000" w:themeColor="text1"/>
        </w:rPr>
        <w:t>Histopathological</w:t>
      </w:r>
      <w:proofErr w:type="spellEnd"/>
      <w:r w:rsidRPr="00440084">
        <w:rPr>
          <w:rFonts w:eastAsia="Times New Roman"/>
          <w:color w:val="000000" w:themeColor="text1"/>
        </w:rPr>
        <w:t xml:space="preserve"> findings confirmed reduced ulceration and improved mucosal healing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-treated groups, especially at the 400 mg/kg dose.</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w:t>
      </w:r>
      <w:proofErr w:type="spellStart"/>
      <w:r w:rsidRPr="00367A1C">
        <w:rPr>
          <w:rFonts w:eastAsia="Times New Roman"/>
          <w:color w:val="000000" w:themeColor="text1"/>
        </w:rPr>
        <w:t>gastroprotective</w:t>
      </w:r>
      <w:proofErr w:type="spellEnd"/>
      <w:r w:rsidRPr="00367A1C">
        <w:rPr>
          <w:rFonts w:eastAsia="Times New Roman"/>
          <w:color w:val="000000" w:themeColor="text1"/>
        </w:rPr>
        <w:t xml:space="preser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on indomethacin-induced gastric ulcers in </w:t>
      </w:r>
      <w:proofErr w:type="spellStart"/>
      <w:r w:rsidRPr="00367A1C">
        <w:rPr>
          <w:rFonts w:eastAsia="Times New Roman"/>
          <w:color w:val="000000" w:themeColor="text1"/>
        </w:rPr>
        <w:t>Wistar</w:t>
      </w:r>
      <w:proofErr w:type="spellEnd"/>
      <w:r w:rsidRPr="00367A1C">
        <w:rPr>
          <w:rFonts w:eastAsia="Times New Roman"/>
          <w:color w:val="000000" w:themeColor="text1"/>
        </w:rPr>
        <w:t xml:space="preserve"> rats. Indomethacin, a widely used NSAID, induces gastric ulceration primarily through oxidative stress and inhibition of protective prostaglandins.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Aqueous extracts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w:t>
      </w:r>
      <w:r w:rsidRPr="00367A1C">
        <w:rPr>
          <w:rFonts w:eastAsia="Times New Roman"/>
          <w:color w:val="000000" w:themeColor="text1"/>
        </w:rPr>
        <w:lastRenderedPageBreak/>
        <w:t xml:space="preserve">GSH), hematological profiles (WBC, RBC, HGB, PCV, MCH, MCHC), and </w:t>
      </w:r>
      <w:proofErr w:type="spellStart"/>
      <w:r w:rsidRPr="00367A1C">
        <w:rPr>
          <w:rFonts w:eastAsia="Times New Roman"/>
          <w:color w:val="000000" w:themeColor="text1"/>
        </w:rPr>
        <w:t>histopathological</w:t>
      </w:r>
      <w:proofErr w:type="spellEnd"/>
      <w:r w:rsidRPr="00367A1C">
        <w:rPr>
          <w:rFonts w:eastAsia="Times New Roman"/>
          <w:color w:val="000000" w:themeColor="text1"/>
        </w:rPr>
        <w:t xml:space="preserve"> examination of gastric tissues.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-treated groups.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exhibits significant antioxidant and anti-ulcer effects, possibly due to its flavonoid and polyphenol content.</w:t>
      </w:r>
    </w:p>
    <w:p w:rsidR="00FB724C" w:rsidRPr="007D1E62"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 xml:space="preserve"> DISCUSSION</w:t>
      </w:r>
    </w:p>
    <w:p w:rsidR="00FB724C" w:rsidRPr="00D7082F" w:rsidRDefault="00FB724C" w:rsidP="00FB724C">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proofErr w:type="spellStart"/>
      <w:r w:rsidRPr="00FD2E88">
        <w:rPr>
          <w:rStyle w:val="Emphasis"/>
          <w:color w:val="000000" w:themeColor="text1"/>
        </w:rPr>
        <w:t>Sida</w:t>
      </w:r>
      <w:proofErr w:type="spellEnd"/>
      <w:r w:rsidRPr="00FD2E88">
        <w:rPr>
          <w:rStyle w:val="Emphasis"/>
          <w:color w:val="000000" w:themeColor="text1"/>
        </w:rPr>
        <w:t xml:space="preserve"> </w:t>
      </w:r>
      <w:proofErr w:type="spellStart"/>
      <w:r w:rsidRPr="00FD2E88">
        <w:rPr>
          <w:rStyle w:val="Emphasis"/>
          <w:color w:val="000000" w:themeColor="text1"/>
        </w:rPr>
        <w:t>acuta</w:t>
      </w:r>
      <w:proofErr w:type="spellEnd"/>
      <w:r w:rsidRPr="00D7082F">
        <w:rPr>
          <w:color w:val="000000" w:themeColor="text1"/>
        </w:rPr>
        <w:t xml:space="preserve"> on indomethacin-induced gastric ulceration in </w:t>
      </w:r>
      <w:proofErr w:type="spellStart"/>
      <w:r w:rsidRPr="00D7082F">
        <w:rPr>
          <w:color w:val="000000" w:themeColor="text1"/>
        </w:rPr>
        <w:t>Wistar</w:t>
      </w:r>
      <w:proofErr w:type="spellEnd"/>
      <w:r w:rsidRPr="00D7082F">
        <w:rPr>
          <w:color w:val="000000" w:themeColor="text1"/>
        </w:rPr>
        <w:t xml:space="preserve"> rats. The findings reveal that </w:t>
      </w:r>
      <w:proofErr w:type="spellStart"/>
      <w:r w:rsidRPr="00FD2E88">
        <w:rPr>
          <w:rStyle w:val="Emphasis"/>
          <w:color w:val="000000" w:themeColor="text1"/>
        </w:rPr>
        <w:t>Sida</w:t>
      </w:r>
      <w:proofErr w:type="spellEnd"/>
      <w:r w:rsidRPr="00FD2E88">
        <w:rPr>
          <w:rStyle w:val="Emphasis"/>
          <w:color w:val="000000" w:themeColor="text1"/>
        </w:rPr>
        <w:t xml:space="preserve"> </w:t>
      </w:r>
      <w:proofErr w:type="spellStart"/>
      <w:r w:rsidRPr="00FD2E88">
        <w:rPr>
          <w:rStyle w:val="Emphasis"/>
          <w:color w:val="000000" w:themeColor="text1"/>
        </w:rPr>
        <w:t>acuta</w:t>
      </w:r>
      <w:proofErr w:type="spellEnd"/>
      <w:r w:rsidRPr="00D7082F">
        <w:rPr>
          <w:color w:val="000000" w:themeColor="text1"/>
        </w:rPr>
        <w:t xml:space="preserve"> significantly improved antioxidant enzyme levels, reduced oxidative stress markers, and preserved gastric </w:t>
      </w:r>
      <w:proofErr w:type="spellStart"/>
      <w:r w:rsidRPr="00D7082F">
        <w:rPr>
          <w:color w:val="000000" w:themeColor="text1"/>
        </w:rPr>
        <w:t>histoarchitecture</w:t>
      </w:r>
      <w:proofErr w:type="spellEnd"/>
      <w:r w:rsidRPr="00D7082F">
        <w:rPr>
          <w:color w:val="000000" w:themeColor="text1"/>
        </w:rPr>
        <w:t xml:space="preserve"> in a dose-dependent manner.</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has a protective effect against indomethacin-induced gastric ulcers, primarily through antioxidant activity. Indomethacin promotes </w:t>
      </w:r>
      <w:proofErr w:type="spellStart"/>
      <w:r w:rsidRPr="007D1E62">
        <w:rPr>
          <w:rFonts w:eastAsia="Times New Roman"/>
          <w:color w:val="000000" w:themeColor="text1"/>
        </w:rPr>
        <w:t>ulcerogenesis</w:t>
      </w:r>
      <w:proofErr w:type="spellEnd"/>
      <w:r w:rsidRPr="007D1E62">
        <w:rPr>
          <w:rFonts w:eastAsia="Times New Roman"/>
          <w:color w:val="000000" w:themeColor="text1"/>
        </w:rPr>
        <w:t xml:space="preserve"> by increasing ROS generation, leading to lipid peroxidation and oxidative damage. The extract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rich in flavonoids and phenolic compounds, appears to counteract these effects by:</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The higher dose (400 mg/kg) was comparable in efficacy to omeprazole, indicating strong </w:t>
      </w:r>
      <w:proofErr w:type="spellStart"/>
      <w:r w:rsidRPr="007D1E62">
        <w:rPr>
          <w:rFonts w:eastAsia="Times New Roman"/>
          <w:color w:val="000000" w:themeColor="text1"/>
        </w:rPr>
        <w:t>gastroprotective</w:t>
      </w:r>
      <w:proofErr w:type="spellEnd"/>
      <w:r w:rsidRPr="007D1E62">
        <w:rPr>
          <w:rFonts w:eastAsia="Times New Roman"/>
          <w:color w:val="000000" w:themeColor="text1"/>
        </w:rPr>
        <w:t xml:space="preserve"> potential. The </w:t>
      </w:r>
      <w:proofErr w:type="spellStart"/>
      <w:r w:rsidRPr="007D1E62">
        <w:rPr>
          <w:rFonts w:eastAsia="Times New Roman"/>
          <w:color w:val="000000" w:themeColor="text1"/>
        </w:rPr>
        <w:t>histopathological</w:t>
      </w:r>
      <w:proofErr w:type="spellEnd"/>
      <w:r w:rsidRPr="007D1E62">
        <w:rPr>
          <w:rFonts w:eastAsia="Times New Roman"/>
          <w:color w:val="000000" w:themeColor="text1"/>
        </w:rPr>
        <w:t xml:space="preserve"> observations reinforced the biochemical data, showing significant mucosal healing.</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lastRenderedPageBreak/>
        <w:t xml:space="preserve">These findings align with previous reports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Indomethacin, a non-steroidal anti-inflammatory drug (NSAID), is known to cause gastric mucosal damage by inhibiting prostaglandin synthesis and inducing oxidative stress through the generation of reactive oxygen species (ROS). In the ulcer control group, elevated levels of </w:t>
      </w:r>
      <w:proofErr w:type="spellStart"/>
      <w:r w:rsidRPr="00D7082F">
        <w:rPr>
          <w:color w:val="000000" w:themeColor="text1"/>
          <w:sz w:val="28"/>
          <w:szCs w:val="28"/>
        </w:rPr>
        <w:t>malondialdehyde</w:t>
      </w:r>
      <w:proofErr w:type="spellEnd"/>
      <w:r w:rsidRPr="00D7082F">
        <w:rPr>
          <w:color w:val="000000" w:themeColor="text1"/>
          <w:sz w:val="28"/>
          <w:szCs w:val="28"/>
        </w:rPr>
        <w:t xml:space="preserv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proofErr w:type="spellStart"/>
      <w:r w:rsidRPr="00FD2E88">
        <w:rPr>
          <w:rStyle w:val="Emphasis"/>
          <w:rFonts w:ascii="Times New Roman" w:hAnsi="Times New Roman" w:cs="Times New Roman"/>
          <w:color w:val="000000" w:themeColor="text1"/>
        </w:rPr>
        <w:t>Sida</w:t>
      </w:r>
      <w:proofErr w:type="spellEnd"/>
      <w:r w:rsidRPr="00FD2E88">
        <w:rPr>
          <w:rStyle w:val="Emphasis"/>
          <w:rFonts w:ascii="Times New Roman" w:hAnsi="Times New Roman" w:cs="Times New Roman"/>
          <w:color w:val="000000" w:themeColor="text1"/>
        </w:rPr>
        <w:t xml:space="preserve"> </w:t>
      </w:r>
      <w:proofErr w:type="spellStart"/>
      <w:r w:rsidRPr="00FD2E88">
        <w:rPr>
          <w:rStyle w:val="Emphasis"/>
          <w:rFonts w:ascii="Times New Roman" w:hAnsi="Times New Roman" w:cs="Times New Roman"/>
          <w:color w:val="000000" w:themeColor="text1"/>
        </w:rPr>
        <w:t>acuta</w:t>
      </w:r>
      <w:proofErr w:type="spellEnd"/>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leaf extract—especially at 400 mg/kg—significantly reduced MDA levels and restored the levels of SOD, CAT, and GSH. These findings suggest that the </w:t>
      </w:r>
      <w:proofErr w:type="spellStart"/>
      <w:r w:rsidRPr="00D7082F">
        <w:rPr>
          <w:color w:val="000000" w:themeColor="text1"/>
          <w:sz w:val="28"/>
          <w:szCs w:val="28"/>
        </w:rPr>
        <w:t>gastroprotective</w:t>
      </w:r>
      <w:proofErr w:type="spellEnd"/>
      <w:r w:rsidRPr="00D7082F">
        <w:rPr>
          <w:color w:val="000000" w:themeColor="text1"/>
          <w:sz w:val="28"/>
          <w:szCs w:val="28"/>
        </w:rPr>
        <w:t xml:space="preserve"> effects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w:t>
      </w:r>
      <w:proofErr w:type="spellStart"/>
      <w:r w:rsidRPr="00D7082F">
        <w:rPr>
          <w:color w:val="000000" w:themeColor="text1"/>
          <w:sz w:val="28"/>
          <w:szCs w:val="28"/>
        </w:rPr>
        <w:t>Nwaehujor</w:t>
      </w:r>
      <w:proofErr w:type="spellEnd"/>
      <w:r w:rsidRPr="00D7082F">
        <w:rPr>
          <w:color w:val="000000" w:themeColor="text1"/>
          <w:sz w:val="28"/>
          <w:szCs w:val="28"/>
        </w:rPr>
        <w:t xml:space="preserve"> et al. (2013), which highlighted the plant's potent antioxidant activities.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does not exert toxic effects on hematopoiesis or red cell morphology.</w:t>
      </w:r>
    </w:p>
    <w:p w:rsidR="00FB724C" w:rsidRPr="00367A1C"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5.3</w:t>
      </w:r>
      <w:r w:rsidRPr="00D7082F">
        <w:rPr>
          <w:rFonts w:eastAsia="Times New Roman"/>
          <w:b/>
          <w:bCs/>
          <w:color w:val="000000" w:themeColor="text1"/>
        </w:rPr>
        <w:t xml:space="preserve"> CONCLUSION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possesses significant antioxidant and </w:t>
      </w:r>
      <w:proofErr w:type="spellStart"/>
      <w:r w:rsidRPr="00440084">
        <w:rPr>
          <w:rFonts w:eastAsia="Times New Roman"/>
          <w:color w:val="000000" w:themeColor="text1"/>
        </w:rPr>
        <w:t>gastroprotective</w:t>
      </w:r>
      <w:proofErr w:type="spellEnd"/>
      <w:r w:rsidRPr="00440084">
        <w:rPr>
          <w:rFonts w:eastAsia="Times New Roman"/>
          <w:color w:val="000000" w:themeColor="text1"/>
        </w:rPr>
        <w:t xml:space="preserve"> properties against indomethacin-induced gastric ulcers in rats. The </w:t>
      </w:r>
      <w:r w:rsidRPr="00440084">
        <w:rPr>
          <w:rFonts w:eastAsia="Times New Roman"/>
          <w:color w:val="000000" w:themeColor="text1"/>
        </w:rPr>
        <w:lastRenderedPageBreak/>
        <w:t xml:space="preserve">administration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extract, particularly at a dose of 400 mg/kg, led to a notable reduction in oxidative stress markers such as </w:t>
      </w:r>
      <w:proofErr w:type="spellStart"/>
      <w:r w:rsidRPr="00440084">
        <w:rPr>
          <w:rFonts w:eastAsia="Times New Roman"/>
          <w:color w:val="000000" w:themeColor="text1"/>
        </w:rPr>
        <w:t>malondialdehyde</w:t>
      </w:r>
      <w:proofErr w:type="spellEnd"/>
      <w:r w:rsidRPr="00440084">
        <w:rPr>
          <w:rFonts w:eastAsia="Times New Roman"/>
          <w:color w:val="000000" w:themeColor="text1"/>
        </w:rPr>
        <w:t xml:space="preserve"> (MDA), while enhancing the activity of key antioxidant enzymes including superoxide dismutase (SOD), catalase (CAT), and glutathione (GSH).</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maintained gastric mucosal integrity and promoted healing by minimizing epithelial erosion and inflammation.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440084">
        <w:rPr>
          <w:rFonts w:eastAsia="Times New Roman"/>
          <w:color w:val="000000" w:themeColor="text1"/>
        </w:rPr>
        <w:t xml:space="preserve"> exerts its protective effect through a combination of antioxidant, anti-inflammatory, and mucosal regenerative mechanisms.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FB724C" w:rsidRPr="00367A1C" w:rsidRDefault="00FB724C" w:rsidP="00FB724C">
      <w:pPr>
        <w:numPr>
          <w:ilvl w:val="0"/>
          <w:numId w:val="24"/>
        </w:numPr>
        <w:spacing w:after="0" w:line="360" w:lineRule="auto"/>
        <w:jc w:val="both"/>
        <w:rPr>
          <w:rFonts w:eastAsia="Times New Roman"/>
          <w:color w:val="000000" w:themeColor="text1"/>
        </w:rPr>
      </w:pP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D7082F">
        <w:rPr>
          <w:rFonts w:eastAsia="Times New Roman"/>
          <w:b/>
          <w:bCs/>
          <w:color w:val="000000" w:themeColor="text1"/>
        </w:rPr>
        <w:t xml:space="preserve"> demonstrates potent antioxidant activity</w:t>
      </w:r>
      <w:r w:rsidRPr="00367A1C">
        <w:rPr>
          <w:rFonts w:eastAsia="Times New Roman"/>
          <w:color w:val="000000" w:themeColor="text1"/>
        </w:rPr>
        <w:t xml:space="preserve">, capable of enhancing endogenous defense systems (SOD, CAT, </w:t>
      </w:r>
      <w:proofErr w:type="gramStart"/>
      <w:r w:rsidRPr="00367A1C">
        <w:rPr>
          <w:rFonts w:eastAsia="Times New Roman"/>
          <w:color w:val="000000" w:themeColor="text1"/>
        </w:rPr>
        <w:t>GSH</w:t>
      </w:r>
      <w:proofErr w:type="gramEnd"/>
      <w:r w:rsidRPr="00367A1C">
        <w:rPr>
          <w:rFonts w:eastAsia="Times New Roman"/>
          <w:color w:val="000000" w:themeColor="text1"/>
        </w:rPr>
        <w:t>).</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suggesting a systemic protective effect beyond the gastric mucosa.</w:t>
      </w:r>
    </w:p>
    <w:p w:rsidR="00FB724C" w:rsidRPr="00367A1C" w:rsidRDefault="00FB724C" w:rsidP="00FB724C">
      <w:pPr>
        <w:numPr>
          <w:ilvl w:val="0"/>
          <w:numId w:val="24"/>
        </w:numPr>
        <w:spacing w:after="0" w:line="360" w:lineRule="auto"/>
        <w:jc w:val="both"/>
        <w:rPr>
          <w:rFonts w:eastAsia="Times New Roman"/>
          <w:color w:val="000000" w:themeColor="text1"/>
        </w:rPr>
      </w:pPr>
      <w:proofErr w:type="spellStart"/>
      <w:r w:rsidRPr="00D7082F">
        <w:rPr>
          <w:rFonts w:eastAsia="Times New Roman"/>
          <w:b/>
          <w:bCs/>
          <w:color w:val="000000" w:themeColor="text1"/>
        </w:rPr>
        <w:t>Histopathological</w:t>
      </w:r>
      <w:proofErr w:type="spellEnd"/>
      <w:r w:rsidRPr="00D7082F">
        <w:rPr>
          <w:rFonts w:eastAsia="Times New Roman"/>
          <w:b/>
          <w:bCs/>
          <w:color w:val="000000" w:themeColor="text1"/>
        </w:rPr>
        <w:t xml:space="preserve"> evidence confirmed mucosal healing</w:t>
      </w:r>
      <w:r w:rsidRPr="00367A1C">
        <w:rPr>
          <w:rFonts w:eastAsia="Times New Roman"/>
          <w:color w:val="000000" w:themeColor="text1"/>
        </w:rPr>
        <w:t xml:space="preserve"> in treated groups, indicating that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supports tissue regeneration.</w:t>
      </w:r>
    </w:p>
    <w:p w:rsidR="00FB724C" w:rsidRPr="00367A1C" w:rsidRDefault="00FB724C" w:rsidP="00FB724C">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lastRenderedPageBreak/>
        <w:t xml:space="preserve">The study affirms the traditional use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in managing inflammatory and oxidative conditions and positions it as a promising natural anti-ulcer remedy.</w:t>
      </w:r>
    </w:p>
    <w:p w:rsidR="00FB724C" w:rsidRDefault="00FB724C" w:rsidP="00FB724C">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FB724C" w:rsidRPr="00367A1C"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w:t>
      </w:r>
      <w:proofErr w:type="spellStart"/>
      <w:r w:rsidRPr="00367A1C">
        <w:rPr>
          <w:rFonts w:eastAsia="Times New Roman"/>
          <w:color w:val="000000" w:themeColor="text1"/>
        </w:rPr>
        <w:t>gastroprotective</w:t>
      </w:r>
      <w:proofErr w:type="spellEnd"/>
      <w:r w:rsidRPr="00367A1C">
        <w:rPr>
          <w:rFonts w:eastAsia="Times New Roman"/>
          <w:color w:val="000000" w:themeColor="text1"/>
        </w:rPr>
        <w:t xml:space="preserve"> effects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proofErr w:type="spellStart"/>
      <w:r w:rsidRPr="00FD2E88">
        <w:rPr>
          <w:rFonts w:eastAsia="Times New Roman"/>
          <w:i/>
          <w:iCs/>
          <w:color w:val="000000" w:themeColor="text1"/>
        </w:rPr>
        <w:t>Sida</w:t>
      </w:r>
      <w:proofErr w:type="spellEnd"/>
      <w:r w:rsidRPr="00FD2E88">
        <w:rPr>
          <w:rFonts w:eastAsia="Times New Roman"/>
          <w:i/>
          <w:iCs/>
          <w:color w:val="000000" w:themeColor="text1"/>
        </w:rPr>
        <w:t xml:space="preserve"> </w:t>
      </w:r>
      <w:proofErr w:type="spellStart"/>
      <w:r w:rsidRPr="00FD2E88">
        <w:rPr>
          <w:rFonts w:eastAsia="Times New Roman"/>
          <w:i/>
          <w:iCs/>
          <w:color w:val="000000" w:themeColor="text1"/>
        </w:rPr>
        <w:t>acuta</w:t>
      </w:r>
      <w:proofErr w:type="spellEnd"/>
      <w:r w:rsidRPr="00367A1C">
        <w:rPr>
          <w:rFonts w:eastAsia="Times New Roman"/>
          <w:color w:val="000000" w:themeColor="text1"/>
        </w:rPr>
        <w:t xml:space="preserve"> for extended therapeutic use.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proofErr w:type="spellStart"/>
      <w:r w:rsidRPr="00FD2E88">
        <w:rPr>
          <w:rFonts w:eastAsia="Times New Roman"/>
          <w:b/>
          <w:bCs/>
          <w:i/>
          <w:iCs/>
          <w:color w:val="000000" w:themeColor="text1"/>
        </w:rPr>
        <w:t>Sida</w:t>
      </w:r>
      <w:proofErr w:type="spellEnd"/>
      <w:r w:rsidRPr="00FD2E88">
        <w:rPr>
          <w:rFonts w:eastAsia="Times New Roman"/>
          <w:b/>
          <w:bCs/>
          <w:i/>
          <w:iCs/>
          <w:color w:val="000000" w:themeColor="text1"/>
        </w:rPr>
        <w:t xml:space="preserve"> </w:t>
      </w:r>
      <w:proofErr w:type="spellStart"/>
      <w:r w:rsidRPr="00FD2E88">
        <w:rPr>
          <w:rFonts w:eastAsia="Times New Roman"/>
          <w:b/>
          <w:bCs/>
          <w:i/>
          <w:iCs/>
          <w:color w:val="000000" w:themeColor="text1"/>
        </w:rPr>
        <w:t>acuta</w:t>
      </w:r>
      <w:proofErr w:type="spellEnd"/>
      <w:r w:rsidRPr="00367A1C">
        <w:rPr>
          <w:rFonts w:eastAsia="Times New Roman"/>
          <w:color w:val="000000" w:themeColor="text1"/>
        </w:rPr>
        <w:t xml:space="preserve"> should be encouraged to promote natural and accessible alternatives to synthetic drugs, especially in low-resource settings.</w:t>
      </w:r>
    </w:p>
    <w:p w:rsidR="00FB724C" w:rsidRPr="00D7082F" w:rsidRDefault="00FB724C" w:rsidP="00FB724C">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proofErr w:type="spellStart"/>
      <w:r w:rsidRPr="00FD2E88">
        <w:rPr>
          <w:rStyle w:val="Emphasis"/>
          <w:color w:val="000000" w:themeColor="text1"/>
        </w:rPr>
        <w:t>Sida</w:t>
      </w:r>
      <w:proofErr w:type="spellEnd"/>
      <w:r w:rsidRPr="00FD2E88">
        <w:rPr>
          <w:rStyle w:val="Emphasis"/>
          <w:color w:val="000000" w:themeColor="text1"/>
        </w:rPr>
        <w:t xml:space="preserve"> </w:t>
      </w:r>
      <w:proofErr w:type="spellStart"/>
      <w:r w:rsidRPr="00FD2E88">
        <w:rPr>
          <w:rStyle w:val="Emphasis"/>
          <w:color w:val="000000" w:themeColor="text1"/>
        </w:rPr>
        <w:t>acuta</w:t>
      </w:r>
      <w:proofErr w:type="spellEnd"/>
      <w:r w:rsidRPr="00D7082F">
        <w:rPr>
          <w:color w:val="000000" w:themeColor="text1"/>
        </w:rPr>
        <w:t xml:space="preserve"> responsible for its antioxidant and </w:t>
      </w:r>
      <w:proofErr w:type="spellStart"/>
      <w:r w:rsidRPr="00D7082F">
        <w:rPr>
          <w:color w:val="000000" w:themeColor="text1"/>
        </w:rPr>
        <w:t>gastroprotective</w:t>
      </w:r>
      <w:proofErr w:type="spellEnd"/>
      <w:r w:rsidRPr="00D7082F">
        <w:rPr>
          <w:color w:val="000000" w:themeColor="text1"/>
        </w:rPr>
        <w:t xml:space="preser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Long-Term Safety and Toxicity Evaluation </w:t>
      </w:r>
      <w:r w:rsidRPr="00D7082F">
        <w:rPr>
          <w:color w:val="000000" w:themeColor="text1"/>
          <w:sz w:val="28"/>
          <w:szCs w:val="28"/>
        </w:rPr>
        <w:t xml:space="preserve">Chronic toxicity and sub-acute toxicity studies are recommended to assess the safety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over prolonged usage and at varying dosage levels.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Mechanistic Studies </w:t>
      </w:r>
      <w:r w:rsidRPr="00D7082F">
        <w:rPr>
          <w:color w:val="000000" w:themeColor="text1"/>
          <w:sz w:val="28"/>
          <w:szCs w:val="28"/>
        </w:rPr>
        <w:t xml:space="preserve">Advanced molecular and cellular studies should be conducted to elucidate the precise mechanisms by which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exerts its antioxidant and mucosal protective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and other known anti-ulcer agents, both synthetic and herbal, can help determine its relative efficacy and potential for therapeutic synergy.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-based formulations (e.g., capsules, syrups, teas) with defined dosages could facilitate safe and effective usage in both traditional and modern medicine.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in managing NSAID-induced ulcers and other oxidative stress-related gastric disorders.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r w:rsidRPr="00D7082F">
        <w:rPr>
          <w:color w:val="000000" w:themeColor="text1"/>
          <w:sz w:val="28"/>
          <w:szCs w:val="28"/>
        </w:rPr>
        <w:t>’s</w:t>
      </w:r>
      <w:proofErr w:type="spellEnd"/>
      <w:r w:rsidRPr="00D7082F">
        <w:rPr>
          <w:color w:val="000000" w:themeColor="text1"/>
          <w:sz w:val="28"/>
          <w:szCs w:val="28"/>
        </w:rPr>
        <w:t xml:space="preserve"> medicinal value and consider integrating it into national herbal treatment protocols, especially in regions with limited access to synthetic drugs.</w:t>
      </w:r>
    </w:p>
    <w:p w:rsidR="00FB724C" w:rsidRPr="00D7082F" w:rsidRDefault="00FB724C" w:rsidP="00FB724C">
      <w:pPr>
        <w:spacing w:line="360" w:lineRule="auto"/>
        <w:rPr>
          <w:rStyle w:val="Strong"/>
          <w:rFonts w:eastAsia="Times New Roman"/>
          <w:color w:val="000000" w:themeColor="text1"/>
        </w:rPr>
      </w:pPr>
      <w:r w:rsidRPr="00D7082F">
        <w:rPr>
          <w:rStyle w:val="Strong"/>
          <w:color w:val="000000" w:themeColor="text1"/>
        </w:rPr>
        <w:br w:type="page"/>
      </w:r>
    </w:p>
    <w:p w:rsidR="00FB724C" w:rsidRPr="00D7082F" w:rsidRDefault="00FB724C" w:rsidP="00FB724C">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Buege</w:t>
      </w:r>
      <w:proofErr w:type="spellEnd"/>
      <w:r w:rsidRPr="00D7082F">
        <w:rPr>
          <w:color w:val="000000" w:themeColor="text1"/>
          <w:sz w:val="28"/>
          <w:szCs w:val="28"/>
        </w:rPr>
        <w:t xml:space="preserve">, J. A., &amp; </w:t>
      </w:r>
      <w:proofErr w:type="spellStart"/>
      <w:r w:rsidRPr="00D7082F">
        <w:rPr>
          <w:color w:val="000000" w:themeColor="text1"/>
          <w:sz w:val="28"/>
          <w:szCs w:val="28"/>
        </w:rPr>
        <w:t>Aust</w:t>
      </w:r>
      <w:proofErr w:type="spellEnd"/>
      <w:r w:rsidRPr="00D7082F">
        <w:rPr>
          <w:color w:val="000000" w:themeColor="text1"/>
          <w:sz w:val="28"/>
          <w:szCs w:val="28"/>
        </w:rPr>
        <w:t xml:space="preserve">,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9" w:history="1">
        <w:r w:rsidRPr="00D7082F">
          <w:rPr>
            <w:rStyle w:val="Hyperlink"/>
            <w:color w:val="000000" w:themeColor="text1"/>
            <w:sz w:val="28"/>
            <w:szCs w:val="28"/>
          </w:rPr>
          <w:t>https://doi.org/10.1016/S0076-6879(78)52032-6</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Ohkawa</w:t>
      </w:r>
      <w:proofErr w:type="spellEnd"/>
      <w:r w:rsidRPr="00D7082F">
        <w:rPr>
          <w:color w:val="000000" w:themeColor="text1"/>
          <w:sz w:val="28"/>
          <w:szCs w:val="28"/>
        </w:rPr>
        <w:t xml:space="preserve">, H., </w:t>
      </w:r>
      <w:proofErr w:type="spellStart"/>
      <w:r w:rsidRPr="00D7082F">
        <w:rPr>
          <w:color w:val="000000" w:themeColor="text1"/>
          <w:sz w:val="28"/>
          <w:szCs w:val="28"/>
        </w:rPr>
        <w:t>Ohishi</w:t>
      </w:r>
      <w:proofErr w:type="spellEnd"/>
      <w:r w:rsidRPr="00D7082F">
        <w:rPr>
          <w:color w:val="000000" w:themeColor="text1"/>
          <w:sz w:val="28"/>
          <w:szCs w:val="28"/>
        </w:rPr>
        <w:t xml:space="preserve">, N., &amp; Yagi, K. (1979). Assay for lipid peroxides in animal tissues by </w:t>
      </w:r>
      <w:proofErr w:type="spellStart"/>
      <w:r w:rsidRPr="00D7082F">
        <w:rPr>
          <w:color w:val="000000" w:themeColor="text1"/>
          <w:sz w:val="28"/>
          <w:szCs w:val="28"/>
        </w:rPr>
        <w:t>thiobarbituric</w:t>
      </w:r>
      <w:proofErr w:type="spellEnd"/>
      <w:r w:rsidRPr="00D7082F">
        <w:rPr>
          <w:color w:val="000000" w:themeColor="text1"/>
          <w:sz w:val="28"/>
          <w:szCs w:val="28"/>
        </w:rPr>
        <w:t xml:space="preserve">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20" w:history="1">
        <w:r w:rsidRPr="00D7082F">
          <w:rPr>
            <w:rStyle w:val="Hyperlink"/>
            <w:color w:val="000000" w:themeColor="text1"/>
            <w:sz w:val="28"/>
            <w:szCs w:val="28"/>
          </w:rPr>
          <w:t>https://doi.org/10.1016/0003-2697(79)90738-3</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1" w:history="1">
        <w:r w:rsidRPr="00D7082F">
          <w:rPr>
            <w:rStyle w:val="Hyperlink"/>
            <w:color w:val="000000" w:themeColor="text1"/>
            <w:sz w:val="28"/>
            <w:szCs w:val="28"/>
          </w:rPr>
          <w:t>https://doi.org/10.1096/fasebj.10.7.8635682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Nwaehujor</w:t>
      </w:r>
      <w:proofErr w:type="spellEnd"/>
      <w:r w:rsidRPr="00D7082F">
        <w:rPr>
          <w:color w:val="000000" w:themeColor="text1"/>
          <w:sz w:val="28"/>
          <w:szCs w:val="28"/>
        </w:rPr>
        <w:t xml:space="preserve">, C. O., </w:t>
      </w:r>
      <w:proofErr w:type="spellStart"/>
      <w:r w:rsidRPr="00D7082F">
        <w:rPr>
          <w:color w:val="000000" w:themeColor="text1"/>
          <w:sz w:val="28"/>
          <w:szCs w:val="28"/>
        </w:rPr>
        <w:t>Ezeigbo</w:t>
      </w:r>
      <w:proofErr w:type="spellEnd"/>
      <w:r w:rsidRPr="00D7082F">
        <w:rPr>
          <w:color w:val="000000" w:themeColor="text1"/>
          <w:sz w:val="28"/>
          <w:szCs w:val="28"/>
        </w:rPr>
        <w:t xml:space="preserve">, I. I., &amp; </w:t>
      </w:r>
      <w:proofErr w:type="spellStart"/>
      <w:r w:rsidRPr="00D7082F">
        <w:rPr>
          <w:color w:val="000000" w:themeColor="text1"/>
          <w:sz w:val="28"/>
          <w:szCs w:val="28"/>
        </w:rPr>
        <w:t>Okoye</w:t>
      </w:r>
      <w:proofErr w:type="spellEnd"/>
      <w:r w:rsidRPr="00D7082F">
        <w:rPr>
          <w:color w:val="000000" w:themeColor="text1"/>
          <w:sz w:val="28"/>
          <w:szCs w:val="28"/>
        </w:rPr>
        <w:t xml:space="preserve">, F. B. C. (2013). Analgesic and anti-inflammatory properties of methanol extract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w:t>
      </w:r>
      <w:r w:rsidRPr="00D7082F">
        <w:rPr>
          <w:rStyle w:val="Emphasis"/>
          <w:rFonts w:eastAsiaTheme="majorEastAsia"/>
          <w:color w:val="000000" w:themeColor="text1"/>
        </w:rPr>
        <w:t xml:space="preserve">Journal of </w:t>
      </w:r>
      <w:proofErr w:type="spellStart"/>
      <w:r w:rsidRPr="00D7082F">
        <w:rPr>
          <w:rStyle w:val="Emphasis"/>
          <w:rFonts w:eastAsiaTheme="majorEastAsia"/>
          <w:color w:val="000000" w:themeColor="text1"/>
        </w:rPr>
        <w:t>Ethnopharmacology</w:t>
      </w:r>
      <w:proofErr w:type="spellEnd"/>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2" w:history="1">
        <w:r w:rsidRPr="00D7082F">
          <w:rPr>
            <w:rStyle w:val="Hyperlink"/>
            <w:color w:val="000000" w:themeColor="text1"/>
            <w:sz w:val="28"/>
            <w:szCs w:val="28"/>
          </w:rPr>
          <w:t>https://doi.org/10.1016/j.jep.2013.06.002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3" w:history="1">
        <w:r w:rsidRPr="00D7082F">
          <w:rPr>
            <w:rStyle w:val="Hyperlink"/>
            <w:color w:val="000000" w:themeColor="text1"/>
            <w:sz w:val="28"/>
            <w:szCs w:val="28"/>
          </w:rPr>
          <w:t>https://doi.org/10.9734/BJMMR/2015/15129</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proofErr w:type="spellStart"/>
      <w:r w:rsidRPr="00D7082F">
        <w:rPr>
          <w:rStyle w:val="Emphasis"/>
          <w:rFonts w:eastAsiaTheme="majorEastAsia"/>
          <w:color w:val="000000" w:themeColor="text1"/>
        </w:rPr>
        <w:t>Sida</w:t>
      </w:r>
      <w:proofErr w:type="spellEnd"/>
      <w:r w:rsidRPr="00D7082F">
        <w:rPr>
          <w:rStyle w:val="Emphasis"/>
          <w:rFonts w:eastAsiaTheme="majorEastAsia"/>
          <w:color w:val="000000" w:themeColor="text1"/>
        </w:rPr>
        <w:t xml:space="preserve"> </w:t>
      </w:r>
      <w:proofErr w:type="spellStart"/>
      <w:r w:rsidRPr="00D7082F">
        <w:rPr>
          <w:rStyle w:val="Emphasis"/>
          <w:rFonts w:eastAsiaTheme="majorEastAsia"/>
          <w:color w:val="000000" w:themeColor="text1"/>
        </w:rPr>
        <w:t>cordifolia</w:t>
      </w:r>
      <w:proofErr w:type="spellEnd"/>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Valko</w:t>
      </w:r>
      <w:proofErr w:type="spellEnd"/>
      <w:r w:rsidRPr="00D7082F">
        <w:rPr>
          <w:color w:val="000000" w:themeColor="text1"/>
          <w:sz w:val="28"/>
          <w:szCs w:val="28"/>
        </w:rPr>
        <w:t xml:space="preserve">, M., </w:t>
      </w:r>
      <w:proofErr w:type="spellStart"/>
      <w:r w:rsidRPr="00D7082F">
        <w:rPr>
          <w:color w:val="000000" w:themeColor="text1"/>
          <w:sz w:val="28"/>
          <w:szCs w:val="28"/>
        </w:rPr>
        <w:t>Leibfritz</w:t>
      </w:r>
      <w:proofErr w:type="spellEnd"/>
      <w:r w:rsidRPr="00D7082F">
        <w:rPr>
          <w:color w:val="000000" w:themeColor="text1"/>
          <w:sz w:val="28"/>
          <w:szCs w:val="28"/>
        </w:rPr>
        <w:t xml:space="preserve">, D., </w:t>
      </w:r>
      <w:proofErr w:type="spellStart"/>
      <w:r w:rsidRPr="00D7082F">
        <w:rPr>
          <w:color w:val="000000" w:themeColor="text1"/>
          <w:sz w:val="28"/>
          <w:szCs w:val="28"/>
        </w:rPr>
        <w:t>Moncol</w:t>
      </w:r>
      <w:proofErr w:type="spellEnd"/>
      <w:r w:rsidRPr="00D7082F">
        <w:rPr>
          <w:color w:val="000000" w:themeColor="text1"/>
          <w:sz w:val="28"/>
          <w:szCs w:val="28"/>
        </w:rPr>
        <w:t xml:space="preserve">, J., Cronin, M. T., Mazur, M., &amp; </w:t>
      </w:r>
      <w:proofErr w:type="spellStart"/>
      <w:r w:rsidRPr="00D7082F">
        <w:rPr>
          <w:color w:val="000000" w:themeColor="text1"/>
          <w:sz w:val="28"/>
          <w:szCs w:val="28"/>
        </w:rPr>
        <w:t>Telser</w:t>
      </w:r>
      <w:proofErr w:type="spellEnd"/>
      <w:r w:rsidRPr="00D7082F">
        <w:rPr>
          <w:color w:val="000000" w:themeColor="text1"/>
          <w:sz w:val="28"/>
          <w:szCs w:val="28"/>
        </w:rPr>
        <w:t xml:space="preserve">,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4" w:history="1">
        <w:r w:rsidRPr="00D7082F">
          <w:rPr>
            <w:rStyle w:val="Hyperlink"/>
            <w:color w:val="000000" w:themeColor="text1"/>
            <w:sz w:val="28"/>
            <w:szCs w:val="28"/>
          </w:rPr>
          <w:t>https://doi.org/10.1016/j.biocel.2006.07.001</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w:t>
      </w:r>
      <w:proofErr w:type="spellStart"/>
      <w:r w:rsidRPr="00D7082F">
        <w:rPr>
          <w:color w:val="000000" w:themeColor="text1"/>
          <w:sz w:val="28"/>
          <w:szCs w:val="28"/>
        </w:rPr>
        <w:t>Mitoprotective</w:t>
      </w:r>
      <w:proofErr w:type="spellEnd"/>
      <w:r w:rsidRPr="00D7082F">
        <w:rPr>
          <w:color w:val="000000" w:themeColor="text1"/>
          <w:sz w:val="28"/>
          <w:szCs w:val="28"/>
        </w:rPr>
        <w:t xml:space="preserve"> effect of </w:t>
      </w:r>
      <w:proofErr w:type="spellStart"/>
      <w:r w:rsidRPr="00D7082F">
        <w:rPr>
          <w:color w:val="000000" w:themeColor="text1"/>
          <w:sz w:val="28"/>
          <w:szCs w:val="28"/>
        </w:rPr>
        <w:t>curcumin</w:t>
      </w:r>
      <w:proofErr w:type="spellEnd"/>
      <w:r w:rsidRPr="00D7082F">
        <w:rPr>
          <w:color w:val="000000" w:themeColor="text1"/>
          <w:sz w:val="28"/>
          <w:szCs w:val="28"/>
        </w:rPr>
        <w:t xml:space="preserve"> against mitochondrial dysfunction induced by 3-nitropropionic acid: Implications in Huntington’s disease. </w:t>
      </w:r>
      <w:proofErr w:type="spellStart"/>
      <w:r w:rsidRPr="00D7082F">
        <w:rPr>
          <w:rStyle w:val="Emphasis"/>
          <w:rFonts w:eastAsiaTheme="majorEastAsia"/>
          <w:color w:val="000000" w:themeColor="text1"/>
        </w:rPr>
        <w:t>BioMed</w:t>
      </w:r>
      <w:proofErr w:type="spellEnd"/>
      <w:r w:rsidRPr="00D7082F">
        <w:rPr>
          <w:rStyle w:val="Emphasis"/>
          <w:rFonts w:eastAsiaTheme="majorEastAsia"/>
          <w:color w:val="000000" w:themeColor="text1"/>
        </w:rPr>
        <w:t xml:space="preserve">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5" w:history="1">
        <w:r w:rsidRPr="00D7082F">
          <w:rPr>
            <w:rStyle w:val="Hyperlink"/>
            <w:color w:val="000000" w:themeColor="text1"/>
            <w:sz w:val="28"/>
            <w:szCs w:val="28"/>
          </w:rPr>
          <w:t>https://doi.org/10.1155/2013/292476</w:t>
        </w:r>
      </w:hyperlink>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proofErr w:type="spellStart"/>
      <w:r w:rsidRPr="00D7082F">
        <w:rPr>
          <w:color w:val="000000" w:themeColor="text1"/>
          <w:sz w:val="28"/>
          <w:szCs w:val="28"/>
        </w:rPr>
        <w:lastRenderedPageBreak/>
        <w:t>Halliwell</w:t>
      </w:r>
      <w:proofErr w:type="spellEnd"/>
      <w:r w:rsidRPr="00D7082F">
        <w:rPr>
          <w:color w:val="000000" w:themeColor="text1"/>
          <w:sz w:val="28"/>
          <w:szCs w:val="28"/>
        </w:rPr>
        <w:t xml:space="preserve">, B., &amp; </w:t>
      </w:r>
      <w:proofErr w:type="spellStart"/>
      <w:r w:rsidRPr="00D7082F">
        <w:rPr>
          <w:color w:val="000000" w:themeColor="text1"/>
          <w:sz w:val="28"/>
          <w:szCs w:val="28"/>
        </w:rPr>
        <w:t>Gutteridge</w:t>
      </w:r>
      <w:proofErr w:type="spellEnd"/>
      <w:r w:rsidRPr="00D7082F">
        <w:rPr>
          <w:color w:val="000000" w:themeColor="text1"/>
          <w:sz w:val="28"/>
          <w:szCs w:val="28"/>
        </w:rPr>
        <w:t xml:space="preserv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Oxford University Press.</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proofErr w:type="spellStart"/>
      <w:r w:rsidRPr="00D7082F">
        <w:rPr>
          <w:color w:val="000000" w:themeColor="text1"/>
          <w:sz w:val="28"/>
          <w:szCs w:val="28"/>
        </w:rPr>
        <w:t>Toma</w:t>
      </w:r>
      <w:proofErr w:type="spellEnd"/>
      <w:r w:rsidRPr="00D7082F">
        <w:rPr>
          <w:color w:val="000000" w:themeColor="text1"/>
          <w:sz w:val="28"/>
          <w:szCs w:val="28"/>
        </w:rPr>
        <w:t xml:space="preserve">, I., </w:t>
      </w:r>
      <w:proofErr w:type="spellStart"/>
      <w:r w:rsidRPr="00D7082F">
        <w:rPr>
          <w:color w:val="000000" w:themeColor="text1"/>
          <w:sz w:val="28"/>
          <w:szCs w:val="28"/>
        </w:rPr>
        <w:t>Stancu</w:t>
      </w:r>
      <w:proofErr w:type="spellEnd"/>
      <w:r w:rsidRPr="00D7082F">
        <w:rPr>
          <w:color w:val="000000" w:themeColor="text1"/>
          <w:sz w:val="28"/>
          <w:szCs w:val="28"/>
        </w:rPr>
        <w:t xml:space="preserve">,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Ejike</w:t>
      </w:r>
      <w:proofErr w:type="spellEnd"/>
      <w:r w:rsidRPr="00D7082F">
        <w:rPr>
          <w:color w:val="000000" w:themeColor="text1"/>
          <w:sz w:val="28"/>
          <w:szCs w:val="28"/>
        </w:rPr>
        <w:t xml:space="preserve">, C. E. C. C., &amp; </w:t>
      </w:r>
      <w:proofErr w:type="spellStart"/>
      <w:r w:rsidRPr="00D7082F">
        <w:rPr>
          <w:color w:val="000000" w:themeColor="text1"/>
          <w:sz w:val="28"/>
          <w:szCs w:val="28"/>
        </w:rPr>
        <w:t>Ezeanyika</w:t>
      </w:r>
      <w:proofErr w:type="spellEnd"/>
      <w:r w:rsidRPr="00D7082F">
        <w:rPr>
          <w:color w:val="000000" w:themeColor="text1"/>
          <w:sz w:val="28"/>
          <w:szCs w:val="28"/>
        </w:rPr>
        <w:t xml:space="preserve">, L. U. S. (2008). Dietary incorporation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Sofowora</w:t>
      </w:r>
      <w:proofErr w:type="spellEnd"/>
      <w:r w:rsidRPr="00D7082F">
        <w:rPr>
          <w:color w:val="000000" w:themeColor="text1"/>
          <w:sz w:val="28"/>
          <w:szCs w:val="28"/>
        </w:rPr>
        <w:t xml:space="preserve">,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Trease</w:t>
      </w:r>
      <w:proofErr w:type="spellEnd"/>
      <w:r w:rsidRPr="00D7082F">
        <w:rPr>
          <w:color w:val="000000" w:themeColor="text1"/>
          <w:sz w:val="28"/>
          <w:szCs w:val="28"/>
        </w:rPr>
        <w:t xml:space="preserve">, G. E., &amp; Evans, W. C. (2002). </w:t>
      </w:r>
      <w:proofErr w:type="spellStart"/>
      <w:r w:rsidRPr="00D7082F">
        <w:rPr>
          <w:rStyle w:val="Emphasis"/>
          <w:rFonts w:eastAsiaTheme="majorEastAsia"/>
          <w:color w:val="000000" w:themeColor="text1"/>
        </w:rPr>
        <w:t>Pharmacognosy</w:t>
      </w:r>
      <w:proofErr w:type="spellEnd"/>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spellStart"/>
      <w:r w:rsidRPr="00D7082F">
        <w:rPr>
          <w:color w:val="000000" w:themeColor="text1"/>
          <w:sz w:val="28"/>
          <w:szCs w:val="28"/>
        </w:rPr>
        <w:t>Organisation</w:t>
      </w:r>
      <w:proofErr w:type="spellEnd"/>
      <w:r w:rsidRPr="00D7082F">
        <w:rPr>
          <w:color w:val="000000" w:themeColor="text1"/>
          <w:sz w:val="28"/>
          <w:szCs w:val="28"/>
        </w:rPr>
        <w:t xml:space="preserve"> for Economic Cooperation and Development.</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Harborne</w:t>
      </w:r>
      <w:proofErr w:type="spellEnd"/>
      <w:r w:rsidRPr="00D7082F">
        <w:rPr>
          <w:color w:val="000000" w:themeColor="text1"/>
          <w:sz w:val="28"/>
          <w:szCs w:val="28"/>
        </w:rPr>
        <w:t xml:space="preserv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Chapman and Hall.</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6" w:history="1">
        <w:r w:rsidRPr="00D7082F">
          <w:rPr>
            <w:rStyle w:val="Hyperlink"/>
            <w:color w:val="000000" w:themeColor="text1"/>
            <w:sz w:val="28"/>
            <w:szCs w:val="28"/>
          </w:rPr>
          <w:t>https://doi.org/10.1016/0003-2697(72)90132-7</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Misra</w:t>
      </w:r>
      <w:proofErr w:type="spellEnd"/>
      <w:r w:rsidRPr="00D7082F">
        <w:rPr>
          <w:color w:val="000000" w:themeColor="text1"/>
          <w:sz w:val="28"/>
          <w:szCs w:val="28"/>
        </w:rPr>
        <w:t xml:space="preserve">, H. P., &amp; </w:t>
      </w:r>
      <w:proofErr w:type="spellStart"/>
      <w:r w:rsidRPr="00D7082F">
        <w:rPr>
          <w:color w:val="000000" w:themeColor="text1"/>
          <w:sz w:val="28"/>
          <w:szCs w:val="28"/>
        </w:rPr>
        <w:t>Fridovich</w:t>
      </w:r>
      <w:proofErr w:type="spellEnd"/>
      <w:r w:rsidRPr="00D7082F">
        <w:rPr>
          <w:color w:val="000000" w:themeColor="text1"/>
          <w:sz w:val="28"/>
          <w:szCs w:val="28"/>
        </w:rPr>
        <w:t xml:space="preserve">,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proofErr w:type="spellStart"/>
      <w:r w:rsidRPr="00D7082F">
        <w:rPr>
          <w:color w:val="000000" w:themeColor="text1"/>
          <w:sz w:val="28"/>
          <w:szCs w:val="28"/>
        </w:rPr>
        <w:t>Adedapo</w:t>
      </w:r>
      <w:proofErr w:type="spellEnd"/>
      <w:r w:rsidRPr="00D7082F">
        <w:rPr>
          <w:color w:val="000000" w:themeColor="text1"/>
          <w:sz w:val="28"/>
          <w:szCs w:val="28"/>
        </w:rPr>
        <w:t xml:space="preserve">, A. A., </w:t>
      </w:r>
      <w:proofErr w:type="spellStart"/>
      <w:r w:rsidRPr="00D7082F">
        <w:rPr>
          <w:color w:val="000000" w:themeColor="text1"/>
          <w:sz w:val="28"/>
          <w:szCs w:val="28"/>
        </w:rPr>
        <w:t>Mogbojuri</w:t>
      </w:r>
      <w:proofErr w:type="spellEnd"/>
      <w:r w:rsidRPr="00D7082F">
        <w:rPr>
          <w:color w:val="000000" w:themeColor="text1"/>
          <w:sz w:val="28"/>
          <w:szCs w:val="28"/>
        </w:rPr>
        <w:t xml:space="preserve">, O. M., &amp; </w:t>
      </w:r>
      <w:proofErr w:type="spellStart"/>
      <w:r w:rsidRPr="00D7082F">
        <w:rPr>
          <w:color w:val="000000" w:themeColor="text1"/>
          <w:sz w:val="28"/>
          <w:szCs w:val="28"/>
        </w:rPr>
        <w:t>Emikpe</w:t>
      </w:r>
      <w:proofErr w:type="spellEnd"/>
      <w:r w:rsidRPr="00D7082F">
        <w:rPr>
          <w:color w:val="000000" w:themeColor="text1"/>
          <w:sz w:val="28"/>
          <w:szCs w:val="28"/>
        </w:rPr>
        <w:t xml:space="preserve">, B. O. (2009). Safety evaluations of the aqueous extract of the leaves of </w:t>
      </w:r>
      <w:proofErr w:type="spellStart"/>
      <w:r w:rsidRPr="00FD2E88">
        <w:rPr>
          <w:rStyle w:val="Emphasis"/>
          <w:rFonts w:eastAsiaTheme="majorEastAsia"/>
          <w:color w:val="000000" w:themeColor="text1"/>
        </w:rPr>
        <w:t>Sida</w:t>
      </w:r>
      <w:proofErr w:type="spellEnd"/>
      <w:r w:rsidRPr="00FD2E88">
        <w:rPr>
          <w:rStyle w:val="Emphasis"/>
          <w:rFonts w:eastAsiaTheme="majorEastAsia"/>
          <w:color w:val="000000" w:themeColor="text1"/>
        </w:rPr>
        <w:t xml:space="preserve"> </w:t>
      </w:r>
      <w:proofErr w:type="spellStart"/>
      <w:r w:rsidRPr="00FD2E88">
        <w:rPr>
          <w:rStyle w:val="Emphasis"/>
          <w:rFonts w:eastAsiaTheme="majorEastAsia"/>
          <w:color w:val="000000" w:themeColor="text1"/>
        </w:rPr>
        <w:t>acuta</w:t>
      </w:r>
      <w:proofErr w:type="spell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7" w:history="1">
        <w:r w:rsidRPr="00D7082F">
          <w:rPr>
            <w:rStyle w:val="Hyperlink"/>
            <w:color w:val="000000" w:themeColor="text1"/>
            <w:sz w:val="28"/>
            <w:szCs w:val="28"/>
          </w:rPr>
          <w:t>https://doi.org/10.1177/1091581809348317</w:t>
        </w:r>
      </w:hyperlink>
    </w:p>
    <w:p w:rsidR="00FB724C" w:rsidRPr="00D7082F" w:rsidRDefault="00FB724C" w:rsidP="00FB724C">
      <w:pPr>
        <w:pStyle w:val="NormalWeb"/>
        <w:spacing w:before="0" w:beforeAutospacing="0" w:after="0" w:afterAutospacing="0" w:line="360" w:lineRule="auto"/>
        <w:ind w:left="720" w:hanging="720"/>
        <w:jc w:val="both"/>
        <w:rPr>
          <w:b/>
          <w:bCs/>
          <w:color w:val="000000" w:themeColor="text1"/>
        </w:rPr>
      </w:pPr>
      <w:proofErr w:type="spellStart"/>
      <w:r w:rsidRPr="00D7082F">
        <w:rPr>
          <w:color w:val="000000" w:themeColor="text1"/>
          <w:sz w:val="28"/>
          <w:szCs w:val="28"/>
        </w:rPr>
        <w:t>Odukoya</w:t>
      </w:r>
      <w:proofErr w:type="spellEnd"/>
      <w:r w:rsidRPr="00D7082F">
        <w:rPr>
          <w:color w:val="000000" w:themeColor="text1"/>
          <w:sz w:val="28"/>
          <w:szCs w:val="28"/>
        </w:rPr>
        <w:t xml:space="preserve">, O. A., </w:t>
      </w:r>
      <w:proofErr w:type="spellStart"/>
      <w:r w:rsidRPr="00D7082F">
        <w:rPr>
          <w:color w:val="000000" w:themeColor="text1"/>
          <w:sz w:val="28"/>
          <w:szCs w:val="28"/>
        </w:rPr>
        <w:t>Ilori</w:t>
      </w:r>
      <w:proofErr w:type="spellEnd"/>
      <w:r w:rsidRPr="00D7082F">
        <w:rPr>
          <w:color w:val="000000" w:themeColor="text1"/>
          <w:sz w:val="28"/>
          <w:szCs w:val="28"/>
        </w:rPr>
        <w:t xml:space="preserve">, O. O., </w:t>
      </w:r>
      <w:proofErr w:type="spellStart"/>
      <w:r w:rsidRPr="00D7082F">
        <w:rPr>
          <w:color w:val="000000" w:themeColor="text1"/>
          <w:sz w:val="28"/>
          <w:szCs w:val="28"/>
        </w:rPr>
        <w:t>Sofidiya</w:t>
      </w:r>
      <w:proofErr w:type="spellEnd"/>
      <w:r w:rsidRPr="00D7082F">
        <w:rPr>
          <w:color w:val="000000" w:themeColor="text1"/>
          <w:sz w:val="28"/>
          <w:szCs w:val="28"/>
        </w:rPr>
        <w:t xml:space="preserve">, M. O., </w:t>
      </w:r>
      <w:proofErr w:type="spellStart"/>
      <w:r w:rsidRPr="00D7082F">
        <w:rPr>
          <w:color w:val="000000" w:themeColor="text1"/>
          <w:sz w:val="28"/>
          <w:szCs w:val="28"/>
        </w:rPr>
        <w:t>Aniunoh</w:t>
      </w:r>
      <w:proofErr w:type="spellEnd"/>
      <w:r w:rsidRPr="00D7082F">
        <w:rPr>
          <w:color w:val="000000" w:themeColor="text1"/>
          <w:sz w:val="28"/>
          <w:szCs w:val="28"/>
        </w:rPr>
        <w:t xml:space="preserve">, O. A., </w:t>
      </w:r>
      <w:proofErr w:type="spellStart"/>
      <w:r w:rsidRPr="00D7082F">
        <w:rPr>
          <w:color w:val="000000" w:themeColor="text1"/>
          <w:sz w:val="28"/>
          <w:szCs w:val="28"/>
        </w:rPr>
        <w:t>Lawal</w:t>
      </w:r>
      <w:proofErr w:type="spellEnd"/>
      <w:r w:rsidRPr="00D7082F">
        <w:rPr>
          <w:color w:val="000000" w:themeColor="text1"/>
          <w:sz w:val="28"/>
          <w:szCs w:val="28"/>
        </w:rPr>
        <w:t xml:space="preserve">, B. M., &amp; </w:t>
      </w:r>
      <w:proofErr w:type="spellStart"/>
      <w:r w:rsidRPr="00D7082F">
        <w:rPr>
          <w:color w:val="000000" w:themeColor="text1"/>
          <w:sz w:val="28"/>
          <w:szCs w:val="28"/>
        </w:rPr>
        <w:t>Tade</w:t>
      </w:r>
      <w:proofErr w:type="spellEnd"/>
      <w:r w:rsidRPr="00D7082F">
        <w:rPr>
          <w:color w:val="000000" w:themeColor="text1"/>
          <w:sz w:val="28"/>
          <w:szCs w:val="28"/>
        </w:rPr>
        <w:t xml:space="preserve">, I. O. (2005). Antioxidant activity of Nigerian medicinal plants. </w:t>
      </w:r>
      <w:r w:rsidRPr="00D7082F">
        <w:rPr>
          <w:rStyle w:val="Emphasis"/>
          <w:rFonts w:eastAsiaTheme="majorEastAsia"/>
          <w:color w:val="000000" w:themeColor="text1"/>
        </w:rPr>
        <w:t xml:space="preserve">Journal of </w:t>
      </w:r>
      <w:proofErr w:type="spellStart"/>
      <w:r w:rsidRPr="00D7082F">
        <w:rPr>
          <w:rStyle w:val="Emphasis"/>
          <w:rFonts w:eastAsiaTheme="majorEastAsia"/>
          <w:color w:val="000000" w:themeColor="text1"/>
        </w:rPr>
        <w:t>Ethnopharmacology</w:t>
      </w:r>
      <w:proofErr w:type="spellEnd"/>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2E01F5" w:rsidRDefault="002E01F5"/>
    <w:sectPr w:rsidR="002E01F5" w:rsidSect="005A4C0E">
      <w:footerReference w:type="even" r:id="rId28"/>
      <w:footerReference w:type="default" r:id="rId29"/>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4C0E" w:rsidRDefault="00762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A4C0E" w:rsidRDefault="0076280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4C"/>
    <w:rsid w:val="002E01F5"/>
    <w:rsid w:val="006D2B50"/>
    <w:rsid w:val="0076280D"/>
    <w:rsid w:val="00A118A1"/>
    <w:rsid w:val="00FB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DCC71F-C0E9-4558-89E5-1CCF5618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24C"/>
    <w:rPr>
      <w:rFonts w:ascii="Times New Roman" w:hAnsi="Times New Roman" w:cs="Times New Roman"/>
      <w:sz w:val="28"/>
      <w:szCs w:val="28"/>
    </w:rPr>
  </w:style>
  <w:style w:type="paragraph" w:styleId="Heading1">
    <w:name w:val="heading 1"/>
    <w:basedOn w:val="Normal"/>
    <w:next w:val="Normal"/>
    <w:link w:val="Heading1Char"/>
    <w:uiPriority w:val="9"/>
    <w:qFormat/>
    <w:rsid w:val="00FB724C"/>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FB724C"/>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FB7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72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24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B72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72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B724C"/>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FB724C"/>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FB724C"/>
    <w:rPr>
      <w:i/>
      <w:iCs/>
    </w:rPr>
  </w:style>
  <w:style w:type="character" w:styleId="Strong">
    <w:name w:val="Strong"/>
    <w:basedOn w:val="DefaultParagraphFont"/>
    <w:uiPriority w:val="22"/>
    <w:qFormat/>
    <w:rsid w:val="00FB724C"/>
    <w:rPr>
      <w:b/>
      <w:bCs/>
    </w:rPr>
  </w:style>
  <w:style w:type="paragraph" w:styleId="NormalWeb">
    <w:name w:val="Normal (Web)"/>
    <w:basedOn w:val="Normal"/>
    <w:uiPriority w:val="99"/>
    <w:unhideWhenUsed/>
    <w:rsid w:val="00FB724C"/>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FB724C"/>
    <w:pPr>
      <w:spacing w:after="200" w:line="276" w:lineRule="auto"/>
      <w:ind w:left="720"/>
      <w:contextualSpacing/>
    </w:pPr>
  </w:style>
  <w:style w:type="character" w:styleId="Hyperlink">
    <w:name w:val="Hyperlink"/>
    <w:basedOn w:val="DefaultParagraphFont"/>
    <w:uiPriority w:val="99"/>
    <w:unhideWhenUsed/>
    <w:rsid w:val="00FB724C"/>
    <w:rPr>
      <w:color w:val="0000FF"/>
      <w:u w:val="single"/>
    </w:rPr>
  </w:style>
  <w:style w:type="table" w:styleId="TableGrid">
    <w:name w:val="Table Grid"/>
    <w:basedOn w:val="TableNormal"/>
    <w:uiPriority w:val="39"/>
    <w:rsid w:val="00FB724C"/>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FB724C"/>
  </w:style>
  <w:style w:type="character" w:customStyle="1" w:styleId="vlist-s">
    <w:name w:val="vlist-s"/>
    <w:basedOn w:val="DefaultParagraphFont"/>
    <w:rsid w:val="00FB724C"/>
  </w:style>
  <w:style w:type="character" w:customStyle="1" w:styleId="mrel">
    <w:name w:val="mrel"/>
    <w:basedOn w:val="DefaultParagraphFont"/>
    <w:rsid w:val="00FB724C"/>
  </w:style>
  <w:style w:type="character" w:customStyle="1" w:styleId="mbin">
    <w:name w:val="mbin"/>
    <w:basedOn w:val="DefaultParagraphFont"/>
    <w:rsid w:val="00FB724C"/>
  </w:style>
  <w:style w:type="character" w:customStyle="1" w:styleId="A0">
    <w:name w:val="A0"/>
    <w:uiPriority w:val="99"/>
    <w:rsid w:val="00FB724C"/>
    <w:rPr>
      <w:rFonts w:cs="Trebuchet MS"/>
      <w:color w:val="000000"/>
      <w:sz w:val="20"/>
      <w:szCs w:val="20"/>
    </w:rPr>
  </w:style>
  <w:style w:type="character" w:customStyle="1" w:styleId="A6">
    <w:name w:val="A6"/>
    <w:uiPriority w:val="99"/>
    <w:rsid w:val="00FB724C"/>
    <w:rPr>
      <w:rFonts w:cs="Trebuchet MS"/>
      <w:color w:val="000000"/>
      <w:sz w:val="11"/>
      <w:szCs w:val="11"/>
    </w:rPr>
  </w:style>
  <w:style w:type="character" w:customStyle="1" w:styleId="katex-mathml">
    <w:name w:val="katex-mathml"/>
    <w:basedOn w:val="DefaultParagraphFont"/>
    <w:rsid w:val="00FB724C"/>
  </w:style>
  <w:style w:type="character" w:styleId="PlaceholderText">
    <w:name w:val="Placeholder Text"/>
    <w:basedOn w:val="DefaultParagraphFont"/>
    <w:uiPriority w:val="99"/>
    <w:semiHidden/>
    <w:rsid w:val="00FB724C"/>
    <w:rPr>
      <w:color w:val="666666"/>
    </w:rPr>
  </w:style>
  <w:style w:type="character" w:customStyle="1" w:styleId="katex-error">
    <w:name w:val="katex-error"/>
    <w:basedOn w:val="DefaultParagraphFont"/>
    <w:rsid w:val="00FB724C"/>
  </w:style>
  <w:style w:type="paragraph" w:styleId="Footer">
    <w:name w:val="footer"/>
    <w:basedOn w:val="Normal"/>
    <w:link w:val="FooterChar"/>
    <w:uiPriority w:val="99"/>
    <w:unhideWhenUsed/>
    <w:rsid w:val="00FB7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24C"/>
    <w:rPr>
      <w:rFonts w:ascii="Times New Roman" w:hAnsi="Times New Roman" w:cs="Times New Roman"/>
      <w:sz w:val="28"/>
      <w:szCs w:val="28"/>
    </w:rPr>
  </w:style>
  <w:style w:type="character" w:styleId="PageNumber">
    <w:name w:val="page number"/>
    <w:basedOn w:val="DefaultParagraphFont"/>
    <w:uiPriority w:val="99"/>
    <w:semiHidden/>
    <w:unhideWhenUsed/>
    <w:rsid w:val="00FB724C"/>
  </w:style>
  <w:style w:type="paragraph" w:styleId="BalloonText">
    <w:name w:val="Balloon Text"/>
    <w:basedOn w:val="Normal"/>
    <w:link w:val="BalloonTextChar"/>
    <w:uiPriority w:val="99"/>
    <w:semiHidden/>
    <w:unhideWhenUsed/>
    <w:rsid w:val="00FB7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s://doi.org/10.1016/0003-2697(72)90132-7" TargetMode="External"/><Relationship Id="rId3" Type="http://schemas.openxmlformats.org/officeDocument/2006/relationships/settings" Target="settings.xml"/><Relationship Id="rId21" Type="http://schemas.openxmlformats.org/officeDocument/2006/relationships/hyperlink" Target="https://doi.org/10.1096/fasebj.10.7.8635682"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155/2013/292476"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16/0003-2697(79)90738-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hyperlink" Target="https://doi.org/10.1016/j.biocel.2006.07.001" TargetMode="External"/><Relationship Id="rId5" Type="http://schemas.openxmlformats.org/officeDocument/2006/relationships/image" Target="media/image1.jpeg"/><Relationship Id="rId15" Type="http://schemas.openxmlformats.org/officeDocument/2006/relationships/hyperlink" Target="http://www.sprintmedical.in" TargetMode="External"/><Relationship Id="rId23" Type="http://schemas.openxmlformats.org/officeDocument/2006/relationships/hyperlink" Target="https://doi.org/10.9734/BJMMR/2015/15129" TargetMode="External"/><Relationship Id="rId28"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hyperlink" Target="https://doi.org/10.1016/S0076-6879(78)52032-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hyperlink" Target="https://doi.org/10.1016/j.jep.2013.06.002" TargetMode="External"/><Relationship Id="rId27" Type="http://schemas.openxmlformats.org/officeDocument/2006/relationships/hyperlink" Target="https://doi.org/10.1177/109158180934831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88</Pages>
  <Words>19092</Words>
  <Characters>108826</Characters>
  <Application>Microsoft Office Word</Application>
  <DocSecurity>0</DocSecurity>
  <Lines>906</Lines>
  <Paragraphs>255</Paragraphs>
  <ScaleCrop>false</ScaleCrop>
  <Company/>
  <LinksUpToDate>false</LinksUpToDate>
  <CharactersWithSpaces>127663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2025-07-30T10:38:00Z</dcterms:created>
  <dcterms:modified xsi:type="dcterms:W3CDTF">2025-07-30T10:53:00Z</dcterms:modified>
</cp:coreProperties>
</file>