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9A56" w14:textId="77777777"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A PROJECT REPORT</w:t>
      </w:r>
    </w:p>
    <w:p w14:paraId="5147966E" w14:textId="77777777" w:rsidR="002F5AFB" w:rsidRPr="005B6981" w:rsidRDefault="002F5AFB" w:rsidP="002F5AFB">
      <w:pPr>
        <w:spacing w:after="0"/>
        <w:jc w:val="center"/>
        <w:rPr>
          <w:rFonts w:ascii="Arial Black" w:hAnsi="Arial Black" w:cs="Times New Roman"/>
          <w:b/>
          <w:sz w:val="28"/>
          <w:szCs w:val="24"/>
        </w:rPr>
      </w:pPr>
    </w:p>
    <w:p w14:paraId="4262D4D9" w14:textId="77777777"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ON</w:t>
      </w:r>
    </w:p>
    <w:p w14:paraId="648C6F55" w14:textId="77777777" w:rsidR="002F5AFB" w:rsidRPr="005B6981" w:rsidRDefault="002F5AFB" w:rsidP="002F5AFB">
      <w:pPr>
        <w:spacing w:after="0"/>
        <w:jc w:val="center"/>
        <w:rPr>
          <w:rFonts w:ascii="Arial Black" w:hAnsi="Arial Black" w:cs="Times New Roman"/>
          <w:b/>
          <w:sz w:val="28"/>
          <w:szCs w:val="24"/>
        </w:rPr>
      </w:pPr>
    </w:p>
    <w:p w14:paraId="7A97FC4C" w14:textId="77777777" w:rsidR="002F5AFB" w:rsidRPr="005B6981" w:rsidRDefault="002F5AFB" w:rsidP="002F5AFB">
      <w:pPr>
        <w:spacing w:after="0"/>
        <w:jc w:val="center"/>
        <w:rPr>
          <w:rFonts w:ascii="Arial Black" w:hAnsi="Arial Black" w:cs="Times New Roman"/>
          <w:b/>
          <w:sz w:val="28"/>
          <w:szCs w:val="24"/>
        </w:rPr>
      </w:pPr>
      <w:r w:rsidRPr="005B6981">
        <w:rPr>
          <w:rFonts w:ascii="Arial Black" w:hAnsi="Arial Black" w:cs="Times New Roman"/>
          <w:b/>
          <w:sz w:val="28"/>
          <w:szCs w:val="24"/>
        </w:rPr>
        <w:t>EVALUATING THE ACID NEUTRALIZING CAPACITY OF SOME ANTACIDS SOLD OVER THE COUNTER WITHIN ILORIN METROPOLITAN</w:t>
      </w:r>
    </w:p>
    <w:p w14:paraId="33B6E972" w14:textId="77777777" w:rsidR="002F5AFB" w:rsidRPr="005B6981" w:rsidRDefault="002F5AFB" w:rsidP="002F5AFB">
      <w:pPr>
        <w:spacing w:after="0"/>
        <w:jc w:val="center"/>
        <w:rPr>
          <w:rFonts w:ascii="Arial Black" w:hAnsi="Arial Black" w:cs="Times New Roman"/>
          <w:b/>
          <w:sz w:val="24"/>
          <w:szCs w:val="24"/>
        </w:rPr>
      </w:pPr>
    </w:p>
    <w:p w14:paraId="0B267B3B" w14:textId="77777777"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BY</w:t>
      </w:r>
    </w:p>
    <w:p w14:paraId="5E523E7A" w14:textId="77777777" w:rsidR="004C068E" w:rsidRPr="005B6981" w:rsidRDefault="004C068E" w:rsidP="004C068E">
      <w:pPr>
        <w:spacing w:after="0"/>
        <w:jc w:val="center"/>
        <w:rPr>
          <w:rFonts w:ascii="Arial Black" w:hAnsi="Arial Black" w:cs="Times New Roman"/>
          <w:b/>
          <w:sz w:val="20"/>
          <w:szCs w:val="20"/>
        </w:rPr>
      </w:pPr>
    </w:p>
    <w:p w14:paraId="1433C96E" w14:textId="77777777" w:rsidR="004C068E" w:rsidRPr="005B6981" w:rsidRDefault="004C068E" w:rsidP="004C068E">
      <w:pPr>
        <w:spacing w:after="0"/>
        <w:jc w:val="center"/>
        <w:rPr>
          <w:rFonts w:ascii="Arial Black" w:hAnsi="Arial Black" w:cs="Times New Roman"/>
          <w:b/>
          <w:sz w:val="20"/>
          <w:szCs w:val="20"/>
        </w:rPr>
      </w:pPr>
    </w:p>
    <w:p w14:paraId="21C34526" w14:textId="77777777" w:rsidR="0052353C" w:rsidRDefault="0052353C" w:rsidP="0052353C">
      <w:pPr>
        <w:spacing w:after="0"/>
        <w:jc w:val="center"/>
        <w:rPr>
          <w:rFonts w:ascii="Arial Black" w:hAnsi="Arial Black" w:cs="Times New Roman"/>
          <w:b/>
          <w:sz w:val="28"/>
          <w:szCs w:val="28"/>
        </w:rPr>
      </w:pPr>
      <w:r>
        <w:rPr>
          <w:rFonts w:ascii="Arial Black" w:hAnsi="Arial Black" w:cs="Times New Roman"/>
          <w:b/>
          <w:sz w:val="28"/>
          <w:szCs w:val="28"/>
        </w:rPr>
        <w:t>SAAD NAFISAT ONIDE</w:t>
      </w:r>
    </w:p>
    <w:p w14:paraId="5B408185" w14:textId="77777777" w:rsidR="005B2470" w:rsidRDefault="0052353C" w:rsidP="0052353C">
      <w:pPr>
        <w:spacing w:after="0"/>
        <w:jc w:val="center"/>
        <w:rPr>
          <w:rFonts w:ascii="Arial Black" w:hAnsi="Arial Black" w:cs="Times New Roman"/>
          <w:b/>
          <w:sz w:val="28"/>
          <w:szCs w:val="28"/>
        </w:rPr>
      </w:pPr>
      <w:r w:rsidRPr="0052353C">
        <w:rPr>
          <w:rFonts w:ascii="Arial Black" w:hAnsi="Arial Black" w:cs="Times New Roman"/>
          <w:b/>
          <w:sz w:val="28"/>
          <w:szCs w:val="28"/>
        </w:rPr>
        <w:t>ND/23/SLT/PT/0449</w:t>
      </w:r>
    </w:p>
    <w:p w14:paraId="54B5A66E" w14:textId="77777777" w:rsidR="0052353C" w:rsidRDefault="0052353C" w:rsidP="0052353C">
      <w:pPr>
        <w:spacing w:after="0"/>
        <w:jc w:val="center"/>
        <w:rPr>
          <w:rFonts w:ascii="Arial Black" w:hAnsi="Arial Black" w:cs="Times New Roman"/>
          <w:b/>
          <w:sz w:val="24"/>
          <w:szCs w:val="24"/>
        </w:rPr>
      </w:pPr>
    </w:p>
    <w:p w14:paraId="57BE9F01" w14:textId="77777777"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SUBMITTED TO THE DEPARTMENT OF SCIENCE LABORATORY TECHN</w:t>
      </w:r>
      <w:r w:rsidR="00F65E53" w:rsidRPr="005B6981">
        <w:rPr>
          <w:rFonts w:ascii="Arial Black" w:hAnsi="Arial Black" w:cs="Times New Roman"/>
          <w:b/>
          <w:sz w:val="24"/>
          <w:szCs w:val="24"/>
        </w:rPr>
        <w:t>O</w:t>
      </w:r>
      <w:r w:rsidRPr="005B6981">
        <w:rPr>
          <w:rFonts w:ascii="Arial Black" w:hAnsi="Arial Black" w:cs="Times New Roman"/>
          <w:b/>
          <w:sz w:val="24"/>
          <w:szCs w:val="24"/>
        </w:rPr>
        <w:t>LOGY, INSTITUTE OF APPLIED SCIENCE, KWARA STATE POLYTECHNIC, ILORIN.</w:t>
      </w:r>
    </w:p>
    <w:p w14:paraId="46E6C96C" w14:textId="77777777" w:rsidR="002F5AFB" w:rsidRPr="005B6981" w:rsidRDefault="002F5AFB" w:rsidP="002F5AFB">
      <w:pPr>
        <w:spacing w:after="0"/>
        <w:jc w:val="center"/>
        <w:rPr>
          <w:rFonts w:ascii="Arial Black" w:hAnsi="Arial Black" w:cs="Times New Roman"/>
          <w:b/>
          <w:sz w:val="24"/>
          <w:szCs w:val="24"/>
        </w:rPr>
      </w:pPr>
    </w:p>
    <w:p w14:paraId="1ECA08D5" w14:textId="77777777" w:rsidR="002F5AFB" w:rsidRPr="005B6981" w:rsidRDefault="002F5AFB" w:rsidP="002F5AFB">
      <w:pPr>
        <w:spacing w:after="0"/>
        <w:jc w:val="center"/>
        <w:rPr>
          <w:rFonts w:ascii="Arial Black" w:hAnsi="Arial Black" w:cs="Times New Roman"/>
          <w:b/>
          <w:sz w:val="24"/>
          <w:szCs w:val="24"/>
        </w:rPr>
      </w:pPr>
      <w:r w:rsidRPr="005B6981">
        <w:rPr>
          <w:rFonts w:ascii="Arial Black" w:hAnsi="Arial Black" w:cs="Times New Roman"/>
          <w:b/>
          <w:sz w:val="24"/>
          <w:szCs w:val="24"/>
        </w:rPr>
        <w:t>IN PARTIAL FULFI</w:t>
      </w:r>
      <w:r w:rsidR="00B06891" w:rsidRPr="005B6981">
        <w:rPr>
          <w:rFonts w:ascii="Arial Black" w:hAnsi="Arial Black" w:cs="Times New Roman"/>
          <w:b/>
          <w:sz w:val="24"/>
          <w:szCs w:val="24"/>
        </w:rPr>
        <w:t>L</w:t>
      </w:r>
      <w:r w:rsidRPr="005B6981">
        <w:rPr>
          <w:rFonts w:ascii="Arial Black" w:hAnsi="Arial Black" w:cs="Times New Roman"/>
          <w:b/>
          <w:sz w:val="24"/>
          <w:szCs w:val="24"/>
        </w:rPr>
        <w:t>LMENT OF THE REQUIREMENTS FOR THE AWARD OF NATIONAL DIPLOMA (ND) IN SCIENCE LABORATORY TECHNOLOGY</w:t>
      </w:r>
    </w:p>
    <w:p w14:paraId="47C189A0" w14:textId="77777777" w:rsidR="002F5AFB" w:rsidRPr="005B6981" w:rsidRDefault="002F5AFB" w:rsidP="002F5AFB">
      <w:pPr>
        <w:spacing w:after="0"/>
        <w:jc w:val="right"/>
        <w:rPr>
          <w:rFonts w:ascii="Arial Black" w:hAnsi="Arial Black" w:cs="Times New Roman"/>
          <w:b/>
          <w:sz w:val="24"/>
          <w:szCs w:val="24"/>
        </w:rPr>
      </w:pPr>
    </w:p>
    <w:p w14:paraId="66C9AC71" w14:textId="77777777" w:rsidR="002F5AFB" w:rsidRPr="005B6981" w:rsidRDefault="002F5AFB" w:rsidP="002F5AFB">
      <w:pPr>
        <w:spacing w:after="0"/>
        <w:jc w:val="right"/>
        <w:rPr>
          <w:rFonts w:ascii="Arial Black" w:hAnsi="Arial Black" w:cs="Times New Roman"/>
          <w:b/>
          <w:sz w:val="24"/>
          <w:szCs w:val="24"/>
        </w:rPr>
      </w:pPr>
    </w:p>
    <w:p w14:paraId="61E96BC7" w14:textId="77777777" w:rsidR="002F5AFB" w:rsidRPr="005B6981" w:rsidRDefault="002F5AFB" w:rsidP="002F5AFB">
      <w:pPr>
        <w:spacing w:after="0"/>
        <w:jc w:val="right"/>
        <w:rPr>
          <w:rFonts w:ascii="Arial Black" w:hAnsi="Arial Black" w:cs="Times New Roman"/>
          <w:b/>
          <w:sz w:val="24"/>
          <w:szCs w:val="24"/>
        </w:rPr>
      </w:pPr>
    </w:p>
    <w:p w14:paraId="52D88D61" w14:textId="77777777" w:rsidR="002F5AFB" w:rsidRPr="005B6981" w:rsidRDefault="002F5AFB" w:rsidP="002F5AFB">
      <w:pPr>
        <w:spacing w:after="0"/>
        <w:rPr>
          <w:rFonts w:ascii="Arial Black" w:hAnsi="Arial Black" w:cs="Times New Roman"/>
          <w:b/>
          <w:sz w:val="24"/>
          <w:szCs w:val="24"/>
        </w:rPr>
      </w:pPr>
    </w:p>
    <w:p w14:paraId="58B4A524" w14:textId="77777777" w:rsidR="004C068E" w:rsidRPr="005B2470" w:rsidRDefault="002F5AFB" w:rsidP="005B2470">
      <w:pPr>
        <w:spacing w:after="0"/>
        <w:jc w:val="right"/>
        <w:rPr>
          <w:rFonts w:ascii="Arial Black" w:hAnsi="Arial Black" w:cs="Times New Roman"/>
          <w:b/>
          <w:sz w:val="24"/>
          <w:szCs w:val="24"/>
        </w:rPr>
      </w:pPr>
      <w:r w:rsidRPr="005B6981">
        <w:rPr>
          <w:rFonts w:ascii="Arial Black" w:hAnsi="Arial Black" w:cs="Times New Roman"/>
          <w:b/>
          <w:sz w:val="24"/>
          <w:szCs w:val="24"/>
        </w:rPr>
        <w:t>JULY, 2025.</w:t>
      </w:r>
      <w:bookmarkStart w:id="0" w:name="_Toc172679862"/>
    </w:p>
    <w:p w14:paraId="25304D4A" w14:textId="77777777" w:rsidR="0012239B" w:rsidRDefault="0012239B" w:rsidP="002F5AFB">
      <w:pPr>
        <w:pStyle w:val="Heading2"/>
        <w:spacing w:line="360" w:lineRule="auto"/>
        <w:jc w:val="center"/>
      </w:pPr>
    </w:p>
    <w:p w14:paraId="4911E959" w14:textId="77777777" w:rsidR="002F5AFB" w:rsidRPr="002F5AFB" w:rsidRDefault="002F5AFB" w:rsidP="002F5AFB">
      <w:pPr>
        <w:pStyle w:val="Heading2"/>
        <w:spacing w:line="360" w:lineRule="auto"/>
        <w:jc w:val="center"/>
      </w:pPr>
      <w:r w:rsidRPr="002F5AFB">
        <w:lastRenderedPageBreak/>
        <w:t>CERTIFICATION</w:t>
      </w:r>
      <w:bookmarkEnd w:id="0"/>
    </w:p>
    <w:p w14:paraId="4F31D086" w14:textId="77777777" w:rsidR="002F5AFB" w:rsidRPr="004C068E" w:rsidRDefault="002F5AFB" w:rsidP="004C068E">
      <w:pPr>
        <w:pStyle w:val="BodyText"/>
        <w:spacing w:line="360" w:lineRule="auto"/>
        <w:rPr>
          <w:b/>
        </w:rPr>
      </w:pPr>
      <w:r w:rsidRPr="002F5AFB">
        <w:t xml:space="preserve">This is to certify that this research study was conducted by </w:t>
      </w:r>
      <w:r w:rsidR="0052353C" w:rsidRPr="0052353C">
        <w:rPr>
          <w:b/>
        </w:rPr>
        <w:t>SAAD NAFISAT O</w:t>
      </w:r>
      <w:r w:rsidR="0052353C">
        <w:rPr>
          <w:b/>
        </w:rPr>
        <w:t>NIDE</w:t>
      </w:r>
      <w:r w:rsidR="0012239B">
        <w:rPr>
          <w:b/>
        </w:rPr>
        <w:t xml:space="preserve"> </w:t>
      </w:r>
      <w:r w:rsidR="004C068E">
        <w:t>matric number</w:t>
      </w:r>
      <w:r w:rsidR="005B6981">
        <w:t>:</w:t>
      </w:r>
      <w:r w:rsidR="005B2470">
        <w:t xml:space="preserve"> </w:t>
      </w:r>
      <w:r w:rsidR="0052353C">
        <w:rPr>
          <w:b/>
        </w:rPr>
        <w:t>ND/23/SLT/PT/0449</w:t>
      </w:r>
      <w:r w:rsidRPr="002F5AFB">
        <w:t xml:space="preserve"> had been read and approved as a requirement for the award of National diploma (ND) in the department of Science Laboratory Technology, Institute of Applied Sciences, </w:t>
      </w:r>
      <w:proofErr w:type="spellStart"/>
      <w:r w:rsidRPr="002F5AFB">
        <w:t>Kwara</w:t>
      </w:r>
      <w:proofErr w:type="spellEnd"/>
      <w:r w:rsidRPr="002F5AFB">
        <w:t xml:space="preserve"> State Polytechnics.</w:t>
      </w:r>
    </w:p>
    <w:p w14:paraId="451992AD" w14:textId="77777777" w:rsidR="002F5AFB" w:rsidRPr="002F5AFB" w:rsidRDefault="002F5AFB" w:rsidP="002F5AFB">
      <w:pPr>
        <w:pStyle w:val="BodyText"/>
        <w:spacing w:line="360" w:lineRule="auto"/>
      </w:pPr>
    </w:p>
    <w:p w14:paraId="011CC334" w14:textId="77777777" w:rsidR="002F5AFB" w:rsidRPr="002F5AFB" w:rsidRDefault="002F5AFB" w:rsidP="002F5AFB">
      <w:pPr>
        <w:pStyle w:val="BodyText"/>
        <w:spacing w:before="0" w:line="276" w:lineRule="auto"/>
      </w:pPr>
      <w:r w:rsidRPr="002F5AFB">
        <w:rPr>
          <w:noProof/>
        </w:rPr>
        <mc:AlternateContent>
          <mc:Choice Requires="wps">
            <w:drawing>
              <wp:anchor distT="0" distB="0" distL="114300" distR="114300" simplePos="0" relativeHeight="251659264" behindDoc="0" locked="0" layoutInCell="1" allowOverlap="1" wp14:anchorId="04EB412F" wp14:editId="503054CE">
                <wp:simplePos x="0" y="0"/>
                <wp:positionH relativeFrom="column">
                  <wp:posOffset>7620</wp:posOffset>
                </wp:positionH>
                <wp:positionV relativeFrom="paragraph">
                  <wp:posOffset>337820</wp:posOffset>
                </wp:positionV>
                <wp:extent cx="1945005" cy="10795"/>
                <wp:effectExtent l="0" t="0" r="17145" b="2730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005" cy="107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6pt" to="153.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" strokeweight=".5pt">
                <v:stroke joinstyle="miter"/>
              </v:line>
            </w:pict>
          </mc:Fallback>
        </mc:AlternateContent>
      </w:r>
      <w:r w:rsidRPr="002F5AFB">
        <w:rPr>
          <w:noProof/>
        </w:rPr>
        <mc:AlternateContent>
          <mc:Choice Requires="wps">
            <w:drawing>
              <wp:anchor distT="0" distB="0" distL="114300" distR="114300" simplePos="0" relativeHeight="251660288" behindDoc="0" locked="0" layoutInCell="1" allowOverlap="1" wp14:anchorId="69324D88" wp14:editId="49D54D6C">
                <wp:simplePos x="0" y="0"/>
                <wp:positionH relativeFrom="column">
                  <wp:posOffset>3871595</wp:posOffset>
                </wp:positionH>
                <wp:positionV relativeFrom="paragraph">
                  <wp:posOffset>318770</wp:posOffset>
                </wp:positionV>
                <wp:extent cx="1562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2100"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25.1pt" to="427.8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" strokecolor="#0d0d0d" strokeweight=".5pt">
                <v:stroke joinstyle="miter"/>
                <o:lock v:ext="edit" shapetype="f"/>
              </v:line>
            </w:pict>
          </mc:Fallback>
        </mc:AlternateContent>
      </w:r>
    </w:p>
    <w:p w14:paraId="477958E3" w14:textId="77777777" w:rsidR="002F5AFB" w:rsidRDefault="002F5AFB" w:rsidP="002F5AFB">
      <w:pPr>
        <w:spacing w:after="0"/>
        <w:rPr>
          <w:rFonts w:ascii="Times New Roman" w:hAnsi="Times New Roman" w:cs="Times New Roman"/>
          <w:b/>
          <w:sz w:val="24"/>
          <w:szCs w:val="24"/>
        </w:rPr>
      </w:pPr>
    </w:p>
    <w:p w14:paraId="1553E2BF" w14:textId="77777777" w:rsidR="002F5AFB" w:rsidRPr="002F5AFB" w:rsidRDefault="002F5AFB" w:rsidP="002F5AFB">
      <w:pPr>
        <w:spacing w:after="0"/>
        <w:rPr>
          <w:rFonts w:ascii="Times New Roman" w:hAnsi="Times New Roman" w:cs="Times New Roman"/>
          <w:b/>
          <w:sz w:val="24"/>
          <w:szCs w:val="24"/>
        </w:rPr>
      </w:pPr>
      <w:r w:rsidRPr="002F5AFB">
        <w:rPr>
          <w:rFonts w:ascii="Times New Roman" w:hAnsi="Times New Roman" w:cs="Times New Roman"/>
          <w:b/>
          <w:sz w:val="24"/>
          <w:szCs w:val="24"/>
        </w:rPr>
        <w:t>MR. ABDULRAHMAN B.D</w:t>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r>
      <w:r w:rsidRPr="002F5AFB">
        <w:rPr>
          <w:rFonts w:ascii="Times New Roman" w:hAnsi="Times New Roman" w:cs="Times New Roman"/>
          <w:bCs/>
          <w:sz w:val="24"/>
          <w:szCs w:val="24"/>
        </w:rPr>
        <w:tab/>
        <w:t>Date</w:t>
      </w:r>
      <w:r w:rsidRPr="002F5AFB">
        <w:rPr>
          <w:rFonts w:ascii="Times New Roman" w:hAnsi="Times New Roman" w:cs="Times New Roman"/>
          <w:bCs/>
          <w:sz w:val="24"/>
          <w:szCs w:val="24"/>
        </w:rPr>
        <w:tab/>
        <w:t xml:space="preserve">                  </w:t>
      </w:r>
    </w:p>
    <w:p w14:paraId="4E2E7601" w14:textId="77777777" w:rsidR="002F5AFB" w:rsidRPr="002F5AFB" w:rsidRDefault="002F5AFB" w:rsidP="002F5AFB">
      <w:pPr>
        <w:pStyle w:val="BodyText"/>
        <w:spacing w:before="0" w:after="240" w:line="276" w:lineRule="auto"/>
        <w:ind w:left="0"/>
        <w:rPr>
          <w:b/>
        </w:rPr>
      </w:pPr>
      <w:r w:rsidRPr="002F5AFB">
        <w:rPr>
          <w:bCs/>
        </w:rPr>
        <w:t>(Supervisor)</w:t>
      </w:r>
      <w:r w:rsidRPr="002F5AFB">
        <w:rPr>
          <w:bCs/>
        </w:rPr>
        <w:tab/>
      </w:r>
      <w:r w:rsidRPr="002F5AFB">
        <w:rPr>
          <w:b/>
        </w:rPr>
        <w:tab/>
      </w:r>
      <w:r w:rsidRPr="002F5AFB">
        <w:rPr>
          <w:b/>
        </w:rPr>
        <w:tab/>
      </w:r>
      <w:r w:rsidRPr="002F5AFB">
        <w:rPr>
          <w:b/>
        </w:rPr>
        <w:tab/>
      </w:r>
      <w:r w:rsidRPr="002F5AFB">
        <w:rPr>
          <w:b/>
        </w:rPr>
        <w:tab/>
      </w:r>
      <w:r w:rsidRPr="002F5AFB">
        <w:rPr>
          <w:b/>
        </w:rPr>
        <w:tab/>
      </w:r>
      <w:r w:rsidRPr="002F5AFB">
        <w:rPr>
          <w:b/>
        </w:rPr>
        <w:tab/>
      </w:r>
      <w:r w:rsidRPr="002F5AFB">
        <w:rPr>
          <w:b/>
        </w:rPr>
        <w:tab/>
      </w:r>
    </w:p>
    <w:p w14:paraId="6771DC2D" w14:textId="77777777" w:rsidR="002F5AFB" w:rsidRPr="002F5AFB" w:rsidRDefault="002F5AFB" w:rsidP="002F5AFB">
      <w:pPr>
        <w:pStyle w:val="BodyText"/>
        <w:spacing w:before="0" w:line="276" w:lineRule="auto"/>
        <w:rPr>
          <w:b/>
        </w:rPr>
      </w:pPr>
    </w:p>
    <w:p w14:paraId="1618A60F" w14:textId="77777777" w:rsidR="002F5AFB" w:rsidRPr="002F5AFB" w:rsidRDefault="002F5AFB" w:rsidP="002F5AFB">
      <w:pPr>
        <w:pStyle w:val="BodyText"/>
        <w:spacing w:before="0" w:line="276" w:lineRule="auto"/>
        <w:rPr>
          <w:bCs/>
        </w:rPr>
      </w:pPr>
    </w:p>
    <w:p w14:paraId="4AA73CA7" w14:textId="77777777" w:rsidR="002F5AFB" w:rsidRPr="002F5AFB" w:rsidRDefault="002F5AFB" w:rsidP="002F5AFB">
      <w:pPr>
        <w:pStyle w:val="BodyText"/>
        <w:spacing w:before="0" w:line="276" w:lineRule="auto"/>
        <w:rPr>
          <w:bCs/>
        </w:rPr>
      </w:pPr>
      <w:r w:rsidRPr="002F5AFB">
        <w:rPr>
          <w:noProof/>
        </w:rPr>
        <mc:AlternateContent>
          <mc:Choice Requires="wps">
            <w:drawing>
              <wp:anchor distT="0" distB="0" distL="114300" distR="114300" simplePos="0" relativeHeight="251661312" behindDoc="0" locked="0" layoutInCell="1" allowOverlap="1" wp14:anchorId="1707FB1C" wp14:editId="2839109A">
                <wp:simplePos x="0" y="0"/>
                <wp:positionH relativeFrom="column">
                  <wp:posOffset>-48260</wp:posOffset>
                </wp:positionH>
                <wp:positionV relativeFrom="paragraph">
                  <wp:posOffset>168275</wp:posOffset>
                </wp:positionV>
                <wp:extent cx="2058035" cy="9525"/>
                <wp:effectExtent l="0" t="0" r="18415" b="2857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9525"/>
                        </a:xfrm>
                        <a:prstGeom prst="line">
                          <a:avLst/>
                        </a:prstGeom>
                        <a:noFill/>
                        <a:ln w="6350" algn="ctr">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25pt" to="15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" strokecolor="#0d0d0d" strokeweight=".5pt">
                <v:stroke joinstyle="miter"/>
              </v:line>
            </w:pict>
          </mc:Fallback>
        </mc:AlternateContent>
      </w:r>
      <w:r w:rsidRPr="002F5AFB">
        <w:rPr>
          <w:noProof/>
        </w:rPr>
        <mc:AlternateContent>
          <mc:Choice Requires="wps">
            <w:drawing>
              <wp:anchor distT="4294967295" distB="4294967295" distL="114300" distR="114300" simplePos="0" relativeHeight="251662336" behindDoc="0" locked="0" layoutInCell="1" allowOverlap="1" wp14:anchorId="303EBCF6" wp14:editId="71E3FB1C">
                <wp:simplePos x="0" y="0"/>
                <wp:positionH relativeFrom="column">
                  <wp:posOffset>3900170</wp:posOffset>
                </wp:positionH>
                <wp:positionV relativeFrom="paragraph">
                  <wp:posOffset>117475</wp:posOffset>
                </wp:positionV>
                <wp:extent cx="14954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9.25pt" to="42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" strokecolor="#0d0d0d" strokeweight=".5pt">
                <v:stroke joinstyle="miter"/>
                <o:lock v:ext="edit" shapetype="f"/>
              </v:line>
            </w:pict>
          </mc:Fallback>
        </mc:AlternateContent>
      </w:r>
      <w:r w:rsidRPr="002F5AFB">
        <w:rPr>
          <w:bCs/>
        </w:rPr>
        <w:t xml:space="preserve">             </w:t>
      </w:r>
    </w:p>
    <w:p w14:paraId="0CCEBD25" w14:textId="77777777" w:rsidR="002F5AFB" w:rsidRPr="002F5AFB" w:rsidRDefault="0052353C" w:rsidP="002F5AFB">
      <w:pPr>
        <w:pStyle w:val="BodyText"/>
        <w:spacing w:before="0" w:line="276" w:lineRule="auto"/>
        <w:ind w:left="0"/>
        <w:rPr>
          <w:bCs/>
        </w:rPr>
      </w:pPr>
      <w:r>
        <w:rPr>
          <w:b/>
          <w:bCs/>
        </w:rPr>
        <w:t>MR. LUKMAN, Z.A</w:t>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r>
      <w:r w:rsidR="002F5AFB" w:rsidRPr="002F5AFB">
        <w:rPr>
          <w:bCs/>
        </w:rPr>
        <w:tab/>
      </w:r>
      <w:r>
        <w:rPr>
          <w:bCs/>
        </w:rPr>
        <w:tab/>
      </w:r>
      <w:r w:rsidR="002F5AFB" w:rsidRPr="002F5AFB">
        <w:rPr>
          <w:bCs/>
        </w:rPr>
        <w:t>Date</w:t>
      </w:r>
    </w:p>
    <w:p w14:paraId="723AEC2F" w14:textId="77777777" w:rsidR="002F5AFB" w:rsidRPr="002F5AFB" w:rsidRDefault="002F5AFB" w:rsidP="002F5AFB">
      <w:pPr>
        <w:pStyle w:val="BodyText"/>
        <w:spacing w:before="0" w:line="276" w:lineRule="auto"/>
        <w:ind w:left="0"/>
        <w:rPr>
          <w:bCs/>
        </w:rPr>
      </w:pPr>
      <w:r w:rsidRPr="002F5AFB">
        <w:rPr>
          <w:bCs/>
        </w:rPr>
        <w:t>(SLT Part -Time Coordinator)</w:t>
      </w:r>
    </w:p>
    <w:p w14:paraId="5983CCAC" w14:textId="77777777" w:rsidR="002F5AFB" w:rsidRPr="002F5AFB" w:rsidRDefault="002F5AFB" w:rsidP="002F5AFB">
      <w:pPr>
        <w:pStyle w:val="BodyText"/>
        <w:spacing w:before="0" w:line="276" w:lineRule="auto"/>
        <w:rPr>
          <w:bCs/>
        </w:rPr>
      </w:pPr>
    </w:p>
    <w:p w14:paraId="304FB73B" w14:textId="77777777" w:rsidR="002F5AFB" w:rsidRPr="002F5AFB" w:rsidRDefault="002F5AFB" w:rsidP="002F5AFB">
      <w:pPr>
        <w:pStyle w:val="BodyText"/>
        <w:spacing w:before="0" w:line="276" w:lineRule="auto"/>
        <w:ind w:left="0"/>
        <w:rPr>
          <w:b/>
        </w:rPr>
      </w:pPr>
    </w:p>
    <w:p w14:paraId="7D35169D" w14:textId="77777777" w:rsidR="00351CD6" w:rsidRDefault="00351CD6" w:rsidP="00351CD6">
      <w:pPr>
        <w:pStyle w:val="BodyText"/>
        <w:spacing w:before="0" w:line="276" w:lineRule="auto"/>
        <w:rPr>
          <w:bCs/>
        </w:rPr>
      </w:pPr>
      <w:r>
        <w:rPr>
          <w:noProof/>
        </w:rPr>
        <mc:AlternateContent>
          <mc:Choice Requires="wps">
            <w:drawing>
              <wp:anchor distT="0" distB="0" distL="114300" distR="114300" simplePos="0" relativeHeight="251666432" behindDoc="0" locked="0" layoutInCell="1" allowOverlap="1" wp14:anchorId="522567E4" wp14:editId="000F864D">
                <wp:simplePos x="0" y="0"/>
                <wp:positionH relativeFrom="column">
                  <wp:posOffset>-48260</wp:posOffset>
                </wp:positionH>
                <wp:positionV relativeFrom="paragraph">
                  <wp:posOffset>168275</wp:posOffset>
                </wp:positionV>
                <wp:extent cx="2058035" cy="9525"/>
                <wp:effectExtent l="0" t="0" r="1841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035" cy="9525"/>
                        </a:xfrm>
                        <a:prstGeom prst="line">
                          <a:avLst/>
                        </a:prstGeom>
                        <a:noFill/>
                        <a:ln w="6350" algn="ctr">
                          <a:solidFill>
                            <a:srgbClr val="0D0D0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25pt" to="15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" strokecolor="#0d0d0d" strokeweight=".5pt">
                <v:stroke joinstyle="miter"/>
              </v:line>
            </w:pict>
          </mc:Fallback>
        </mc:AlternateContent>
      </w:r>
      <w:r>
        <w:rPr>
          <w:noProof/>
        </w:rPr>
        <mc:AlternateContent>
          <mc:Choice Requires="wps">
            <w:drawing>
              <wp:anchor distT="4294967295" distB="4294967295" distL="114300" distR="114300" simplePos="0" relativeHeight="251667456" behindDoc="0" locked="0" layoutInCell="1" allowOverlap="1" wp14:anchorId="6E9FDDBC" wp14:editId="060A641F">
                <wp:simplePos x="0" y="0"/>
                <wp:positionH relativeFrom="column">
                  <wp:posOffset>3900170</wp:posOffset>
                </wp:positionH>
                <wp:positionV relativeFrom="paragraph">
                  <wp:posOffset>117475</wp:posOffset>
                </wp:positionV>
                <wp:extent cx="14954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7.1pt,9.25pt" to="424.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" strokecolor="#0d0d0d" strokeweight=".5pt">
                <v:stroke joinstyle="miter"/>
                <o:lock v:ext="edit" shapetype="f"/>
              </v:line>
            </w:pict>
          </mc:Fallback>
        </mc:AlternateContent>
      </w:r>
      <w:r>
        <w:rPr>
          <w:bCs/>
        </w:rPr>
        <w:t xml:space="preserve">             </w:t>
      </w:r>
    </w:p>
    <w:p w14:paraId="78B19079" w14:textId="77777777" w:rsidR="00351CD6" w:rsidRDefault="00351CD6" w:rsidP="00351CD6">
      <w:pPr>
        <w:pStyle w:val="BodyText"/>
        <w:spacing w:before="0" w:line="276" w:lineRule="auto"/>
        <w:ind w:left="0"/>
        <w:rPr>
          <w:bCs/>
        </w:rPr>
      </w:pPr>
      <w:r>
        <w:rPr>
          <w:b/>
          <w:bCs/>
        </w:rPr>
        <w:t>DR. ABDULKAREEM USMAN</w:t>
      </w:r>
      <w:r>
        <w:rPr>
          <w:bCs/>
        </w:rPr>
        <w:tab/>
      </w:r>
      <w:r>
        <w:rPr>
          <w:bCs/>
        </w:rPr>
        <w:tab/>
      </w:r>
      <w:r>
        <w:rPr>
          <w:bCs/>
        </w:rPr>
        <w:tab/>
      </w:r>
      <w:r>
        <w:rPr>
          <w:bCs/>
        </w:rPr>
        <w:tab/>
      </w:r>
      <w:r>
        <w:rPr>
          <w:bCs/>
        </w:rPr>
        <w:tab/>
      </w:r>
      <w:r>
        <w:rPr>
          <w:bCs/>
        </w:rPr>
        <w:tab/>
        <w:t>Date</w:t>
      </w:r>
    </w:p>
    <w:p w14:paraId="4F007382" w14:textId="77777777" w:rsidR="00351CD6" w:rsidRDefault="00351CD6" w:rsidP="00351CD6">
      <w:pPr>
        <w:pStyle w:val="BodyText"/>
        <w:spacing w:before="0" w:line="276" w:lineRule="auto"/>
        <w:ind w:left="0"/>
        <w:rPr>
          <w:bCs/>
        </w:rPr>
      </w:pPr>
      <w:r>
        <w:rPr>
          <w:bCs/>
        </w:rPr>
        <w:t>(Head of Department)</w:t>
      </w:r>
    </w:p>
    <w:p w14:paraId="5F5C1E50" w14:textId="77777777" w:rsidR="00351CD6" w:rsidRDefault="00351CD6" w:rsidP="002F5AFB">
      <w:pPr>
        <w:pStyle w:val="BodyText"/>
        <w:spacing w:before="0" w:line="276" w:lineRule="auto"/>
        <w:ind w:left="0"/>
        <w:rPr>
          <w:b/>
        </w:rPr>
      </w:pPr>
    </w:p>
    <w:p w14:paraId="6C03C5F7" w14:textId="77777777" w:rsidR="00351CD6" w:rsidRDefault="00351CD6" w:rsidP="002F5AFB">
      <w:pPr>
        <w:pStyle w:val="BodyText"/>
        <w:spacing w:before="0" w:line="276" w:lineRule="auto"/>
        <w:ind w:left="0"/>
        <w:rPr>
          <w:b/>
        </w:rPr>
      </w:pPr>
    </w:p>
    <w:p w14:paraId="67CE8BF0" w14:textId="77777777" w:rsidR="00351CD6" w:rsidRDefault="00351CD6" w:rsidP="002F5AFB">
      <w:pPr>
        <w:pStyle w:val="BodyText"/>
        <w:spacing w:before="0" w:line="276" w:lineRule="auto"/>
        <w:ind w:left="0"/>
        <w:rPr>
          <w:b/>
        </w:rPr>
      </w:pPr>
    </w:p>
    <w:p w14:paraId="79DB7616" w14:textId="77777777" w:rsidR="002F5AFB" w:rsidRPr="002F5AFB" w:rsidRDefault="002F5AFB" w:rsidP="002F5AFB">
      <w:pPr>
        <w:pStyle w:val="BodyText"/>
        <w:spacing w:before="0" w:line="276" w:lineRule="auto"/>
        <w:ind w:left="0"/>
        <w:rPr>
          <w:b/>
        </w:rPr>
      </w:pPr>
      <w:r w:rsidRPr="002F5AFB">
        <w:rPr>
          <w:noProof/>
        </w:rPr>
        <mc:AlternateContent>
          <mc:Choice Requires="wps">
            <w:drawing>
              <wp:anchor distT="4294967295" distB="4294967295" distL="114300" distR="114300" simplePos="0" relativeHeight="251663360" behindDoc="0" locked="0" layoutInCell="1" allowOverlap="1" wp14:anchorId="57AFACE3" wp14:editId="09886014">
                <wp:simplePos x="0" y="0"/>
                <wp:positionH relativeFrom="column">
                  <wp:posOffset>7620</wp:posOffset>
                </wp:positionH>
                <wp:positionV relativeFrom="paragraph">
                  <wp:posOffset>115570</wp:posOffset>
                </wp:positionV>
                <wp:extent cx="17335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9.1pt" to="137.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" strokecolor="windowText" strokeweight=".5pt">
                <v:stroke joinstyle="miter"/>
                <o:lock v:ext="edit" shapetype="f"/>
              </v:line>
            </w:pict>
          </mc:Fallback>
        </mc:AlternateContent>
      </w:r>
      <w:r w:rsidRPr="002F5AFB">
        <w:rPr>
          <w:noProof/>
        </w:rPr>
        <mc:AlternateContent>
          <mc:Choice Requires="wps">
            <w:drawing>
              <wp:anchor distT="4294967295" distB="4294967295" distL="114300" distR="114300" simplePos="0" relativeHeight="251664384" behindDoc="0" locked="0" layoutInCell="1" allowOverlap="1" wp14:anchorId="4FDA8A0D" wp14:editId="0DEEE3B3">
                <wp:simplePos x="0" y="0"/>
                <wp:positionH relativeFrom="column">
                  <wp:posOffset>3921760</wp:posOffset>
                </wp:positionH>
                <wp:positionV relativeFrom="paragraph">
                  <wp:posOffset>115570</wp:posOffset>
                </wp:positionV>
                <wp:extent cx="1466850" cy="6350"/>
                <wp:effectExtent l="0" t="0" r="19050" b="317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85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8pt,9.1pt" to="424.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" strokecolor="windowText" strokeweight=".5pt">
                <v:stroke joinstyle="miter"/>
                <o:lock v:ext="edit" shapetype="f"/>
              </v:line>
            </w:pict>
          </mc:Fallback>
        </mc:AlternateContent>
      </w:r>
    </w:p>
    <w:p w14:paraId="734E2C84" w14:textId="77777777" w:rsidR="002F5AFB" w:rsidRPr="002F5AFB" w:rsidRDefault="002F5AFB" w:rsidP="002F5AFB">
      <w:pPr>
        <w:pStyle w:val="BodyText"/>
        <w:spacing w:before="0" w:line="276" w:lineRule="auto"/>
        <w:ind w:left="0"/>
        <w:rPr>
          <w:b/>
        </w:rPr>
      </w:pPr>
      <w:r w:rsidRPr="002F5AFB">
        <w:rPr>
          <w:b/>
        </w:rPr>
        <w:t xml:space="preserve">External Examiner </w:t>
      </w:r>
      <w:r w:rsidRPr="002F5AFB">
        <w:rPr>
          <w:b/>
        </w:rPr>
        <w:tab/>
        <w:t xml:space="preserve">                             </w:t>
      </w:r>
      <w:r w:rsidRPr="002F5AFB">
        <w:rPr>
          <w:b/>
        </w:rPr>
        <w:tab/>
      </w:r>
      <w:r w:rsidRPr="002F5AFB">
        <w:rPr>
          <w:b/>
        </w:rPr>
        <w:tab/>
      </w:r>
      <w:r w:rsidRPr="002F5AFB">
        <w:rPr>
          <w:b/>
        </w:rPr>
        <w:tab/>
      </w:r>
      <w:r w:rsidRPr="002F5AFB">
        <w:rPr>
          <w:b/>
        </w:rPr>
        <w:tab/>
      </w:r>
      <w:r w:rsidRPr="002F5AFB">
        <w:rPr>
          <w:b/>
        </w:rPr>
        <w:tab/>
      </w:r>
      <w:r w:rsidRPr="002F5AFB">
        <w:t>Date</w:t>
      </w:r>
      <w:r w:rsidRPr="002F5AFB">
        <w:rPr>
          <w:b/>
        </w:rPr>
        <w:t xml:space="preserve"> </w:t>
      </w:r>
      <w:r w:rsidRPr="002F5AFB">
        <w:rPr>
          <w:b/>
        </w:rPr>
        <w:tab/>
      </w:r>
    </w:p>
    <w:p w14:paraId="190EADD4" w14:textId="77777777" w:rsidR="002F5AFB" w:rsidRPr="002F5AFB" w:rsidRDefault="002F5AFB" w:rsidP="002F5AFB">
      <w:pPr>
        <w:spacing w:line="480" w:lineRule="auto"/>
        <w:jc w:val="center"/>
        <w:rPr>
          <w:rFonts w:ascii="Times New Roman" w:hAnsi="Times New Roman" w:cs="Times New Roman"/>
          <w:b/>
          <w:sz w:val="24"/>
          <w:szCs w:val="24"/>
        </w:rPr>
      </w:pPr>
    </w:p>
    <w:p w14:paraId="632F6AD1" w14:textId="77777777" w:rsidR="002F5AFB" w:rsidRPr="002F5AFB" w:rsidRDefault="002F5AFB" w:rsidP="002F5AFB">
      <w:pPr>
        <w:spacing w:line="480" w:lineRule="auto"/>
        <w:jc w:val="center"/>
        <w:rPr>
          <w:rFonts w:ascii="Times New Roman" w:hAnsi="Times New Roman" w:cs="Times New Roman"/>
          <w:b/>
          <w:sz w:val="24"/>
          <w:szCs w:val="24"/>
        </w:rPr>
      </w:pPr>
    </w:p>
    <w:p w14:paraId="2D21B4BC" w14:textId="77777777" w:rsidR="002F5AFB" w:rsidRDefault="002F5AFB" w:rsidP="00351CD6">
      <w:pPr>
        <w:pStyle w:val="Heading2"/>
        <w:spacing w:line="360" w:lineRule="auto"/>
        <w:ind w:left="0" w:firstLine="0"/>
      </w:pPr>
      <w:bookmarkStart w:id="1" w:name="_Toc172679863"/>
    </w:p>
    <w:p w14:paraId="011F5DDA" w14:textId="77777777" w:rsidR="002F5AFB" w:rsidRPr="002F5AFB" w:rsidRDefault="002F5AFB" w:rsidP="002F5AFB">
      <w:pPr>
        <w:pStyle w:val="Heading2"/>
        <w:spacing w:line="360" w:lineRule="auto"/>
        <w:jc w:val="center"/>
      </w:pPr>
      <w:r w:rsidRPr="002F5AFB">
        <w:t>DEDICATION</w:t>
      </w:r>
      <w:bookmarkEnd w:id="1"/>
    </w:p>
    <w:p w14:paraId="2B602799" w14:textId="77777777" w:rsidR="002F5AFB" w:rsidRPr="002F5AFB" w:rsidRDefault="004B3B34" w:rsidP="004B3B34">
      <w:pPr>
        <w:spacing w:line="360" w:lineRule="auto"/>
        <w:jc w:val="both"/>
        <w:rPr>
          <w:rFonts w:ascii="Times New Roman" w:hAnsi="Times New Roman" w:cs="Times New Roman"/>
          <w:b/>
          <w:sz w:val="24"/>
          <w:szCs w:val="24"/>
        </w:rPr>
      </w:pPr>
      <w:r w:rsidRPr="004B3B34">
        <w:rPr>
          <w:rFonts w:ascii="Times New Roman" w:hAnsi="Times New Roman" w:cs="Times New Roman"/>
          <w:sz w:val="24"/>
          <w:szCs w:val="24"/>
        </w:rPr>
        <w:lastRenderedPageBreak/>
        <w:t xml:space="preserve">This project write up is fully dedicated to Almighty Allah who bless me abundantly everyday has quite </w:t>
      </w:r>
      <w:r w:rsidR="001263DA" w:rsidRPr="004B3B34">
        <w:rPr>
          <w:rFonts w:ascii="Times New Roman" w:hAnsi="Times New Roman" w:cs="Times New Roman"/>
          <w:sz w:val="24"/>
          <w:szCs w:val="24"/>
        </w:rPr>
        <w:t>provided</w:t>
      </w:r>
      <w:r w:rsidRPr="004B3B34">
        <w:rPr>
          <w:rFonts w:ascii="Times New Roman" w:hAnsi="Times New Roman" w:cs="Times New Roman"/>
          <w:sz w:val="24"/>
          <w:szCs w:val="24"/>
        </w:rPr>
        <w:t xml:space="preserve"> us with wisdom, knowledge and inspiration throughout </w:t>
      </w:r>
      <w:r w:rsidR="001263DA">
        <w:rPr>
          <w:rFonts w:ascii="Times New Roman" w:hAnsi="Times New Roman" w:cs="Times New Roman"/>
          <w:sz w:val="24"/>
          <w:szCs w:val="24"/>
        </w:rPr>
        <w:t xml:space="preserve">this program. </w:t>
      </w:r>
      <w:r w:rsidRPr="004B3B34">
        <w:rPr>
          <w:rFonts w:ascii="Times New Roman" w:hAnsi="Times New Roman" w:cs="Times New Roman"/>
          <w:sz w:val="24"/>
          <w:szCs w:val="24"/>
        </w:rPr>
        <w:t>Also dedicated this to my late daddy who taught me that the best kind of knowledge to have as that whic</w:t>
      </w:r>
      <w:r w:rsidR="001263DA">
        <w:rPr>
          <w:rFonts w:ascii="Times New Roman" w:hAnsi="Times New Roman" w:cs="Times New Roman"/>
          <w:sz w:val="24"/>
          <w:szCs w:val="24"/>
        </w:rPr>
        <w:t>h is learned for its own sake (</w:t>
      </w:r>
      <w:r w:rsidRPr="004B3B34">
        <w:rPr>
          <w:rFonts w:ascii="Times New Roman" w:hAnsi="Times New Roman" w:cs="Times New Roman"/>
          <w:sz w:val="24"/>
          <w:szCs w:val="24"/>
        </w:rPr>
        <w:t xml:space="preserve">May his soul Rest </w:t>
      </w:r>
      <w:r w:rsidR="001263DA" w:rsidRPr="004B3B34">
        <w:rPr>
          <w:rFonts w:ascii="Times New Roman" w:hAnsi="Times New Roman" w:cs="Times New Roman"/>
          <w:sz w:val="24"/>
          <w:szCs w:val="24"/>
        </w:rPr>
        <w:t>in</w:t>
      </w:r>
      <w:r w:rsidRPr="004B3B34">
        <w:rPr>
          <w:rFonts w:ascii="Times New Roman" w:hAnsi="Times New Roman" w:cs="Times New Roman"/>
          <w:sz w:val="24"/>
          <w:szCs w:val="24"/>
        </w:rPr>
        <w:t xml:space="preserve"> Peace). Also dedicated it to my brother </w:t>
      </w:r>
      <w:r w:rsidRPr="001263DA">
        <w:rPr>
          <w:rFonts w:ascii="Times New Roman" w:hAnsi="Times New Roman" w:cs="Times New Roman"/>
          <w:b/>
          <w:sz w:val="24"/>
          <w:szCs w:val="24"/>
        </w:rPr>
        <w:t>(ABDULFATAI S ONIDE)</w:t>
      </w:r>
      <w:r w:rsidRPr="004B3B34">
        <w:rPr>
          <w:rFonts w:ascii="Times New Roman" w:hAnsi="Times New Roman" w:cs="Times New Roman"/>
          <w:sz w:val="24"/>
          <w:szCs w:val="24"/>
        </w:rPr>
        <w:t xml:space="preserve"> who support and keep focusing on me since the death of our father, </w:t>
      </w:r>
      <w:r w:rsidR="001263DA" w:rsidRPr="004B3B34">
        <w:rPr>
          <w:rFonts w:ascii="Times New Roman" w:hAnsi="Times New Roman" w:cs="Times New Roman"/>
          <w:sz w:val="24"/>
          <w:szCs w:val="24"/>
        </w:rPr>
        <w:t>May</w:t>
      </w:r>
      <w:r w:rsidRPr="004B3B34">
        <w:rPr>
          <w:rFonts w:ascii="Times New Roman" w:hAnsi="Times New Roman" w:cs="Times New Roman"/>
          <w:sz w:val="24"/>
          <w:szCs w:val="24"/>
        </w:rPr>
        <w:t xml:space="preserve"> Almighty Allah bless him abundantly (Amin).</w:t>
      </w:r>
    </w:p>
    <w:p w14:paraId="22DBE34A" w14:textId="77777777" w:rsidR="002F5AFB" w:rsidRPr="002F5AFB" w:rsidRDefault="002F5AFB" w:rsidP="002F5AFB">
      <w:pPr>
        <w:spacing w:line="480" w:lineRule="auto"/>
        <w:jc w:val="center"/>
        <w:rPr>
          <w:rFonts w:ascii="Times New Roman" w:hAnsi="Times New Roman" w:cs="Times New Roman"/>
          <w:b/>
          <w:sz w:val="24"/>
          <w:szCs w:val="24"/>
        </w:rPr>
      </w:pPr>
    </w:p>
    <w:p w14:paraId="68AB5088" w14:textId="77777777" w:rsidR="002F5AFB" w:rsidRPr="002F5AFB" w:rsidRDefault="002F5AFB" w:rsidP="002F5AFB">
      <w:pPr>
        <w:spacing w:line="480" w:lineRule="auto"/>
        <w:jc w:val="center"/>
        <w:rPr>
          <w:rFonts w:ascii="Times New Roman" w:hAnsi="Times New Roman" w:cs="Times New Roman"/>
          <w:b/>
          <w:sz w:val="24"/>
          <w:szCs w:val="24"/>
        </w:rPr>
      </w:pPr>
    </w:p>
    <w:p w14:paraId="0F3D4DE9" w14:textId="77777777" w:rsidR="002F5AFB" w:rsidRPr="002F5AFB" w:rsidRDefault="002F5AFB" w:rsidP="002F5AFB">
      <w:pPr>
        <w:spacing w:line="480" w:lineRule="auto"/>
        <w:jc w:val="center"/>
        <w:rPr>
          <w:rFonts w:ascii="Times New Roman" w:hAnsi="Times New Roman" w:cs="Times New Roman"/>
          <w:b/>
          <w:sz w:val="24"/>
          <w:szCs w:val="24"/>
        </w:rPr>
      </w:pPr>
    </w:p>
    <w:p w14:paraId="3DE28D01" w14:textId="77777777" w:rsidR="002F5AFB" w:rsidRPr="002F5AFB" w:rsidRDefault="002F5AFB" w:rsidP="002F5AFB">
      <w:pPr>
        <w:spacing w:line="480" w:lineRule="auto"/>
        <w:jc w:val="center"/>
        <w:rPr>
          <w:rFonts w:ascii="Times New Roman" w:hAnsi="Times New Roman" w:cs="Times New Roman"/>
          <w:b/>
          <w:sz w:val="24"/>
          <w:szCs w:val="24"/>
        </w:rPr>
      </w:pPr>
    </w:p>
    <w:p w14:paraId="37484365" w14:textId="77777777" w:rsidR="002F5AFB" w:rsidRPr="002F5AFB" w:rsidRDefault="002F5AFB" w:rsidP="002F5AFB">
      <w:pPr>
        <w:spacing w:line="480" w:lineRule="auto"/>
        <w:rPr>
          <w:rFonts w:ascii="Times New Roman" w:hAnsi="Times New Roman" w:cs="Times New Roman"/>
          <w:b/>
          <w:sz w:val="24"/>
          <w:szCs w:val="24"/>
        </w:rPr>
      </w:pPr>
    </w:p>
    <w:p w14:paraId="6A4E3FF9" w14:textId="77777777" w:rsidR="002F5AFB" w:rsidRPr="002F5AFB" w:rsidRDefault="002F5AFB" w:rsidP="002F5AFB">
      <w:pPr>
        <w:pStyle w:val="Heading2"/>
        <w:spacing w:line="360" w:lineRule="auto"/>
        <w:jc w:val="center"/>
      </w:pPr>
      <w:r w:rsidRPr="002F5AFB">
        <w:rPr>
          <w:rFonts w:eastAsiaTheme="majorEastAsia"/>
          <w:b w:val="0"/>
        </w:rPr>
        <w:br w:type="page"/>
      </w:r>
      <w:bookmarkStart w:id="2" w:name="_Toc172679864"/>
      <w:bookmarkStart w:id="3" w:name="_Toc172027847"/>
      <w:bookmarkStart w:id="4" w:name="_Toc172027780"/>
      <w:r w:rsidRPr="002F5AFB">
        <w:lastRenderedPageBreak/>
        <w:t>ACKNOWLEDGEMENT</w:t>
      </w:r>
      <w:bookmarkEnd w:id="2"/>
      <w:bookmarkEnd w:id="3"/>
      <w:bookmarkEnd w:id="4"/>
    </w:p>
    <w:p w14:paraId="56F91BD5" w14:textId="77777777" w:rsidR="004B3B34" w:rsidRPr="004B3B34" w:rsidRDefault="004B3B34" w:rsidP="004B3B34">
      <w:pPr>
        <w:spacing w:line="360" w:lineRule="auto"/>
        <w:jc w:val="both"/>
        <w:rPr>
          <w:rFonts w:ascii="Times New Roman" w:hAnsi="Times New Roman" w:cs="Times New Roman"/>
          <w:sz w:val="24"/>
          <w:szCs w:val="24"/>
        </w:rPr>
      </w:pPr>
      <w:r w:rsidRPr="004B3B34">
        <w:rPr>
          <w:rFonts w:ascii="Times New Roman" w:hAnsi="Times New Roman" w:cs="Times New Roman"/>
          <w:sz w:val="24"/>
          <w:szCs w:val="24"/>
        </w:rPr>
        <w:t>This is the Lord’s doing, it’s marvelous in my eyes greatly indebted to those people who have contributed immensely to the success of my education up to this stage and also to those who has contributed in one way or the other to the success of this write up. First and foremost, my great thanks go to Almighty Allah our creator the most companies, merciful and beneficent for sparing my life till this point of time. Also I would like to thanks my parent for their support both morally and financially from the beginning of my life to this point, without my father I will not reach this in academic, talk less of moving forward in my academic endeavor , I always pray Al</w:t>
      </w:r>
      <w:r>
        <w:rPr>
          <w:rFonts w:ascii="Times New Roman" w:hAnsi="Times New Roman" w:cs="Times New Roman"/>
          <w:sz w:val="24"/>
          <w:szCs w:val="24"/>
        </w:rPr>
        <w:t xml:space="preserve">mighty Allah to keep him in Al-Jannat </w:t>
      </w:r>
      <w:proofErr w:type="spellStart"/>
      <w:r>
        <w:rPr>
          <w:rFonts w:ascii="Times New Roman" w:hAnsi="Times New Roman" w:cs="Times New Roman"/>
          <w:sz w:val="24"/>
          <w:szCs w:val="24"/>
        </w:rPr>
        <w:t>Frida</w:t>
      </w:r>
      <w:r w:rsidRPr="004B3B34">
        <w:rPr>
          <w:rFonts w:ascii="Times New Roman" w:hAnsi="Times New Roman" w:cs="Times New Roman"/>
          <w:sz w:val="24"/>
          <w:szCs w:val="24"/>
        </w:rPr>
        <w:t>us</w:t>
      </w:r>
      <w:proofErr w:type="spellEnd"/>
      <w:r w:rsidRPr="004B3B34">
        <w:rPr>
          <w:rFonts w:ascii="Times New Roman" w:hAnsi="Times New Roman" w:cs="Times New Roman"/>
          <w:sz w:val="24"/>
          <w:szCs w:val="24"/>
        </w:rPr>
        <w:t xml:space="preserve"> (Amin) </w:t>
      </w:r>
      <w:r w:rsidRPr="004B3B34">
        <w:rPr>
          <w:rFonts w:ascii="Times New Roman" w:hAnsi="Times New Roman" w:cs="Times New Roman"/>
          <w:b/>
          <w:sz w:val="24"/>
          <w:szCs w:val="24"/>
        </w:rPr>
        <w:t>SAAD AMBALI ONIDE.</w:t>
      </w:r>
      <w:r w:rsidRPr="004B3B34">
        <w:rPr>
          <w:rFonts w:ascii="Times New Roman" w:hAnsi="Times New Roman" w:cs="Times New Roman"/>
          <w:sz w:val="24"/>
          <w:szCs w:val="24"/>
        </w:rPr>
        <w:t xml:space="preserve"> </w:t>
      </w:r>
    </w:p>
    <w:p w14:paraId="2DAD9532" w14:textId="77777777" w:rsidR="004B3B34" w:rsidRPr="004B3B34" w:rsidRDefault="004B3B34" w:rsidP="004B3B34">
      <w:pPr>
        <w:spacing w:line="360" w:lineRule="auto"/>
        <w:jc w:val="both"/>
        <w:rPr>
          <w:rFonts w:ascii="Times New Roman" w:hAnsi="Times New Roman" w:cs="Times New Roman"/>
          <w:sz w:val="24"/>
          <w:szCs w:val="24"/>
        </w:rPr>
      </w:pPr>
      <w:r w:rsidRPr="004B3B34">
        <w:rPr>
          <w:rFonts w:ascii="Times New Roman" w:hAnsi="Times New Roman" w:cs="Times New Roman"/>
          <w:sz w:val="24"/>
          <w:szCs w:val="24"/>
        </w:rPr>
        <w:t xml:space="preserve">I would like to express my special thanks to my supervisor in person of </w:t>
      </w:r>
      <w:r w:rsidRPr="004B3B34">
        <w:rPr>
          <w:rFonts w:ascii="Times New Roman" w:hAnsi="Times New Roman" w:cs="Times New Roman"/>
          <w:b/>
          <w:sz w:val="24"/>
          <w:szCs w:val="24"/>
        </w:rPr>
        <w:t>MR</w:t>
      </w:r>
      <w:r>
        <w:rPr>
          <w:rFonts w:ascii="Times New Roman" w:hAnsi="Times New Roman" w:cs="Times New Roman"/>
          <w:b/>
          <w:sz w:val="24"/>
          <w:szCs w:val="24"/>
        </w:rPr>
        <w:t>. ABDULRAHMAN B.D,</w:t>
      </w:r>
      <w:r>
        <w:rPr>
          <w:rFonts w:ascii="Times New Roman" w:hAnsi="Times New Roman" w:cs="Times New Roman"/>
          <w:sz w:val="24"/>
          <w:szCs w:val="24"/>
        </w:rPr>
        <w:t xml:space="preserve"> as well as our Head of </w:t>
      </w:r>
      <w:r w:rsidRPr="004B3B34">
        <w:rPr>
          <w:rFonts w:ascii="Times New Roman" w:hAnsi="Times New Roman" w:cs="Times New Roman"/>
          <w:sz w:val="24"/>
          <w:szCs w:val="24"/>
        </w:rPr>
        <w:t>D</w:t>
      </w:r>
      <w:r>
        <w:rPr>
          <w:rFonts w:ascii="Times New Roman" w:hAnsi="Times New Roman" w:cs="Times New Roman"/>
          <w:sz w:val="24"/>
          <w:szCs w:val="24"/>
        </w:rPr>
        <w:t xml:space="preserve">epartment; </w:t>
      </w:r>
      <w:r w:rsidRPr="004B3B34">
        <w:rPr>
          <w:rFonts w:ascii="Times New Roman" w:hAnsi="Times New Roman" w:cs="Times New Roman"/>
          <w:b/>
          <w:sz w:val="24"/>
          <w:szCs w:val="24"/>
        </w:rPr>
        <w:t>DR. ABDULKAREEM USMAN,</w:t>
      </w:r>
      <w:r w:rsidRPr="004B3B34">
        <w:rPr>
          <w:rFonts w:ascii="Times New Roman" w:hAnsi="Times New Roman" w:cs="Times New Roman"/>
          <w:sz w:val="24"/>
          <w:szCs w:val="24"/>
        </w:rPr>
        <w:t xml:space="preserve"> </w:t>
      </w:r>
      <w:r>
        <w:rPr>
          <w:rFonts w:ascii="Times New Roman" w:hAnsi="Times New Roman" w:cs="Times New Roman"/>
          <w:sz w:val="24"/>
          <w:szCs w:val="24"/>
        </w:rPr>
        <w:t xml:space="preserve">our Coordinator; </w:t>
      </w:r>
      <w:r w:rsidRPr="004B3B34">
        <w:rPr>
          <w:rFonts w:ascii="Times New Roman" w:hAnsi="Times New Roman" w:cs="Times New Roman"/>
          <w:b/>
          <w:sz w:val="24"/>
          <w:szCs w:val="24"/>
        </w:rPr>
        <w:t>MR. LUKMAN Z.A,</w:t>
      </w:r>
      <w:r>
        <w:rPr>
          <w:rFonts w:ascii="Times New Roman" w:hAnsi="Times New Roman" w:cs="Times New Roman"/>
          <w:sz w:val="24"/>
          <w:szCs w:val="24"/>
        </w:rPr>
        <w:t xml:space="preserve"> a</w:t>
      </w:r>
      <w:r w:rsidRPr="004B3B34">
        <w:rPr>
          <w:rFonts w:ascii="Times New Roman" w:hAnsi="Times New Roman" w:cs="Times New Roman"/>
          <w:sz w:val="24"/>
          <w:szCs w:val="24"/>
        </w:rPr>
        <w:t xml:space="preserve">nd to all S.L.T staffs both academically and non-academically may Almighty Allah continue to bless you all </w:t>
      </w:r>
      <w:r>
        <w:rPr>
          <w:rFonts w:ascii="Times New Roman" w:hAnsi="Times New Roman" w:cs="Times New Roman"/>
          <w:sz w:val="24"/>
          <w:szCs w:val="24"/>
        </w:rPr>
        <w:t>and your families (Amin).</w:t>
      </w:r>
      <w:r w:rsidRPr="004B3B34">
        <w:rPr>
          <w:rFonts w:ascii="Times New Roman" w:hAnsi="Times New Roman" w:cs="Times New Roman"/>
          <w:sz w:val="24"/>
          <w:szCs w:val="24"/>
        </w:rPr>
        <w:t xml:space="preserve"> I would like to express my thanks to my brother in person of </w:t>
      </w:r>
      <w:r w:rsidRPr="004B3B34">
        <w:rPr>
          <w:rFonts w:ascii="Times New Roman" w:hAnsi="Times New Roman" w:cs="Times New Roman"/>
          <w:b/>
          <w:sz w:val="24"/>
          <w:szCs w:val="24"/>
        </w:rPr>
        <w:t>SAAD ABDULFATAI</w:t>
      </w:r>
      <w:r w:rsidRPr="004B3B34">
        <w:rPr>
          <w:rFonts w:ascii="Times New Roman" w:hAnsi="Times New Roman" w:cs="Times New Roman"/>
          <w:sz w:val="24"/>
          <w:szCs w:val="24"/>
        </w:rPr>
        <w:t xml:space="preserve"> who has been support and focusing on my</w:t>
      </w:r>
      <w:r>
        <w:rPr>
          <w:rFonts w:ascii="Times New Roman" w:hAnsi="Times New Roman" w:cs="Times New Roman"/>
          <w:sz w:val="24"/>
          <w:szCs w:val="24"/>
        </w:rPr>
        <w:t xml:space="preserve"> academic journey since the dea</w:t>
      </w:r>
      <w:r w:rsidRPr="004B3B34">
        <w:rPr>
          <w:rFonts w:ascii="Times New Roman" w:hAnsi="Times New Roman" w:cs="Times New Roman"/>
          <w:sz w:val="24"/>
          <w:szCs w:val="24"/>
        </w:rPr>
        <w:t xml:space="preserve">th of our father, may Almighty Allah will continue to bless him abundantly (Amin), and to my brothers and sister in person of </w:t>
      </w:r>
      <w:r w:rsidRPr="004B3B34">
        <w:rPr>
          <w:rFonts w:ascii="Times New Roman" w:hAnsi="Times New Roman" w:cs="Times New Roman"/>
          <w:b/>
          <w:sz w:val="24"/>
          <w:szCs w:val="24"/>
        </w:rPr>
        <w:t>SAAD MARIAM, SAAD NIMAT, SAAD SULIAT, SAAD SULAIMON,</w:t>
      </w:r>
      <w:r w:rsidRPr="004B3B34">
        <w:rPr>
          <w:rFonts w:ascii="Times New Roman" w:hAnsi="Times New Roman" w:cs="Times New Roman"/>
          <w:sz w:val="24"/>
          <w:szCs w:val="24"/>
        </w:rPr>
        <w:t xml:space="preserve"> may Alm</w:t>
      </w:r>
      <w:r>
        <w:rPr>
          <w:rFonts w:ascii="Times New Roman" w:hAnsi="Times New Roman" w:cs="Times New Roman"/>
          <w:sz w:val="24"/>
          <w:szCs w:val="24"/>
        </w:rPr>
        <w:t>ighty Allah be with us together</w:t>
      </w:r>
      <w:r w:rsidRPr="004B3B34">
        <w:rPr>
          <w:rFonts w:ascii="Times New Roman" w:hAnsi="Times New Roman" w:cs="Times New Roman"/>
          <w:sz w:val="24"/>
          <w:szCs w:val="24"/>
        </w:rPr>
        <w:t xml:space="preserve">, long life and happiness (Amin). </w:t>
      </w:r>
    </w:p>
    <w:p w14:paraId="77415855" w14:textId="77777777" w:rsidR="004B3B34" w:rsidRDefault="004B3B34" w:rsidP="004B3B34">
      <w:pPr>
        <w:spacing w:line="360" w:lineRule="auto"/>
        <w:jc w:val="both"/>
        <w:rPr>
          <w:rFonts w:ascii="Times New Roman" w:hAnsi="Times New Roman" w:cs="Times New Roman"/>
          <w:sz w:val="24"/>
          <w:szCs w:val="24"/>
        </w:rPr>
      </w:pPr>
      <w:r w:rsidRPr="004B3B34">
        <w:rPr>
          <w:rFonts w:ascii="Times New Roman" w:hAnsi="Times New Roman" w:cs="Times New Roman"/>
          <w:sz w:val="24"/>
          <w:szCs w:val="24"/>
        </w:rPr>
        <w:t xml:space="preserve">Finally, my thanks goes to my boyfriend in person of </w:t>
      </w:r>
      <w:r w:rsidRPr="004B3B34">
        <w:rPr>
          <w:rFonts w:ascii="Times New Roman" w:hAnsi="Times New Roman" w:cs="Times New Roman"/>
          <w:b/>
          <w:sz w:val="24"/>
          <w:szCs w:val="24"/>
        </w:rPr>
        <w:t>ALABI ABDULSALAM</w:t>
      </w:r>
      <w:r w:rsidRPr="004B3B34">
        <w:rPr>
          <w:rFonts w:ascii="Times New Roman" w:hAnsi="Times New Roman" w:cs="Times New Roman"/>
          <w:sz w:val="24"/>
          <w:szCs w:val="24"/>
        </w:rPr>
        <w:t xml:space="preserve"> thanks for being parts of my academic journey, thanks for everything you did I pray may Almighty Allah reward you abundantly </w:t>
      </w:r>
      <w:r>
        <w:rPr>
          <w:rFonts w:ascii="Times New Roman" w:hAnsi="Times New Roman" w:cs="Times New Roman"/>
          <w:sz w:val="24"/>
          <w:szCs w:val="24"/>
        </w:rPr>
        <w:t>a</w:t>
      </w:r>
      <w:r w:rsidRPr="004B3B34">
        <w:rPr>
          <w:rFonts w:ascii="Times New Roman" w:hAnsi="Times New Roman" w:cs="Times New Roman"/>
          <w:sz w:val="24"/>
          <w:szCs w:val="24"/>
        </w:rPr>
        <w:t xml:space="preserve">nd keep blessing you abundantly (Amin). And my thanks also goes to my friends in person of </w:t>
      </w:r>
      <w:r w:rsidRPr="004B3B34">
        <w:rPr>
          <w:rFonts w:ascii="Times New Roman" w:hAnsi="Times New Roman" w:cs="Times New Roman"/>
          <w:b/>
          <w:sz w:val="24"/>
          <w:szCs w:val="24"/>
        </w:rPr>
        <w:t>SEKINAH, NUSIRAT, VICTORIA, SULIAT,</w:t>
      </w:r>
      <w:r w:rsidRPr="004B3B34">
        <w:rPr>
          <w:rFonts w:ascii="Times New Roman" w:hAnsi="Times New Roman" w:cs="Times New Roman"/>
          <w:sz w:val="24"/>
          <w:szCs w:val="24"/>
        </w:rPr>
        <w:t xml:space="preserve"> may almighty Allah be with you all (Amin).</w:t>
      </w:r>
    </w:p>
    <w:p w14:paraId="20E6A56C" w14:textId="77777777" w:rsidR="004B3B34" w:rsidRDefault="004B3B34" w:rsidP="004B3B34">
      <w:pPr>
        <w:jc w:val="center"/>
        <w:rPr>
          <w:rFonts w:ascii="Times New Roman" w:hAnsi="Times New Roman" w:cs="Times New Roman"/>
          <w:sz w:val="24"/>
          <w:szCs w:val="24"/>
        </w:rPr>
      </w:pPr>
    </w:p>
    <w:p w14:paraId="4B64F354" w14:textId="77777777" w:rsidR="004B3B34" w:rsidRDefault="004B3B34" w:rsidP="004B3B34">
      <w:pPr>
        <w:rPr>
          <w:rFonts w:ascii="Times New Roman" w:hAnsi="Times New Roman" w:cs="Times New Roman"/>
          <w:sz w:val="24"/>
          <w:szCs w:val="24"/>
        </w:rPr>
      </w:pPr>
    </w:p>
    <w:p w14:paraId="7AD7C836" w14:textId="77777777" w:rsidR="002F5AFB" w:rsidRPr="002F5AFB" w:rsidRDefault="002F5AFB" w:rsidP="004B3B34">
      <w:pPr>
        <w:jc w:val="center"/>
        <w:rPr>
          <w:rFonts w:ascii="Times New Roman" w:hAnsi="Times New Roman" w:cs="Times New Roman"/>
          <w:b/>
          <w:bCs/>
          <w:sz w:val="24"/>
          <w:szCs w:val="24"/>
        </w:rPr>
      </w:pPr>
      <w:r w:rsidRPr="002F5AFB">
        <w:rPr>
          <w:rFonts w:ascii="Times New Roman" w:hAnsi="Times New Roman" w:cs="Times New Roman"/>
          <w:b/>
          <w:bCs/>
          <w:sz w:val="24"/>
          <w:szCs w:val="24"/>
        </w:rPr>
        <w:t>TABLE OF CONTENT</w:t>
      </w:r>
    </w:p>
    <w:p w14:paraId="4328B2A2" w14:textId="77777777"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lastRenderedPageBreak/>
        <w:t>Title page</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w:t>
      </w:r>
    </w:p>
    <w:p w14:paraId="0B59C3CD" w14:textId="77777777"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Certification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ii</w:t>
      </w:r>
    </w:p>
    <w:p w14:paraId="0DB945E0" w14:textId="77777777"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Dedication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iii</w:t>
      </w:r>
    </w:p>
    <w:p w14:paraId="17BA50E9" w14:textId="77777777"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Acknowledgments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iv</w:t>
      </w:r>
    </w:p>
    <w:p w14:paraId="61BEA667" w14:textId="77777777" w:rsidR="002F5AFB" w:rsidRPr="002F5AFB" w:rsidRDefault="002F5AFB" w:rsidP="002F5AFB">
      <w:pPr>
        <w:spacing w:after="160"/>
        <w:rPr>
          <w:rFonts w:ascii="Times New Roman" w:hAnsi="Times New Roman" w:cs="Times New Roman"/>
          <w:sz w:val="24"/>
          <w:szCs w:val="24"/>
        </w:rPr>
      </w:pPr>
      <w:r w:rsidRPr="002F5AFB">
        <w:rPr>
          <w:rFonts w:ascii="Times New Roman" w:hAnsi="Times New Roman" w:cs="Times New Roman"/>
          <w:sz w:val="24"/>
          <w:szCs w:val="24"/>
        </w:rPr>
        <w:t>Table of Contents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v</w:t>
      </w:r>
    </w:p>
    <w:p w14:paraId="6A029A40" w14:textId="77777777" w:rsidR="002F5AFB" w:rsidRPr="002F5AFB" w:rsidRDefault="002F5AFB" w:rsidP="002F5AFB">
      <w:pPr>
        <w:rPr>
          <w:rFonts w:ascii="Times New Roman" w:hAnsi="Times New Roman" w:cs="Times New Roman"/>
          <w:sz w:val="24"/>
          <w:szCs w:val="24"/>
        </w:rPr>
      </w:pPr>
      <w:r w:rsidRPr="002F5AFB">
        <w:rPr>
          <w:rFonts w:ascii="Times New Roman" w:hAnsi="Times New Roman" w:cs="Times New Roman"/>
          <w:sz w:val="24"/>
          <w:szCs w:val="24"/>
        </w:rPr>
        <w:t>Abstract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vi</w:t>
      </w:r>
    </w:p>
    <w:p w14:paraId="00E48B7B" w14:textId="77777777" w:rsidR="002F5AFB" w:rsidRPr="002F5AFB" w:rsidRDefault="002F5AFB" w:rsidP="002F5AFB">
      <w:pPr>
        <w:rPr>
          <w:rFonts w:ascii="Times New Roman" w:hAnsi="Times New Roman" w:cs="Times New Roman"/>
          <w:b/>
          <w:bCs/>
          <w:sz w:val="24"/>
          <w:szCs w:val="24"/>
        </w:rPr>
      </w:pPr>
      <w:r w:rsidRPr="002F5AFB">
        <w:rPr>
          <w:rFonts w:ascii="Times New Roman" w:hAnsi="Times New Roman" w:cs="Times New Roman"/>
          <w:b/>
          <w:bCs/>
          <w:sz w:val="24"/>
          <w:szCs w:val="24"/>
        </w:rPr>
        <w:t>CHAPTER ONE: INTRODUCTION</w:t>
      </w:r>
    </w:p>
    <w:p w14:paraId="5AC79552" w14:textId="77777777" w:rsidR="002F5AFB" w:rsidRPr="002F5AFB" w:rsidRDefault="007B2833" w:rsidP="002F5AFB">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2F5AFB" w:rsidRPr="002F5AFB">
        <w:rPr>
          <w:rFonts w:ascii="Times New Roman" w:hAnsi="Times New Roman" w:cs="Times New Roman"/>
          <w:sz w:val="24"/>
          <w:szCs w:val="24"/>
        </w:rPr>
        <w:t>Antacids</w:t>
      </w:r>
      <w:r>
        <w:rPr>
          <w:rFonts w:ascii="Times New Roman" w:hAnsi="Times New Roman" w:cs="Times New Roman"/>
          <w:sz w:val="24"/>
          <w:szCs w:val="24"/>
        </w:rPr>
        <w:tab/>
      </w:r>
      <w:r>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r>
      <w:r w:rsidR="002F5AFB" w:rsidRPr="002F5AFB">
        <w:rPr>
          <w:rFonts w:ascii="Times New Roman" w:hAnsi="Times New Roman" w:cs="Times New Roman"/>
          <w:sz w:val="24"/>
          <w:szCs w:val="24"/>
        </w:rPr>
        <w:tab/>
        <w:t>1</w:t>
      </w:r>
    </w:p>
    <w:p w14:paraId="35B84801"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Common Antacids in Nigeria</w:t>
      </w:r>
      <w:r w:rsidR="007B2833">
        <w:rPr>
          <w:sz w:val="24"/>
          <w:szCs w:val="24"/>
        </w:rPr>
        <w:tab/>
      </w:r>
      <w:r w:rsidR="007B2833">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2</w:t>
      </w:r>
    </w:p>
    <w:p w14:paraId="79AF0BCD"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Types of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14:paraId="4B64B594" w14:textId="77777777" w:rsidR="002F5AFB" w:rsidRPr="002F5AFB" w:rsidRDefault="002F5AFB" w:rsidP="002F5AFB">
      <w:pPr>
        <w:pStyle w:val="ListParagraph"/>
        <w:spacing w:line="276" w:lineRule="auto"/>
        <w:ind w:left="720" w:firstLine="0"/>
        <w:rPr>
          <w:sz w:val="24"/>
          <w:szCs w:val="24"/>
        </w:rPr>
      </w:pPr>
      <w:r w:rsidRPr="002F5AFB">
        <w:rPr>
          <w:sz w:val="24"/>
          <w:szCs w:val="24"/>
        </w:rPr>
        <w:t>1.2.1</w:t>
      </w:r>
      <w:r w:rsidRPr="002F5AFB">
        <w:rPr>
          <w:sz w:val="24"/>
          <w:szCs w:val="24"/>
        </w:rPr>
        <w:tab/>
        <w:t>Aluminum-Based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14:paraId="7196BD36" w14:textId="77777777" w:rsidR="002F5AFB" w:rsidRPr="002F5AFB" w:rsidRDefault="002F5AFB" w:rsidP="002F5AFB">
      <w:pPr>
        <w:pStyle w:val="ListParagraph"/>
        <w:spacing w:line="276" w:lineRule="auto"/>
        <w:ind w:left="720" w:firstLine="0"/>
        <w:rPr>
          <w:sz w:val="24"/>
          <w:szCs w:val="24"/>
        </w:rPr>
      </w:pPr>
      <w:r w:rsidRPr="002F5AFB">
        <w:rPr>
          <w:sz w:val="24"/>
          <w:szCs w:val="24"/>
        </w:rPr>
        <w:t>1.2.2</w:t>
      </w:r>
      <w:r w:rsidRPr="002F5AFB">
        <w:rPr>
          <w:sz w:val="24"/>
          <w:szCs w:val="24"/>
        </w:rPr>
        <w:tab/>
        <w:t>Magnesium-Based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3</w:t>
      </w:r>
    </w:p>
    <w:p w14:paraId="3EE5C7A3" w14:textId="77777777" w:rsidR="002F5AFB" w:rsidRPr="002F5AFB" w:rsidRDefault="002F5AFB" w:rsidP="002F5AFB">
      <w:pPr>
        <w:pStyle w:val="ListParagraph"/>
        <w:spacing w:line="276" w:lineRule="auto"/>
        <w:ind w:left="720" w:firstLine="0"/>
        <w:rPr>
          <w:sz w:val="24"/>
          <w:szCs w:val="24"/>
        </w:rPr>
      </w:pPr>
      <w:r w:rsidRPr="002F5AFB">
        <w:rPr>
          <w:sz w:val="24"/>
          <w:szCs w:val="24"/>
        </w:rPr>
        <w:t>1.2.3</w:t>
      </w:r>
      <w:r w:rsidRPr="002F5AFB">
        <w:rPr>
          <w:sz w:val="24"/>
          <w:szCs w:val="24"/>
        </w:rPr>
        <w:tab/>
        <w:t>Calcium-Based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14:paraId="10289E32" w14:textId="77777777" w:rsidR="002F5AFB" w:rsidRPr="002F5AFB" w:rsidRDefault="002F5AFB" w:rsidP="002F5AFB">
      <w:pPr>
        <w:pStyle w:val="ListParagraph"/>
        <w:spacing w:line="276" w:lineRule="auto"/>
        <w:ind w:left="720" w:firstLine="0"/>
        <w:rPr>
          <w:sz w:val="24"/>
          <w:szCs w:val="24"/>
        </w:rPr>
      </w:pPr>
      <w:r w:rsidRPr="002F5AFB">
        <w:rPr>
          <w:sz w:val="24"/>
          <w:szCs w:val="24"/>
        </w:rPr>
        <w:t>1.2.4</w:t>
      </w:r>
      <w:r w:rsidRPr="002F5AFB">
        <w:rPr>
          <w:sz w:val="24"/>
          <w:szCs w:val="24"/>
        </w:rPr>
        <w:tab/>
        <w:t>Sodium-Based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14:paraId="01499FD0" w14:textId="77777777" w:rsidR="002F5AFB" w:rsidRPr="002F5AFB" w:rsidRDefault="002F5AFB" w:rsidP="002F5AFB">
      <w:pPr>
        <w:pStyle w:val="ListParagraph"/>
        <w:spacing w:line="276" w:lineRule="auto"/>
        <w:ind w:left="720" w:firstLine="0"/>
        <w:rPr>
          <w:sz w:val="24"/>
          <w:szCs w:val="24"/>
        </w:rPr>
      </w:pPr>
      <w:r w:rsidRPr="002F5AFB">
        <w:rPr>
          <w:sz w:val="24"/>
          <w:szCs w:val="24"/>
        </w:rPr>
        <w:t>1.2.5</w:t>
      </w:r>
      <w:r w:rsidRPr="002F5AFB">
        <w:rPr>
          <w:sz w:val="24"/>
          <w:szCs w:val="24"/>
        </w:rPr>
        <w:tab/>
        <w:t xml:space="preserve"> Combination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4</w:t>
      </w:r>
    </w:p>
    <w:p w14:paraId="00849228"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Inorganic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14:paraId="78E7C6B8" w14:textId="77777777" w:rsidR="002F5AFB" w:rsidRPr="002F5AFB" w:rsidRDefault="002F5AFB" w:rsidP="002F5AFB">
      <w:pPr>
        <w:pStyle w:val="ListParagraph"/>
        <w:spacing w:line="276" w:lineRule="auto"/>
        <w:ind w:left="720" w:firstLine="0"/>
        <w:rPr>
          <w:sz w:val="24"/>
          <w:szCs w:val="24"/>
        </w:rPr>
      </w:pPr>
      <w:r w:rsidRPr="002F5AFB">
        <w:rPr>
          <w:sz w:val="24"/>
          <w:szCs w:val="24"/>
        </w:rPr>
        <w:t>1.3.1</w:t>
      </w:r>
      <w:r w:rsidRPr="002F5AFB">
        <w:rPr>
          <w:sz w:val="24"/>
          <w:szCs w:val="24"/>
        </w:rPr>
        <w:tab/>
        <w:t>Aluminum Hydroxide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14:paraId="6EBF8367" w14:textId="77777777" w:rsidR="002F5AFB" w:rsidRPr="002F5AFB" w:rsidRDefault="002F5AFB" w:rsidP="002F5AFB">
      <w:pPr>
        <w:pStyle w:val="ListParagraph"/>
        <w:spacing w:line="276" w:lineRule="auto"/>
        <w:ind w:left="720" w:firstLine="0"/>
        <w:rPr>
          <w:sz w:val="24"/>
          <w:szCs w:val="24"/>
        </w:rPr>
      </w:pPr>
      <w:r w:rsidRPr="002F5AFB">
        <w:rPr>
          <w:sz w:val="24"/>
          <w:szCs w:val="24"/>
        </w:rPr>
        <w:t>1.3.2</w:t>
      </w:r>
      <w:r w:rsidRPr="002F5AFB">
        <w:rPr>
          <w:sz w:val="24"/>
          <w:szCs w:val="24"/>
        </w:rPr>
        <w:tab/>
        <w:t>Magnesium Hydroxide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5</w:t>
      </w:r>
    </w:p>
    <w:p w14:paraId="4420EFFE" w14:textId="77777777" w:rsidR="002F5AFB" w:rsidRPr="002F5AFB" w:rsidRDefault="002F5AFB" w:rsidP="002F5AFB">
      <w:pPr>
        <w:pStyle w:val="ListParagraph"/>
        <w:spacing w:line="276" w:lineRule="auto"/>
        <w:ind w:left="720" w:firstLine="0"/>
        <w:rPr>
          <w:sz w:val="24"/>
          <w:szCs w:val="24"/>
        </w:rPr>
      </w:pPr>
      <w:r w:rsidRPr="002F5AFB">
        <w:rPr>
          <w:sz w:val="24"/>
          <w:szCs w:val="24"/>
        </w:rPr>
        <w:t>1.3.3</w:t>
      </w:r>
      <w:r w:rsidRPr="002F5AFB">
        <w:rPr>
          <w:sz w:val="24"/>
          <w:szCs w:val="24"/>
        </w:rPr>
        <w:tab/>
        <w:t>Calcium Carbonate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14:paraId="3EA3BA91" w14:textId="77777777" w:rsidR="002F5AFB" w:rsidRPr="002F5AFB" w:rsidRDefault="002F5AFB" w:rsidP="002F5AFB">
      <w:pPr>
        <w:pStyle w:val="ListParagraph"/>
        <w:spacing w:line="276" w:lineRule="auto"/>
        <w:ind w:left="720" w:firstLine="0"/>
        <w:rPr>
          <w:sz w:val="24"/>
          <w:szCs w:val="24"/>
        </w:rPr>
      </w:pPr>
      <w:r w:rsidRPr="002F5AFB">
        <w:rPr>
          <w:sz w:val="24"/>
          <w:szCs w:val="24"/>
        </w:rPr>
        <w:t>1.3.4</w:t>
      </w:r>
      <w:r w:rsidRPr="002F5AFB">
        <w:rPr>
          <w:sz w:val="24"/>
          <w:szCs w:val="24"/>
        </w:rPr>
        <w:tab/>
        <w:t>Sodium Bicarbonate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14:paraId="2A39179B" w14:textId="77777777" w:rsidR="002F5AFB" w:rsidRDefault="002F5AFB" w:rsidP="002F5AFB">
      <w:pPr>
        <w:pStyle w:val="ListParagraph"/>
        <w:spacing w:line="276" w:lineRule="auto"/>
        <w:ind w:left="720" w:firstLine="0"/>
        <w:rPr>
          <w:sz w:val="24"/>
          <w:szCs w:val="24"/>
        </w:rPr>
      </w:pPr>
      <w:r w:rsidRPr="002F5AFB">
        <w:rPr>
          <w:sz w:val="24"/>
          <w:szCs w:val="24"/>
        </w:rPr>
        <w:t>1.3.5</w:t>
      </w:r>
      <w:r w:rsidRPr="002F5AFB">
        <w:rPr>
          <w:sz w:val="24"/>
          <w:szCs w:val="24"/>
        </w:rPr>
        <w:tab/>
        <w:t>Comparative Analysis and Considerations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6</w:t>
      </w:r>
    </w:p>
    <w:p w14:paraId="6B4B615C" w14:textId="77777777" w:rsidR="00455718" w:rsidRPr="002F5AFB" w:rsidRDefault="00455718" w:rsidP="002F5AFB">
      <w:pPr>
        <w:pStyle w:val="ListParagraph"/>
        <w:spacing w:line="276" w:lineRule="auto"/>
        <w:ind w:left="720" w:firstLine="0"/>
        <w:rPr>
          <w:sz w:val="24"/>
          <w:szCs w:val="24"/>
        </w:rPr>
      </w:pPr>
    </w:p>
    <w:p w14:paraId="45E2EE46"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Organic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14:paraId="2DDBC3D4" w14:textId="77777777" w:rsidR="002F5AFB" w:rsidRPr="002F5AFB" w:rsidRDefault="002F5AFB" w:rsidP="002F5AFB">
      <w:pPr>
        <w:pStyle w:val="ListParagraph"/>
        <w:spacing w:line="276" w:lineRule="auto"/>
        <w:ind w:left="720" w:firstLine="0"/>
        <w:rPr>
          <w:sz w:val="24"/>
          <w:szCs w:val="24"/>
        </w:rPr>
      </w:pPr>
      <w:r w:rsidRPr="002F5AFB">
        <w:rPr>
          <w:sz w:val="24"/>
          <w:szCs w:val="24"/>
        </w:rPr>
        <w:t>1.4.1</w:t>
      </w:r>
      <w:r w:rsidRPr="002F5AFB">
        <w:rPr>
          <w:sz w:val="24"/>
          <w:szCs w:val="24"/>
        </w:rPr>
        <w:tab/>
        <w:t>Alginates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14:paraId="62F47208" w14:textId="77777777" w:rsidR="002F5AFB" w:rsidRPr="002F5AFB" w:rsidRDefault="002F5AFB" w:rsidP="002F5AFB">
      <w:pPr>
        <w:pStyle w:val="ListParagraph"/>
        <w:spacing w:line="276" w:lineRule="auto"/>
        <w:ind w:left="720" w:firstLine="0"/>
        <w:rPr>
          <w:sz w:val="24"/>
          <w:szCs w:val="24"/>
        </w:rPr>
      </w:pPr>
      <w:r w:rsidRPr="002F5AFB">
        <w:rPr>
          <w:sz w:val="24"/>
          <w:szCs w:val="24"/>
        </w:rPr>
        <w:lastRenderedPageBreak/>
        <w:t>1.4.2</w:t>
      </w:r>
      <w:r w:rsidRPr="002F5AFB">
        <w:rPr>
          <w:sz w:val="24"/>
          <w:szCs w:val="24"/>
        </w:rPr>
        <w:tab/>
        <w:t>Amino Acid-Based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7</w:t>
      </w:r>
    </w:p>
    <w:p w14:paraId="56C78AD3" w14:textId="77777777" w:rsidR="002F5AFB" w:rsidRPr="002F5AFB" w:rsidRDefault="002F5AFB" w:rsidP="002F5AFB">
      <w:pPr>
        <w:pStyle w:val="ListParagraph"/>
        <w:spacing w:line="276" w:lineRule="auto"/>
        <w:ind w:left="720" w:firstLine="0"/>
        <w:rPr>
          <w:sz w:val="24"/>
          <w:szCs w:val="24"/>
        </w:rPr>
      </w:pPr>
      <w:r w:rsidRPr="002F5AFB">
        <w:rPr>
          <w:sz w:val="24"/>
          <w:szCs w:val="24"/>
        </w:rPr>
        <w:t>1.4.3</w:t>
      </w:r>
      <w:r w:rsidRPr="002F5AFB">
        <w:rPr>
          <w:sz w:val="24"/>
          <w:szCs w:val="24"/>
        </w:rPr>
        <w:tab/>
      </w:r>
      <w:proofErr w:type="spellStart"/>
      <w:r w:rsidRPr="002F5AFB">
        <w:rPr>
          <w:sz w:val="24"/>
          <w:szCs w:val="24"/>
        </w:rPr>
        <w:t>Sucralfate</w:t>
      </w:r>
      <w:proofErr w:type="spellEnd"/>
      <w:r w:rsidRPr="002F5AFB">
        <w:rPr>
          <w:sz w:val="24"/>
          <w:szCs w:val="24"/>
        </w:rPr>
        <w:t xml:space="preserve"> and Other Organic Buffers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8</w:t>
      </w:r>
    </w:p>
    <w:p w14:paraId="4025AC66" w14:textId="77777777" w:rsidR="002F5AFB" w:rsidRPr="002F5AFB" w:rsidRDefault="002F5AFB" w:rsidP="002F5AFB">
      <w:pPr>
        <w:pStyle w:val="ListParagraph"/>
        <w:spacing w:line="276" w:lineRule="auto"/>
        <w:ind w:left="720" w:firstLine="0"/>
        <w:rPr>
          <w:sz w:val="24"/>
          <w:szCs w:val="24"/>
        </w:rPr>
      </w:pPr>
      <w:r w:rsidRPr="002F5AFB">
        <w:rPr>
          <w:sz w:val="24"/>
          <w:szCs w:val="24"/>
        </w:rPr>
        <w:t>1.4.4</w:t>
      </w:r>
      <w:r w:rsidRPr="002F5AFB">
        <w:rPr>
          <w:sz w:val="24"/>
          <w:szCs w:val="24"/>
        </w:rPr>
        <w:tab/>
        <w:t>Comparative Analysis and Considerations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8</w:t>
      </w:r>
    </w:p>
    <w:p w14:paraId="0053A68A"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Properties of Antacids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14:paraId="2428BBAD" w14:textId="77777777" w:rsidR="002F5AFB" w:rsidRPr="002F5AFB" w:rsidRDefault="002F5AFB" w:rsidP="002F5AFB">
      <w:pPr>
        <w:pStyle w:val="ListParagraph"/>
        <w:spacing w:line="276" w:lineRule="auto"/>
        <w:ind w:left="720" w:firstLine="0"/>
        <w:rPr>
          <w:sz w:val="24"/>
          <w:szCs w:val="24"/>
        </w:rPr>
      </w:pPr>
      <w:r w:rsidRPr="002F5AFB">
        <w:rPr>
          <w:sz w:val="24"/>
          <w:szCs w:val="24"/>
        </w:rPr>
        <w:t>1.5.1</w:t>
      </w:r>
      <w:r w:rsidRPr="002F5AFB">
        <w:rPr>
          <w:sz w:val="24"/>
          <w:szCs w:val="24"/>
        </w:rPr>
        <w:tab/>
        <w:t>Solubility and Reaction Speed</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14:paraId="49B49086" w14:textId="77777777" w:rsidR="002F5AFB" w:rsidRPr="002F5AFB" w:rsidRDefault="002F5AFB" w:rsidP="002F5AFB">
      <w:pPr>
        <w:pStyle w:val="ListParagraph"/>
        <w:spacing w:line="276" w:lineRule="auto"/>
        <w:ind w:left="720" w:firstLine="0"/>
        <w:rPr>
          <w:sz w:val="24"/>
          <w:szCs w:val="24"/>
        </w:rPr>
      </w:pPr>
      <w:r w:rsidRPr="002F5AFB">
        <w:rPr>
          <w:sz w:val="24"/>
          <w:szCs w:val="24"/>
        </w:rPr>
        <w:t>1.5.2</w:t>
      </w:r>
      <w:r w:rsidRPr="002F5AFB">
        <w:rPr>
          <w:sz w:val="24"/>
          <w:szCs w:val="24"/>
        </w:rPr>
        <w:tab/>
        <w:t>Buffering Effect and pH Stability</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14:paraId="2F194124" w14:textId="77777777" w:rsidR="002F5AFB" w:rsidRPr="002F5AFB" w:rsidRDefault="002F5AFB" w:rsidP="002F5AFB">
      <w:pPr>
        <w:pStyle w:val="ListParagraph"/>
        <w:spacing w:line="276" w:lineRule="auto"/>
        <w:ind w:left="720" w:firstLine="0"/>
        <w:rPr>
          <w:sz w:val="24"/>
          <w:szCs w:val="24"/>
        </w:rPr>
      </w:pPr>
      <w:r w:rsidRPr="002F5AFB">
        <w:rPr>
          <w:sz w:val="24"/>
          <w:szCs w:val="24"/>
        </w:rPr>
        <w:t>1.5.3</w:t>
      </w:r>
      <w:r w:rsidRPr="002F5AFB">
        <w:rPr>
          <w:sz w:val="24"/>
          <w:szCs w:val="24"/>
        </w:rPr>
        <w:tab/>
        <w:t>Duration of Action</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9</w:t>
      </w:r>
    </w:p>
    <w:p w14:paraId="76E4E175" w14:textId="77777777" w:rsidR="002F5AFB" w:rsidRPr="002F5AFB" w:rsidRDefault="002F5AFB" w:rsidP="002F5AFB">
      <w:pPr>
        <w:pStyle w:val="ListParagraph"/>
        <w:spacing w:line="276" w:lineRule="auto"/>
        <w:ind w:left="720" w:firstLine="0"/>
        <w:rPr>
          <w:sz w:val="24"/>
          <w:szCs w:val="24"/>
        </w:rPr>
      </w:pPr>
      <w:r w:rsidRPr="002F5AFB">
        <w:rPr>
          <w:sz w:val="24"/>
          <w:szCs w:val="24"/>
        </w:rPr>
        <w:t>1.5.4</w:t>
      </w:r>
      <w:r w:rsidRPr="002F5AFB">
        <w:rPr>
          <w:sz w:val="24"/>
          <w:szCs w:val="24"/>
        </w:rPr>
        <w:tab/>
        <w:t>Side Effect Profile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14:paraId="45AA4E79" w14:textId="77777777" w:rsidR="002F5AFB" w:rsidRPr="002F5AFB" w:rsidRDefault="002F5AFB" w:rsidP="002F5AFB">
      <w:pPr>
        <w:pStyle w:val="ListParagraph"/>
        <w:spacing w:line="276" w:lineRule="auto"/>
        <w:ind w:left="720" w:firstLine="0"/>
        <w:rPr>
          <w:sz w:val="24"/>
          <w:szCs w:val="24"/>
        </w:rPr>
      </w:pPr>
      <w:r w:rsidRPr="002F5AFB">
        <w:rPr>
          <w:sz w:val="24"/>
          <w:szCs w:val="24"/>
        </w:rPr>
        <w:t>1.5.5</w:t>
      </w:r>
      <w:r w:rsidRPr="002F5AFB">
        <w:rPr>
          <w:sz w:val="24"/>
          <w:szCs w:val="24"/>
        </w:rPr>
        <w:tab/>
        <w:t>Comparative Analysis of Antacid Properties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14:paraId="3191534C"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Factors Affecting Antacids’ Effectiveness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14:paraId="2F354E32" w14:textId="77777777" w:rsidR="002F5AFB" w:rsidRPr="002F5AFB" w:rsidRDefault="002F5AFB" w:rsidP="002F5AFB">
      <w:pPr>
        <w:pStyle w:val="ListParagraph"/>
        <w:spacing w:line="276" w:lineRule="auto"/>
        <w:ind w:left="720" w:firstLine="0"/>
        <w:rPr>
          <w:sz w:val="24"/>
          <w:szCs w:val="24"/>
        </w:rPr>
      </w:pPr>
      <w:r w:rsidRPr="002F5AFB">
        <w:rPr>
          <w:sz w:val="24"/>
          <w:szCs w:val="24"/>
        </w:rPr>
        <w:t>1.6.1</w:t>
      </w:r>
      <w:r w:rsidRPr="002F5AFB">
        <w:rPr>
          <w:sz w:val="24"/>
          <w:szCs w:val="24"/>
        </w:rPr>
        <w:tab/>
        <w:t>Gastric pH and Acid Load</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10</w:t>
      </w:r>
    </w:p>
    <w:p w14:paraId="2B05A7DC" w14:textId="77777777" w:rsidR="002F5AFB" w:rsidRPr="002F5AFB" w:rsidRDefault="002F5AFB" w:rsidP="002F5AFB">
      <w:pPr>
        <w:pStyle w:val="ListParagraph"/>
        <w:spacing w:line="276" w:lineRule="auto"/>
        <w:ind w:left="720" w:firstLine="0"/>
        <w:rPr>
          <w:sz w:val="24"/>
          <w:szCs w:val="24"/>
        </w:rPr>
      </w:pPr>
      <w:r w:rsidRPr="002F5AFB">
        <w:rPr>
          <w:sz w:val="24"/>
          <w:szCs w:val="24"/>
        </w:rPr>
        <w:t>1.6.2</w:t>
      </w:r>
      <w:r w:rsidRPr="002F5AFB">
        <w:rPr>
          <w:sz w:val="24"/>
          <w:szCs w:val="24"/>
        </w:rPr>
        <w:tab/>
        <w:t>Food Intake and Gastric Emptying Rate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11</w:t>
      </w:r>
    </w:p>
    <w:p w14:paraId="130578A5" w14:textId="77777777" w:rsidR="002F5AFB" w:rsidRPr="002F5AFB" w:rsidRDefault="002F5AFB" w:rsidP="002F5AFB">
      <w:pPr>
        <w:pStyle w:val="ListParagraph"/>
        <w:spacing w:line="276" w:lineRule="auto"/>
        <w:ind w:left="720" w:firstLine="0"/>
        <w:rPr>
          <w:sz w:val="24"/>
          <w:szCs w:val="24"/>
        </w:rPr>
      </w:pPr>
      <w:r w:rsidRPr="002F5AFB">
        <w:rPr>
          <w:sz w:val="24"/>
          <w:szCs w:val="24"/>
        </w:rPr>
        <w:t>1.6.3</w:t>
      </w:r>
      <w:r w:rsidRPr="002F5AFB">
        <w:rPr>
          <w:sz w:val="24"/>
          <w:szCs w:val="24"/>
        </w:rPr>
        <w:tab/>
        <w:t>Dosage and Frequency of Use</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11</w:t>
      </w:r>
    </w:p>
    <w:p w14:paraId="53F1FDA0" w14:textId="77777777" w:rsidR="002F5AFB" w:rsidRPr="002F5AFB" w:rsidRDefault="002F5AFB" w:rsidP="002F5AFB">
      <w:pPr>
        <w:pStyle w:val="ListParagraph"/>
        <w:spacing w:line="276" w:lineRule="auto"/>
        <w:ind w:left="720" w:firstLine="0"/>
        <w:rPr>
          <w:sz w:val="24"/>
          <w:szCs w:val="24"/>
        </w:rPr>
      </w:pPr>
      <w:r w:rsidRPr="002F5AFB">
        <w:rPr>
          <w:sz w:val="24"/>
          <w:szCs w:val="24"/>
        </w:rPr>
        <w:t>1.6.4</w:t>
      </w:r>
      <w:r w:rsidRPr="002F5AFB">
        <w:rPr>
          <w:sz w:val="24"/>
          <w:szCs w:val="24"/>
        </w:rPr>
        <w:tab/>
        <w:t>Formulation Type (Liquid vs. Tablet vs. Effervescent)</w:t>
      </w:r>
      <w:r w:rsidRPr="002F5AFB">
        <w:rPr>
          <w:sz w:val="24"/>
          <w:szCs w:val="24"/>
        </w:rPr>
        <w:tab/>
      </w:r>
      <w:r w:rsidRPr="002F5AFB">
        <w:rPr>
          <w:sz w:val="24"/>
          <w:szCs w:val="24"/>
        </w:rPr>
        <w:tab/>
      </w:r>
      <w:r w:rsidRPr="002F5AFB">
        <w:rPr>
          <w:sz w:val="24"/>
          <w:szCs w:val="24"/>
        </w:rPr>
        <w:tab/>
        <w:t>11</w:t>
      </w:r>
    </w:p>
    <w:p w14:paraId="059BB8FF" w14:textId="77777777" w:rsidR="002F5AFB" w:rsidRPr="002F5AFB" w:rsidRDefault="002F5AFB" w:rsidP="002F5AFB">
      <w:pPr>
        <w:pStyle w:val="ListParagraph"/>
        <w:spacing w:line="276" w:lineRule="auto"/>
        <w:ind w:left="720" w:firstLine="0"/>
        <w:rPr>
          <w:sz w:val="24"/>
          <w:szCs w:val="24"/>
        </w:rPr>
      </w:pPr>
      <w:r w:rsidRPr="002F5AFB">
        <w:rPr>
          <w:sz w:val="24"/>
          <w:szCs w:val="24"/>
        </w:rPr>
        <w:t xml:space="preserve">1.6.5 </w:t>
      </w:r>
      <w:r w:rsidRPr="002F5AFB">
        <w:rPr>
          <w:sz w:val="24"/>
          <w:szCs w:val="24"/>
        </w:rPr>
        <w:tab/>
        <w:t>Drug Interactions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14:paraId="4214C842" w14:textId="77777777" w:rsidR="002F5AFB" w:rsidRPr="002F5AFB" w:rsidRDefault="002F5AFB" w:rsidP="002F5AFB">
      <w:pPr>
        <w:pStyle w:val="ListParagraph"/>
        <w:spacing w:line="276" w:lineRule="auto"/>
        <w:ind w:left="720" w:firstLine="0"/>
        <w:rPr>
          <w:sz w:val="24"/>
          <w:szCs w:val="24"/>
        </w:rPr>
      </w:pPr>
      <w:r w:rsidRPr="002F5AFB">
        <w:rPr>
          <w:sz w:val="24"/>
          <w:szCs w:val="24"/>
        </w:rPr>
        <w:t>1.6.6</w:t>
      </w:r>
      <w:r w:rsidRPr="002F5AFB">
        <w:rPr>
          <w:sz w:val="24"/>
          <w:szCs w:val="24"/>
        </w:rPr>
        <w:tab/>
        <w:t>Patient-Specific Conditions</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14:paraId="3253599A" w14:textId="77777777" w:rsidR="002F5AFB" w:rsidRPr="002F5AFB" w:rsidRDefault="002F5AFB" w:rsidP="002F5AFB">
      <w:pPr>
        <w:pStyle w:val="ListParagraph"/>
        <w:numPr>
          <w:ilvl w:val="1"/>
          <w:numId w:val="15"/>
        </w:numPr>
        <w:spacing w:line="276" w:lineRule="auto"/>
        <w:rPr>
          <w:sz w:val="24"/>
          <w:szCs w:val="24"/>
        </w:rPr>
      </w:pPr>
      <w:r w:rsidRPr="002F5AFB">
        <w:rPr>
          <w:sz w:val="24"/>
          <w:szCs w:val="24"/>
        </w:rPr>
        <w:t>Acid Neutralizing Capacity (ANC)</w:t>
      </w:r>
      <w:r w:rsidRPr="002F5AFB">
        <w:rPr>
          <w:sz w:val="24"/>
          <w:szCs w:val="24"/>
        </w:rPr>
        <w:t> </w:t>
      </w:r>
      <w:r w:rsidR="00455718">
        <w:rPr>
          <w:sz w:val="24"/>
          <w:szCs w:val="24"/>
        </w:rPr>
        <w:tab/>
      </w:r>
      <w:r w:rsidR="00455718">
        <w:rPr>
          <w:sz w:val="24"/>
          <w:szCs w:val="24"/>
        </w:rPr>
        <w:tab/>
      </w:r>
      <w:r w:rsidR="00455718">
        <w:rPr>
          <w:sz w:val="24"/>
          <w:szCs w:val="24"/>
        </w:rPr>
        <w:tab/>
      </w:r>
      <w:r w:rsidR="00455718">
        <w:rPr>
          <w:sz w:val="24"/>
          <w:szCs w:val="24"/>
        </w:rPr>
        <w:tab/>
      </w:r>
      <w:r w:rsidRPr="002F5AFB">
        <w:rPr>
          <w:sz w:val="24"/>
          <w:szCs w:val="24"/>
        </w:rPr>
        <w:tab/>
      </w:r>
      <w:r w:rsidRPr="002F5AFB">
        <w:rPr>
          <w:sz w:val="24"/>
          <w:szCs w:val="24"/>
        </w:rPr>
        <w:tab/>
        <w:t>12</w:t>
      </w:r>
    </w:p>
    <w:p w14:paraId="42A149AE" w14:textId="77777777" w:rsidR="002F5AFB" w:rsidRPr="002F5AFB" w:rsidRDefault="002F5AFB" w:rsidP="002F5AFB">
      <w:pPr>
        <w:pStyle w:val="ListParagraph"/>
        <w:spacing w:line="276" w:lineRule="auto"/>
        <w:ind w:left="720" w:firstLine="0"/>
        <w:rPr>
          <w:sz w:val="24"/>
          <w:szCs w:val="24"/>
        </w:rPr>
      </w:pPr>
      <w:r w:rsidRPr="002F5AFB">
        <w:rPr>
          <w:sz w:val="24"/>
          <w:szCs w:val="24"/>
        </w:rPr>
        <w:t>1.7.1</w:t>
      </w:r>
      <w:r w:rsidRPr="002F5AFB">
        <w:rPr>
          <w:sz w:val="24"/>
          <w:szCs w:val="24"/>
        </w:rPr>
        <w:tab/>
        <w:t>Factors Influencing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12</w:t>
      </w:r>
    </w:p>
    <w:p w14:paraId="40945ECB" w14:textId="77777777" w:rsidR="002F5AFB" w:rsidRPr="002F5AFB" w:rsidRDefault="002F5AFB" w:rsidP="002F5AFB">
      <w:pPr>
        <w:pStyle w:val="ListParagraph"/>
        <w:spacing w:line="276" w:lineRule="auto"/>
        <w:ind w:left="720" w:firstLine="0"/>
        <w:rPr>
          <w:sz w:val="24"/>
          <w:szCs w:val="24"/>
        </w:rPr>
      </w:pPr>
      <w:r w:rsidRPr="002F5AFB">
        <w:rPr>
          <w:sz w:val="24"/>
          <w:szCs w:val="24"/>
        </w:rPr>
        <w:t>1.7.2</w:t>
      </w:r>
      <w:r w:rsidRPr="002F5AFB">
        <w:rPr>
          <w:sz w:val="24"/>
          <w:szCs w:val="24"/>
        </w:rPr>
        <w:tab/>
        <w:t>Methods for Determining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13</w:t>
      </w:r>
    </w:p>
    <w:p w14:paraId="17056FA2" w14:textId="77777777" w:rsidR="002F5AFB" w:rsidRPr="002F5AFB" w:rsidRDefault="002F5AFB" w:rsidP="002F5AFB">
      <w:pPr>
        <w:pStyle w:val="ListParagraph"/>
        <w:spacing w:line="276" w:lineRule="auto"/>
        <w:ind w:left="720" w:firstLine="0"/>
        <w:rPr>
          <w:sz w:val="24"/>
          <w:szCs w:val="24"/>
        </w:rPr>
      </w:pPr>
      <w:r w:rsidRPr="002F5AFB">
        <w:rPr>
          <w:sz w:val="24"/>
          <w:szCs w:val="24"/>
        </w:rPr>
        <w:t>1.7.3</w:t>
      </w:r>
      <w:r w:rsidRPr="002F5AFB">
        <w:rPr>
          <w:sz w:val="24"/>
          <w:szCs w:val="24"/>
        </w:rPr>
        <w:tab/>
        <w:t>Clinical Implications of ANC</w:t>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r>
      <w:r w:rsidRPr="002F5AFB">
        <w:rPr>
          <w:sz w:val="24"/>
          <w:szCs w:val="24"/>
        </w:rPr>
        <w:tab/>
        <w:t>13</w:t>
      </w:r>
    </w:p>
    <w:p w14:paraId="4698642E" w14:textId="77777777" w:rsidR="002F5AFB" w:rsidRPr="002F5AFB" w:rsidRDefault="002F5AFB" w:rsidP="002F5AFB">
      <w:pPr>
        <w:pStyle w:val="ListParagraph"/>
        <w:spacing w:line="276" w:lineRule="auto"/>
        <w:ind w:left="720" w:firstLine="0"/>
        <w:rPr>
          <w:sz w:val="24"/>
          <w:szCs w:val="24"/>
        </w:rPr>
      </w:pPr>
      <w:r w:rsidRPr="002F5AFB">
        <w:rPr>
          <w:sz w:val="24"/>
          <w:szCs w:val="24"/>
        </w:rPr>
        <w:t>1.7.4</w:t>
      </w:r>
      <w:r w:rsidRPr="002F5AFB">
        <w:rPr>
          <w:sz w:val="24"/>
          <w:szCs w:val="24"/>
        </w:rPr>
        <w:tab/>
        <w:t>Comparison of ANC Among Antacid Formulations</w:t>
      </w:r>
      <w:r w:rsidRPr="002F5AFB">
        <w:rPr>
          <w:sz w:val="24"/>
          <w:szCs w:val="24"/>
        </w:rPr>
        <w:tab/>
      </w:r>
      <w:r w:rsidRPr="002F5AFB">
        <w:rPr>
          <w:sz w:val="24"/>
          <w:szCs w:val="24"/>
        </w:rPr>
        <w:tab/>
      </w:r>
      <w:r w:rsidRPr="002F5AFB">
        <w:rPr>
          <w:sz w:val="24"/>
          <w:szCs w:val="24"/>
        </w:rPr>
        <w:tab/>
      </w:r>
      <w:r w:rsidRPr="002F5AFB">
        <w:rPr>
          <w:sz w:val="24"/>
          <w:szCs w:val="24"/>
        </w:rPr>
        <w:tab/>
        <w:t>13</w:t>
      </w:r>
    </w:p>
    <w:p w14:paraId="5F4819BE"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1.8</w:t>
      </w:r>
      <w:r w:rsidRPr="002F5AFB">
        <w:rPr>
          <w:rFonts w:ascii="Times New Roman" w:hAnsi="Times New Roman" w:cs="Times New Roman"/>
          <w:sz w:val="24"/>
          <w:szCs w:val="24"/>
        </w:rPr>
        <w:tab/>
        <w:t>Statement of the Problem</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14</w:t>
      </w:r>
    </w:p>
    <w:p w14:paraId="6C10707A"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 xml:space="preserve">1.9 </w:t>
      </w:r>
      <w:r w:rsidRPr="002F5AFB">
        <w:rPr>
          <w:rFonts w:ascii="Times New Roman" w:hAnsi="Times New Roman" w:cs="Times New Roman"/>
          <w:sz w:val="24"/>
          <w:szCs w:val="24"/>
        </w:rPr>
        <w:tab/>
        <w:t>Significance of the Study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15</w:t>
      </w:r>
    </w:p>
    <w:p w14:paraId="4DB7EC16"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1.10</w:t>
      </w:r>
      <w:r w:rsidRPr="002F5AFB">
        <w:rPr>
          <w:rFonts w:ascii="Times New Roman" w:hAnsi="Times New Roman" w:cs="Times New Roman"/>
          <w:sz w:val="24"/>
          <w:szCs w:val="24"/>
        </w:rPr>
        <w:tab/>
        <w:t>Aims and Objectives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15</w:t>
      </w:r>
    </w:p>
    <w:p w14:paraId="23E8D3E6" w14:textId="77777777"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lastRenderedPageBreak/>
        <w:t>CHAPTER TWO: LITERATURE REVIEW</w:t>
      </w:r>
    </w:p>
    <w:p w14:paraId="3615D21B"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2.1</w:t>
      </w:r>
      <w:r w:rsidRPr="002F5AFB">
        <w:rPr>
          <w:rFonts w:ascii="Times New Roman" w:hAnsi="Times New Roman" w:cs="Times New Roman"/>
          <w:sz w:val="24"/>
          <w:szCs w:val="24"/>
        </w:rPr>
        <w:tab/>
        <w:t>Mechanisms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16</w:t>
      </w:r>
    </w:p>
    <w:p w14:paraId="7E2A2E7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2.1.1</w:t>
      </w:r>
      <w:r w:rsidRPr="002F5AFB">
        <w:rPr>
          <w:rFonts w:ascii="Times New Roman" w:hAnsi="Times New Roman" w:cs="Times New Roman"/>
          <w:sz w:val="24"/>
          <w:szCs w:val="24"/>
        </w:rPr>
        <w:tab/>
        <w:t>Neutralization Reaction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16</w:t>
      </w:r>
    </w:p>
    <w:p w14:paraId="3344C70C"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2.1.2</w:t>
      </w:r>
      <w:r w:rsidRPr="002F5AFB">
        <w:rPr>
          <w:rFonts w:ascii="Times New Roman" w:hAnsi="Times New Roman" w:cs="Times New Roman"/>
          <w:sz w:val="24"/>
          <w:szCs w:val="24"/>
        </w:rPr>
        <w:tab/>
        <w:t>Buffering and Mucosal Protection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14:paraId="7094E5F5"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2.1.3</w:t>
      </w:r>
      <w:r w:rsidRPr="002F5AFB">
        <w:rPr>
          <w:rFonts w:ascii="Times New Roman" w:hAnsi="Times New Roman" w:cs="Times New Roman"/>
          <w:sz w:val="24"/>
          <w:szCs w:val="24"/>
        </w:rPr>
        <w:tab/>
        <w:t>Interaction with Pepsin and Bile 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14:paraId="1B46D69A"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2.1.4</w:t>
      </w:r>
      <w:r w:rsidRPr="002F5AFB">
        <w:rPr>
          <w:rFonts w:ascii="Times New Roman" w:hAnsi="Times New Roman" w:cs="Times New Roman"/>
          <w:sz w:val="24"/>
          <w:szCs w:val="24"/>
        </w:rPr>
        <w:tab/>
        <w:t>Effect on Gastric Emptying and Gastrointestinal Motility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17</w:t>
      </w:r>
    </w:p>
    <w:p w14:paraId="07A3895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2.2</w:t>
      </w:r>
      <w:r w:rsidRPr="002F5AFB">
        <w:rPr>
          <w:rFonts w:ascii="Times New Roman" w:hAnsi="Times New Roman" w:cs="Times New Roman"/>
          <w:sz w:val="24"/>
          <w:szCs w:val="24"/>
        </w:rPr>
        <w:tab/>
        <w:t>Chemical Neutralization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14:paraId="27D7CB2F"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2.3</w:t>
      </w:r>
      <w:r w:rsidRPr="002F5AFB">
        <w:rPr>
          <w:rFonts w:ascii="Times New Roman" w:hAnsi="Times New Roman" w:cs="Times New Roman"/>
          <w:sz w:val="24"/>
          <w:szCs w:val="24"/>
        </w:rPr>
        <w:tab/>
        <w:t>Methods of Evaluating Acid Neutralizing Capacity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14:paraId="1C9A8CFD"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2.3.1</w:t>
      </w:r>
      <w:r w:rsidRPr="002F5AFB">
        <w:rPr>
          <w:rFonts w:ascii="Times New Roman" w:hAnsi="Times New Roman" w:cs="Times New Roman"/>
          <w:sz w:val="24"/>
          <w:szCs w:val="24"/>
        </w:rPr>
        <w:tab/>
        <w:t>Titration Methods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18</w:t>
      </w:r>
    </w:p>
    <w:p w14:paraId="701F8140"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2.3.2</w:t>
      </w:r>
      <w:r w:rsidRPr="002F5AFB">
        <w:rPr>
          <w:rFonts w:ascii="Times New Roman" w:hAnsi="Times New Roman" w:cs="Times New Roman"/>
          <w:sz w:val="24"/>
          <w:szCs w:val="24"/>
        </w:rPr>
        <w:tab/>
        <w:t>pH Analysis and pH Stat Methods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14:paraId="03AE6F10"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2.3.3</w:t>
      </w:r>
      <w:r w:rsidRPr="002F5AFB">
        <w:rPr>
          <w:rFonts w:ascii="Times New Roman" w:hAnsi="Times New Roman" w:cs="Times New Roman"/>
          <w:sz w:val="24"/>
          <w:szCs w:val="24"/>
        </w:rPr>
        <w:tab/>
        <w:t>In-Vitro Gastric Acid Simulation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14:paraId="55E76133"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2.3.4</w:t>
      </w:r>
      <w:r w:rsidRPr="002F5AFB">
        <w:rPr>
          <w:rFonts w:ascii="Times New Roman" w:hAnsi="Times New Roman" w:cs="Times New Roman"/>
          <w:sz w:val="24"/>
          <w:szCs w:val="24"/>
        </w:rPr>
        <w:tab/>
      </w:r>
      <w:proofErr w:type="spellStart"/>
      <w:r w:rsidRPr="002F5AFB">
        <w:rPr>
          <w:rFonts w:ascii="Times New Roman" w:hAnsi="Times New Roman" w:cs="Times New Roman"/>
          <w:sz w:val="24"/>
          <w:szCs w:val="24"/>
        </w:rPr>
        <w:t>Conductometric</w:t>
      </w:r>
      <w:proofErr w:type="spellEnd"/>
      <w:r w:rsidRPr="002F5AFB">
        <w:rPr>
          <w:rFonts w:ascii="Times New Roman" w:hAnsi="Times New Roman" w:cs="Times New Roman"/>
          <w:sz w:val="24"/>
          <w:szCs w:val="24"/>
        </w:rPr>
        <w:t xml:space="preserve"> and </w:t>
      </w:r>
      <w:proofErr w:type="spellStart"/>
      <w:r w:rsidRPr="002F5AFB">
        <w:rPr>
          <w:rFonts w:ascii="Times New Roman" w:hAnsi="Times New Roman" w:cs="Times New Roman"/>
          <w:sz w:val="24"/>
          <w:szCs w:val="24"/>
        </w:rPr>
        <w:t>Spectrophometric</w:t>
      </w:r>
      <w:proofErr w:type="spellEnd"/>
      <w:r w:rsidRPr="002F5AFB">
        <w:rPr>
          <w:rFonts w:ascii="Times New Roman" w:hAnsi="Times New Roman" w:cs="Times New Roman"/>
          <w:sz w:val="24"/>
          <w:szCs w:val="24"/>
        </w:rPr>
        <w:t xml:space="preserve"> Analysis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19</w:t>
      </w:r>
    </w:p>
    <w:p w14:paraId="2888B7B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2.3.5</w:t>
      </w:r>
      <w:r w:rsidRPr="002F5AFB">
        <w:rPr>
          <w:rFonts w:ascii="Times New Roman" w:hAnsi="Times New Roman" w:cs="Times New Roman"/>
          <w:sz w:val="24"/>
          <w:szCs w:val="24"/>
        </w:rPr>
        <w:tab/>
        <w:t>Clinical and Pharmacokinetic Studies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14:paraId="1FFBFD29"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2.4</w:t>
      </w:r>
      <w:r w:rsidRPr="002F5AFB">
        <w:rPr>
          <w:rFonts w:ascii="Times New Roman" w:hAnsi="Times New Roman" w:cs="Times New Roman"/>
          <w:sz w:val="24"/>
          <w:szCs w:val="24"/>
        </w:rPr>
        <w:tab/>
        <w:t>Health Implications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14:paraId="212BCB0A"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2.4.1</w:t>
      </w:r>
      <w:r w:rsidRPr="002F5AFB">
        <w:rPr>
          <w:rFonts w:ascii="Times New Roman" w:hAnsi="Times New Roman" w:cs="Times New Roman"/>
          <w:sz w:val="24"/>
          <w:szCs w:val="24"/>
        </w:rPr>
        <w:tab/>
        <w:t>Electrolyte and Metabolic Imbalances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14:paraId="2818FA81"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2.4.2</w:t>
      </w:r>
      <w:r w:rsidRPr="002F5AFB">
        <w:rPr>
          <w:rFonts w:ascii="Times New Roman" w:hAnsi="Times New Roman" w:cs="Times New Roman"/>
          <w:sz w:val="24"/>
          <w:szCs w:val="24"/>
        </w:rPr>
        <w:tab/>
        <w:t>Gastrointestinal Side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20</w:t>
      </w:r>
    </w:p>
    <w:p w14:paraId="614EDF5C"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2.4.3</w:t>
      </w:r>
      <w:r w:rsidRPr="002F5AFB">
        <w:rPr>
          <w:rFonts w:ascii="Times New Roman" w:hAnsi="Times New Roman" w:cs="Times New Roman"/>
          <w:sz w:val="24"/>
          <w:szCs w:val="24"/>
        </w:rPr>
        <w:tab/>
        <w:t>Drug Interactions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14:paraId="29DBA49D"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2.4.4</w:t>
      </w:r>
      <w:r w:rsidRPr="002F5AFB">
        <w:rPr>
          <w:rFonts w:ascii="Times New Roman" w:hAnsi="Times New Roman" w:cs="Times New Roman"/>
          <w:sz w:val="24"/>
          <w:szCs w:val="24"/>
        </w:rPr>
        <w:tab/>
        <w:t>Risk of Acid Rebound</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14:paraId="6A46ECDB"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2.4.5</w:t>
      </w:r>
      <w:r w:rsidRPr="002F5AFB">
        <w:rPr>
          <w:rFonts w:ascii="Times New Roman" w:hAnsi="Times New Roman" w:cs="Times New Roman"/>
          <w:sz w:val="24"/>
          <w:szCs w:val="24"/>
        </w:rPr>
        <w:tab/>
        <w:t>Aluminum Toxicity and Neurological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21</w:t>
      </w:r>
    </w:p>
    <w:p w14:paraId="3DF974E3"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2.5</w:t>
      </w:r>
      <w:r w:rsidRPr="002F5AFB">
        <w:rPr>
          <w:rFonts w:ascii="Times New Roman" w:hAnsi="Times New Roman" w:cs="Times New Roman"/>
          <w:sz w:val="24"/>
          <w:szCs w:val="24"/>
        </w:rPr>
        <w:tab/>
        <w:t>Positive Effects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14:paraId="2605EE73"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2.5.1</w:t>
      </w:r>
      <w:r w:rsidRPr="002F5AFB">
        <w:rPr>
          <w:rFonts w:ascii="Times New Roman" w:hAnsi="Times New Roman" w:cs="Times New Roman"/>
          <w:sz w:val="24"/>
          <w:szCs w:val="24"/>
        </w:rPr>
        <w:tab/>
        <w:t>Rapid Relief of Heartburn and Acid Reflux</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14:paraId="4C997E47"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ab/>
        <w:t>2.5.2</w:t>
      </w:r>
      <w:r w:rsidRPr="002F5AFB">
        <w:rPr>
          <w:rFonts w:ascii="Times New Roman" w:hAnsi="Times New Roman" w:cs="Times New Roman"/>
          <w:sz w:val="24"/>
          <w:szCs w:val="24"/>
        </w:rPr>
        <w:tab/>
        <w:t>Prevention of Peptic Ulcer Complications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22</w:t>
      </w:r>
    </w:p>
    <w:p w14:paraId="378E5517"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2.5.3</w:t>
      </w:r>
      <w:r w:rsidRPr="002F5AFB">
        <w:rPr>
          <w:rFonts w:ascii="Times New Roman" w:hAnsi="Times New Roman" w:cs="Times New Roman"/>
          <w:sz w:val="24"/>
          <w:szCs w:val="24"/>
        </w:rPr>
        <w:tab/>
        <w:t>Enhancing Esophageal and Stomach Mucosal Protection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14:paraId="6A633163"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2.5.4</w:t>
      </w:r>
      <w:r w:rsidRPr="002F5AFB">
        <w:rPr>
          <w:rFonts w:ascii="Times New Roman" w:hAnsi="Times New Roman" w:cs="Times New Roman"/>
          <w:sz w:val="24"/>
          <w:szCs w:val="24"/>
        </w:rPr>
        <w:tab/>
        <w:t>Support for Bone Health (Calcium-Based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14:paraId="7A6AA197"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2.5.5</w:t>
      </w:r>
      <w:r w:rsidRPr="002F5AFB">
        <w:rPr>
          <w:rFonts w:ascii="Times New Roman" w:hAnsi="Times New Roman" w:cs="Times New Roman"/>
          <w:sz w:val="24"/>
          <w:szCs w:val="24"/>
        </w:rPr>
        <w:tab/>
        <w:t>Reducing Phosphate Levels in Chronic Kidney Disease (CKD)</w:t>
      </w:r>
      <w:r w:rsidRPr="002F5AFB">
        <w:rPr>
          <w:rFonts w:ascii="Times New Roman" w:hAnsi="Times New Roman" w:cs="Times New Roman"/>
          <w:sz w:val="24"/>
          <w:szCs w:val="24"/>
        </w:rPr>
        <w:tab/>
      </w:r>
      <w:r w:rsidRPr="002F5AFB">
        <w:rPr>
          <w:rFonts w:ascii="Times New Roman" w:hAnsi="Times New Roman" w:cs="Times New Roman"/>
          <w:sz w:val="24"/>
          <w:szCs w:val="24"/>
        </w:rPr>
        <w:tab/>
        <w:t>23</w:t>
      </w:r>
    </w:p>
    <w:p w14:paraId="67C61D0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2.6</w:t>
      </w:r>
      <w:r w:rsidRPr="002F5AFB">
        <w:rPr>
          <w:rFonts w:ascii="Times New Roman" w:hAnsi="Times New Roman" w:cs="Times New Roman"/>
          <w:sz w:val="24"/>
          <w:szCs w:val="24"/>
        </w:rPr>
        <w:tab/>
        <w:t>Negative Effects of Antacids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14:paraId="3653B90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2.6.1</w:t>
      </w:r>
      <w:r w:rsidRPr="002F5AFB">
        <w:rPr>
          <w:rFonts w:ascii="Times New Roman" w:hAnsi="Times New Roman" w:cs="Times New Roman"/>
          <w:sz w:val="24"/>
          <w:szCs w:val="24"/>
        </w:rPr>
        <w:tab/>
        <w:t>Electrolyte Imbalances and Metabolic Disorders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14:paraId="44ED4F0D"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2.6.2</w:t>
      </w:r>
      <w:r w:rsidRPr="002F5AFB">
        <w:rPr>
          <w:rFonts w:ascii="Times New Roman" w:hAnsi="Times New Roman" w:cs="Times New Roman"/>
          <w:sz w:val="24"/>
          <w:szCs w:val="24"/>
        </w:rPr>
        <w:tab/>
        <w:t>Gastrointestinal Side Effects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24</w:t>
      </w:r>
    </w:p>
    <w:p w14:paraId="5EFE90F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2.6.3</w:t>
      </w:r>
      <w:r w:rsidRPr="002F5AFB">
        <w:rPr>
          <w:rFonts w:ascii="Times New Roman" w:hAnsi="Times New Roman" w:cs="Times New Roman"/>
          <w:sz w:val="24"/>
          <w:szCs w:val="24"/>
        </w:rPr>
        <w:tab/>
        <w:t>Drug Interactions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14:paraId="670B6AFB"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2.6.4</w:t>
      </w:r>
      <w:r w:rsidRPr="002F5AFB">
        <w:rPr>
          <w:rFonts w:ascii="Times New Roman" w:hAnsi="Times New Roman" w:cs="Times New Roman"/>
          <w:sz w:val="24"/>
          <w:szCs w:val="24"/>
        </w:rPr>
        <w:tab/>
        <w:t xml:space="preserve">Rebound Acid </w:t>
      </w:r>
      <w:proofErr w:type="spellStart"/>
      <w:r w:rsidRPr="002F5AFB">
        <w:rPr>
          <w:rFonts w:ascii="Times New Roman" w:hAnsi="Times New Roman" w:cs="Times New Roman"/>
          <w:sz w:val="24"/>
          <w:szCs w:val="24"/>
        </w:rPr>
        <w:t>Hypersecretion</w:t>
      </w:r>
      <w:proofErr w:type="spellEnd"/>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14:paraId="3C13FB92"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2.6.5</w:t>
      </w:r>
      <w:r w:rsidRPr="002F5AFB">
        <w:rPr>
          <w:rFonts w:ascii="Times New Roman" w:hAnsi="Times New Roman" w:cs="Times New Roman"/>
          <w:sz w:val="24"/>
          <w:szCs w:val="24"/>
        </w:rPr>
        <w:tab/>
        <w:t>Aluminum Toxicity and Neurological Concerns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25</w:t>
      </w:r>
    </w:p>
    <w:p w14:paraId="65A6E874"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2.7</w:t>
      </w:r>
      <w:r w:rsidRPr="002F5AFB">
        <w:rPr>
          <w:rFonts w:ascii="Times New Roman" w:hAnsi="Times New Roman" w:cs="Times New Roman"/>
          <w:sz w:val="24"/>
          <w:szCs w:val="24"/>
        </w:rPr>
        <w:tab/>
        <w:t>Relief of Acid Reflux and Heartburn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14:paraId="4F3090DE"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2.7.1</w:t>
      </w:r>
      <w:r w:rsidRPr="002F5AFB">
        <w:rPr>
          <w:rFonts w:ascii="Times New Roman" w:hAnsi="Times New Roman" w:cs="Times New Roman"/>
          <w:sz w:val="24"/>
          <w:szCs w:val="24"/>
        </w:rPr>
        <w:tab/>
        <w:t>Mechanism of Antacids in Acid Reflux Relief</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14:paraId="15326F9D"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2.7.2</w:t>
      </w:r>
      <w:r w:rsidRPr="002F5AFB">
        <w:rPr>
          <w:rFonts w:ascii="Times New Roman" w:hAnsi="Times New Roman" w:cs="Times New Roman"/>
          <w:sz w:val="24"/>
          <w:szCs w:val="24"/>
        </w:rPr>
        <w:tab/>
        <w:t>Comparing Antacids with Other Acid Suppressors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26</w:t>
      </w:r>
    </w:p>
    <w:p w14:paraId="4AF0A124"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2.7.3</w:t>
      </w:r>
      <w:r w:rsidRPr="002F5AFB">
        <w:rPr>
          <w:rFonts w:ascii="Times New Roman" w:hAnsi="Times New Roman" w:cs="Times New Roman"/>
          <w:sz w:val="24"/>
          <w:szCs w:val="24"/>
        </w:rPr>
        <w:tab/>
        <w:t>Combination Antacids for Enhanced Efficacy</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14:paraId="0C62CA62" w14:textId="77777777" w:rsid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2.7.4</w:t>
      </w:r>
      <w:r w:rsidRPr="002F5AFB">
        <w:rPr>
          <w:rFonts w:ascii="Times New Roman" w:hAnsi="Times New Roman" w:cs="Times New Roman"/>
          <w:sz w:val="24"/>
          <w:szCs w:val="24"/>
        </w:rPr>
        <w:tab/>
        <w:t>Considerations and Precautions in Antacid Use</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14:paraId="44FABF15" w14:textId="77777777" w:rsidR="00455718" w:rsidRPr="002F5AFB" w:rsidRDefault="00455718" w:rsidP="002F5AFB">
      <w:pPr>
        <w:spacing w:before="240"/>
        <w:rPr>
          <w:rFonts w:ascii="Times New Roman" w:hAnsi="Times New Roman" w:cs="Times New Roman"/>
          <w:sz w:val="24"/>
          <w:szCs w:val="24"/>
        </w:rPr>
      </w:pPr>
    </w:p>
    <w:p w14:paraId="62816C48"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2.8</w:t>
      </w:r>
      <w:r w:rsidRPr="002F5AFB">
        <w:rPr>
          <w:rFonts w:ascii="Times New Roman" w:hAnsi="Times New Roman" w:cs="Times New Roman"/>
          <w:sz w:val="24"/>
          <w:szCs w:val="24"/>
        </w:rPr>
        <w:tab/>
        <w:t>Antacid Use in Special Populations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14:paraId="1A23F654"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2.8.1</w:t>
      </w:r>
      <w:r w:rsidRPr="002F5AFB">
        <w:rPr>
          <w:rFonts w:ascii="Times New Roman" w:hAnsi="Times New Roman" w:cs="Times New Roman"/>
          <w:sz w:val="24"/>
          <w:szCs w:val="24"/>
        </w:rPr>
        <w:tab/>
        <w:t>Antacid Use in Pregnant Women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27</w:t>
      </w:r>
    </w:p>
    <w:p w14:paraId="70ADA4C4"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2.8.2</w:t>
      </w:r>
      <w:r w:rsidRPr="002F5AFB">
        <w:rPr>
          <w:rFonts w:ascii="Times New Roman" w:hAnsi="Times New Roman" w:cs="Times New Roman"/>
          <w:sz w:val="24"/>
          <w:szCs w:val="24"/>
        </w:rPr>
        <w:tab/>
        <w:t>Antacid Use in Elderly Individuals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28</w:t>
      </w:r>
    </w:p>
    <w:p w14:paraId="5096F281"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2.8.3</w:t>
      </w:r>
      <w:r w:rsidRPr="002F5AFB">
        <w:rPr>
          <w:rFonts w:ascii="Times New Roman" w:hAnsi="Times New Roman" w:cs="Times New Roman"/>
          <w:sz w:val="24"/>
          <w:szCs w:val="24"/>
        </w:rPr>
        <w:tab/>
        <w:t>Antacid Use in Children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28</w:t>
      </w:r>
    </w:p>
    <w:p w14:paraId="49E23014"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 xml:space="preserve">2.8.4 </w:t>
      </w:r>
      <w:r w:rsidRPr="002F5AFB">
        <w:rPr>
          <w:rFonts w:ascii="Times New Roman" w:hAnsi="Times New Roman" w:cs="Times New Roman"/>
          <w:sz w:val="24"/>
          <w:szCs w:val="24"/>
        </w:rPr>
        <w:tab/>
        <w:t>Antacid Use in Patients with Chronic Kidney Disease (CKD)</w:t>
      </w:r>
      <w:r w:rsidRPr="002F5AFB">
        <w:rPr>
          <w:rFonts w:ascii="Times New Roman" w:hAnsi="Times New Roman" w:cs="Times New Roman"/>
          <w:sz w:val="24"/>
          <w:szCs w:val="24"/>
        </w:rPr>
        <w:tab/>
      </w:r>
      <w:r w:rsidRPr="002F5AFB">
        <w:rPr>
          <w:rFonts w:ascii="Times New Roman" w:hAnsi="Times New Roman" w:cs="Times New Roman"/>
          <w:sz w:val="24"/>
          <w:szCs w:val="24"/>
        </w:rPr>
        <w:tab/>
        <w:t>29</w:t>
      </w:r>
    </w:p>
    <w:p w14:paraId="055B5AB7"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lastRenderedPageBreak/>
        <w:tab/>
        <w:t>2.8.5</w:t>
      </w:r>
      <w:r w:rsidRPr="002F5AFB">
        <w:rPr>
          <w:rFonts w:ascii="Times New Roman" w:hAnsi="Times New Roman" w:cs="Times New Roman"/>
          <w:sz w:val="24"/>
          <w:szCs w:val="24"/>
        </w:rPr>
        <w:tab/>
        <w:t>Antacid Use in Patients with Osteoporosis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29</w:t>
      </w:r>
    </w:p>
    <w:p w14:paraId="1CB3E417" w14:textId="77777777"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THREE: MATERIAL AND METHOD</w:t>
      </w:r>
    </w:p>
    <w:p w14:paraId="3C421661"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3.1</w:t>
      </w:r>
      <w:r w:rsidRPr="002F5AFB">
        <w:rPr>
          <w:rFonts w:ascii="Times New Roman" w:hAnsi="Times New Roman" w:cs="Times New Roman"/>
          <w:sz w:val="24"/>
          <w:szCs w:val="24"/>
        </w:rPr>
        <w:tab/>
        <w:t>Equipment and Reagent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14:paraId="4E6160C7"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3.1.1</w:t>
      </w:r>
      <w:r w:rsidRPr="002F5AFB">
        <w:rPr>
          <w:rFonts w:ascii="Times New Roman" w:hAnsi="Times New Roman" w:cs="Times New Roman"/>
          <w:sz w:val="24"/>
          <w:szCs w:val="24"/>
        </w:rPr>
        <w:tab/>
        <w:t>Equipment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14:paraId="08CA8E75"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3.1.2</w:t>
      </w:r>
      <w:r w:rsidRPr="002F5AFB">
        <w:rPr>
          <w:rFonts w:ascii="Times New Roman" w:hAnsi="Times New Roman" w:cs="Times New Roman"/>
          <w:sz w:val="24"/>
          <w:szCs w:val="24"/>
        </w:rPr>
        <w:tab/>
        <w:t>Reagent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14:paraId="5DC7E203"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ab/>
        <w:t>3.1.3</w:t>
      </w:r>
      <w:r w:rsidRPr="002F5AFB">
        <w:rPr>
          <w:rFonts w:ascii="Times New Roman" w:hAnsi="Times New Roman" w:cs="Times New Roman"/>
          <w:sz w:val="24"/>
          <w:szCs w:val="24"/>
        </w:rPr>
        <w:tab/>
        <w:t>Reagent 2</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14:paraId="5836802E"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3.2</w:t>
      </w:r>
      <w:r w:rsidRPr="002F5AFB">
        <w:rPr>
          <w:rFonts w:ascii="Times New Roman" w:hAnsi="Times New Roman" w:cs="Times New Roman"/>
          <w:sz w:val="24"/>
          <w:szCs w:val="24"/>
        </w:rPr>
        <w:tab/>
        <w:t>Sample Preparation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30</w:t>
      </w:r>
    </w:p>
    <w:p w14:paraId="3DE03E8D"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3.3</w:t>
      </w:r>
      <w:r w:rsidRPr="002F5AFB">
        <w:rPr>
          <w:rFonts w:ascii="Times New Roman" w:hAnsi="Times New Roman" w:cs="Times New Roman"/>
          <w:sz w:val="24"/>
          <w:szCs w:val="24"/>
        </w:rPr>
        <w:tab/>
        <w:t>Organoleptic Properties of Antacid Formulations</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31</w:t>
      </w:r>
    </w:p>
    <w:p w14:paraId="5ECC78E5" w14:textId="77777777"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FOUR: RESULT AND DISCUSSION</w:t>
      </w:r>
    </w:p>
    <w:p w14:paraId="6546C294"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4.1</w:t>
      </w:r>
      <w:r w:rsidRPr="002F5AFB">
        <w:rPr>
          <w:rFonts w:ascii="Times New Roman" w:hAnsi="Times New Roman" w:cs="Times New Roman"/>
          <w:sz w:val="24"/>
          <w:szCs w:val="24"/>
        </w:rPr>
        <w:tab/>
        <w:t>Result</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33</w:t>
      </w:r>
    </w:p>
    <w:p w14:paraId="66A39C5A"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4.2</w:t>
      </w:r>
      <w:r w:rsidRPr="002F5AFB">
        <w:rPr>
          <w:rFonts w:ascii="Times New Roman" w:hAnsi="Times New Roman" w:cs="Times New Roman"/>
          <w:sz w:val="24"/>
          <w:szCs w:val="24"/>
        </w:rPr>
        <w:tab/>
        <w:t>Discussion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33</w:t>
      </w:r>
    </w:p>
    <w:p w14:paraId="2DB21AD0" w14:textId="77777777" w:rsidR="002F5AFB" w:rsidRPr="002F5AFB" w:rsidRDefault="002F5AFB" w:rsidP="002F5AFB">
      <w:pPr>
        <w:spacing w:before="240"/>
        <w:rPr>
          <w:rFonts w:ascii="Times New Roman" w:hAnsi="Times New Roman" w:cs="Times New Roman"/>
          <w:b/>
          <w:sz w:val="24"/>
          <w:szCs w:val="24"/>
        </w:rPr>
      </w:pPr>
      <w:r w:rsidRPr="002F5AFB">
        <w:rPr>
          <w:rFonts w:ascii="Times New Roman" w:hAnsi="Times New Roman" w:cs="Times New Roman"/>
          <w:b/>
          <w:sz w:val="24"/>
          <w:szCs w:val="24"/>
        </w:rPr>
        <w:t>CHAPTER FIVE: CONCLUSION AND RECOMMENDATION</w:t>
      </w:r>
    </w:p>
    <w:p w14:paraId="24BB698B"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5.1</w:t>
      </w:r>
      <w:r w:rsidRPr="002F5AFB">
        <w:rPr>
          <w:rFonts w:ascii="Times New Roman" w:hAnsi="Times New Roman" w:cs="Times New Roman"/>
          <w:sz w:val="24"/>
          <w:szCs w:val="24"/>
        </w:rPr>
        <w:tab/>
        <w:t>Conclusion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35</w:t>
      </w:r>
    </w:p>
    <w:p w14:paraId="44CCB404" w14:textId="77777777" w:rsidR="002F5AFB" w:rsidRPr="002F5AFB" w:rsidRDefault="002F5AFB" w:rsidP="002F5AFB">
      <w:pPr>
        <w:spacing w:before="240"/>
        <w:rPr>
          <w:rFonts w:ascii="Times New Roman" w:hAnsi="Times New Roman" w:cs="Times New Roman"/>
          <w:sz w:val="24"/>
          <w:szCs w:val="24"/>
        </w:rPr>
      </w:pPr>
      <w:r w:rsidRPr="002F5AFB">
        <w:rPr>
          <w:rFonts w:ascii="Times New Roman" w:hAnsi="Times New Roman" w:cs="Times New Roman"/>
          <w:sz w:val="24"/>
          <w:szCs w:val="24"/>
        </w:rPr>
        <w:t>5.2</w:t>
      </w:r>
      <w:r w:rsidRPr="002F5AFB">
        <w:rPr>
          <w:rFonts w:ascii="Times New Roman" w:hAnsi="Times New Roman" w:cs="Times New Roman"/>
          <w:sz w:val="24"/>
          <w:szCs w:val="24"/>
        </w:rPr>
        <w:tab/>
        <w:t>Recommendation</w:t>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r>
      <w:r w:rsidRPr="002F5AFB">
        <w:rPr>
          <w:rFonts w:ascii="Times New Roman" w:hAnsi="Times New Roman" w:cs="Times New Roman"/>
          <w:sz w:val="24"/>
          <w:szCs w:val="24"/>
        </w:rPr>
        <w:tab/>
        <w:t>35</w:t>
      </w:r>
    </w:p>
    <w:p w14:paraId="7C22D1F8" w14:textId="77777777" w:rsidR="002F5AFB" w:rsidRPr="002F5AFB" w:rsidRDefault="002F5AFB" w:rsidP="00455718">
      <w:pPr>
        <w:spacing w:before="240"/>
        <w:rPr>
          <w:rFonts w:ascii="Times New Roman" w:hAnsi="Times New Roman" w:cs="Times New Roman"/>
          <w:sz w:val="24"/>
          <w:szCs w:val="24"/>
        </w:rPr>
      </w:pPr>
      <w:r w:rsidRPr="002F5AFB">
        <w:rPr>
          <w:rFonts w:ascii="Times New Roman" w:hAnsi="Times New Roman" w:cs="Times New Roman"/>
          <w:sz w:val="24"/>
          <w:szCs w:val="24"/>
        </w:rPr>
        <w:tab/>
        <w:t>Reference</w:t>
      </w:r>
    </w:p>
    <w:p w14:paraId="5EDE1319" w14:textId="77777777" w:rsidR="002F5AFB" w:rsidRPr="002F5AFB" w:rsidRDefault="002F5AFB" w:rsidP="002F5AFB">
      <w:pPr>
        <w:spacing w:line="360" w:lineRule="auto"/>
        <w:jc w:val="center"/>
        <w:rPr>
          <w:rFonts w:ascii="Times New Roman" w:hAnsi="Times New Roman" w:cs="Times New Roman"/>
          <w:b/>
          <w:sz w:val="24"/>
          <w:szCs w:val="24"/>
        </w:rPr>
      </w:pPr>
      <w:r w:rsidRPr="002F5AFB">
        <w:rPr>
          <w:rFonts w:ascii="Times New Roman" w:hAnsi="Times New Roman" w:cs="Times New Roman"/>
          <w:b/>
          <w:sz w:val="24"/>
          <w:szCs w:val="24"/>
        </w:rPr>
        <w:t>ABSTRACT</w:t>
      </w:r>
    </w:p>
    <w:p w14:paraId="088F979A" w14:textId="77777777" w:rsidR="002F5AFB" w:rsidRPr="002F5AFB" w:rsidRDefault="002F5AFB" w:rsidP="002F5AFB">
      <w:pPr>
        <w:pStyle w:val="NormalWeb"/>
        <w:spacing w:before="0" w:beforeAutospacing="0" w:line="360" w:lineRule="auto"/>
        <w:jc w:val="both"/>
        <w:rPr>
          <w:i/>
        </w:rPr>
      </w:pPr>
      <w:r w:rsidRPr="002F5AFB">
        <w:rPr>
          <w:i/>
        </w:rPr>
        <w:t xml:space="preserve">This study evaluated and compared the pH stability and acid neutralizing capacity (ANC) of five commercially available antacid and anti-ulcer drug brands: </w:t>
      </w:r>
      <w:proofErr w:type="spellStart"/>
      <w:r w:rsidRPr="002F5AFB">
        <w:rPr>
          <w:i/>
        </w:rPr>
        <w:t>Kriscet</w:t>
      </w:r>
      <w:proofErr w:type="spellEnd"/>
      <w:r w:rsidRPr="002F5AFB">
        <w:rPr>
          <w:i/>
        </w:rPr>
        <w:t xml:space="preserve"> (Cimetidine), </w:t>
      </w:r>
      <w:proofErr w:type="spellStart"/>
      <w:r w:rsidRPr="002F5AFB">
        <w:rPr>
          <w:i/>
        </w:rPr>
        <w:t>Pherix</w:t>
      </w:r>
      <w:proofErr w:type="spellEnd"/>
      <w:r w:rsidRPr="002F5AFB">
        <w:rPr>
          <w:i/>
        </w:rPr>
        <w:t xml:space="preserve">, </w:t>
      </w:r>
      <w:proofErr w:type="spellStart"/>
      <w:r w:rsidRPr="002F5AFB">
        <w:rPr>
          <w:i/>
        </w:rPr>
        <w:t>Krisnat</w:t>
      </w:r>
      <w:proofErr w:type="spellEnd"/>
      <w:r w:rsidRPr="002F5AFB">
        <w:rPr>
          <w:i/>
        </w:rPr>
        <w:t xml:space="preserve"> Omeprazole, </w:t>
      </w:r>
      <w:proofErr w:type="spellStart"/>
      <w:r w:rsidRPr="002F5AFB">
        <w:rPr>
          <w:i/>
        </w:rPr>
        <w:t>Gerdt</w:t>
      </w:r>
      <w:proofErr w:type="spellEnd"/>
      <w:r w:rsidRPr="002F5AFB">
        <w:rPr>
          <w:i/>
        </w:rPr>
        <w:t xml:space="preserve">, and </w:t>
      </w:r>
      <w:proofErr w:type="spellStart"/>
      <w:r w:rsidRPr="002F5AFB">
        <w:rPr>
          <w:i/>
        </w:rPr>
        <w:t>Krisacid</w:t>
      </w:r>
      <w:proofErr w:type="spellEnd"/>
      <w:r w:rsidRPr="002F5AFB">
        <w:rPr>
          <w:i/>
        </w:rPr>
        <w:t xml:space="preserve">. Each sample was assessed for its initial pH, pH after 15 minutes, and ANC per standard dose. Results showed that while all drugs were alkaline at 0 minutes, significant variations existed in their buffering abilities and acid neutralization potential over time. </w:t>
      </w:r>
      <w:proofErr w:type="spellStart"/>
      <w:r w:rsidRPr="002F5AFB">
        <w:rPr>
          <w:i/>
        </w:rPr>
        <w:t>Krisnat</w:t>
      </w:r>
      <w:proofErr w:type="spellEnd"/>
      <w:r w:rsidRPr="002F5AFB">
        <w:rPr>
          <w:i/>
        </w:rPr>
        <w:t xml:space="preserve"> Omeprazole recorded the highest initial pH (9.35 ± 0.02) but had </w:t>
      </w:r>
      <w:r w:rsidRPr="002F5AFB">
        <w:rPr>
          <w:i/>
        </w:rPr>
        <w:lastRenderedPageBreak/>
        <w:t xml:space="preserve">the lowest ANC (10.95 </w:t>
      </w:r>
      <w:proofErr w:type="spellStart"/>
      <w:r w:rsidRPr="002F5AFB">
        <w:rPr>
          <w:i/>
        </w:rPr>
        <w:t>mEq</w:t>
      </w:r>
      <w:proofErr w:type="spellEnd"/>
      <w:r w:rsidRPr="002F5AFB">
        <w:rPr>
          <w:i/>
        </w:rPr>
        <w:t xml:space="preserve">/10 mL), suggesting systemic, rather than surface-level neutralization action. </w:t>
      </w:r>
      <w:proofErr w:type="spellStart"/>
      <w:r w:rsidRPr="002F5AFB">
        <w:rPr>
          <w:i/>
        </w:rPr>
        <w:t>Gerdt</w:t>
      </w:r>
      <w:proofErr w:type="spellEnd"/>
      <w:r w:rsidRPr="002F5AFB">
        <w:rPr>
          <w:i/>
        </w:rPr>
        <w:t xml:space="preserve"> and </w:t>
      </w:r>
      <w:proofErr w:type="spellStart"/>
      <w:r w:rsidRPr="002F5AFB">
        <w:rPr>
          <w:i/>
        </w:rPr>
        <w:t>Krisacid</w:t>
      </w:r>
      <w:proofErr w:type="spellEnd"/>
      <w:r w:rsidRPr="002F5AFB">
        <w:rPr>
          <w:i/>
        </w:rPr>
        <w:t xml:space="preserve"> demonstrated superior ANC values (13.80 and 13.25 </w:t>
      </w:r>
      <w:proofErr w:type="spellStart"/>
      <w:r w:rsidRPr="002F5AFB">
        <w:rPr>
          <w:i/>
        </w:rPr>
        <w:t>mEq</w:t>
      </w:r>
      <w:proofErr w:type="spellEnd"/>
      <w:r w:rsidRPr="002F5AFB">
        <w:rPr>
          <w:i/>
        </w:rPr>
        <w:t>/10 mL, respectively) and relatively stable pH after 15 minutes, indicating better immediate acid neutralization potential. The study highlights the differences in formulation efficacy among antacid products and underscores the need for informed selection based on desired therapeutic outcomes.</w:t>
      </w:r>
    </w:p>
    <w:p w14:paraId="07B7A98B" w14:textId="77777777" w:rsidR="002F5AFB" w:rsidRPr="009D24EB" w:rsidRDefault="002F5AFB" w:rsidP="002F5AFB"/>
    <w:p w14:paraId="2BEFEE9F" w14:textId="77777777" w:rsidR="00A32B4F" w:rsidRDefault="00A32B4F" w:rsidP="009A5A72">
      <w:pPr>
        <w:spacing w:after="0" w:line="360" w:lineRule="auto"/>
        <w:rPr>
          <w:rFonts w:ascii="Times New Roman" w:hAnsi="Times New Roman" w:cs="Times New Roman"/>
          <w:b/>
          <w:bCs/>
          <w:sz w:val="24"/>
          <w:szCs w:val="24"/>
        </w:rPr>
      </w:pPr>
    </w:p>
    <w:p w14:paraId="2EA21B49" w14:textId="77777777" w:rsidR="00AC25C9" w:rsidRDefault="00AC25C9" w:rsidP="009A5A72">
      <w:pPr>
        <w:spacing w:after="0" w:line="360" w:lineRule="auto"/>
        <w:rPr>
          <w:rFonts w:ascii="Times New Roman" w:hAnsi="Times New Roman" w:cs="Times New Roman"/>
          <w:b/>
          <w:bCs/>
          <w:sz w:val="24"/>
          <w:szCs w:val="24"/>
        </w:rPr>
      </w:pPr>
    </w:p>
    <w:p w14:paraId="1BFD8AFA" w14:textId="77777777" w:rsidR="00AC25C9" w:rsidRDefault="00AC25C9" w:rsidP="009A5A72">
      <w:pPr>
        <w:spacing w:after="0" w:line="360" w:lineRule="auto"/>
        <w:rPr>
          <w:rFonts w:ascii="Times New Roman" w:hAnsi="Times New Roman" w:cs="Times New Roman"/>
          <w:b/>
          <w:bCs/>
          <w:sz w:val="24"/>
          <w:szCs w:val="24"/>
        </w:rPr>
      </w:pPr>
    </w:p>
    <w:p w14:paraId="68C948EC" w14:textId="77777777" w:rsidR="00AC25C9" w:rsidRDefault="00AC25C9" w:rsidP="009A5A72">
      <w:pPr>
        <w:spacing w:after="0" w:line="360" w:lineRule="auto"/>
        <w:rPr>
          <w:rFonts w:ascii="Times New Roman" w:hAnsi="Times New Roman" w:cs="Times New Roman"/>
          <w:b/>
          <w:bCs/>
          <w:sz w:val="24"/>
          <w:szCs w:val="24"/>
        </w:rPr>
      </w:pPr>
    </w:p>
    <w:p w14:paraId="0CFF771B" w14:textId="77777777" w:rsidR="00AC25C9" w:rsidRDefault="00AC25C9" w:rsidP="009A5A72">
      <w:pPr>
        <w:spacing w:after="0" w:line="360" w:lineRule="auto"/>
        <w:rPr>
          <w:rFonts w:ascii="Times New Roman" w:hAnsi="Times New Roman" w:cs="Times New Roman"/>
          <w:b/>
          <w:bCs/>
          <w:sz w:val="24"/>
          <w:szCs w:val="24"/>
        </w:rPr>
      </w:pPr>
    </w:p>
    <w:p w14:paraId="3F88F377" w14:textId="77777777" w:rsidR="00AC25C9" w:rsidRDefault="00AC25C9" w:rsidP="009A5A72">
      <w:pPr>
        <w:spacing w:after="0" w:line="360" w:lineRule="auto"/>
        <w:rPr>
          <w:rFonts w:ascii="Times New Roman" w:hAnsi="Times New Roman" w:cs="Times New Roman"/>
          <w:b/>
          <w:bCs/>
          <w:sz w:val="24"/>
          <w:szCs w:val="24"/>
        </w:rPr>
      </w:pPr>
    </w:p>
    <w:p w14:paraId="03F0FFF7" w14:textId="77777777" w:rsidR="00AC25C9" w:rsidRDefault="00AC25C9" w:rsidP="009A5A72">
      <w:pPr>
        <w:spacing w:after="0" w:line="360" w:lineRule="auto"/>
        <w:rPr>
          <w:rFonts w:ascii="Times New Roman" w:hAnsi="Times New Roman" w:cs="Times New Roman"/>
          <w:b/>
          <w:bCs/>
          <w:sz w:val="24"/>
          <w:szCs w:val="24"/>
        </w:rPr>
      </w:pPr>
    </w:p>
    <w:p w14:paraId="4F985124" w14:textId="77777777" w:rsidR="00AC25C9" w:rsidRDefault="00AC25C9" w:rsidP="009A5A72">
      <w:pPr>
        <w:spacing w:after="0" w:line="360" w:lineRule="auto"/>
        <w:rPr>
          <w:rFonts w:ascii="Times New Roman" w:hAnsi="Times New Roman" w:cs="Times New Roman"/>
          <w:b/>
          <w:bCs/>
          <w:sz w:val="24"/>
          <w:szCs w:val="24"/>
        </w:rPr>
      </w:pPr>
    </w:p>
    <w:p w14:paraId="216DA494" w14:textId="77777777" w:rsidR="00AC25C9" w:rsidRDefault="00AC25C9" w:rsidP="009A5A72">
      <w:pPr>
        <w:spacing w:after="0" w:line="360" w:lineRule="auto"/>
        <w:rPr>
          <w:rFonts w:ascii="Times New Roman" w:hAnsi="Times New Roman" w:cs="Times New Roman"/>
          <w:b/>
          <w:bCs/>
          <w:sz w:val="24"/>
          <w:szCs w:val="24"/>
        </w:rPr>
      </w:pPr>
    </w:p>
    <w:p w14:paraId="064F74B9" w14:textId="77777777" w:rsidR="00AC25C9" w:rsidRDefault="00AC25C9" w:rsidP="009A5A72">
      <w:pPr>
        <w:spacing w:after="0" w:line="360" w:lineRule="auto"/>
        <w:rPr>
          <w:rFonts w:ascii="Times New Roman" w:hAnsi="Times New Roman" w:cs="Times New Roman"/>
          <w:b/>
          <w:bCs/>
          <w:sz w:val="24"/>
          <w:szCs w:val="24"/>
        </w:rPr>
      </w:pPr>
    </w:p>
    <w:p w14:paraId="313D7E1A" w14:textId="77777777" w:rsidR="00AC25C9" w:rsidRDefault="00AC25C9" w:rsidP="009A5A72">
      <w:pPr>
        <w:spacing w:after="0" w:line="360" w:lineRule="auto"/>
        <w:rPr>
          <w:rFonts w:ascii="Times New Roman" w:hAnsi="Times New Roman" w:cs="Times New Roman"/>
          <w:b/>
          <w:bCs/>
          <w:sz w:val="24"/>
          <w:szCs w:val="24"/>
        </w:rPr>
      </w:pPr>
    </w:p>
    <w:p w14:paraId="1F1B7B52" w14:textId="77777777" w:rsidR="00AC25C9" w:rsidRDefault="00AC25C9" w:rsidP="009A5A72">
      <w:pPr>
        <w:spacing w:after="0" w:line="360" w:lineRule="auto"/>
        <w:rPr>
          <w:rFonts w:ascii="Times New Roman" w:hAnsi="Times New Roman" w:cs="Times New Roman"/>
          <w:b/>
          <w:bCs/>
          <w:sz w:val="24"/>
          <w:szCs w:val="24"/>
        </w:rPr>
      </w:pPr>
    </w:p>
    <w:p w14:paraId="7C56C463" w14:textId="77777777" w:rsidR="000B4B76" w:rsidRDefault="000B4B76" w:rsidP="007B2833">
      <w:pPr>
        <w:spacing w:line="360" w:lineRule="auto"/>
        <w:jc w:val="center"/>
        <w:rPr>
          <w:rFonts w:ascii="Times New Roman" w:hAnsi="Times New Roman" w:cs="Times New Roman"/>
          <w:b/>
          <w:bCs/>
          <w:sz w:val="24"/>
          <w:szCs w:val="24"/>
        </w:rPr>
        <w:sectPr w:rsidR="000B4B76" w:rsidSect="007B2833">
          <w:footerReference w:type="default" r:id="rId7"/>
          <w:pgSz w:w="11808" w:h="15120"/>
          <w:pgMar w:top="1296" w:right="1282" w:bottom="2506" w:left="1282" w:header="0" w:footer="1440" w:gutter="0"/>
          <w:pgNumType w:fmt="lowerRoman" w:start="1"/>
          <w:cols w:space="720"/>
          <w:docGrid w:linePitch="299"/>
        </w:sectPr>
      </w:pPr>
    </w:p>
    <w:p w14:paraId="27B914BC" w14:textId="77777777" w:rsidR="00C308F5" w:rsidRDefault="00C308F5" w:rsidP="007B28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25D3310" w14:textId="77777777" w:rsidR="00C03B81" w:rsidRDefault="00C03B81" w:rsidP="007B28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C7C9A38" w14:textId="77777777" w:rsidR="00D659FE" w:rsidRPr="00D659FE" w:rsidRDefault="00C308F5" w:rsidP="007B2833">
      <w:pPr>
        <w:spacing w:line="36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ANTACIDS</w:t>
      </w:r>
    </w:p>
    <w:p w14:paraId="63353308"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over-the-counter medications commonly used to relieve symptoms associated with acid reflux, heartburn, and indigestion. They work by neutralizing excess stomach acid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thereby increasing the pH of gastric contents and providing symptomatic relief (Smith &amp; Johnson, 2021). The active ingredients in antacids vary but often include compounds such as magnesium hydroxide, aluminum hydroxide, calcium carbonate, and sodium bicarbonate. These compounds react with gastric acid to form salt and water, reducing acidity and alleviating discomfort (Brown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0AF39ED7"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mechanism of action of antacids is based on simple acid-base chemistry. For example, calcium carbonate (</w:t>
      </w:r>
      <w:proofErr w:type="spellStart"/>
      <w:r w:rsidRPr="00D659FE">
        <w:rPr>
          <w:rFonts w:ascii="Times New Roman" w:hAnsi="Times New Roman" w:cs="Times New Roman"/>
          <w:sz w:val="24"/>
          <w:szCs w:val="24"/>
        </w:rPr>
        <w:t>CaCO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reacts with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to form calcium chloride (</w:t>
      </w:r>
      <w:proofErr w:type="spellStart"/>
      <w:r w:rsidRPr="00D659FE">
        <w:rPr>
          <w:rFonts w:ascii="Times New Roman" w:hAnsi="Times New Roman" w:cs="Times New Roman"/>
          <w:sz w:val="24"/>
          <w:szCs w:val="24"/>
        </w:rPr>
        <w:t>CaCl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and water (H</w:t>
      </w:r>
      <w:r w:rsidRPr="00D659FE">
        <w:rPr>
          <w:rFonts w:ascii="Cambria Math" w:hAnsi="Cambria Math" w:cs="Cambria Math"/>
          <w:sz w:val="24"/>
          <w:szCs w:val="24"/>
        </w:rPr>
        <w:t>₂</w:t>
      </w:r>
      <w:r w:rsidRPr="00D659FE">
        <w:rPr>
          <w:rFonts w:ascii="Times New Roman" w:hAnsi="Times New Roman" w:cs="Times New Roman"/>
          <w:sz w:val="24"/>
          <w:szCs w:val="24"/>
        </w:rPr>
        <w:t>O), effectively neutralizing the acid (Jones &amp; Patel, 2022). Similarly, magnesium hydroxide [Mg(OH)</w:t>
      </w:r>
      <w:r w:rsidRPr="00D659FE">
        <w:rPr>
          <w:rFonts w:ascii="Cambria Math" w:hAnsi="Cambria Math" w:cs="Cambria Math"/>
          <w:sz w:val="24"/>
          <w:szCs w:val="24"/>
        </w:rPr>
        <w:t>₂</w:t>
      </w:r>
      <w:r w:rsidRPr="00D659FE">
        <w:rPr>
          <w:rFonts w:ascii="Times New Roman" w:hAnsi="Times New Roman" w:cs="Times New Roman"/>
          <w:sz w:val="24"/>
          <w:szCs w:val="24"/>
        </w:rPr>
        <w:t xml:space="preserve">] reacts with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to form magnesium chloride (</w:t>
      </w:r>
      <w:proofErr w:type="spellStart"/>
      <w:r w:rsidRPr="00D659FE">
        <w:rPr>
          <w:rFonts w:ascii="Times New Roman" w:hAnsi="Times New Roman" w:cs="Times New Roman"/>
          <w:sz w:val="24"/>
          <w:szCs w:val="24"/>
        </w:rPr>
        <w:t>MgCl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xml:space="preserve">) and water. The effectiveness of an antacid depends on its neutralizing capacity, which varies among different formulations (Williams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2024). Factors such as dissolution rate, formulation type (tablet, liquid, or gel), and presence of additional ingredients like alginates or </w:t>
      </w:r>
      <w:proofErr w:type="spellStart"/>
      <w:r w:rsidRPr="00D659FE">
        <w:rPr>
          <w:rFonts w:ascii="Times New Roman" w:hAnsi="Times New Roman" w:cs="Times New Roman"/>
          <w:sz w:val="24"/>
          <w:szCs w:val="24"/>
        </w:rPr>
        <w:t>simethicone</w:t>
      </w:r>
      <w:proofErr w:type="spellEnd"/>
      <w:r w:rsidRPr="00D659FE">
        <w:rPr>
          <w:rFonts w:ascii="Times New Roman" w:hAnsi="Times New Roman" w:cs="Times New Roman"/>
          <w:sz w:val="24"/>
          <w:szCs w:val="24"/>
        </w:rPr>
        <w:t xml:space="preserve"> influence how well and how quickly the antacid works (Miller &amp; Carter, 2020).</w:t>
      </w:r>
    </w:p>
    <w:p w14:paraId="3F2144EB" w14:textId="77777777" w:rsidR="002F5AFB"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Evaluating the acid neutralizing capacity (ANC) of antacids is essential in determining their effectiveness and guiding their clinical use. Various methods, including back titration and pH- metric analysis, are used to quantify ANC in both laboratory and pharmaceutical settings (Garcia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2021). Additionally, the prolonged use of certain antacids has been associated with potential health implications, such as altered calcium absorption, kidney stone formation, and metabolic alkalosis, necessitating appropriate usage recommendations (Roberts &amp; Lee, 2023).</w:t>
      </w:r>
    </w:p>
    <w:p w14:paraId="7A5DC8A7" w14:textId="77777777" w:rsidR="00D659FE" w:rsidRPr="00C308F5" w:rsidRDefault="00C308F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C03B81">
        <w:rPr>
          <w:rFonts w:ascii="Times New Roman" w:hAnsi="Times New Roman" w:cs="Times New Roman"/>
          <w:b/>
          <w:bCs/>
          <w:sz w:val="24"/>
          <w:szCs w:val="24"/>
        </w:rPr>
        <w:t>COMMON ANTACIDS IN NIGERIA</w:t>
      </w:r>
    </w:p>
    <w:p w14:paraId="7AE7B456" w14:textId="77777777" w:rsidR="00C308F5"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widely used in Nigeria for the management of acid-related disorders such as heartburn, indigestion, and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 The availability and affordability of these medications make them a popular choice for self-medication among Nigerians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Adekunle</w:t>
      </w:r>
      <w:proofErr w:type="spellEnd"/>
      <w:r w:rsidRPr="00D659FE">
        <w:rPr>
          <w:rFonts w:ascii="Times New Roman" w:hAnsi="Times New Roman" w:cs="Times New Roman"/>
          <w:sz w:val="24"/>
          <w:szCs w:val="24"/>
        </w:rPr>
        <w:t>, 2021). In Nigeria, commonly used antacids include brands and generic formulations containing active ingredients such as magnesium hydroxide, aluminum hydroxide, calcium carbonate, and sodium bicarbonate. These compounds function by neutralizing excess stomach acid, thereby relieving discomfort and protecting the stomach lining from irritation (</w:t>
      </w:r>
      <w:proofErr w:type="spellStart"/>
      <w:r w:rsidRPr="00D659FE">
        <w:rPr>
          <w:rFonts w:ascii="Times New Roman" w:hAnsi="Times New Roman" w:cs="Times New Roman"/>
          <w:sz w:val="24"/>
          <w:szCs w:val="24"/>
        </w:rPr>
        <w:t>Okeke</w:t>
      </w:r>
      <w:proofErr w:type="spellEnd"/>
      <w:r w:rsidRPr="00D659FE">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00C308F5">
        <w:rPr>
          <w:rFonts w:ascii="Times New Roman" w:hAnsi="Times New Roman" w:cs="Times New Roman"/>
          <w:sz w:val="24"/>
          <w:szCs w:val="24"/>
        </w:rPr>
        <w:t xml:space="preserve"> 2023).</w:t>
      </w:r>
    </w:p>
    <w:p w14:paraId="25FE493F" w14:textId="77777777" w:rsidR="00D659FE" w:rsidRP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Among the most widely recognized antacid brands in Nigeria is </w:t>
      </w:r>
      <w:proofErr w:type="spellStart"/>
      <w:r w:rsidRPr="00C308F5">
        <w:rPr>
          <w:rFonts w:ascii="Times New Roman" w:hAnsi="Times New Roman" w:cs="Times New Roman"/>
          <w:sz w:val="24"/>
          <w:szCs w:val="24"/>
        </w:rPr>
        <w:t>Gestid</w:t>
      </w:r>
      <w:proofErr w:type="spellEnd"/>
      <w:r w:rsidRPr="00C308F5">
        <w:rPr>
          <w:rFonts w:ascii="Times New Roman" w:hAnsi="Times New Roman" w:cs="Times New Roman"/>
          <w:sz w:val="24"/>
          <w:szCs w:val="24"/>
        </w:rPr>
        <w:t xml:space="preserve">, which contains a combination of aluminum hydroxide, magnesium hydroxide, and </w:t>
      </w:r>
      <w:proofErr w:type="spellStart"/>
      <w:r w:rsidRPr="00C308F5">
        <w:rPr>
          <w:rFonts w:ascii="Times New Roman" w:hAnsi="Times New Roman" w:cs="Times New Roman"/>
          <w:sz w:val="24"/>
          <w:szCs w:val="24"/>
        </w:rPr>
        <w:t>simethicone</w:t>
      </w:r>
      <w:proofErr w:type="spellEnd"/>
      <w:r w:rsidRPr="00C308F5">
        <w:rPr>
          <w:rFonts w:ascii="Times New Roman" w:hAnsi="Times New Roman" w:cs="Times New Roman"/>
          <w:sz w:val="24"/>
          <w:szCs w:val="24"/>
        </w:rPr>
        <w:t xml:space="preserve">. This formulation provides effective acid neutralization while the </w:t>
      </w:r>
      <w:proofErr w:type="spellStart"/>
      <w:r w:rsidRPr="00C308F5">
        <w:rPr>
          <w:rFonts w:ascii="Times New Roman" w:hAnsi="Times New Roman" w:cs="Times New Roman"/>
          <w:sz w:val="24"/>
          <w:szCs w:val="24"/>
        </w:rPr>
        <w:t>simethicone</w:t>
      </w:r>
      <w:proofErr w:type="spellEnd"/>
      <w:r w:rsidRPr="00C308F5">
        <w:rPr>
          <w:rFonts w:ascii="Times New Roman" w:hAnsi="Times New Roman" w:cs="Times New Roman"/>
          <w:sz w:val="24"/>
          <w:szCs w:val="24"/>
        </w:rPr>
        <w:t xml:space="preserve"> component helps reduce bloating and gas formation (Adebayo &amp; </w:t>
      </w:r>
      <w:proofErr w:type="spellStart"/>
      <w:r w:rsidRPr="00C308F5">
        <w:rPr>
          <w:rFonts w:ascii="Times New Roman" w:hAnsi="Times New Roman" w:cs="Times New Roman"/>
          <w:sz w:val="24"/>
          <w:szCs w:val="24"/>
        </w:rPr>
        <w:t>Chukwuma</w:t>
      </w:r>
      <w:proofErr w:type="spellEnd"/>
      <w:r w:rsidRPr="00C308F5">
        <w:rPr>
          <w:rFonts w:ascii="Times New Roman" w:hAnsi="Times New Roman" w:cs="Times New Roman"/>
          <w:sz w:val="24"/>
          <w:szCs w:val="24"/>
        </w:rPr>
        <w:t xml:space="preserve">, 2022). Another popular antacid is Andrews Liver Salt, which contains sodium bicarbonate and citric acid. It acts as an effervescent antacid, providing rapid relief from acid indigestion and bloating (Emmanuel &amp; </w:t>
      </w:r>
      <w:proofErr w:type="spellStart"/>
      <w:r w:rsidRPr="00C308F5">
        <w:rPr>
          <w:rFonts w:ascii="Times New Roman" w:hAnsi="Times New Roman" w:cs="Times New Roman"/>
          <w:sz w:val="24"/>
          <w:szCs w:val="24"/>
        </w:rPr>
        <w:t>Uchenna</w:t>
      </w:r>
      <w:proofErr w:type="spellEnd"/>
      <w:r w:rsidRPr="00C308F5">
        <w:rPr>
          <w:rFonts w:ascii="Times New Roman" w:hAnsi="Times New Roman" w:cs="Times New Roman"/>
          <w:sz w:val="24"/>
          <w:szCs w:val="24"/>
        </w:rPr>
        <w:t xml:space="preserve">, 2023). </w:t>
      </w:r>
      <w:proofErr w:type="spellStart"/>
      <w:r w:rsidRPr="00C308F5">
        <w:rPr>
          <w:rFonts w:ascii="Times New Roman" w:hAnsi="Times New Roman" w:cs="Times New Roman"/>
          <w:sz w:val="24"/>
          <w:szCs w:val="24"/>
        </w:rPr>
        <w:t>Gaviscon</w:t>
      </w:r>
      <w:proofErr w:type="spellEnd"/>
      <w:r w:rsidRPr="00C308F5">
        <w:rPr>
          <w:rFonts w:ascii="Times New Roman" w:hAnsi="Times New Roman" w:cs="Times New Roman"/>
          <w:sz w:val="24"/>
          <w:szCs w:val="24"/>
        </w:rPr>
        <w:t>, a well-known international brand also available in Nigeria, contains sodium alginate in addition to antacid compounds. It not only neutralizes acid but also forms a protective barrier to prevent acid reflux, making it a preferred choice for GERD management (</w:t>
      </w:r>
      <w:proofErr w:type="spellStart"/>
      <w:r w:rsidRPr="00C308F5">
        <w:rPr>
          <w:rFonts w:ascii="Times New Roman" w:hAnsi="Times New Roman" w:cs="Times New Roman"/>
          <w:sz w:val="24"/>
          <w:szCs w:val="24"/>
        </w:rPr>
        <w:t>Chidiebere</w:t>
      </w:r>
      <w:proofErr w:type="spellEnd"/>
      <w:r w:rsidRPr="00C308F5">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Pr="00C308F5">
        <w:rPr>
          <w:rFonts w:ascii="Times New Roman" w:hAnsi="Times New Roman" w:cs="Times New Roman"/>
          <w:sz w:val="24"/>
          <w:szCs w:val="24"/>
        </w:rPr>
        <w:t xml:space="preserve"> 2024).</w:t>
      </w:r>
    </w:p>
    <w:p w14:paraId="274CAF0F" w14:textId="77777777" w:rsid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Additionally, </w:t>
      </w:r>
      <w:proofErr w:type="spellStart"/>
      <w:r w:rsidRPr="00C308F5">
        <w:rPr>
          <w:rFonts w:ascii="Times New Roman" w:hAnsi="Times New Roman" w:cs="Times New Roman"/>
          <w:sz w:val="24"/>
          <w:szCs w:val="24"/>
        </w:rPr>
        <w:t>Eno</w:t>
      </w:r>
      <w:proofErr w:type="spellEnd"/>
      <w:r w:rsidRPr="00C308F5">
        <w:rPr>
          <w:rFonts w:ascii="Times New Roman" w:hAnsi="Times New Roman" w:cs="Times New Roman"/>
          <w:sz w:val="24"/>
          <w:szCs w:val="24"/>
        </w:rPr>
        <w:t xml:space="preserve"> Fruit Salt, another effervescent antacid, is commonly used for quick relief from acidity and bloating. It contains sodium bicarbonate, citric acid, and sodium carbonate, which react with gastric acid to form carbon dioxide, facilitating fast neutralization (</w:t>
      </w:r>
      <w:proofErr w:type="spellStart"/>
      <w:r w:rsidRPr="00C308F5">
        <w:rPr>
          <w:rFonts w:ascii="Times New Roman" w:hAnsi="Times New Roman" w:cs="Times New Roman"/>
          <w:sz w:val="24"/>
          <w:szCs w:val="24"/>
        </w:rPr>
        <w:t>Ogundipe</w:t>
      </w:r>
      <w:proofErr w:type="spellEnd"/>
      <w:r w:rsidRPr="00C308F5">
        <w:rPr>
          <w:rFonts w:ascii="Times New Roman" w:hAnsi="Times New Roman" w:cs="Times New Roman"/>
          <w:sz w:val="24"/>
          <w:szCs w:val="24"/>
        </w:rPr>
        <w:t xml:space="preserve"> &amp; Williams, 2021). Magnesium </w:t>
      </w:r>
      <w:proofErr w:type="spellStart"/>
      <w:r w:rsidRPr="00C308F5">
        <w:rPr>
          <w:rFonts w:ascii="Times New Roman" w:hAnsi="Times New Roman" w:cs="Times New Roman"/>
          <w:sz w:val="24"/>
          <w:szCs w:val="24"/>
        </w:rPr>
        <w:t>Trisilicate</w:t>
      </w:r>
      <w:proofErr w:type="spellEnd"/>
      <w:r w:rsidRPr="00C308F5">
        <w:rPr>
          <w:rFonts w:ascii="Times New Roman" w:hAnsi="Times New Roman" w:cs="Times New Roman"/>
          <w:sz w:val="24"/>
          <w:szCs w:val="24"/>
        </w:rPr>
        <w:t>, a generic formulation available in Nigeria, is also widely used and functions by coating the stomach lining while providing a sustained neutralizing effect (</w:t>
      </w:r>
      <w:proofErr w:type="spellStart"/>
      <w:r w:rsidRPr="00C308F5">
        <w:rPr>
          <w:rFonts w:ascii="Times New Roman" w:hAnsi="Times New Roman" w:cs="Times New Roman"/>
          <w:sz w:val="24"/>
          <w:szCs w:val="24"/>
        </w:rPr>
        <w:t>Okon</w:t>
      </w:r>
      <w:proofErr w:type="spellEnd"/>
      <w:r w:rsidRPr="00C308F5">
        <w:rPr>
          <w:rFonts w:ascii="Times New Roman" w:hAnsi="Times New Roman" w:cs="Times New Roman"/>
          <w:sz w:val="24"/>
          <w:szCs w:val="24"/>
        </w:rPr>
        <w:t xml:space="preserve"> &amp; Bello, 2022).</w:t>
      </w:r>
    </w:p>
    <w:p w14:paraId="43E49CA1"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preference for specific antacids in Nigeria often depends on accessibility, affordability, and perceived effectiveness. However, concerns have been raised about the indiscriminate use of antacids, especially those containing sodium bicarbonate, due to potential side effects such as alkalosis, electrolyte imbalances, and kidney-related complications when used excessively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 Therefore, understanding the acid-neutralizing capacity of these formulations is essential for guiding their appropriate use and ensuring optimal gastrointestinal health outcomes.</w:t>
      </w:r>
    </w:p>
    <w:p w14:paraId="34599F96" w14:textId="77777777" w:rsidR="00D659FE" w:rsidRPr="00C308F5" w:rsidRDefault="00C308F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D659FE" w:rsidRPr="00C308F5">
        <w:rPr>
          <w:rFonts w:ascii="Times New Roman" w:hAnsi="Times New Roman" w:cs="Times New Roman"/>
          <w:b/>
          <w:bCs/>
          <w:sz w:val="24"/>
          <w:szCs w:val="24"/>
        </w:rPr>
        <w:t>TYPES OF ANTACIDS</w:t>
      </w:r>
    </w:p>
    <w:p w14:paraId="6D4C01D3" w14:textId="77777777" w:rsidR="00584B9B" w:rsidRPr="00C308F5" w:rsidRDefault="00D659FE" w:rsidP="009A5A72">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Antacids are classified based on their active ingredients, which determine their acid- neutralizing capacity and overall effectiveness in managing gastric acidity. The primary types of antacids include aluminum-based, magnesium-based, calcium-based, sodium- based, and combination antacids. Each type has unique properties, benefits, and potential side effects, making them suitable for different patient needs (Okonkwo &amp; </w:t>
      </w:r>
      <w:proofErr w:type="spellStart"/>
      <w:r w:rsidRPr="00C308F5">
        <w:rPr>
          <w:rFonts w:ascii="Times New Roman" w:hAnsi="Times New Roman" w:cs="Times New Roman"/>
          <w:sz w:val="24"/>
          <w:szCs w:val="24"/>
        </w:rPr>
        <w:t>Adeyemi</w:t>
      </w:r>
      <w:proofErr w:type="spellEnd"/>
      <w:r w:rsidRPr="00C308F5">
        <w:rPr>
          <w:rFonts w:ascii="Times New Roman" w:hAnsi="Times New Roman" w:cs="Times New Roman"/>
          <w:sz w:val="24"/>
          <w:szCs w:val="24"/>
        </w:rPr>
        <w:t>, 2021).</w:t>
      </w:r>
    </w:p>
    <w:p w14:paraId="17EEEEAC" w14:textId="77777777" w:rsidR="00D659FE" w:rsidRPr="007F7090" w:rsidRDefault="007F7090"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1.2.1</w:t>
      </w:r>
      <w:r>
        <w:rPr>
          <w:rFonts w:ascii="Times New Roman" w:hAnsi="Times New Roman" w:cs="Times New Roman"/>
          <w:b/>
          <w:bCs/>
          <w:sz w:val="24"/>
          <w:szCs w:val="24"/>
        </w:rPr>
        <w:tab/>
      </w:r>
      <w:r w:rsidR="00D659FE" w:rsidRPr="007F7090">
        <w:rPr>
          <w:rFonts w:ascii="Times New Roman" w:hAnsi="Times New Roman" w:cs="Times New Roman"/>
          <w:b/>
          <w:bCs/>
          <w:sz w:val="24"/>
          <w:szCs w:val="24"/>
        </w:rPr>
        <w:t>Aluminum-Based Antacids</w:t>
      </w:r>
    </w:p>
    <w:p w14:paraId="4446E911"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is a common ingredient in many antacid formulations. It neutralizes stomach acid by forming aluminum chloride and water, providin</w:t>
      </w:r>
      <w:r w:rsidR="007F7090">
        <w:rPr>
          <w:rFonts w:ascii="Times New Roman" w:hAnsi="Times New Roman" w:cs="Times New Roman"/>
          <w:sz w:val="24"/>
          <w:szCs w:val="24"/>
        </w:rPr>
        <w:t xml:space="preserve">g effective relief from acidity </w:t>
      </w:r>
      <w:r w:rsidRPr="00D659FE">
        <w:rPr>
          <w:rFonts w:ascii="Times New Roman" w:hAnsi="Times New Roman" w:cs="Times New Roman"/>
          <w:sz w:val="24"/>
          <w:szCs w:val="24"/>
        </w:rPr>
        <w:t>and heartburn. One of its advantages is its ability to form a protective layer on the stomach lining, reducing irritation and promoting ulcer healing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prolonged use of aluminum-based antacids has been associated with constipation and potential interference with phosphate absorption, which may lead to hypophosphatemia, especially in long-term users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w:t>
      </w:r>
    </w:p>
    <w:p w14:paraId="6F680DEF" w14:textId="77777777" w:rsidR="00D659FE" w:rsidRPr="00BC1219" w:rsidRDefault="00BC1219" w:rsidP="009A5A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Magnesium-Based Antacids</w:t>
      </w:r>
    </w:p>
    <w:p w14:paraId="05EB8516"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Magnesium hydroxide and magnesium </w:t>
      </w:r>
      <w:proofErr w:type="spellStart"/>
      <w:r w:rsidRPr="00D659FE">
        <w:rPr>
          <w:rFonts w:ascii="Times New Roman" w:hAnsi="Times New Roman" w:cs="Times New Roman"/>
          <w:sz w:val="24"/>
          <w:szCs w:val="24"/>
        </w:rPr>
        <w:t>trisilicate</w:t>
      </w:r>
      <w:proofErr w:type="spellEnd"/>
      <w:r w:rsidRPr="00D659FE">
        <w:rPr>
          <w:rFonts w:ascii="Times New Roman" w:hAnsi="Times New Roman" w:cs="Times New Roman"/>
          <w:sz w:val="24"/>
          <w:szCs w:val="24"/>
        </w:rPr>
        <w:t xml:space="preserve"> are commonly used in antacid formulations due to their rapid acid-neutralizing action. Magnesium-based antacids work by reacting with hydrochloric acid to form magnesium chloride and water, leading to a quick increase in gastric</w:t>
      </w:r>
      <w:r w:rsidR="007F7090">
        <w:rPr>
          <w:rFonts w:ascii="Times New Roman" w:hAnsi="Times New Roman" w:cs="Times New Roman"/>
          <w:sz w:val="24"/>
          <w:szCs w:val="24"/>
        </w:rPr>
        <w:t xml:space="preserve"> </w:t>
      </w:r>
      <w:r w:rsidRPr="00D659FE">
        <w:rPr>
          <w:rFonts w:ascii="Times New Roman" w:hAnsi="Times New Roman" w:cs="Times New Roman"/>
          <w:sz w:val="24"/>
          <w:szCs w:val="24"/>
        </w:rPr>
        <w:t>pH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Unlike aluminum-based antacids, they tend to have a laxative effect, which can be beneficial for individuals prone to constipation. However, excessive use may result in diarrhea or </w:t>
      </w:r>
      <w:proofErr w:type="spellStart"/>
      <w:r w:rsidRPr="00D659FE">
        <w:rPr>
          <w:rFonts w:ascii="Times New Roman" w:hAnsi="Times New Roman" w:cs="Times New Roman"/>
          <w:sz w:val="24"/>
          <w:szCs w:val="24"/>
        </w:rPr>
        <w:t>hypermagnesemia</w:t>
      </w:r>
      <w:proofErr w:type="spellEnd"/>
      <w:r w:rsidRPr="00D659FE">
        <w:rPr>
          <w:rFonts w:ascii="Times New Roman" w:hAnsi="Times New Roman" w:cs="Times New Roman"/>
          <w:sz w:val="24"/>
          <w:szCs w:val="24"/>
        </w:rPr>
        <w:t>, particularly in patients with renal impairment (Adebayo &amp; Yusuf, 2024).</w:t>
      </w:r>
    </w:p>
    <w:p w14:paraId="375D48D3" w14:textId="77777777" w:rsidR="007F7090"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Calcium-Based Antacids</w:t>
      </w:r>
    </w:p>
    <w:p w14:paraId="10BFAA76" w14:textId="77777777" w:rsidR="00D659FE" w:rsidRPr="007F7090" w:rsidRDefault="00D659FE" w:rsidP="009A5A72">
      <w:pPr>
        <w:spacing w:after="0" w:line="360" w:lineRule="auto"/>
        <w:rPr>
          <w:rFonts w:ascii="Times New Roman" w:hAnsi="Times New Roman" w:cs="Times New Roman"/>
          <w:b/>
          <w:bCs/>
          <w:sz w:val="24"/>
          <w:szCs w:val="24"/>
        </w:rPr>
      </w:pPr>
      <w:r w:rsidRPr="007F7090">
        <w:rPr>
          <w:rFonts w:ascii="Times New Roman" w:hAnsi="Times New Roman" w:cs="Times New Roman"/>
          <w:sz w:val="24"/>
          <w:szCs w:val="24"/>
        </w:rPr>
        <w:t>Calcium carbonate is widely used in antacid preparations due to its strong acid-neutralizing capacity. It reacts with stomach acid to form calcium chloride, carbon dioxide, and water, providing quick and long-lasting relief from acid reflux and indigestion (</w:t>
      </w:r>
      <w:proofErr w:type="spellStart"/>
      <w:r w:rsidRPr="007F7090">
        <w:rPr>
          <w:rFonts w:ascii="Times New Roman" w:hAnsi="Times New Roman" w:cs="Times New Roman"/>
          <w:sz w:val="24"/>
          <w:szCs w:val="24"/>
        </w:rPr>
        <w:t>Chidiebere</w:t>
      </w:r>
      <w:proofErr w:type="spellEnd"/>
      <w:r w:rsidRPr="007F7090">
        <w:rPr>
          <w:rFonts w:ascii="Times New Roman" w:hAnsi="Times New Roman" w:cs="Times New Roman"/>
          <w:sz w:val="24"/>
          <w:szCs w:val="24"/>
        </w:rPr>
        <w:t xml:space="preserve"> &amp; </w:t>
      </w:r>
      <w:proofErr w:type="spellStart"/>
      <w:r w:rsidRPr="007F7090">
        <w:rPr>
          <w:rFonts w:ascii="Times New Roman" w:hAnsi="Times New Roman" w:cs="Times New Roman"/>
          <w:sz w:val="24"/>
          <w:szCs w:val="24"/>
        </w:rPr>
        <w:t>Okafor</w:t>
      </w:r>
      <w:proofErr w:type="spellEnd"/>
      <w:r w:rsidRPr="007F7090">
        <w:rPr>
          <w:rFonts w:ascii="Times New Roman" w:hAnsi="Times New Roman" w:cs="Times New Roman"/>
          <w:sz w:val="24"/>
          <w:szCs w:val="24"/>
        </w:rPr>
        <w:t>, 2023). Additionally, calcium-based antacids contribute to calcium intake, which can be beneficial for bone health. However, excessive consumption may lead to hypercalcemia, milk- alkali syndrome, and rebound acid secretion, where the stomach produces more acid after the initial neutralization effect wears off (</w:t>
      </w:r>
      <w:proofErr w:type="spellStart"/>
      <w:r w:rsidRPr="007F7090">
        <w:rPr>
          <w:rFonts w:ascii="Times New Roman" w:hAnsi="Times New Roman" w:cs="Times New Roman"/>
          <w:sz w:val="24"/>
          <w:szCs w:val="24"/>
        </w:rPr>
        <w:t>Oluwaseun</w:t>
      </w:r>
      <w:proofErr w:type="spellEnd"/>
      <w:r w:rsidRPr="007F7090">
        <w:rPr>
          <w:rFonts w:ascii="Times New Roman" w:hAnsi="Times New Roman" w:cs="Times New Roman"/>
          <w:sz w:val="24"/>
          <w:szCs w:val="24"/>
        </w:rPr>
        <w:t xml:space="preserve"> </w:t>
      </w:r>
      <w:r w:rsidRPr="007F7090">
        <w:rPr>
          <w:rFonts w:ascii="Times New Roman" w:hAnsi="Times New Roman" w:cs="Times New Roman"/>
          <w:i/>
          <w:sz w:val="24"/>
          <w:szCs w:val="24"/>
        </w:rPr>
        <w:t>et al.,</w:t>
      </w:r>
      <w:r w:rsidRPr="007F7090">
        <w:rPr>
          <w:rFonts w:ascii="Times New Roman" w:hAnsi="Times New Roman" w:cs="Times New Roman"/>
          <w:sz w:val="24"/>
          <w:szCs w:val="24"/>
        </w:rPr>
        <w:t xml:space="preserve"> 2022).</w:t>
      </w:r>
    </w:p>
    <w:p w14:paraId="23FB223F" w14:textId="77777777" w:rsidR="00D659FE" w:rsidRPr="00BC1219" w:rsidRDefault="00D659FE" w:rsidP="009A5A72">
      <w:pPr>
        <w:pStyle w:val="ListParagraph"/>
        <w:numPr>
          <w:ilvl w:val="2"/>
          <w:numId w:val="2"/>
        </w:numPr>
        <w:spacing w:line="360" w:lineRule="auto"/>
        <w:jc w:val="both"/>
        <w:rPr>
          <w:b/>
          <w:bCs/>
          <w:sz w:val="24"/>
          <w:szCs w:val="24"/>
        </w:rPr>
      </w:pPr>
      <w:r w:rsidRPr="00BC1219">
        <w:rPr>
          <w:b/>
          <w:bCs/>
          <w:sz w:val="24"/>
          <w:szCs w:val="24"/>
        </w:rPr>
        <w:t>Sodium-Based Antacids</w:t>
      </w:r>
    </w:p>
    <w:p w14:paraId="745D9942"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Sodium bicarbonate is a fast-acting antacid that provides immediate relief from heartburn and acid indigestion by reacting with hydrochloric acid to produce carbon dioxide, water, and sodium chloride. It is commonly found in effervescent antacid formulations, such as </w:t>
      </w:r>
      <w:proofErr w:type="spellStart"/>
      <w:r w:rsidRPr="00D659FE">
        <w:rPr>
          <w:rFonts w:ascii="Times New Roman" w:hAnsi="Times New Roman" w:cs="Times New Roman"/>
          <w:sz w:val="24"/>
          <w:szCs w:val="24"/>
        </w:rPr>
        <w:t>Eno</w:t>
      </w:r>
      <w:proofErr w:type="spellEnd"/>
      <w:r w:rsidRPr="00D659FE">
        <w:rPr>
          <w:rFonts w:ascii="Times New Roman" w:hAnsi="Times New Roman" w:cs="Times New Roman"/>
          <w:sz w:val="24"/>
          <w:szCs w:val="24"/>
        </w:rPr>
        <w:t xml:space="preserve"> and Andrews Liver Salt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While effective, sodium- based antacids are not recommended for long-term use due to their high sodium content, which can contribute to hypertension and fluid retention, particularly in individuals with cardiovascular or kidney conditions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45CD7907" w14:textId="77777777" w:rsidR="00D659FE" w:rsidRPr="00BC1219" w:rsidRDefault="00D659FE" w:rsidP="009A5A72">
      <w:pPr>
        <w:pStyle w:val="ListParagraph"/>
        <w:numPr>
          <w:ilvl w:val="2"/>
          <w:numId w:val="2"/>
        </w:numPr>
        <w:spacing w:line="360" w:lineRule="auto"/>
        <w:jc w:val="both"/>
        <w:rPr>
          <w:b/>
          <w:bCs/>
          <w:sz w:val="24"/>
          <w:szCs w:val="24"/>
        </w:rPr>
      </w:pPr>
      <w:r w:rsidRPr="00BC1219">
        <w:rPr>
          <w:b/>
          <w:bCs/>
          <w:sz w:val="24"/>
          <w:szCs w:val="24"/>
        </w:rPr>
        <w:t>Combination Antacids</w:t>
      </w:r>
    </w:p>
    <w:p w14:paraId="76A8EBB7"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Many commercial antacids combine multiple active ingredients to balance efficacy and minimize side effects. For instance, magnesium and aluminum hydroxides are often combined to counteract the laxative effect of magnesium with the constipating effect of aluminum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 Another example is the inclusion of alginates in some formulations,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which not only neutralizes acid but also creates a protective barrier against reflux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These combination antacids are particularly effective for individuals requiring sustained acid suppression with minimal gastrointestinal side effects.</w:t>
      </w:r>
    </w:p>
    <w:p w14:paraId="4967B415"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choice of antacid depends on the severity of symptoms, underlying health conditions, and potential side effects. While antacids provide effective short-term relief, excessive or prolonged use can lead to electrolyte imbalances, metabolic disturbances, and interactions with other medications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 Therefore, proper evaluation of their acid- neutralizing capacity is crucial for optimizing their use and ensuring safety.</w:t>
      </w:r>
    </w:p>
    <w:p w14:paraId="2A7452FC" w14:textId="77777777" w:rsidR="00D659FE" w:rsidRPr="00556125" w:rsidRDefault="0055612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00D659FE" w:rsidRPr="00556125">
        <w:rPr>
          <w:rFonts w:ascii="Times New Roman" w:hAnsi="Times New Roman" w:cs="Times New Roman"/>
          <w:b/>
          <w:bCs/>
          <w:sz w:val="24"/>
          <w:szCs w:val="24"/>
        </w:rPr>
        <w:t>INORGANIC ANTACIDS</w:t>
      </w:r>
    </w:p>
    <w:p w14:paraId="4BA060B8"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are compounds derived from minerals and inorganic salts that help neutralize gastric acid, providing relief from conditions such as acid reflux, heartburn, and indigestion. These antacids typically contain metal hydroxides, carbonates, or bicarbonates that react with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in the stomach to form water and neutral salts, thereby increasing gastric pH and reducing acidity (Okonkwo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The most commonly used inorganic antacids include aluminum hydroxide, magnesium hydroxide, calcium carbonate, and sodium bicarbonate.</w:t>
      </w:r>
    </w:p>
    <w:p w14:paraId="62AB3E25"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Aluminum Hydroxide</w:t>
      </w:r>
    </w:p>
    <w:p w14:paraId="5E7C0055" w14:textId="77777777"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[Al(OH)</w:t>
      </w:r>
      <w:r w:rsidRPr="00D659FE">
        <w:rPr>
          <w:rFonts w:ascii="Cambria Math" w:hAnsi="Cambria Math" w:cs="Cambria Math"/>
          <w:sz w:val="24"/>
          <w:szCs w:val="24"/>
        </w:rPr>
        <w:t>₃</w:t>
      </w:r>
      <w:r w:rsidRPr="00D659FE">
        <w:rPr>
          <w:rFonts w:ascii="Times New Roman" w:hAnsi="Times New Roman" w:cs="Times New Roman"/>
          <w:sz w:val="24"/>
          <w:szCs w:val="24"/>
        </w:rPr>
        <w:t>] is a widely used antacid that neutralizes stomach acid by forming aluminum chloride (</w:t>
      </w:r>
      <w:proofErr w:type="spellStart"/>
      <w:r w:rsidRPr="00D659FE">
        <w:rPr>
          <w:rFonts w:ascii="Times New Roman" w:hAnsi="Times New Roman" w:cs="Times New Roman"/>
          <w:sz w:val="24"/>
          <w:szCs w:val="24"/>
        </w:rPr>
        <w:t>AlCl</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and water. It is known for its ability to provide prolonged acid suppression and is often used in combination with other antacids to enhance its efficacy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One of its advantages is its protective effect on the gastric lining, making it useful in ulcer treatment. However, prolonged use may lead to constipation and phosphate depletion, resulting in hypophosphatemia, which can weaken bones and cause other metabolic disturbances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w:t>
      </w:r>
    </w:p>
    <w:p w14:paraId="5625B67D"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 Hydroxide</w:t>
      </w:r>
    </w:p>
    <w:p w14:paraId="7FD6ABA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Magnesium hydroxide [Mg(OH)</w:t>
      </w:r>
      <w:r w:rsidRPr="00D659FE">
        <w:rPr>
          <w:rFonts w:ascii="Cambria Math" w:hAnsi="Cambria Math" w:cs="Cambria Math"/>
          <w:sz w:val="24"/>
          <w:szCs w:val="24"/>
        </w:rPr>
        <w:t>₂</w:t>
      </w:r>
      <w:r w:rsidRPr="00D659FE">
        <w:rPr>
          <w:rFonts w:ascii="Times New Roman" w:hAnsi="Times New Roman" w:cs="Times New Roman"/>
          <w:sz w:val="24"/>
          <w:szCs w:val="24"/>
        </w:rPr>
        <w:t>], also known as milk of magnesia, is an inorganic antacid with a rapid acid-neutralizing effect. It reacts with hydrochloric acid to produce magnesium chloride (</w:t>
      </w:r>
      <w:proofErr w:type="spellStart"/>
      <w:r w:rsidRPr="00D659FE">
        <w:rPr>
          <w:rFonts w:ascii="Times New Roman" w:hAnsi="Times New Roman" w:cs="Times New Roman"/>
          <w:sz w:val="24"/>
          <w:szCs w:val="24"/>
        </w:rPr>
        <w:t>MgCl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and water, effectively increasing gastric pH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In addition to its antacid properties, it has a mild laxative effect, which can be beneficial for individuals suffering from constipation. However, excessive intake may lead to diarrhea and, in patients with kidney disease, </w:t>
      </w:r>
      <w:proofErr w:type="spellStart"/>
      <w:r w:rsidRPr="00D659FE">
        <w:rPr>
          <w:rFonts w:ascii="Times New Roman" w:hAnsi="Times New Roman" w:cs="Times New Roman"/>
          <w:sz w:val="24"/>
          <w:szCs w:val="24"/>
        </w:rPr>
        <w:t>hypermagnesemia</w:t>
      </w:r>
      <w:proofErr w:type="spellEnd"/>
      <w:r w:rsidRPr="00D659FE">
        <w:rPr>
          <w:rFonts w:ascii="Times New Roman" w:hAnsi="Times New Roman" w:cs="Times New Roman"/>
          <w:sz w:val="24"/>
          <w:szCs w:val="24"/>
        </w:rPr>
        <w:t>, which can cause neurological and cardiovascular complications (Adebayo &amp; Yusuf, 2024).</w:t>
      </w:r>
    </w:p>
    <w:p w14:paraId="69851CFB"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 Carbonate</w:t>
      </w:r>
    </w:p>
    <w:p w14:paraId="32B5C33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Calcium carbonate (</w:t>
      </w:r>
      <w:proofErr w:type="spellStart"/>
      <w:r w:rsidRPr="00D659FE">
        <w:rPr>
          <w:rFonts w:ascii="Times New Roman" w:hAnsi="Times New Roman" w:cs="Times New Roman"/>
          <w:sz w:val="24"/>
          <w:szCs w:val="24"/>
        </w:rPr>
        <w:t>CaCO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is a potent inorganic antacid that provides quick and long- lasting relief from acid-related discomfort. It reacts with hydrochloric acid to form calcium chloride (</w:t>
      </w:r>
      <w:proofErr w:type="spellStart"/>
      <w:r w:rsidRPr="00D659FE">
        <w:rPr>
          <w:rFonts w:ascii="Times New Roman" w:hAnsi="Times New Roman" w:cs="Times New Roman"/>
          <w:sz w:val="24"/>
          <w:szCs w:val="24"/>
        </w:rPr>
        <w:t>CaCl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and water, which increases gastric pH and reduces acidity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 Due to its high neutralizing capacity, calcium carbonate is commonly used in chewable and effervescent antacid formulations. Additionally, it contributes to calcium intake, which is beneficial for bone health. However, excessive use can lead to hypercalcemia, kidney stone formation, and rebound acid secretion, where the stomach produces more acid after the neutralization effect wears off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020FF73F"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Sodium Bicarbonate</w:t>
      </w:r>
    </w:p>
    <w:p w14:paraId="398CD792"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Sodium bicarbonate (</w:t>
      </w:r>
      <w:proofErr w:type="spellStart"/>
      <w:r w:rsidRPr="00D659FE">
        <w:rPr>
          <w:rFonts w:ascii="Times New Roman" w:hAnsi="Times New Roman" w:cs="Times New Roman"/>
          <w:sz w:val="24"/>
          <w:szCs w:val="24"/>
        </w:rPr>
        <w:t>NaHCO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is a fast-acting inorganic antacid that neutralizes stomach acid by producing carbon dioxide (CO</w:t>
      </w:r>
      <w:r w:rsidRPr="00D659FE">
        <w:rPr>
          <w:rFonts w:ascii="Cambria Math" w:hAnsi="Cambria Math" w:cs="Cambria Math"/>
          <w:sz w:val="24"/>
          <w:szCs w:val="24"/>
        </w:rPr>
        <w:t>₂</w:t>
      </w:r>
      <w:r w:rsidRPr="00D659FE">
        <w:rPr>
          <w:rFonts w:ascii="Times New Roman" w:hAnsi="Times New Roman" w:cs="Times New Roman"/>
          <w:sz w:val="24"/>
          <w:szCs w:val="24"/>
        </w:rPr>
        <w:t>), water, and sodium chloride (</w:t>
      </w:r>
      <w:proofErr w:type="spellStart"/>
      <w:r w:rsidRPr="00D659FE">
        <w:rPr>
          <w:rFonts w:ascii="Times New Roman" w:hAnsi="Times New Roman" w:cs="Times New Roman"/>
          <w:sz w:val="24"/>
          <w:szCs w:val="24"/>
        </w:rPr>
        <w:t>NaCl</w:t>
      </w:r>
      <w:proofErr w:type="spellEnd"/>
      <w:r w:rsidRPr="00D659FE">
        <w:rPr>
          <w:rFonts w:ascii="Times New Roman" w:hAnsi="Times New Roman" w:cs="Times New Roman"/>
          <w:sz w:val="24"/>
          <w:szCs w:val="24"/>
        </w:rPr>
        <w:t xml:space="preserve">). It is commonly found in effervescent antacids such as </w:t>
      </w:r>
      <w:proofErr w:type="spellStart"/>
      <w:r w:rsidRPr="00D659FE">
        <w:rPr>
          <w:rFonts w:ascii="Times New Roman" w:hAnsi="Times New Roman" w:cs="Times New Roman"/>
          <w:sz w:val="24"/>
          <w:szCs w:val="24"/>
        </w:rPr>
        <w:t>Eno</w:t>
      </w:r>
      <w:proofErr w:type="spellEnd"/>
      <w:r w:rsidRPr="00D659FE">
        <w:rPr>
          <w:rFonts w:ascii="Times New Roman" w:hAnsi="Times New Roman" w:cs="Times New Roman"/>
          <w:sz w:val="24"/>
          <w:szCs w:val="24"/>
        </w:rPr>
        <w:t xml:space="preserve"> and Andrews Liver Salt, providing rapid relief from acid indigestion and bloating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Despite its effectiveness, sodium bicarbonate is not recommended for long-term use due to its high sodium content, which can contribute to hypertension, fluid retention, and metabolic alkalosis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the release of carbon dioxide can cause bloating and discomfort in some individuals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14:paraId="6B36D1E8"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1.3.5</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14:paraId="311FA845"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vary in their acid-neutralizing capacity, duration of action, and side effects. While aluminum and calcium-based antacids provide longer-lasting relief, they may cause constipation or rebound acid secretion. Magnesium-based antacids act quickly but can induce diarrhea, making combination formulations a preferred choice to balance their effects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Sodium bicarbonate, though effective for im</w:t>
      </w:r>
      <w:r w:rsidR="00556125">
        <w:rPr>
          <w:rFonts w:ascii="Times New Roman" w:hAnsi="Times New Roman" w:cs="Times New Roman"/>
          <w:sz w:val="24"/>
          <w:szCs w:val="24"/>
        </w:rPr>
        <w:t xml:space="preserve">mediate relief, has significant </w:t>
      </w:r>
      <w:r w:rsidRPr="00D659FE">
        <w:rPr>
          <w:rFonts w:ascii="Times New Roman" w:hAnsi="Times New Roman" w:cs="Times New Roman"/>
          <w:sz w:val="24"/>
          <w:szCs w:val="24"/>
        </w:rPr>
        <w:t>risks when used excessively, particularly in individuals with cardiovascular or renal conditions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14:paraId="268723A1"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evaluation of inorganic antacids' acid-neutralizing capacity is essential for determining their effectiveness and ensuring their safe use. Excessive reliance on these medications without medical supervision can lead to metabolic imbalances and other health complications. Therefore, proper dosing and consideration of patient-specific factors are necessary to optimize their benefits while minimizing risks.</w:t>
      </w:r>
    </w:p>
    <w:p w14:paraId="296E92AF" w14:textId="77777777" w:rsidR="00D659FE" w:rsidRPr="00B56C0D" w:rsidRDefault="00B56C0D"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ORGANIC ANTACIDS</w:t>
      </w:r>
    </w:p>
    <w:p w14:paraId="11FE0A16"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Organic antacids are less common than their inorganic counterparts but play a significant role in acid neutralization and gastrointestinal protection. These antacids are derived from organic compounds, including naturally occurring substances such as alginates and amino acid-based formulations. They act by neutralizing stomach acid, forming protective barriers, or buffering gastric pH to alleviate conditions such as acid reflux, heartburn, and indigestion (Okonkwo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Unlike inorganic antacids, organic antacids often have additional properties, such as mucosal protection and anti-inflammatory effects, making them useful for specific patient populations.</w:t>
      </w:r>
    </w:p>
    <w:p w14:paraId="59D59E8B"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Alginates</w:t>
      </w:r>
    </w:p>
    <w:p w14:paraId="73302F4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One of the most widely used organic antacid components is </w:t>
      </w:r>
      <w:proofErr w:type="spellStart"/>
      <w:r w:rsidRPr="00D659FE">
        <w:rPr>
          <w:rFonts w:ascii="Times New Roman" w:hAnsi="Times New Roman" w:cs="Times New Roman"/>
          <w:sz w:val="24"/>
          <w:szCs w:val="24"/>
        </w:rPr>
        <w:t>alginic</w:t>
      </w:r>
      <w:proofErr w:type="spellEnd"/>
      <w:r w:rsidRPr="00D659FE">
        <w:rPr>
          <w:rFonts w:ascii="Times New Roman" w:hAnsi="Times New Roman" w:cs="Times New Roman"/>
          <w:sz w:val="24"/>
          <w:szCs w:val="24"/>
        </w:rPr>
        <w:t xml:space="preserve"> acid, commonly found in formulations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Alginates, derived from brown seaweed, work by forming a gel-like barrier that floats on top of stomach contents, preventing acid reflux into the esophagus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When combined with bicarbonates, alginates produce a foamy protective layer that reduces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providing longer-lasting relief than standard acid neutralization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2022). This makes alginate-based antacids particularly beneficial for individuals with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w:t>
      </w:r>
    </w:p>
    <w:p w14:paraId="1A93CA5C"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Amino Acid-Based Antacids</w:t>
      </w:r>
    </w:p>
    <w:p w14:paraId="32C6EB0A" w14:textId="77777777"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Some organic antacids incorporate amino acid salts, such as glycine and alginate-amino acid complexes, which help buffer stomach acid while supporting gastric mucosal healing. These compounds act as weak bases, neutralizing excess hydrochloric acid while also promoting a balanced gastric environment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Amino acid-based antacids are considered gentler on the digestive system and are sometimes used in combination with inorganic antacids to enhance efficacy while minimizing potential side effects.</w:t>
      </w:r>
    </w:p>
    <w:p w14:paraId="14339A47" w14:textId="77777777" w:rsidR="00D659FE" w:rsidRPr="00BC1219" w:rsidRDefault="00D659FE" w:rsidP="009A5A72">
      <w:pPr>
        <w:pStyle w:val="ListParagraph"/>
        <w:numPr>
          <w:ilvl w:val="2"/>
          <w:numId w:val="3"/>
        </w:numPr>
        <w:spacing w:line="360" w:lineRule="auto"/>
        <w:rPr>
          <w:b/>
          <w:bCs/>
          <w:sz w:val="24"/>
          <w:szCs w:val="24"/>
        </w:rPr>
      </w:pPr>
      <w:proofErr w:type="spellStart"/>
      <w:r w:rsidRPr="00BC1219">
        <w:rPr>
          <w:b/>
          <w:bCs/>
          <w:sz w:val="24"/>
          <w:szCs w:val="24"/>
        </w:rPr>
        <w:t>Sucralfate</w:t>
      </w:r>
      <w:proofErr w:type="spellEnd"/>
      <w:r w:rsidRPr="00BC1219">
        <w:rPr>
          <w:b/>
          <w:bCs/>
          <w:sz w:val="24"/>
          <w:szCs w:val="24"/>
        </w:rPr>
        <w:t xml:space="preserve"> and Other Organic Buffers</w:t>
      </w:r>
    </w:p>
    <w:p w14:paraId="1AB25FC0" w14:textId="77777777" w:rsidR="00BC1219"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Though not a traditional antacid, </w:t>
      </w:r>
      <w:proofErr w:type="spellStart"/>
      <w:r w:rsidRPr="00D659FE">
        <w:rPr>
          <w:rFonts w:ascii="Times New Roman" w:hAnsi="Times New Roman" w:cs="Times New Roman"/>
          <w:b/>
          <w:sz w:val="24"/>
          <w:szCs w:val="24"/>
        </w:rPr>
        <w:t>sucralfate</w:t>
      </w:r>
      <w:proofErr w:type="spellEnd"/>
      <w:r w:rsidRPr="00D659FE">
        <w:rPr>
          <w:rFonts w:ascii="Times New Roman" w:hAnsi="Times New Roman" w:cs="Times New Roman"/>
          <w:b/>
          <w:sz w:val="24"/>
          <w:szCs w:val="24"/>
        </w:rPr>
        <w:t xml:space="preserve"> </w:t>
      </w:r>
      <w:r w:rsidRPr="00D659FE">
        <w:rPr>
          <w:rFonts w:ascii="Times New Roman" w:hAnsi="Times New Roman" w:cs="Times New Roman"/>
          <w:sz w:val="24"/>
          <w:szCs w:val="24"/>
        </w:rPr>
        <w:t xml:space="preserve">is an organic compound that exhibits acid- buffering properties. It forms a protective coating over ulcers and erosions in the stomach lining, reducing exposure to gastric acid and allowing healing to occur (Adebayo &amp; Yusuf, 2024). Unlike conventional antacids, </w:t>
      </w:r>
      <w:proofErr w:type="spellStart"/>
      <w:r w:rsidRPr="00D659FE">
        <w:rPr>
          <w:rFonts w:ascii="Times New Roman" w:hAnsi="Times New Roman" w:cs="Times New Roman"/>
          <w:sz w:val="24"/>
          <w:szCs w:val="24"/>
        </w:rPr>
        <w:t>sucralfate</w:t>
      </w:r>
      <w:proofErr w:type="spellEnd"/>
      <w:r w:rsidRPr="00D659FE">
        <w:rPr>
          <w:rFonts w:ascii="Times New Roman" w:hAnsi="Times New Roman" w:cs="Times New Roman"/>
          <w:sz w:val="24"/>
          <w:szCs w:val="24"/>
        </w:rPr>
        <w:t xml:space="preserve"> does not significantly alter stomach pH but provides symptomatic relief by protecting damaged mucosa. It is often used in patients with peptic ulcers and those at risk of gastrointestinal bleeding due to prolonged acid exposure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14:paraId="481006F1" w14:textId="77777777" w:rsidR="00D659FE" w:rsidRPr="00BC1219" w:rsidRDefault="00BC1219" w:rsidP="009A5A7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1.4.4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14:paraId="29E71C40"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Organic antacids differ from inorganic ones in their mode of action and additional therapeutic benefits. While inorganic antacids focus primarily on neutralizing acid, organic antacids often provide mechanical protection and mucosal support. Alginates are particularly effective for reflux conditions, whereas amino acid-based antacids and </w:t>
      </w:r>
      <w:proofErr w:type="spellStart"/>
      <w:r w:rsidRPr="00D659FE">
        <w:rPr>
          <w:rFonts w:ascii="Times New Roman" w:hAnsi="Times New Roman" w:cs="Times New Roman"/>
          <w:sz w:val="24"/>
          <w:szCs w:val="24"/>
        </w:rPr>
        <w:t>sucralfate</w:t>
      </w:r>
      <w:proofErr w:type="spellEnd"/>
      <w:r w:rsidRPr="00D659FE">
        <w:rPr>
          <w:rFonts w:ascii="Times New Roman" w:hAnsi="Times New Roman" w:cs="Times New Roman"/>
          <w:sz w:val="24"/>
          <w:szCs w:val="24"/>
        </w:rPr>
        <w:t xml:space="preserve"> support gastric healing and ulcer management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2022). Furthermore, organic antacids generally have fewer side effects, making them suitable for long-term use in individuals with chronic acid- related conditions.</w:t>
      </w:r>
    </w:p>
    <w:p w14:paraId="22338EC8"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evaluation of organic antacids' effectiveness involves assessing their acid-neutralizing capacity, ability to form protective barriers, and impact on gastric motility. Research continues to explore novel organic antacid formulations that optimize relief while minimizing complications associated with prolonged acid suppression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As the demand for safer, more sustainable acid-neutralizing agents increases, organic antacids may play a larger role in managing gastrointestinal disorders with fewer adverse effects compared to traditional inorganic antacids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2EF945BB" w14:textId="77777777" w:rsidR="00D659FE" w:rsidRPr="00B56C0D" w:rsidRDefault="00B56C0D"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PROPERTIES OF ANTACIDS</w:t>
      </w:r>
    </w:p>
    <w:p w14:paraId="2BF4DDD1" w14:textId="77777777" w:rsidR="00584B9B"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possess several key properties that determine their effectiveness in neutralizing gastric acid, alleviating symptoms of acid-related disorders, and ensuring patient safety. These properti</w:t>
      </w:r>
      <w:r w:rsidRPr="00B56C0D">
        <w:rPr>
          <w:rFonts w:ascii="Times New Roman" w:hAnsi="Times New Roman" w:cs="Times New Roman"/>
          <w:sz w:val="24"/>
          <w:szCs w:val="24"/>
        </w:rPr>
        <w:t>es include acid-neutralizing capacity, solubility, reaction speed, buffering effect, duration of action, and side effect profile. The choice of an antacid depends on these charact</w:t>
      </w:r>
      <w:r w:rsidRPr="00D659FE">
        <w:rPr>
          <w:rFonts w:ascii="Times New Roman" w:hAnsi="Times New Roman" w:cs="Times New Roman"/>
          <w:sz w:val="24"/>
          <w:szCs w:val="24"/>
        </w:rPr>
        <w:t xml:space="preserve">eristics, which influence its clinical application and therapeutic benefits (Okonkwo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w:t>
      </w:r>
    </w:p>
    <w:p w14:paraId="6BEE6E52" w14:textId="77777777" w:rsidR="00BC1219" w:rsidRPr="009A5A72" w:rsidRDefault="009A5A72" w:rsidP="009A5A7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1.5.1</w:t>
      </w:r>
      <w:r>
        <w:rPr>
          <w:rFonts w:ascii="Times New Roman" w:hAnsi="Times New Roman" w:cs="Times New Roman"/>
          <w:b/>
          <w:bCs/>
          <w:sz w:val="24"/>
          <w:szCs w:val="24"/>
        </w:rPr>
        <w:tab/>
      </w:r>
      <w:r w:rsidR="00D659FE" w:rsidRPr="009A5A72">
        <w:rPr>
          <w:rFonts w:ascii="Times New Roman" w:hAnsi="Times New Roman" w:cs="Times New Roman"/>
          <w:b/>
          <w:bCs/>
          <w:sz w:val="24"/>
          <w:szCs w:val="24"/>
        </w:rPr>
        <w:t>Solubility and Reaction Speed</w:t>
      </w:r>
    </w:p>
    <w:p w14:paraId="350B1FFF"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solubility of an antacid affects its onset of action. Highly soluble antacids, such as sodium bicarbonate, dissolve quickly in gastric fluid and neutralize acid rapidly, providing almost immediate relief from symptoms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their effect is short-lived, and they can cause bloating due to carbon dioxide release. On the other hand, poorly soluble antacids, such as aluminum hydroxide, have a slower onset but provide prolonged acid suppression, making them useful for sustained relief (Adebayo &amp; Yusuf, 2024).</w:t>
      </w:r>
    </w:p>
    <w:p w14:paraId="06D75C2C" w14:textId="77777777" w:rsidR="00D659FE" w:rsidRPr="00BC1219" w:rsidRDefault="00D659FE" w:rsidP="009A5A72">
      <w:pPr>
        <w:pStyle w:val="ListParagraph"/>
        <w:numPr>
          <w:ilvl w:val="2"/>
          <w:numId w:val="4"/>
        </w:numPr>
        <w:spacing w:line="360" w:lineRule="auto"/>
        <w:jc w:val="both"/>
        <w:rPr>
          <w:b/>
          <w:bCs/>
          <w:sz w:val="24"/>
          <w:szCs w:val="24"/>
        </w:rPr>
      </w:pPr>
      <w:r w:rsidRPr="00BC1219">
        <w:rPr>
          <w:b/>
          <w:bCs/>
          <w:sz w:val="24"/>
          <w:szCs w:val="24"/>
        </w:rPr>
        <w:t>Buffering Effect and pH Stability</w:t>
      </w:r>
    </w:p>
    <w:p w14:paraId="0EF7B1F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antacids not only neutralize acid but also act as buffers, helping maintain a stable gastric </w:t>
      </w:r>
      <w:proofErr w:type="spellStart"/>
      <w:r w:rsidRPr="00D659FE">
        <w:rPr>
          <w:rFonts w:ascii="Times New Roman" w:hAnsi="Times New Roman" w:cs="Times New Roman"/>
          <w:sz w:val="24"/>
          <w:szCs w:val="24"/>
        </w:rPr>
        <w:t>pH.</w:t>
      </w:r>
      <w:proofErr w:type="spellEnd"/>
      <w:r w:rsidRPr="00D659FE">
        <w:rPr>
          <w:rFonts w:ascii="Times New Roman" w:hAnsi="Times New Roman" w:cs="Times New Roman"/>
          <w:sz w:val="24"/>
          <w:szCs w:val="24"/>
        </w:rPr>
        <w:t xml:space="preserve"> This is particularly important for preventing drastic pH fluctuations that may trigger rebound acid secretion. For example, calcium carbonate provides a strong neutralizing effect but may lead to increased acid production once its effects wear off, whereas magnesium- aluminum combinations help stabilize pH without causing rebound acidity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14:paraId="4F7424FB" w14:textId="77777777"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Duration of Action</w:t>
      </w:r>
    </w:p>
    <w:p w14:paraId="35BB8481" w14:textId="77777777" w:rsidR="005E1AA2"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duration of an antacid’s effect depends on its formulation and interaction with gastric contents. Liquid antacids generally work faster but have a shorter duration, whereas tablet formulations provide longer-lasting relief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2022). Combination antacids that include alginates, such as </w:t>
      </w:r>
      <w:proofErr w:type="spellStart"/>
      <w:r w:rsidRPr="00D659FE">
        <w:rPr>
          <w:rFonts w:ascii="Times New Roman" w:hAnsi="Times New Roman" w:cs="Times New Roman"/>
          <w:sz w:val="24"/>
          <w:szCs w:val="24"/>
        </w:rPr>
        <w:t>Gaviscon</w:t>
      </w:r>
      <w:proofErr w:type="spellEnd"/>
      <w:r w:rsidRPr="00D659FE">
        <w:rPr>
          <w:rFonts w:ascii="Times New Roman" w:hAnsi="Times New Roman" w:cs="Times New Roman"/>
          <w:sz w:val="24"/>
          <w:szCs w:val="24"/>
        </w:rPr>
        <w:t xml:space="preserve">, not only neutralize acid but also form a protective barrier against reflux, extending their effectiveness beyond simple acid neutralization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w:t>
      </w:r>
    </w:p>
    <w:p w14:paraId="75D7221A" w14:textId="77777777"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Side Effect Profile</w:t>
      </w:r>
    </w:p>
    <w:p w14:paraId="59442619"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Each type of antacid has specific side effects based on its composition. Aluminum- containing antacids can cause constipation and phosphate depletion, while magnesium-based antacids may lead to diarrhea. Calcium carbonate can contribute to kidney stone formation and metabolic alkalosis if consumed in excess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Sodium bicarbonate, due to its high sodium content, is not recommended for hypertensive patients as it can cause fluid retention and cardiovascular complications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14:paraId="26766114" w14:textId="77777777" w:rsidR="00D659FE" w:rsidRPr="00D659FE" w:rsidRDefault="00D659FE" w:rsidP="009A5A72">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Comparative Analysis of Antacid Properties</w:t>
      </w:r>
    </w:p>
    <w:p w14:paraId="2677077F"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well-balanced antacid should provide effective acid neutralization, have minimal side effects, and offer sustained relief. Magnesium-aluminum hydroxide combinations are widely preferred because they balance rapid action with prolonged effects while minimizing gastrointestinal disturbances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&amp; Bello, 2023). Additionally, modern antacid formulations incorporate ingredients such as </w:t>
      </w:r>
      <w:proofErr w:type="spellStart"/>
      <w:r w:rsidRPr="00D659FE">
        <w:rPr>
          <w:rFonts w:ascii="Times New Roman" w:hAnsi="Times New Roman" w:cs="Times New Roman"/>
          <w:sz w:val="24"/>
          <w:szCs w:val="24"/>
        </w:rPr>
        <w:t>simethicone</w:t>
      </w:r>
      <w:proofErr w:type="spellEnd"/>
      <w:r w:rsidRPr="00D659FE">
        <w:rPr>
          <w:rFonts w:ascii="Times New Roman" w:hAnsi="Times New Roman" w:cs="Times New Roman"/>
          <w:sz w:val="24"/>
          <w:szCs w:val="24"/>
        </w:rPr>
        <w:t xml:space="preserve"> to reduce bloating and alginates to prevent acid reflux, enhancing their overall therapeutic benefits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14:paraId="3F6754B3"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Understanding the properties of antacids is crucial in selecting the most suitable formulation for different clinical conditions. Ongoing research aims to develop improved antacid formulations that maximize efficacy while reducing adverse effects, ensuring better management of acid-related disorders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7A292E64" w14:textId="77777777" w:rsidR="00D659FE" w:rsidRPr="00D64514" w:rsidRDefault="00D64514"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D659FE" w:rsidRPr="00D64514">
        <w:rPr>
          <w:rFonts w:ascii="Times New Roman" w:hAnsi="Times New Roman" w:cs="Times New Roman"/>
          <w:b/>
          <w:bCs/>
          <w:sz w:val="24"/>
          <w:szCs w:val="24"/>
        </w:rPr>
        <w:t>FACTORS AFFECTING ANTACIDS’ EFFECTIVENESS</w:t>
      </w:r>
    </w:p>
    <w:p w14:paraId="18E5AA97" w14:textId="77777777" w:rsidR="00D659FE" w:rsidRPr="00D659FE"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1.6.1</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Gastric pH and Acid Load</w:t>
      </w:r>
    </w:p>
    <w:p w14:paraId="3DCE2ADD"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pre-existing acidity level in the stomach affects how well an antacid works. When gastric pH is extremely low (high acidity), a stronger antacid with higher ANC is required to achieve the desired neutralization effect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if the stomach produces excessive acid due to stress, diet, or underlying conditions such as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 a single dose of an antacid may not provide sufficient relief, necessitating repeated administration (Adebayo &amp; Yusuf, 2024).</w:t>
      </w:r>
    </w:p>
    <w:p w14:paraId="294F291E"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Food Intake and Gastric Emptying Rate</w:t>
      </w:r>
    </w:p>
    <w:p w14:paraId="5CE92CA7"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Food consumption can significantly impact antacid effectiveness. Taking antacids after meals prolongs their duration of action because food delays gastric emptying, allowing the antacid to remain in the stomach for a longer period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 However, taking antacids on an empty stomach leads to rapid gastric clearance, reducing their effectiveness as they are quickly expelled into the intestines. Fatty and protein-rich foods can also influence acid secretion, affecting how much acid needs to be neutralized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7862EAD1" w14:textId="77777777" w:rsidR="00D659FE" w:rsidRPr="00BC1219" w:rsidRDefault="00D659FE" w:rsidP="009A5A72">
      <w:pPr>
        <w:pStyle w:val="ListParagraph"/>
        <w:numPr>
          <w:ilvl w:val="2"/>
          <w:numId w:val="5"/>
        </w:numPr>
        <w:spacing w:line="360" w:lineRule="auto"/>
        <w:jc w:val="both"/>
        <w:rPr>
          <w:b/>
          <w:bCs/>
          <w:sz w:val="24"/>
          <w:szCs w:val="24"/>
        </w:rPr>
      </w:pPr>
      <w:r w:rsidRPr="00BC1219">
        <w:rPr>
          <w:b/>
          <w:bCs/>
          <w:sz w:val="24"/>
          <w:szCs w:val="24"/>
        </w:rPr>
        <w:t>Dosage and Frequency of Use</w:t>
      </w:r>
    </w:p>
    <w:p w14:paraId="05D74033"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effectiveness of antacids is also dependen</w:t>
      </w:r>
      <w:r w:rsidRPr="00D167D5">
        <w:rPr>
          <w:rFonts w:ascii="Times New Roman" w:hAnsi="Times New Roman" w:cs="Times New Roman"/>
          <w:sz w:val="24"/>
          <w:szCs w:val="24"/>
        </w:rPr>
        <w:t>t on the correct dosage and frequency of administration. Underuse may result in insuffi</w:t>
      </w:r>
      <w:r w:rsidRPr="00D659FE">
        <w:rPr>
          <w:rFonts w:ascii="Times New Roman" w:hAnsi="Times New Roman" w:cs="Times New Roman"/>
          <w:sz w:val="24"/>
          <w:szCs w:val="24"/>
        </w:rPr>
        <w:t xml:space="preserve">cient acid neutralization, while excessive use can lead to side effects such as alkalosis, electrolyte imbalances, or rebound acid </w:t>
      </w:r>
      <w:proofErr w:type="spellStart"/>
      <w:r w:rsidRPr="00D659FE">
        <w:rPr>
          <w:rFonts w:ascii="Times New Roman" w:hAnsi="Times New Roman" w:cs="Times New Roman"/>
          <w:sz w:val="24"/>
          <w:szCs w:val="24"/>
        </w:rPr>
        <w:t>hypersecretion</w:t>
      </w:r>
      <w:proofErr w:type="spellEnd"/>
      <w:r w:rsidRPr="00D659FE">
        <w:rPr>
          <w:rFonts w:ascii="Times New Roman" w:hAnsi="Times New Roman" w:cs="Times New Roman"/>
          <w:sz w:val="24"/>
          <w:szCs w:val="24"/>
        </w:rPr>
        <w:t xml:space="preserve">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 Some formulations, such as chewable tablets, require thorough chewing for optimal effectiveness, as incomplete chewing may reduce the dissolution rate and delay acid neutralization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2DC6AA23" w14:textId="77777777" w:rsidR="00D659FE" w:rsidRPr="00BC1219" w:rsidRDefault="00D659FE" w:rsidP="009A5A72">
      <w:pPr>
        <w:pStyle w:val="ListParagraph"/>
        <w:numPr>
          <w:ilvl w:val="2"/>
          <w:numId w:val="5"/>
        </w:numPr>
        <w:spacing w:line="360" w:lineRule="auto"/>
        <w:jc w:val="both"/>
        <w:rPr>
          <w:b/>
          <w:bCs/>
          <w:sz w:val="24"/>
          <w:szCs w:val="24"/>
        </w:rPr>
      </w:pPr>
      <w:r w:rsidRPr="00BC1219">
        <w:rPr>
          <w:b/>
          <w:bCs/>
          <w:sz w:val="24"/>
          <w:szCs w:val="24"/>
        </w:rPr>
        <w:t>Formulation Type (Liquid vs. Tablet vs. Effervescent)</w:t>
      </w:r>
    </w:p>
    <w:p w14:paraId="3979D0BD" w14:textId="77777777" w:rsidR="009A5A72" w:rsidRDefault="00D659FE" w:rsidP="009A5A72">
      <w:pPr>
        <w:spacing w:after="0" w:line="360" w:lineRule="auto"/>
        <w:jc w:val="both"/>
        <w:rPr>
          <w:rFonts w:ascii="Times New Roman" w:hAnsi="Times New Roman" w:cs="Times New Roman"/>
          <w:sz w:val="24"/>
          <w:szCs w:val="24"/>
        </w:rPr>
      </w:pPr>
      <w:r w:rsidRPr="00D167D5">
        <w:rPr>
          <w:rFonts w:ascii="Times New Roman" w:hAnsi="Times New Roman" w:cs="Times New Roman"/>
          <w:sz w:val="24"/>
          <w:szCs w:val="24"/>
        </w:rPr>
        <w:t>The physical formulation of an antacid plays a crucial role in determining its onset of action and overall efficacy. Liquid antacids act faster because they are already dissolved and can immediately interact with gastric acid (</w:t>
      </w:r>
      <w:proofErr w:type="spellStart"/>
      <w:r w:rsidRPr="00D167D5">
        <w:rPr>
          <w:rFonts w:ascii="Times New Roman" w:hAnsi="Times New Roman" w:cs="Times New Roman"/>
          <w:sz w:val="24"/>
          <w:szCs w:val="24"/>
        </w:rPr>
        <w:t>Ogundipe</w:t>
      </w:r>
      <w:proofErr w:type="spellEnd"/>
      <w:r w:rsidRPr="00D167D5">
        <w:rPr>
          <w:rFonts w:ascii="Times New Roman" w:hAnsi="Times New Roman" w:cs="Times New Roman"/>
          <w:sz w:val="24"/>
          <w:szCs w:val="24"/>
        </w:rPr>
        <w:t xml:space="preserve"> &amp; Williams, 2022). In contrast, chewable tablets require time to break down and dissolve in the stomach, leading to a slightly delayed effect. Effervescent antacids, such as sodium bicarbonate-based formulations, dissolve quickly in water and provide rapid relief but may cause bloating due to carbon dioxide release (</w:t>
      </w:r>
      <w:proofErr w:type="spellStart"/>
      <w:r w:rsidRPr="00D167D5">
        <w:rPr>
          <w:rFonts w:ascii="Times New Roman" w:hAnsi="Times New Roman" w:cs="Times New Roman"/>
          <w:sz w:val="24"/>
          <w:szCs w:val="24"/>
        </w:rPr>
        <w:t>Okon</w:t>
      </w:r>
      <w:proofErr w:type="spellEnd"/>
      <w:r w:rsidRPr="00D167D5">
        <w:rPr>
          <w:rFonts w:ascii="Times New Roman" w:hAnsi="Times New Roman" w:cs="Times New Roman"/>
          <w:sz w:val="24"/>
          <w:szCs w:val="24"/>
        </w:rPr>
        <w:t xml:space="preserve"> &amp; Bello, 2023).</w:t>
      </w:r>
    </w:p>
    <w:p w14:paraId="1149BC34" w14:textId="77777777" w:rsidR="00957AE2" w:rsidRPr="00D167D5" w:rsidRDefault="00957AE2" w:rsidP="009A5A72">
      <w:pPr>
        <w:spacing w:after="0" w:line="360" w:lineRule="auto"/>
        <w:jc w:val="both"/>
        <w:rPr>
          <w:rFonts w:ascii="Times New Roman" w:hAnsi="Times New Roman" w:cs="Times New Roman"/>
          <w:sz w:val="24"/>
          <w:szCs w:val="24"/>
        </w:rPr>
      </w:pPr>
    </w:p>
    <w:p w14:paraId="54C5CCB0" w14:textId="77777777" w:rsidR="00D659FE" w:rsidRPr="00D659FE" w:rsidRDefault="00D659FE" w:rsidP="009A5A72">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Drug Interactions</w:t>
      </w:r>
    </w:p>
    <w:p w14:paraId="434A65D0" w14:textId="77777777" w:rsidR="00814E70"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can interact with other medications, affecting their absorption and overall therapeutic action. For example, aluminum and magnesium-based antacids can reduce the absorption of antibiotics such as </w:t>
      </w:r>
      <w:proofErr w:type="spellStart"/>
      <w:r w:rsidRPr="00D659FE">
        <w:rPr>
          <w:rFonts w:ascii="Times New Roman" w:hAnsi="Times New Roman" w:cs="Times New Roman"/>
          <w:sz w:val="24"/>
          <w:szCs w:val="24"/>
        </w:rPr>
        <w:t>tetracyclines</w:t>
      </w:r>
      <w:proofErr w:type="spellEnd"/>
      <w:r w:rsidRPr="00D659FE">
        <w:rPr>
          <w:rFonts w:ascii="Times New Roman" w:hAnsi="Times New Roman" w:cs="Times New Roman"/>
          <w:sz w:val="24"/>
          <w:szCs w:val="24"/>
        </w:rPr>
        <w:t xml:space="preserve"> and </w:t>
      </w:r>
      <w:proofErr w:type="spellStart"/>
      <w:r w:rsidRPr="00D659FE">
        <w:rPr>
          <w:rFonts w:ascii="Times New Roman" w:hAnsi="Times New Roman" w:cs="Times New Roman"/>
          <w:sz w:val="24"/>
          <w:szCs w:val="24"/>
        </w:rPr>
        <w:t>fluoroquinolones</w:t>
      </w:r>
      <w:proofErr w:type="spellEnd"/>
      <w:r w:rsidRPr="00D659FE">
        <w:rPr>
          <w:rFonts w:ascii="Times New Roman" w:hAnsi="Times New Roman" w:cs="Times New Roman"/>
          <w:sz w:val="24"/>
          <w:szCs w:val="24"/>
        </w:rPr>
        <w:t>, leading to decreased antibiotic effectiveness (</w:t>
      </w:r>
      <w:proofErr w:type="spellStart"/>
      <w:r w:rsidRPr="00D659FE">
        <w:rPr>
          <w:rFonts w:ascii="Times New Roman" w:hAnsi="Times New Roman" w:cs="Times New Roman"/>
          <w:sz w:val="24"/>
          <w:szCs w:val="24"/>
        </w:rPr>
        <w:t>Olawale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2024). Antacids can also interfere with the absorption of iron supplements and thyroid medications, making it necessary to space out their administration by at least two hours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1830A94B" w14:textId="77777777" w:rsidR="00D659FE" w:rsidRPr="00D659FE" w:rsidRDefault="00D659FE" w:rsidP="009A5A72">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Patient-Specific Conditions</w:t>
      </w:r>
    </w:p>
    <w:p w14:paraId="1DDB55B9" w14:textId="77777777" w:rsidR="00A9662E" w:rsidRPr="009A5A72"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Individual health conditions</w:t>
      </w:r>
      <w:r w:rsidRPr="00D167D5">
        <w:rPr>
          <w:rFonts w:ascii="Times New Roman" w:hAnsi="Times New Roman" w:cs="Times New Roman"/>
          <w:sz w:val="24"/>
          <w:szCs w:val="24"/>
        </w:rPr>
        <w:t xml:space="preserve"> can influence how well an antacid works. Patients with chronic kidney disease (CKD) sh</w:t>
      </w:r>
      <w:r w:rsidRPr="00D659FE">
        <w:rPr>
          <w:rFonts w:ascii="Times New Roman" w:hAnsi="Times New Roman" w:cs="Times New Roman"/>
          <w:sz w:val="24"/>
          <w:szCs w:val="24"/>
        </w:rPr>
        <w:t xml:space="preserve">ould avoid magnesium-based antacids because impaired kidney function can lead to magnesium accumulation, causing toxicity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 Similarly, individuals with cardiovascular conditions should limit sodium bicarbonate intake due to its high sodium content, which can contribute to hypertension and fluid retention (Adebayo &amp; Yusuf, 2024). Pregnant women are often advised to use calcium- based antacids, as they provide additional calcium benefits, but excessive intake can lead to hypercalcemia and kidney stone formation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14:paraId="02746BE2" w14:textId="77777777" w:rsidR="00D659FE" w:rsidRPr="004A5A28" w:rsidRDefault="004A5A28"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D659FE" w:rsidRPr="004A5A28">
        <w:rPr>
          <w:rFonts w:ascii="Times New Roman" w:hAnsi="Times New Roman" w:cs="Times New Roman"/>
          <w:b/>
          <w:bCs/>
          <w:sz w:val="24"/>
          <w:szCs w:val="24"/>
        </w:rPr>
        <w:t>ACID NEUTRALIZING CAPACITY (ANC)</w:t>
      </w:r>
    </w:p>
    <w:p w14:paraId="475B7021" w14:textId="77777777" w:rsidR="00C35E98"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Neutralizing Capacity (ANC) is a critical parameter used to measure the effectiveness of antacids in counteracting gastric acid. It is defined as the amount of hydrochloric acid (</w:t>
      </w:r>
      <w:proofErr w:type="spellStart"/>
      <w:r w:rsidRPr="00D659FE">
        <w:rPr>
          <w:rFonts w:ascii="Times New Roman" w:hAnsi="Times New Roman" w:cs="Times New Roman"/>
          <w:sz w:val="24"/>
          <w:szCs w:val="24"/>
        </w:rPr>
        <w:t>HCl</w:t>
      </w:r>
      <w:proofErr w:type="spellEnd"/>
      <w:r w:rsidRPr="00D659FE">
        <w:rPr>
          <w:rFonts w:ascii="Times New Roman" w:hAnsi="Times New Roman" w:cs="Times New Roman"/>
          <w:sz w:val="24"/>
          <w:szCs w:val="24"/>
        </w:rPr>
        <w:t xml:space="preserve">) that an antacid can neutralize per unit dose, usually expressed in </w:t>
      </w:r>
      <w:proofErr w:type="spellStart"/>
      <w:r w:rsidRPr="00D659FE">
        <w:rPr>
          <w:rFonts w:ascii="Times New Roman" w:hAnsi="Times New Roman" w:cs="Times New Roman"/>
          <w:sz w:val="24"/>
          <w:szCs w:val="24"/>
        </w:rPr>
        <w:t>milliequivalents</w:t>
      </w:r>
      <w:proofErr w:type="spellEnd"/>
      <w:r w:rsidRPr="00D659FE">
        <w:rPr>
          <w:rFonts w:ascii="Times New Roman" w:hAnsi="Times New Roman" w:cs="Times New Roman"/>
          <w:sz w:val="24"/>
          <w:szCs w:val="24"/>
        </w:rPr>
        <w:t xml:space="preserve"> (</w:t>
      </w:r>
      <w:proofErr w:type="spellStart"/>
      <w:r w:rsidRPr="00D659FE">
        <w:rPr>
          <w:rFonts w:ascii="Times New Roman" w:hAnsi="Times New Roman" w:cs="Times New Roman"/>
          <w:sz w:val="24"/>
          <w:szCs w:val="24"/>
        </w:rPr>
        <w:t>mEq</w:t>
      </w:r>
      <w:proofErr w:type="spellEnd"/>
      <w:r w:rsidRPr="00D659FE">
        <w:rPr>
          <w:rFonts w:ascii="Times New Roman" w:hAnsi="Times New Roman" w:cs="Times New Roman"/>
          <w:sz w:val="24"/>
          <w:szCs w:val="24"/>
        </w:rPr>
        <w:t xml:space="preserve">) of acid neutralized (Okonkwo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 The ANC of an antacid determines its ability to relieve acid-related conditions such as heartburn, acid reflux, and indigestion. A higher ANC indicates greater potency, meaning that less of the antacid is required to achieve acid neutralization.</w:t>
      </w:r>
    </w:p>
    <w:p w14:paraId="19E97038" w14:textId="77777777" w:rsidR="00D659FE" w:rsidRPr="00BC1219" w:rsidRDefault="00BC1219"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1.7.1</w:t>
      </w:r>
      <w:r>
        <w:rPr>
          <w:rFonts w:ascii="Times New Roman" w:hAnsi="Times New Roman" w:cs="Times New Roman"/>
          <w:b/>
          <w:bCs/>
          <w:sz w:val="24"/>
          <w:szCs w:val="24"/>
        </w:rPr>
        <w:tab/>
      </w:r>
      <w:r w:rsidR="005E1AA2" w:rsidRPr="00BC1219">
        <w:rPr>
          <w:rFonts w:ascii="Times New Roman" w:hAnsi="Times New Roman" w:cs="Times New Roman"/>
          <w:b/>
          <w:bCs/>
          <w:sz w:val="24"/>
          <w:szCs w:val="24"/>
        </w:rPr>
        <w:t>Factors Influencing ANC</w:t>
      </w:r>
    </w:p>
    <w:p w14:paraId="2B82D0BD"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Several factors influence the ANC of an antacid, including its chemical composition, solubility, and reaction kinetics. Magnesium hydroxide and calcium carbonate are known for their high ANC, making them effective in neutralizing large amounts of gastric acid within a short period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 In contrast, aluminum hydroxide has a lower ANC but provides a prolonged buffering effect, making it suitable for sustained acid suppression (Williams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2022). Sodium bicarbonate, another commonly used antacid, has a very high ANC but can cause rapid CO</w:t>
      </w:r>
      <w:r w:rsidRPr="00D659FE">
        <w:rPr>
          <w:rFonts w:ascii="Cambria Math" w:hAnsi="Cambria Math" w:cs="Cambria Math"/>
          <w:sz w:val="24"/>
          <w:szCs w:val="24"/>
        </w:rPr>
        <w:t>₂</w:t>
      </w:r>
      <w:r w:rsidRPr="00D659FE">
        <w:rPr>
          <w:rFonts w:ascii="Times New Roman" w:hAnsi="Times New Roman" w:cs="Times New Roman"/>
          <w:sz w:val="24"/>
          <w:szCs w:val="24"/>
        </w:rPr>
        <w:t xml:space="preserve"> production, leading to bloating and belching (</w:t>
      </w: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548EA592" w14:textId="77777777" w:rsidR="00D659FE" w:rsidRPr="00BC1219" w:rsidRDefault="005E1AA2" w:rsidP="009A5A72">
      <w:pPr>
        <w:pStyle w:val="ListParagraph"/>
        <w:numPr>
          <w:ilvl w:val="2"/>
          <w:numId w:val="6"/>
        </w:numPr>
        <w:spacing w:line="360" w:lineRule="auto"/>
        <w:jc w:val="both"/>
        <w:rPr>
          <w:b/>
          <w:bCs/>
          <w:sz w:val="24"/>
          <w:szCs w:val="24"/>
        </w:rPr>
      </w:pPr>
      <w:r w:rsidRPr="00BC1219">
        <w:rPr>
          <w:b/>
          <w:bCs/>
          <w:sz w:val="24"/>
          <w:szCs w:val="24"/>
        </w:rPr>
        <w:t>Methods For Determining ANC</w:t>
      </w:r>
    </w:p>
    <w:p w14:paraId="7F72B3B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ANC of a</w:t>
      </w:r>
      <w:r w:rsidRPr="004A5A28">
        <w:rPr>
          <w:rFonts w:ascii="Times New Roman" w:hAnsi="Times New Roman" w:cs="Times New Roman"/>
          <w:sz w:val="24"/>
          <w:szCs w:val="24"/>
        </w:rPr>
        <w:t>n antacid is typically evaluated using back titration techniques, where a known excess of standardized hydrochloric acid is added to a sample of the antacid, and the remaining acid is titrated with a base such as sodium hydroxide (</w:t>
      </w:r>
      <w:proofErr w:type="spellStart"/>
      <w:r w:rsidRPr="004A5A28">
        <w:rPr>
          <w:rFonts w:ascii="Times New Roman" w:hAnsi="Times New Roman" w:cs="Times New Roman"/>
          <w:sz w:val="24"/>
          <w:szCs w:val="24"/>
        </w:rPr>
        <w:t>NaOH</w:t>
      </w:r>
      <w:proofErr w:type="spellEnd"/>
      <w:r w:rsidRPr="004A5A28">
        <w:rPr>
          <w:rFonts w:ascii="Times New Roman" w:hAnsi="Times New Roman" w:cs="Times New Roman"/>
          <w:sz w:val="24"/>
          <w:szCs w:val="24"/>
        </w:rPr>
        <w:t>) (Adebayo &amp; Yusuf, 2024). This method allows researchers to quantify the exact amount of acid neutralized by the antacid, providing an objective measure of its effectiveness. Additionally, pH-stat titration is used in advanced studies to continuously monitor pH changes in simulated gastric conditions, offering a real-time asses</w:t>
      </w:r>
      <w:r w:rsidRPr="00D659FE">
        <w:rPr>
          <w:rFonts w:ascii="Times New Roman" w:hAnsi="Times New Roman" w:cs="Times New Roman"/>
          <w:sz w:val="24"/>
          <w:szCs w:val="24"/>
        </w:rPr>
        <w:t>sment of ANC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14:paraId="6E667AD4" w14:textId="77777777" w:rsidR="00D659FE" w:rsidRPr="00BC1219" w:rsidRDefault="005E1AA2" w:rsidP="009A5A72">
      <w:pPr>
        <w:pStyle w:val="ListParagraph"/>
        <w:numPr>
          <w:ilvl w:val="2"/>
          <w:numId w:val="6"/>
        </w:numPr>
        <w:spacing w:line="360" w:lineRule="auto"/>
        <w:jc w:val="both"/>
        <w:rPr>
          <w:b/>
          <w:bCs/>
          <w:sz w:val="24"/>
          <w:szCs w:val="24"/>
        </w:rPr>
      </w:pPr>
      <w:r w:rsidRPr="00BC1219">
        <w:rPr>
          <w:b/>
          <w:bCs/>
          <w:sz w:val="24"/>
          <w:szCs w:val="24"/>
        </w:rPr>
        <w:t>Clinical Implications of</w:t>
      </w:r>
      <w:r w:rsidR="00D659FE" w:rsidRPr="00BC1219">
        <w:rPr>
          <w:b/>
          <w:bCs/>
          <w:sz w:val="24"/>
          <w:szCs w:val="24"/>
        </w:rPr>
        <w:t xml:space="preserve"> ANC</w:t>
      </w:r>
    </w:p>
    <w:p w14:paraId="6C830C20"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Understanding the ANC of antacids is essential for ensuring appropriate dosing and maximizing therapeutic benefits. Patients with conditions such as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(GERD) require antacids with a higher ANC to effectively counteract persistent acid exposure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2022). However, excessive ANC can lead to alkalosis, electrolyte imbalances, or rebound acid </w:t>
      </w:r>
      <w:proofErr w:type="spellStart"/>
      <w:r w:rsidRPr="00D659FE">
        <w:rPr>
          <w:rFonts w:ascii="Times New Roman" w:hAnsi="Times New Roman" w:cs="Times New Roman"/>
          <w:sz w:val="24"/>
          <w:szCs w:val="24"/>
        </w:rPr>
        <w:t>hypersecretion</w:t>
      </w:r>
      <w:proofErr w:type="spellEnd"/>
      <w:r w:rsidRPr="00D659FE">
        <w:rPr>
          <w:rFonts w:ascii="Times New Roman" w:hAnsi="Times New Roman" w:cs="Times New Roman"/>
          <w:sz w:val="24"/>
          <w:szCs w:val="24"/>
        </w:rPr>
        <w:t xml:space="preserve">, where the stomach produces more acid in response to sudden pH changes (Emmanuel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2021).</w:t>
      </w:r>
    </w:p>
    <w:p w14:paraId="7A75243A" w14:textId="77777777" w:rsidR="00D659FE" w:rsidRPr="00D659FE" w:rsidRDefault="005E1AA2" w:rsidP="009A5A72">
      <w:pPr>
        <w:numPr>
          <w:ilvl w:val="2"/>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Comparison o</w:t>
      </w:r>
      <w:r w:rsidRPr="00D659FE">
        <w:rPr>
          <w:rFonts w:ascii="Times New Roman" w:hAnsi="Times New Roman" w:cs="Times New Roman"/>
          <w:b/>
          <w:bCs/>
          <w:sz w:val="24"/>
          <w:szCs w:val="24"/>
        </w:rPr>
        <w:t>f A</w:t>
      </w:r>
      <w:r>
        <w:rPr>
          <w:rFonts w:ascii="Times New Roman" w:hAnsi="Times New Roman" w:cs="Times New Roman"/>
          <w:b/>
          <w:bCs/>
          <w:sz w:val="24"/>
          <w:szCs w:val="24"/>
        </w:rPr>
        <w:t>NC</w:t>
      </w:r>
      <w:r w:rsidRPr="00D659FE">
        <w:rPr>
          <w:rFonts w:ascii="Times New Roman" w:hAnsi="Times New Roman" w:cs="Times New Roman"/>
          <w:b/>
          <w:bCs/>
          <w:sz w:val="24"/>
          <w:szCs w:val="24"/>
        </w:rPr>
        <w:t xml:space="preserve"> Among Antacid Formulations</w:t>
      </w:r>
    </w:p>
    <w:p w14:paraId="7AFBC7F7" w14:textId="77777777" w:rsid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w:t>
      </w:r>
      <w:r w:rsidRPr="004A5A28">
        <w:rPr>
          <w:rFonts w:ascii="Times New Roman" w:hAnsi="Times New Roman" w:cs="Times New Roman"/>
          <w:sz w:val="24"/>
          <w:szCs w:val="24"/>
        </w:rPr>
        <w:t>ifferent formulations, such as liquid, tablet, and effervescent antacids, exhibit varying ANC values. Liquid antacids generally have a higher ANC because they are already dissolved and can react with gastric acid immediately (</w:t>
      </w:r>
      <w:proofErr w:type="spellStart"/>
      <w:r w:rsidRPr="004A5A28">
        <w:rPr>
          <w:rFonts w:ascii="Times New Roman" w:hAnsi="Times New Roman" w:cs="Times New Roman"/>
          <w:sz w:val="24"/>
          <w:szCs w:val="24"/>
        </w:rPr>
        <w:t>Ogundipe</w:t>
      </w:r>
      <w:proofErr w:type="spellEnd"/>
      <w:r w:rsidRPr="004A5A28">
        <w:rPr>
          <w:rFonts w:ascii="Times New Roman" w:hAnsi="Times New Roman" w:cs="Times New Roman"/>
          <w:sz w:val="24"/>
          <w:szCs w:val="24"/>
        </w:rPr>
        <w:t xml:space="preserve"> &amp; Williams, 2022). Chewable tablets may have slightly lower ANC due to the time required for dissolution. Effervescent formulations dissolve quickly in water, providing rapid acid neutralization but sometimes leading to gas- related side effects such as bloating (</w:t>
      </w:r>
      <w:proofErr w:type="spellStart"/>
      <w:r w:rsidRPr="004A5A28">
        <w:rPr>
          <w:rFonts w:ascii="Times New Roman" w:hAnsi="Times New Roman" w:cs="Times New Roman"/>
          <w:sz w:val="24"/>
          <w:szCs w:val="24"/>
        </w:rPr>
        <w:t>Okon</w:t>
      </w:r>
      <w:proofErr w:type="spellEnd"/>
      <w:r w:rsidRPr="004A5A28">
        <w:rPr>
          <w:rFonts w:ascii="Times New Roman" w:hAnsi="Times New Roman" w:cs="Times New Roman"/>
          <w:sz w:val="24"/>
          <w:szCs w:val="24"/>
        </w:rPr>
        <w:t xml:space="preserve"> &amp; Bello, 2023).</w:t>
      </w:r>
    </w:p>
    <w:p w14:paraId="28335B86" w14:textId="77777777" w:rsidR="00C03B81" w:rsidRDefault="00C03B81" w:rsidP="009A5A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1.1: </w:t>
      </w:r>
      <w:proofErr w:type="spellStart"/>
      <w:r>
        <w:rPr>
          <w:rFonts w:ascii="Times New Roman" w:hAnsi="Times New Roman" w:cs="Times New Roman"/>
          <w:sz w:val="24"/>
          <w:szCs w:val="24"/>
        </w:rPr>
        <w:t>Comparation</w:t>
      </w:r>
      <w:proofErr w:type="spellEnd"/>
      <w:r>
        <w:rPr>
          <w:rFonts w:ascii="Times New Roman" w:hAnsi="Times New Roman" w:cs="Times New Roman"/>
          <w:sz w:val="24"/>
          <w:szCs w:val="24"/>
        </w:rPr>
        <w:t xml:space="preserve"> of Different forms of antacids available in Nigeria markets</w:t>
      </w:r>
    </w:p>
    <w:tbl>
      <w:tblPr>
        <w:tblStyle w:val="TableGrid"/>
        <w:tblW w:w="0" w:type="auto"/>
        <w:tblLook w:val="04A0" w:firstRow="1" w:lastRow="0" w:firstColumn="1" w:lastColumn="0" w:noHBand="0" w:noVBand="1"/>
      </w:tblPr>
      <w:tblGrid>
        <w:gridCol w:w="590"/>
        <w:gridCol w:w="1429"/>
        <w:gridCol w:w="2785"/>
        <w:gridCol w:w="3043"/>
        <w:gridCol w:w="1613"/>
      </w:tblGrid>
      <w:tr w:rsidR="007E33BA" w:rsidRPr="007E33BA" w14:paraId="4D274A71" w14:textId="77777777" w:rsidTr="009A5A72">
        <w:tc>
          <w:tcPr>
            <w:tcW w:w="0" w:type="auto"/>
            <w:hideMark/>
          </w:tcPr>
          <w:p w14:paraId="554AE2D8" w14:textId="77777777"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S/N</w:t>
            </w:r>
          </w:p>
        </w:tc>
        <w:tc>
          <w:tcPr>
            <w:tcW w:w="0" w:type="auto"/>
            <w:hideMark/>
          </w:tcPr>
          <w:p w14:paraId="34ED5707" w14:textId="77777777"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Antacids</w:t>
            </w:r>
          </w:p>
        </w:tc>
        <w:tc>
          <w:tcPr>
            <w:tcW w:w="0" w:type="auto"/>
            <w:hideMark/>
          </w:tcPr>
          <w:p w14:paraId="10308A3A" w14:textId="77777777"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Advantage</w:t>
            </w:r>
          </w:p>
        </w:tc>
        <w:tc>
          <w:tcPr>
            <w:tcW w:w="0" w:type="auto"/>
            <w:hideMark/>
          </w:tcPr>
          <w:p w14:paraId="31338F04" w14:textId="77777777"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Disadvantage</w:t>
            </w:r>
          </w:p>
        </w:tc>
        <w:tc>
          <w:tcPr>
            <w:tcW w:w="0" w:type="auto"/>
            <w:hideMark/>
          </w:tcPr>
          <w:p w14:paraId="22024BEB" w14:textId="77777777" w:rsidR="007E33BA" w:rsidRPr="007E33BA" w:rsidRDefault="007E33BA" w:rsidP="009A5A72">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Reference</w:t>
            </w:r>
          </w:p>
        </w:tc>
      </w:tr>
      <w:tr w:rsidR="007E33BA" w:rsidRPr="007E33BA" w14:paraId="54A5F1A0" w14:textId="77777777" w:rsidTr="009A5A72">
        <w:tc>
          <w:tcPr>
            <w:tcW w:w="0" w:type="auto"/>
            <w:hideMark/>
          </w:tcPr>
          <w:p w14:paraId="775FA33E"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1</w:t>
            </w:r>
          </w:p>
        </w:tc>
        <w:tc>
          <w:tcPr>
            <w:tcW w:w="0" w:type="auto"/>
            <w:hideMark/>
          </w:tcPr>
          <w:p w14:paraId="2B068BB1"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Liquid</w:t>
            </w:r>
          </w:p>
        </w:tc>
        <w:tc>
          <w:tcPr>
            <w:tcW w:w="0" w:type="auto"/>
            <w:hideMark/>
          </w:tcPr>
          <w:p w14:paraId="3529DD0B"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High ANC; already dissolved, acts quickly</w:t>
            </w:r>
          </w:p>
        </w:tc>
        <w:tc>
          <w:tcPr>
            <w:tcW w:w="0" w:type="auto"/>
            <w:hideMark/>
          </w:tcPr>
          <w:p w14:paraId="2211BD60"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Bulky to carry; may require refrigeration; may have unpleasant taste</w:t>
            </w:r>
          </w:p>
        </w:tc>
        <w:tc>
          <w:tcPr>
            <w:tcW w:w="0" w:type="auto"/>
            <w:hideMark/>
          </w:tcPr>
          <w:p w14:paraId="1D9ABF34" w14:textId="77777777" w:rsidR="007E33BA" w:rsidRPr="007E33BA" w:rsidRDefault="007E33BA" w:rsidP="009A5A72">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Ogundipe</w:t>
            </w:r>
            <w:proofErr w:type="spellEnd"/>
            <w:r w:rsidRPr="007E33BA">
              <w:rPr>
                <w:rFonts w:ascii="Times New Roman" w:eastAsia="Times New Roman" w:hAnsi="Times New Roman" w:cs="Times New Roman"/>
                <w:sz w:val="24"/>
                <w:szCs w:val="24"/>
              </w:rPr>
              <w:t xml:space="preserve"> &amp; Williams, 2022</w:t>
            </w:r>
          </w:p>
        </w:tc>
      </w:tr>
      <w:tr w:rsidR="007E33BA" w:rsidRPr="007E33BA" w14:paraId="098F4BF2" w14:textId="77777777" w:rsidTr="009A5A72">
        <w:tc>
          <w:tcPr>
            <w:tcW w:w="0" w:type="auto"/>
            <w:hideMark/>
          </w:tcPr>
          <w:p w14:paraId="7D3368C1"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2</w:t>
            </w:r>
          </w:p>
        </w:tc>
        <w:tc>
          <w:tcPr>
            <w:tcW w:w="0" w:type="auto"/>
            <w:hideMark/>
          </w:tcPr>
          <w:p w14:paraId="3846A7F4"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Effervescent</w:t>
            </w:r>
          </w:p>
        </w:tc>
        <w:tc>
          <w:tcPr>
            <w:tcW w:w="0" w:type="auto"/>
            <w:hideMark/>
          </w:tcPr>
          <w:p w14:paraId="09A60E71"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Rapid dissolution in water; fast-acting; easy to ingest</w:t>
            </w:r>
          </w:p>
        </w:tc>
        <w:tc>
          <w:tcPr>
            <w:tcW w:w="0" w:type="auto"/>
            <w:hideMark/>
          </w:tcPr>
          <w:p w14:paraId="4284AD83"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May cause bloating due to gas release; not suitable for patients on low sodium diets</w:t>
            </w:r>
          </w:p>
        </w:tc>
        <w:tc>
          <w:tcPr>
            <w:tcW w:w="0" w:type="auto"/>
            <w:hideMark/>
          </w:tcPr>
          <w:p w14:paraId="770157B9" w14:textId="77777777" w:rsidR="007E33BA" w:rsidRPr="007E33BA" w:rsidRDefault="007E33BA" w:rsidP="009A5A72">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Okon</w:t>
            </w:r>
            <w:proofErr w:type="spellEnd"/>
            <w:r w:rsidRPr="007E33BA">
              <w:rPr>
                <w:rFonts w:ascii="Times New Roman" w:eastAsia="Times New Roman" w:hAnsi="Times New Roman" w:cs="Times New Roman"/>
                <w:sz w:val="24"/>
                <w:szCs w:val="24"/>
              </w:rPr>
              <w:t xml:space="preserve"> &amp; Bello, 2023</w:t>
            </w:r>
          </w:p>
        </w:tc>
      </w:tr>
      <w:tr w:rsidR="007E33BA" w:rsidRPr="007E33BA" w14:paraId="453DE155" w14:textId="77777777" w:rsidTr="009A5A72">
        <w:tc>
          <w:tcPr>
            <w:tcW w:w="0" w:type="auto"/>
            <w:hideMark/>
          </w:tcPr>
          <w:p w14:paraId="5961406E"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3</w:t>
            </w:r>
          </w:p>
        </w:tc>
        <w:tc>
          <w:tcPr>
            <w:tcW w:w="0" w:type="auto"/>
            <w:hideMark/>
          </w:tcPr>
          <w:p w14:paraId="02F19AAD"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Tablet</w:t>
            </w:r>
          </w:p>
        </w:tc>
        <w:tc>
          <w:tcPr>
            <w:tcW w:w="0" w:type="auto"/>
            <w:hideMark/>
          </w:tcPr>
          <w:p w14:paraId="09C782BE"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Convenient to use and store; longer shelf life</w:t>
            </w:r>
          </w:p>
        </w:tc>
        <w:tc>
          <w:tcPr>
            <w:tcW w:w="0" w:type="auto"/>
            <w:hideMark/>
          </w:tcPr>
          <w:p w14:paraId="45EF66BA"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Slower onset of action due to need for dissolution; may have lower ANC</w:t>
            </w:r>
          </w:p>
        </w:tc>
        <w:tc>
          <w:tcPr>
            <w:tcW w:w="0" w:type="auto"/>
            <w:hideMark/>
          </w:tcPr>
          <w:p w14:paraId="0C44C4C8" w14:textId="77777777" w:rsidR="007E33BA" w:rsidRPr="007E33BA" w:rsidRDefault="007E33BA" w:rsidP="009A5A72">
            <w:pPr>
              <w:spacing w:line="360" w:lineRule="auto"/>
              <w:rPr>
                <w:rFonts w:ascii="Times New Roman" w:eastAsia="Times New Roman" w:hAnsi="Times New Roman" w:cs="Times New Roman"/>
                <w:sz w:val="24"/>
                <w:szCs w:val="24"/>
              </w:rPr>
            </w:pPr>
            <w:proofErr w:type="spellStart"/>
            <w:r w:rsidRPr="007E33BA">
              <w:rPr>
                <w:rFonts w:ascii="Times New Roman" w:eastAsia="Times New Roman" w:hAnsi="Times New Roman" w:cs="Times New Roman"/>
                <w:sz w:val="24"/>
                <w:szCs w:val="24"/>
              </w:rPr>
              <w:t>Ogundipe</w:t>
            </w:r>
            <w:proofErr w:type="spellEnd"/>
            <w:r w:rsidRPr="007E33BA">
              <w:rPr>
                <w:rFonts w:ascii="Times New Roman" w:eastAsia="Times New Roman" w:hAnsi="Times New Roman" w:cs="Times New Roman"/>
                <w:sz w:val="24"/>
                <w:szCs w:val="24"/>
              </w:rPr>
              <w:t xml:space="preserve"> &amp; Williams, 2022</w:t>
            </w:r>
          </w:p>
        </w:tc>
      </w:tr>
      <w:tr w:rsidR="007E33BA" w:rsidRPr="007E33BA" w14:paraId="733BDE3D" w14:textId="77777777" w:rsidTr="009A5A72">
        <w:tc>
          <w:tcPr>
            <w:tcW w:w="0" w:type="auto"/>
            <w:hideMark/>
          </w:tcPr>
          <w:p w14:paraId="71FA47F4"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4</w:t>
            </w:r>
          </w:p>
        </w:tc>
        <w:tc>
          <w:tcPr>
            <w:tcW w:w="0" w:type="auto"/>
            <w:hideMark/>
          </w:tcPr>
          <w:p w14:paraId="29A73FD2"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Suspension</w:t>
            </w:r>
          </w:p>
        </w:tc>
        <w:tc>
          <w:tcPr>
            <w:tcW w:w="0" w:type="auto"/>
            <w:hideMark/>
          </w:tcPr>
          <w:p w14:paraId="10482F96"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Combines fast action with ease of swallowing; suitable for children and elderly</w:t>
            </w:r>
          </w:p>
        </w:tc>
        <w:tc>
          <w:tcPr>
            <w:tcW w:w="0" w:type="auto"/>
            <w:hideMark/>
          </w:tcPr>
          <w:p w14:paraId="3C564E3B"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Requires shaking before use; may settle quickly; short shelf stability</w:t>
            </w:r>
          </w:p>
        </w:tc>
        <w:tc>
          <w:tcPr>
            <w:tcW w:w="0" w:type="auto"/>
            <w:hideMark/>
          </w:tcPr>
          <w:p w14:paraId="560404E0" w14:textId="77777777" w:rsidR="007E33BA" w:rsidRPr="007E33BA" w:rsidRDefault="007E33BA" w:rsidP="009A5A72">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Adebayo &amp; Yusuf, 2024</w:t>
            </w:r>
          </w:p>
        </w:tc>
      </w:tr>
    </w:tbl>
    <w:p w14:paraId="5AC9B455" w14:textId="77777777" w:rsidR="00954D10" w:rsidRDefault="00954D10" w:rsidP="009A5A72">
      <w:pPr>
        <w:spacing w:line="360" w:lineRule="auto"/>
      </w:pPr>
    </w:p>
    <w:p w14:paraId="0718098F" w14:textId="77777777" w:rsidR="00954D10" w:rsidRPr="00954D10" w:rsidRDefault="00954D10" w:rsidP="009A5A72">
      <w:pPr>
        <w:pStyle w:val="Heading3"/>
        <w:spacing w:before="0" w:line="360" w:lineRule="auto"/>
        <w:jc w:val="both"/>
        <w:rPr>
          <w:rFonts w:ascii="Times New Roman" w:hAnsi="Times New Roman" w:cs="Times New Roman"/>
          <w:color w:val="auto"/>
          <w:sz w:val="24"/>
          <w:szCs w:val="24"/>
        </w:rPr>
      </w:pPr>
      <w:r w:rsidRPr="00954D10">
        <w:rPr>
          <w:rStyle w:val="Strong"/>
          <w:rFonts w:ascii="Times New Roman" w:hAnsi="Times New Roman" w:cs="Times New Roman"/>
          <w:b/>
          <w:bCs/>
          <w:color w:val="auto"/>
          <w:sz w:val="24"/>
          <w:szCs w:val="24"/>
        </w:rPr>
        <w:t>1.8</w:t>
      </w:r>
      <w:r w:rsidRPr="00954D10">
        <w:rPr>
          <w:rStyle w:val="Strong"/>
          <w:rFonts w:ascii="Times New Roman" w:hAnsi="Times New Roman" w:cs="Times New Roman"/>
          <w:b/>
          <w:bCs/>
          <w:color w:val="auto"/>
          <w:sz w:val="24"/>
          <w:szCs w:val="24"/>
        </w:rPr>
        <w:tab/>
        <w:t xml:space="preserve"> </w:t>
      </w:r>
      <w:r w:rsidR="00B7318F" w:rsidRPr="00954D10">
        <w:rPr>
          <w:rStyle w:val="Strong"/>
          <w:rFonts w:ascii="Times New Roman" w:hAnsi="Times New Roman" w:cs="Times New Roman"/>
          <w:b/>
          <w:bCs/>
          <w:color w:val="auto"/>
          <w:sz w:val="24"/>
          <w:szCs w:val="24"/>
        </w:rPr>
        <w:t>STATEMENT OF THE PROBLEM</w:t>
      </w:r>
    </w:p>
    <w:p w14:paraId="40335CE9" w14:textId="77777777" w:rsidR="00954D10" w:rsidRPr="00954D10" w:rsidRDefault="00954D10" w:rsidP="009A5A72">
      <w:pPr>
        <w:pStyle w:val="NormalWeb"/>
        <w:spacing w:before="0" w:beforeAutospacing="0" w:line="360" w:lineRule="auto"/>
        <w:jc w:val="both"/>
      </w:pPr>
      <w:r w:rsidRPr="00954D10">
        <w:t>Gastric acidity and related gastrointestinal disorders remain a prevalent global health concern, especially in developing countries like Nigeria, where over-the-counter (OTC) access to antacid and anti-ulcer medications is widespread. However, many of these medications vary in formulation, efficacy, and therapeutic outcomes, often without clear guidance for consumers or adequate regulatory evaluation. Inconsistent or substandard performance in pH stabilization and acid neutralization can lead to inadequate symptom relief, prolonged discomfort, or potential adverse effects. The lack of comparative analysis and empirical data on the quality and performance of these formulations presents a gap in both clinical knowledge and consumer safety. Therefore, a scientific evaluation of the acid neutralizing capacity and pH stability of these commonly used brands is necessary to ensure their efficacy and appropriate use.</w:t>
      </w:r>
    </w:p>
    <w:p w14:paraId="0D8025B3" w14:textId="77777777" w:rsidR="00954D10" w:rsidRPr="00954D10" w:rsidRDefault="00B7318F"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1.9</w:t>
      </w:r>
      <w:r>
        <w:rPr>
          <w:rStyle w:val="Strong"/>
          <w:rFonts w:ascii="Times New Roman" w:hAnsi="Times New Roman" w:cs="Times New Roman"/>
          <w:b/>
          <w:bCs/>
          <w:color w:val="auto"/>
          <w:sz w:val="24"/>
          <w:szCs w:val="24"/>
        </w:rPr>
        <w:tab/>
      </w:r>
      <w:r w:rsidRPr="00954D10">
        <w:rPr>
          <w:rStyle w:val="Strong"/>
          <w:rFonts w:ascii="Times New Roman" w:hAnsi="Times New Roman" w:cs="Times New Roman"/>
          <w:b/>
          <w:bCs/>
          <w:color w:val="auto"/>
          <w:sz w:val="24"/>
          <w:szCs w:val="24"/>
        </w:rPr>
        <w:t>SIGNIFICANCE OF THE STUDY</w:t>
      </w:r>
    </w:p>
    <w:p w14:paraId="0832E958" w14:textId="77777777" w:rsidR="00954D10" w:rsidRPr="00954D10" w:rsidRDefault="00954D10" w:rsidP="009A5A72">
      <w:pPr>
        <w:pStyle w:val="NormalWeb"/>
        <w:spacing w:before="0" w:beforeAutospacing="0" w:line="360" w:lineRule="auto"/>
        <w:jc w:val="both"/>
      </w:pPr>
      <w:r w:rsidRPr="00954D10">
        <w:t>This study provides valuable insight into the comparative effectiveness of popular antacid and anti-ulcer drug formulations available in the Nigerian pharmaceutical market. By analyzing their pH behavior and acid neutralizing capacities, the research offers evidence-based data to guide medical practitioners in prescribing appropriate therapies for acid-related disorders. Additionally, the findings help consumers make informed choices when purchasing over-the-counter remedies. On a broader scale, this research supports regulatory bodies in post-market surveillance and quality assurance efforts. It also serves as a reference for future pharmacological and pharmaceutical research on gastrointestinal medications.</w:t>
      </w:r>
    </w:p>
    <w:p w14:paraId="242E99FB" w14:textId="77777777" w:rsidR="00954D10" w:rsidRPr="00954D10" w:rsidRDefault="009A5A72"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1.10</w:t>
      </w:r>
      <w:r>
        <w:rPr>
          <w:rStyle w:val="Strong"/>
          <w:rFonts w:ascii="Times New Roman" w:hAnsi="Times New Roman" w:cs="Times New Roman"/>
          <w:b/>
          <w:bCs/>
          <w:color w:val="auto"/>
          <w:sz w:val="24"/>
          <w:szCs w:val="24"/>
        </w:rPr>
        <w:tab/>
      </w:r>
      <w:r w:rsidR="00B7318F" w:rsidRPr="00954D10">
        <w:rPr>
          <w:rStyle w:val="Strong"/>
          <w:rFonts w:ascii="Times New Roman" w:hAnsi="Times New Roman" w:cs="Times New Roman"/>
          <w:b/>
          <w:bCs/>
          <w:color w:val="auto"/>
          <w:sz w:val="24"/>
          <w:szCs w:val="24"/>
        </w:rPr>
        <w:t xml:space="preserve"> AIMS AND OBJECTIVES</w:t>
      </w:r>
    </w:p>
    <w:p w14:paraId="2AD5F0D3" w14:textId="77777777" w:rsidR="00954D10" w:rsidRPr="00954D10" w:rsidRDefault="00954D10" w:rsidP="009A5A72">
      <w:pPr>
        <w:pStyle w:val="NormalWeb"/>
        <w:spacing w:before="0" w:beforeAutospacing="0" w:after="0" w:afterAutospacing="0" w:line="360" w:lineRule="auto"/>
        <w:jc w:val="both"/>
      </w:pPr>
      <w:r>
        <w:rPr>
          <w:rStyle w:val="Strong"/>
        </w:rPr>
        <w:t>1.10.1</w:t>
      </w:r>
      <w:r w:rsidR="009A5A72">
        <w:rPr>
          <w:rStyle w:val="Strong"/>
        </w:rPr>
        <w:tab/>
      </w:r>
      <w:r>
        <w:rPr>
          <w:rStyle w:val="Strong"/>
        </w:rPr>
        <w:t>Aim</w:t>
      </w:r>
      <w:r w:rsidR="00B7318F">
        <w:rPr>
          <w:rStyle w:val="Strong"/>
        </w:rPr>
        <w:t>:</w:t>
      </w:r>
      <w:r w:rsidRPr="00954D10">
        <w:br/>
      </w:r>
      <w:r>
        <w:t>T</w:t>
      </w:r>
      <w:r w:rsidRPr="00954D10">
        <w:t>he aim of this study is to evaluate and compare the pH stability and acid neutralizing capacity (ANC) of selected commercially available antacid and anti-ulcer drugs to determine their relative effectiveness in neutralizing gastric acid.</w:t>
      </w:r>
    </w:p>
    <w:p w14:paraId="6C84A2CB" w14:textId="77777777" w:rsidR="00954D10" w:rsidRPr="00954D10" w:rsidRDefault="00954D10" w:rsidP="009A5A72">
      <w:pPr>
        <w:pStyle w:val="NormalWeb"/>
        <w:spacing w:before="0" w:beforeAutospacing="0" w:after="0" w:afterAutospacing="0" w:line="360" w:lineRule="auto"/>
        <w:jc w:val="both"/>
      </w:pPr>
      <w:r>
        <w:rPr>
          <w:rStyle w:val="Strong"/>
        </w:rPr>
        <w:t>1.10.2</w:t>
      </w:r>
      <w:r>
        <w:rPr>
          <w:rStyle w:val="Strong"/>
        </w:rPr>
        <w:tab/>
      </w:r>
      <w:r w:rsidRPr="00954D10">
        <w:rPr>
          <w:rStyle w:val="Strong"/>
        </w:rPr>
        <w:t>Objectives:</w:t>
      </w:r>
    </w:p>
    <w:p w14:paraId="37664546" w14:textId="77777777" w:rsidR="00954D10" w:rsidRPr="00954D10" w:rsidRDefault="00954D10" w:rsidP="009A5A72">
      <w:pPr>
        <w:pStyle w:val="NormalWeb"/>
        <w:numPr>
          <w:ilvl w:val="0"/>
          <w:numId w:val="13"/>
        </w:numPr>
        <w:spacing w:before="0" w:beforeAutospacing="0" w:line="360" w:lineRule="auto"/>
        <w:jc w:val="both"/>
      </w:pPr>
      <w:r w:rsidRPr="00954D10">
        <w:t>To measure the initial (0 minute) pH of each selected drug formulation.</w:t>
      </w:r>
    </w:p>
    <w:p w14:paraId="697C6E1C" w14:textId="77777777" w:rsidR="00954D10" w:rsidRPr="00954D10" w:rsidRDefault="00954D10" w:rsidP="009A5A72">
      <w:pPr>
        <w:pStyle w:val="NormalWeb"/>
        <w:numPr>
          <w:ilvl w:val="0"/>
          <w:numId w:val="13"/>
        </w:numPr>
        <w:spacing w:before="0" w:beforeAutospacing="0" w:line="360" w:lineRule="auto"/>
        <w:jc w:val="both"/>
      </w:pPr>
      <w:r w:rsidRPr="00954D10">
        <w:t>To determine the pH variation of each drug after 15 minutes of preparation.</w:t>
      </w:r>
    </w:p>
    <w:p w14:paraId="659926A6" w14:textId="77777777" w:rsidR="00954D10" w:rsidRPr="00954D10" w:rsidRDefault="00954D10" w:rsidP="009A5A72">
      <w:pPr>
        <w:pStyle w:val="NormalWeb"/>
        <w:numPr>
          <w:ilvl w:val="0"/>
          <w:numId w:val="13"/>
        </w:numPr>
        <w:spacing w:before="0" w:beforeAutospacing="0" w:line="360" w:lineRule="auto"/>
        <w:jc w:val="both"/>
      </w:pPr>
      <w:r w:rsidRPr="00954D10">
        <w:t>To calculate the acid neutralizing capacity (ANC) per standard dose of each formulation.</w:t>
      </w:r>
    </w:p>
    <w:p w14:paraId="3F6C9F86" w14:textId="77777777" w:rsidR="00954D10" w:rsidRPr="00954D10" w:rsidRDefault="00954D10" w:rsidP="009A5A72">
      <w:pPr>
        <w:pStyle w:val="NormalWeb"/>
        <w:numPr>
          <w:ilvl w:val="0"/>
          <w:numId w:val="13"/>
        </w:numPr>
        <w:spacing w:before="0" w:beforeAutospacing="0" w:line="360" w:lineRule="auto"/>
        <w:jc w:val="both"/>
      </w:pPr>
      <w:r w:rsidRPr="00954D10">
        <w:t>To compare the buffering capacities and therapeutic implications of the tested brands.</w:t>
      </w:r>
    </w:p>
    <w:p w14:paraId="45309CC3" w14:textId="77777777" w:rsidR="00A9662E" w:rsidRDefault="00954D10" w:rsidP="009A5A72">
      <w:pPr>
        <w:pStyle w:val="NormalWeb"/>
        <w:numPr>
          <w:ilvl w:val="0"/>
          <w:numId w:val="13"/>
        </w:numPr>
        <w:spacing w:before="0" w:beforeAutospacing="0" w:line="360" w:lineRule="auto"/>
        <w:jc w:val="both"/>
      </w:pPr>
      <w:r w:rsidRPr="00954D10">
        <w:t>To provide data that can guide healthcare professionals and consumers in the rational selection of antacid and anti-ulcer products.</w:t>
      </w:r>
    </w:p>
    <w:p w14:paraId="74FAD0CF" w14:textId="77777777" w:rsidR="00B7318F" w:rsidRPr="00C35E98" w:rsidRDefault="00B7318F" w:rsidP="00B7318F">
      <w:pPr>
        <w:pStyle w:val="NormalWeb"/>
        <w:spacing w:before="0" w:beforeAutospacing="0" w:line="360" w:lineRule="auto"/>
        <w:jc w:val="both"/>
      </w:pPr>
    </w:p>
    <w:p w14:paraId="55298B96" w14:textId="77777777" w:rsidR="007E33BA" w:rsidRDefault="007E33BA" w:rsidP="009A5A7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35DCD308" w14:textId="77777777" w:rsidR="00954D10" w:rsidRPr="007E33BA" w:rsidRDefault="00954D10" w:rsidP="00B7318F">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7398B611" w14:textId="77777777" w:rsidR="00D659FE" w:rsidRPr="00B7318F" w:rsidRDefault="00B7318F" w:rsidP="00B7318F">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D659FE" w:rsidRPr="00B7318F">
        <w:rPr>
          <w:rFonts w:ascii="Times New Roman" w:hAnsi="Times New Roman" w:cs="Times New Roman"/>
          <w:b/>
          <w:bCs/>
          <w:sz w:val="24"/>
          <w:szCs w:val="24"/>
        </w:rPr>
        <w:t>MECHANISMS OF ANTACIDS</w:t>
      </w:r>
    </w:p>
    <w:p w14:paraId="448D940D" w14:textId="77777777" w:rsidR="00D659FE" w:rsidRPr="007E33BA" w:rsidRDefault="00D659FE" w:rsidP="009A5A72">
      <w:pPr>
        <w:spacing w:after="0" w:line="360" w:lineRule="auto"/>
        <w:jc w:val="both"/>
        <w:rPr>
          <w:rFonts w:ascii="Times New Roman" w:hAnsi="Times New Roman" w:cs="Times New Roman"/>
          <w:sz w:val="24"/>
          <w:szCs w:val="24"/>
        </w:rPr>
      </w:pPr>
      <w:r w:rsidRPr="007E33BA">
        <w:rPr>
          <w:rFonts w:ascii="Times New Roman" w:hAnsi="Times New Roman" w:cs="Times New Roman"/>
          <w:sz w:val="24"/>
          <w:szCs w:val="24"/>
        </w:rPr>
        <w:t>Antacids function primarily by neutralizing gastric acid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xml:space="preserve">) in the stomach, thereby increasing the pH and reducing acidity-related symptoms such as heartburn, indigestion, and acid reflux. These compounds are weak bases that react with hydrochloric acid to form salt and water, thereby lowering acidity (Okonkwo &amp; </w:t>
      </w:r>
      <w:proofErr w:type="spellStart"/>
      <w:r w:rsidRPr="007E33BA">
        <w:rPr>
          <w:rFonts w:ascii="Times New Roman" w:hAnsi="Times New Roman" w:cs="Times New Roman"/>
          <w:sz w:val="24"/>
          <w:szCs w:val="24"/>
        </w:rPr>
        <w:t>Adeyemi</w:t>
      </w:r>
      <w:proofErr w:type="spellEnd"/>
      <w:r w:rsidRPr="007E33BA">
        <w:rPr>
          <w:rFonts w:ascii="Times New Roman" w:hAnsi="Times New Roman" w:cs="Times New Roman"/>
          <w:sz w:val="24"/>
          <w:szCs w:val="24"/>
        </w:rPr>
        <w:t>, 2021). The efficiency of an antacid depends on its chemical composition, solubility, and rate of reaction with stomach acid.</w:t>
      </w:r>
    </w:p>
    <w:p w14:paraId="06758387" w14:textId="77777777"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Neutralization Reaction</w:t>
      </w:r>
    </w:p>
    <w:p w14:paraId="65438C7C"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fundamental mechanism of antacids is the direct chemical neutralization of</w:t>
      </w:r>
    </w:p>
    <w:p w14:paraId="6B7164F5" w14:textId="77777777" w:rsidR="00D659FE" w:rsidRPr="007E33BA" w:rsidRDefault="00D659FE" w:rsidP="009A5A72">
      <w:pPr>
        <w:spacing w:after="0" w:line="360" w:lineRule="auto"/>
        <w:jc w:val="both"/>
        <w:rPr>
          <w:rFonts w:ascii="Times New Roman" w:hAnsi="Times New Roman" w:cs="Times New Roman"/>
          <w:sz w:val="24"/>
          <w:szCs w:val="24"/>
        </w:rPr>
      </w:pPr>
      <w:r w:rsidRPr="007E33BA">
        <w:rPr>
          <w:rFonts w:ascii="Times New Roman" w:hAnsi="Times New Roman" w:cs="Times New Roman"/>
          <w:sz w:val="24"/>
          <w:szCs w:val="24"/>
        </w:rPr>
        <w:t>hydrochloric acid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xml:space="preserve">) in the stomach. Different antacids react with </w:t>
      </w:r>
      <w:proofErr w:type="spellStart"/>
      <w:r w:rsidRPr="007E33BA">
        <w:rPr>
          <w:rFonts w:ascii="Times New Roman" w:hAnsi="Times New Roman" w:cs="Times New Roman"/>
          <w:sz w:val="24"/>
          <w:szCs w:val="24"/>
        </w:rPr>
        <w:t>HCl</w:t>
      </w:r>
      <w:proofErr w:type="spellEnd"/>
      <w:r w:rsidRPr="007E33BA">
        <w:rPr>
          <w:rFonts w:ascii="Times New Roman" w:hAnsi="Times New Roman" w:cs="Times New Roman"/>
          <w:sz w:val="24"/>
          <w:szCs w:val="24"/>
        </w:rPr>
        <w:t xml:space="preserve"> in various ways:</w:t>
      </w:r>
    </w:p>
    <w:p w14:paraId="783B0B21" w14:textId="77777777" w:rsidR="00D659FE" w:rsidRPr="00C45905" w:rsidRDefault="00D659FE" w:rsidP="009A5A72">
      <w:pPr>
        <w:pStyle w:val="ListParagraph"/>
        <w:numPr>
          <w:ilvl w:val="3"/>
          <w:numId w:val="1"/>
        </w:numPr>
        <w:spacing w:line="360" w:lineRule="auto"/>
        <w:rPr>
          <w:bCs/>
          <w:sz w:val="24"/>
          <w:szCs w:val="24"/>
        </w:rPr>
      </w:pPr>
      <w:r w:rsidRPr="00C45905">
        <w:rPr>
          <w:b/>
          <w:bCs/>
          <w:sz w:val="24"/>
          <w:szCs w:val="24"/>
        </w:rPr>
        <w:t>Magnesium hydroxide (Mg(OH)</w:t>
      </w:r>
      <w:r w:rsidRPr="00C45905">
        <w:rPr>
          <w:rFonts w:ascii="Cambria Math" w:hAnsi="Cambria Math" w:cs="Cambria Math"/>
          <w:bCs/>
          <w:sz w:val="24"/>
          <w:szCs w:val="24"/>
        </w:rPr>
        <w:t>₂</w:t>
      </w:r>
      <w:r w:rsidRPr="00C45905">
        <w:rPr>
          <w:b/>
          <w:bCs/>
          <w:sz w:val="24"/>
          <w:szCs w:val="24"/>
        </w:rPr>
        <w:t>)</w:t>
      </w:r>
      <w:r w:rsidRPr="00C45905">
        <w:rPr>
          <w:bCs/>
          <w:sz w:val="24"/>
          <w:szCs w:val="24"/>
        </w:rPr>
        <w:t>:</w:t>
      </w:r>
    </w:p>
    <w:p w14:paraId="0C26E20F" w14:textId="77777777" w:rsidR="00D659FE" w:rsidRPr="00D659FE" w:rsidRDefault="004B65CA" w:rsidP="009A5A72">
      <w:pPr>
        <w:spacing w:after="0" w:line="36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Mg(OH)</m:t>
            </m:r>
          </m:e>
          <m:sub>
            <m:r>
              <m:rPr>
                <m:sty m:val="p"/>
              </m:rPr>
              <w:rPr>
                <w:rFonts w:ascii="Cambria Math" w:hAnsi="Cambria Math" w:cs="Times New Roman"/>
                <w:sz w:val="24"/>
                <w:szCs w:val="24"/>
              </w:rPr>
              <m:t>2</m:t>
            </m:r>
          </m:sub>
        </m:sSub>
      </m:oMath>
      <w:r w:rsidR="00AA70DC">
        <w:rPr>
          <w:rFonts w:ascii="Times New Roman" w:eastAsiaTheme="minorEastAsia"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2HCl</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MgCl</m:t>
            </m:r>
          </m:e>
          <m:sub>
            <m:r>
              <m:rPr>
                <m:sty m:val="p"/>
              </m:rPr>
              <w:rPr>
                <w:rFonts w:ascii="Cambria Math" w:hAnsi="Cambria Math" w:cs="Times New Roman"/>
                <w:sz w:val="24"/>
                <w:szCs w:val="24"/>
              </w:rPr>
              <m:t>2</m:t>
            </m:r>
          </m:sub>
        </m:sSub>
      </m:oMath>
      <w:r w:rsidR="00D659FE" w:rsidRPr="00D659FE">
        <w:rPr>
          <w:rFonts w:ascii="Times New Roman" w:hAnsi="Times New Roman" w:cs="Times New Roman"/>
          <w:sz w:val="24"/>
          <w:szCs w:val="24"/>
        </w:rPr>
        <w:t>+</w:t>
      </w: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2H</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O</m:t>
        </m:r>
      </m:oMath>
    </w:p>
    <w:p w14:paraId="4ABB10AC"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neutralizes acid effectively and ha</w:t>
      </w:r>
      <w:r w:rsidRPr="00C664FF">
        <w:rPr>
          <w:rFonts w:ascii="Times New Roman" w:hAnsi="Times New Roman" w:cs="Times New Roman"/>
          <w:sz w:val="24"/>
          <w:szCs w:val="24"/>
        </w:rPr>
        <w:t xml:space="preserve">s a fast onset of action </w:t>
      </w:r>
      <w:r w:rsidRPr="00D659FE">
        <w:rPr>
          <w:rFonts w:ascii="Times New Roman" w:hAnsi="Times New Roman" w:cs="Times New Roman"/>
          <w:sz w:val="24"/>
          <w:szCs w:val="24"/>
        </w:rPr>
        <w:t>(</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w:t>
      </w:r>
      <w:r w:rsidRPr="00C664FF">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magnesium-based antacids can cause diarrhea when used in excess.</w:t>
      </w:r>
    </w:p>
    <w:p w14:paraId="057B6B4F" w14:textId="77777777"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Aluminum hydroxide (Al(OH)</w:t>
      </w:r>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14:paraId="6AD05A7D" w14:textId="77777777" w:rsidR="00C664FF" w:rsidRPr="00C664FF" w:rsidRDefault="00C664FF"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Al</m:t>
        </m:r>
        <m:sSub>
          <m:sSubPr>
            <m:ctrlPr>
              <w:rPr>
                <w:rFonts w:ascii="Cambria Math" w:hAnsi="Cambria Math"/>
                <w:sz w:val="24"/>
                <w:szCs w:val="24"/>
              </w:rPr>
            </m:ctrlPr>
          </m:sSubPr>
          <m:e>
            <m:r>
              <m:rPr>
                <m:sty m:val="p"/>
              </m:rPr>
              <w:rPr>
                <w:rFonts w:ascii="Cambria Math" w:hAnsi="Cambria Math"/>
                <w:sz w:val="24"/>
                <w:szCs w:val="24"/>
              </w:rPr>
              <m:t>(OH)</m:t>
            </m:r>
          </m:e>
          <m:sub>
            <m:r>
              <m:rPr>
                <m:sty m:val="p"/>
              </m:rPr>
              <w:rPr>
                <w:rFonts w:ascii="Cambria Math" w:hAnsi="Cambria Math"/>
                <w:sz w:val="24"/>
                <w:szCs w:val="24"/>
              </w:rPr>
              <m:t>3</m:t>
            </m:r>
          </m:sub>
        </m:sSub>
      </m:oMath>
      <w:r w:rsidRPr="00C664FF">
        <w:rPr>
          <w:rFonts w:ascii="Times New Roman" w:eastAsiaTheme="minorEastAsia" w:hAnsi="Times New Roman"/>
          <w:sz w:val="24"/>
          <w:szCs w:val="24"/>
        </w:rPr>
        <w:t xml:space="preserve"> </w:t>
      </w:r>
      <w:r w:rsidRPr="00C664FF">
        <w:rPr>
          <w:rFonts w:ascii="Times New Roman" w:hAnsi="Times New Roman"/>
          <w:sz w:val="24"/>
          <w:szCs w:val="24"/>
        </w:rPr>
        <w:t xml:space="preserve">+ </w:t>
      </w:r>
      <w:r>
        <w:rPr>
          <w:rFonts w:ascii="Times New Roman" w:hAnsi="Times New Roman"/>
          <w:sz w:val="24"/>
          <w:szCs w:val="24"/>
        </w:rPr>
        <w:t>3</w:t>
      </w:r>
      <w:r w:rsidRPr="00C664FF">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AlCl</m:t>
            </m:r>
          </m:e>
          <m:sub>
            <m:r>
              <m:rPr>
                <m:sty m:val="p"/>
              </m:rPr>
              <w:rPr>
                <w:rFonts w:ascii="Cambria Math" w:hAnsi="Cambria Math"/>
                <w:sz w:val="24"/>
                <w:szCs w:val="24"/>
              </w:rPr>
              <m:t>3</m:t>
            </m:r>
          </m:sub>
        </m:sSub>
      </m:oMath>
      <w:r w:rsidRPr="00C664FF">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3H</m:t>
            </m:r>
          </m:e>
          <m:sub>
            <m:r>
              <m:rPr>
                <m:sty m:val="p"/>
              </m:rPr>
              <w:rPr>
                <w:rFonts w:ascii="Cambria Math" w:hAnsi="Cambria Math"/>
                <w:sz w:val="24"/>
                <w:szCs w:val="24"/>
              </w:rPr>
              <m:t>2</m:t>
            </m:r>
          </m:sub>
        </m:sSub>
        <m:r>
          <m:rPr>
            <m:sty m:val="p"/>
          </m:rPr>
          <w:rPr>
            <w:rFonts w:ascii="Cambria Math" w:hAnsi="Cambria Math"/>
            <w:sz w:val="24"/>
            <w:szCs w:val="24"/>
          </w:rPr>
          <m:t>O</m:t>
        </m:r>
      </m:oMath>
    </w:p>
    <w:p w14:paraId="562C4E5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occurs mor</w:t>
      </w:r>
      <w:r w:rsidRPr="00083D48">
        <w:rPr>
          <w:rFonts w:ascii="Times New Roman" w:hAnsi="Times New Roman" w:cs="Times New Roman"/>
          <w:sz w:val="24"/>
          <w:szCs w:val="24"/>
        </w:rPr>
        <w:t xml:space="preserve">e slowly, providing sustained acid suppression (Williams &amp; </w:t>
      </w:r>
      <w:proofErr w:type="spellStart"/>
      <w:r w:rsidRPr="00083D48">
        <w:rPr>
          <w:rFonts w:ascii="Times New Roman" w:hAnsi="Times New Roman" w:cs="Times New Roman"/>
          <w:sz w:val="24"/>
          <w:szCs w:val="24"/>
        </w:rPr>
        <w:t>Chukwudi</w:t>
      </w:r>
      <w:proofErr w:type="spellEnd"/>
      <w:r w:rsidRPr="00083D48">
        <w:rPr>
          <w:rFonts w:ascii="Times New Roman" w:hAnsi="Times New Roman" w:cs="Times New Roman"/>
          <w:sz w:val="24"/>
          <w:szCs w:val="24"/>
        </w:rPr>
        <w:t>, 2022). Alumin</w:t>
      </w:r>
      <w:r w:rsidRPr="00D659FE">
        <w:rPr>
          <w:rFonts w:ascii="Times New Roman" w:hAnsi="Times New Roman" w:cs="Times New Roman"/>
          <w:sz w:val="24"/>
          <w:szCs w:val="24"/>
        </w:rPr>
        <w:t>um hydroxide is often combined with magnesium hydroxide to balance their respective effects on bowel movements.</w:t>
      </w:r>
    </w:p>
    <w:p w14:paraId="7CC747A2" w14:textId="77777777"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Calcium carbonate (</w:t>
      </w:r>
      <w:proofErr w:type="spellStart"/>
      <w:r w:rsidRPr="00D659FE">
        <w:rPr>
          <w:rFonts w:ascii="Times New Roman" w:hAnsi="Times New Roman" w:cs="Times New Roman"/>
          <w:b/>
          <w:bCs/>
          <w:sz w:val="24"/>
          <w:szCs w:val="24"/>
        </w:rPr>
        <w:t>CaCO</w:t>
      </w:r>
      <w:proofErr w:type="spellEnd"/>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14:paraId="041409BE" w14:textId="77777777" w:rsidR="00D659FE" w:rsidRPr="00083D48" w:rsidRDefault="00083D48"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Ca</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w:t>
      </w:r>
      <w:r>
        <w:rPr>
          <w:rFonts w:ascii="Times New Roman" w:hAnsi="Times New Roman"/>
          <w:sz w:val="24"/>
          <w:szCs w:val="24"/>
        </w:rPr>
        <w:t>2</w:t>
      </w:r>
      <w:r w:rsidRPr="00083D48">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CaCl</m:t>
            </m:r>
          </m:e>
          <m:sub>
            <m:r>
              <m:rPr>
                <m:sty m:val="p"/>
              </m:rPr>
              <w:rPr>
                <w:rFonts w:ascii="Cambria Math" w:hAnsi="Cambria Math"/>
                <w:sz w:val="24"/>
                <w:szCs w:val="24"/>
              </w:rPr>
              <m:t>3</m:t>
            </m:r>
          </m:sub>
        </m:sSub>
      </m:oMath>
      <w:r>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14:paraId="0FC6631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produces </w:t>
      </w:r>
      <w:r w:rsidRPr="00083D48">
        <w:rPr>
          <w:rFonts w:ascii="Times New Roman" w:hAnsi="Times New Roman" w:cs="Times New Roman"/>
          <w:sz w:val="24"/>
          <w:szCs w:val="24"/>
        </w:rPr>
        <w:t>carbon dioxide (CO</w:t>
      </w:r>
      <w:r w:rsidRPr="00083D48">
        <w:rPr>
          <w:rFonts w:ascii="Cambria Math" w:hAnsi="Cambria Math" w:cs="Cambria Math"/>
          <w:sz w:val="24"/>
          <w:szCs w:val="24"/>
        </w:rPr>
        <w:t>₂</w:t>
      </w:r>
      <w:r w:rsidRPr="00083D48">
        <w:rPr>
          <w:rFonts w:ascii="Times New Roman" w:hAnsi="Times New Roman" w:cs="Times New Roman"/>
          <w:sz w:val="24"/>
          <w:szCs w:val="24"/>
        </w:rPr>
        <w:t>), which may cause bloating and belching. However, calcium carbonate has a high acid-neutralizing capacity (ANC), making it effective for rapid relief (</w:t>
      </w:r>
      <w:proofErr w:type="spellStart"/>
      <w:r w:rsidRPr="00083D48">
        <w:rPr>
          <w:rFonts w:ascii="Times New Roman" w:hAnsi="Times New Roman" w:cs="Times New Roman"/>
          <w:sz w:val="24"/>
          <w:szCs w:val="24"/>
        </w:rPr>
        <w:t>Ogunleye</w:t>
      </w:r>
      <w:proofErr w:type="spellEnd"/>
      <w:r w:rsidRPr="00083D48">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48D52601" w14:textId="77777777" w:rsidR="00D659FE" w:rsidRPr="00D659FE" w:rsidRDefault="00D659FE" w:rsidP="009A5A72">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Sodium bicarbonate (</w:t>
      </w:r>
      <w:proofErr w:type="spellStart"/>
      <w:r w:rsidRPr="00D659FE">
        <w:rPr>
          <w:rFonts w:ascii="Times New Roman" w:hAnsi="Times New Roman" w:cs="Times New Roman"/>
          <w:b/>
          <w:bCs/>
          <w:sz w:val="24"/>
          <w:szCs w:val="24"/>
        </w:rPr>
        <w:t>NaHCO</w:t>
      </w:r>
      <w:proofErr w:type="spellEnd"/>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14:paraId="341FBF5E" w14:textId="77777777" w:rsidR="00083D48" w:rsidRPr="00083D48" w:rsidRDefault="00083D48" w:rsidP="009A5A72">
      <w:pPr>
        <w:spacing w:after="0" w:line="360" w:lineRule="auto"/>
        <w:ind w:left="165"/>
        <w:jc w:val="both"/>
        <w:rPr>
          <w:rFonts w:ascii="Times New Roman" w:hAnsi="Times New Roman"/>
          <w:sz w:val="24"/>
          <w:szCs w:val="24"/>
        </w:rPr>
      </w:pPr>
      <m:oMath>
        <m:r>
          <m:rPr>
            <m:sty m:val="p"/>
          </m:rPr>
          <w:rPr>
            <w:rFonts w:ascii="Cambria Math" w:hAnsi="Cambria Math"/>
            <w:sz w:val="24"/>
            <w:szCs w:val="24"/>
          </w:rPr>
          <m:t>NaH</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w:t>
      </w:r>
      <w:proofErr w:type="spellStart"/>
      <w:r w:rsidRPr="00083D48">
        <w:rPr>
          <w:rFonts w:ascii="Times New Roman" w:hAnsi="Times New Roman"/>
          <w:sz w:val="24"/>
          <w:szCs w:val="24"/>
        </w:rPr>
        <w:t>HCl</w:t>
      </w:r>
      <w:proofErr w:type="spellEnd"/>
      <w:r w:rsidRPr="00083D48">
        <w:rPr>
          <w:rFonts w:ascii="Times New Roman" w:hAnsi="Times New Roman"/>
          <w:sz w:val="24"/>
          <w:szCs w:val="24"/>
        </w:rPr>
        <w:t xml:space="preserve"> → </w:t>
      </w:r>
      <w:proofErr w:type="spellStart"/>
      <w:r>
        <w:rPr>
          <w:rFonts w:ascii="Times New Roman" w:hAnsi="Times New Roman"/>
          <w:sz w:val="24"/>
          <w:szCs w:val="24"/>
        </w:rPr>
        <w:t>NaCl</w:t>
      </w:r>
      <w:proofErr w:type="spellEnd"/>
      <w:r w:rsidRPr="00083D48">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14:paraId="40FD4C2B" w14:textId="77777777" w:rsidR="00D659FE" w:rsidRPr="00D659FE" w:rsidRDefault="00D659FE" w:rsidP="009A5A72">
      <w:pPr>
        <w:spacing w:after="0" w:line="360" w:lineRule="auto"/>
        <w:jc w:val="both"/>
        <w:rPr>
          <w:rFonts w:ascii="Times New Roman" w:hAnsi="Times New Roman" w:cs="Times New Roman"/>
          <w:sz w:val="24"/>
          <w:szCs w:val="24"/>
        </w:rPr>
      </w:pPr>
      <w:r w:rsidRPr="00083D48">
        <w:rPr>
          <w:rFonts w:ascii="Times New Roman" w:hAnsi="Times New Roman" w:cs="Times New Roman"/>
          <w:sz w:val="24"/>
          <w:szCs w:val="24"/>
        </w:rPr>
        <w:t xml:space="preserve">While sodium bicarbonate provides immediate relief, it can lead to systemic alkalosis and sodium retention, making it unsuitable for long-term use, especially in patients with </w:t>
      </w:r>
      <w:r w:rsidRPr="00D659FE">
        <w:rPr>
          <w:rFonts w:ascii="Times New Roman" w:hAnsi="Times New Roman" w:cs="Times New Roman"/>
          <w:sz w:val="24"/>
          <w:szCs w:val="24"/>
        </w:rPr>
        <w:t>hypertension (Adebayo &amp; Yusuf, 2024).</w:t>
      </w:r>
    </w:p>
    <w:p w14:paraId="505FF15A" w14:textId="77777777"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Buffering and Mucosal Protection</w:t>
      </w:r>
    </w:p>
    <w:p w14:paraId="0BBADA79" w14:textId="77777777" w:rsidR="00D659FE" w:rsidRPr="00083D48"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Apart from direct acid neutralization</w:t>
      </w:r>
      <w:r w:rsidRPr="00083D48">
        <w:rPr>
          <w:rFonts w:ascii="Times New Roman" w:hAnsi="Times New Roman" w:cs="Times New Roman"/>
          <w:sz w:val="24"/>
          <w:szCs w:val="24"/>
        </w:rPr>
        <w:t>, some antacids act as buffers that help maintain a stable gastric pH over time. This reduces rebound acid secretion, a phenomenon where the stomach produces more acid in response to sudden pH changes (</w:t>
      </w:r>
      <w:proofErr w:type="spellStart"/>
      <w:r w:rsidRPr="00083D48">
        <w:rPr>
          <w:rFonts w:ascii="Times New Roman" w:hAnsi="Times New Roman" w:cs="Times New Roman"/>
          <w:sz w:val="24"/>
          <w:szCs w:val="24"/>
        </w:rPr>
        <w:t>Chidiebere</w:t>
      </w:r>
      <w:proofErr w:type="spellEnd"/>
      <w:r w:rsidRPr="00083D48">
        <w:rPr>
          <w:rFonts w:ascii="Times New Roman" w:hAnsi="Times New Roman" w:cs="Times New Roman"/>
          <w:sz w:val="24"/>
          <w:szCs w:val="24"/>
        </w:rPr>
        <w:t xml:space="preserve"> &amp; </w:t>
      </w:r>
      <w:proofErr w:type="spellStart"/>
      <w:r w:rsidRPr="00083D48">
        <w:rPr>
          <w:rFonts w:ascii="Times New Roman" w:hAnsi="Times New Roman" w:cs="Times New Roman"/>
          <w:sz w:val="24"/>
          <w:szCs w:val="24"/>
        </w:rPr>
        <w:t>Okafor</w:t>
      </w:r>
      <w:proofErr w:type="spellEnd"/>
      <w:r w:rsidRPr="00083D48">
        <w:rPr>
          <w:rFonts w:ascii="Times New Roman" w:hAnsi="Times New Roman" w:cs="Times New Roman"/>
          <w:sz w:val="24"/>
          <w:szCs w:val="24"/>
        </w:rPr>
        <w:t xml:space="preserve">, 2023). Additionally, some formulations contain alginates, which form a gel-like barrier that prevents acid reflux, particularly in conditions such as </w:t>
      </w:r>
      <w:proofErr w:type="spellStart"/>
      <w:r w:rsidRPr="00083D48">
        <w:rPr>
          <w:rFonts w:ascii="Times New Roman" w:hAnsi="Times New Roman" w:cs="Times New Roman"/>
          <w:sz w:val="24"/>
          <w:szCs w:val="24"/>
        </w:rPr>
        <w:t>gastroesophageal</w:t>
      </w:r>
      <w:proofErr w:type="spellEnd"/>
      <w:r w:rsidRPr="00083D48">
        <w:rPr>
          <w:rFonts w:ascii="Times New Roman" w:hAnsi="Times New Roman" w:cs="Times New Roman"/>
          <w:sz w:val="24"/>
          <w:szCs w:val="24"/>
        </w:rPr>
        <w:t xml:space="preserve"> reflux disease (GERD) (</w:t>
      </w:r>
      <w:proofErr w:type="spellStart"/>
      <w:r w:rsidRPr="00083D48">
        <w:rPr>
          <w:rFonts w:ascii="Times New Roman" w:hAnsi="Times New Roman" w:cs="Times New Roman"/>
          <w:sz w:val="24"/>
          <w:szCs w:val="24"/>
        </w:rPr>
        <w:t>Oluwaseun</w:t>
      </w:r>
      <w:proofErr w:type="spellEnd"/>
      <w:r w:rsidRPr="00083D48">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083D48">
        <w:rPr>
          <w:rFonts w:ascii="Times New Roman" w:hAnsi="Times New Roman" w:cs="Times New Roman"/>
          <w:sz w:val="24"/>
          <w:szCs w:val="24"/>
        </w:rPr>
        <w:t xml:space="preserve"> 2022).</w:t>
      </w:r>
    </w:p>
    <w:p w14:paraId="1A5C0018" w14:textId="77777777" w:rsidR="00D659FE" w:rsidRPr="00C45905" w:rsidRDefault="00D659FE" w:rsidP="009A5A72">
      <w:pPr>
        <w:pStyle w:val="ListParagraph"/>
        <w:numPr>
          <w:ilvl w:val="2"/>
          <w:numId w:val="7"/>
        </w:numPr>
        <w:spacing w:line="360" w:lineRule="auto"/>
        <w:rPr>
          <w:b/>
          <w:bCs/>
          <w:sz w:val="24"/>
          <w:szCs w:val="24"/>
        </w:rPr>
      </w:pPr>
      <w:r w:rsidRPr="00C45905">
        <w:rPr>
          <w:b/>
          <w:bCs/>
          <w:sz w:val="24"/>
          <w:szCs w:val="24"/>
        </w:rPr>
        <w:t>Interaction with Pepsin and Bile Acids</w:t>
      </w:r>
    </w:p>
    <w:p w14:paraId="567C4BAB"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Some antacids</w:t>
      </w:r>
      <w:r w:rsidRPr="00083D48">
        <w:rPr>
          <w:rFonts w:ascii="Times New Roman" w:hAnsi="Times New Roman" w:cs="Times New Roman"/>
          <w:sz w:val="24"/>
          <w:szCs w:val="24"/>
        </w:rPr>
        <w:t xml:space="preserve"> inactivate pepsin, a digestive enzyme that contributes to mucosal damage when gastric pH is too low. Aluminum hydroxide and magnesium hydroxide have been found to reduce pepsin activity, providing additional protective effects for the stomach lining (Emmanuel &amp; </w:t>
      </w:r>
      <w:proofErr w:type="spellStart"/>
      <w:r w:rsidRPr="00083D48">
        <w:rPr>
          <w:rFonts w:ascii="Times New Roman" w:hAnsi="Times New Roman" w:cs="Times New Roman"/>
          <w:sz w:val="24"/>
          <w:szCs w:val="24"/>
        </w:rPr>
        <w:t>Okechukwu</w:t>
      </w:r>
      <w:proofErr w:type="spellEnd"/>
      <w:r w:rsidRPr="00083D48">
        <w:rPr>
          <w:rFonts w:ascii="Times New Roman" w:hAnsi="Times New Roman" w:cs="Times New Roman"/>
          <w:sz w:val="24"/>
          <w:szCs w:val="24"/>
        </w:rPr>
        <w:t>, 2021). Moreover, certain antacids help neutralize bile acids, reducing irritat</w:t>
      </w:r>
      <w:r w:rsidRPr="00D659FE">
        <w:rPr>
          <w:rFonts w:ascii="Times New Roman" w:hAnsi="Times New Roman" w:cs="Times New Roman"/>
          <w:sz w:val="24"/>
          <w:szCs w:val="24"/>
        </w:rPr>
        <w:t>ion in patients with bile reflux (</w:t>
      </w: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796FCCBD" w14:textId="77777777" w:rsidR="00D659FE" w:rsidRPr="00D659FE" w:rsidRDefault="00D659FE" w:rsidP="009A5A72">
      <w:pPr>
        <w:numPr>
          <w:ilvl w:val="2"/>
          <w:numId w:val="7"/>
        </w:numPr>
        <w:spacing w:after="0" w:line="360" w:lineRule="auto"/>
        <w:rPr>
          <w:rFonts w:ascii="Times New Roman" w:hAnsi="Times New Roman" w:cs="Times New Roman"/>
          <w:b/>
          <w:bCs/>
          <w:sz w:val="24"/>
          <w:szCs w:val="24"/>
        </w:rPr>
      </w:pPr>
      <w:r w:rsidRPr="00D659FE">
        <w:rPr>
          <w:rFonts w:ascii="Times New Roman" w:hAnsi="Times New Roman" w:cs="Times New Roman"/>
          <w:b/>
          <w:bCs/>
          <w:sz w:val="24"/>
          <w:szCs w:val="24"/>
        </w:rPr>
        <w:t>Effect on Gastric Emptying and Gastrointestinal Motility</w:t>
      </w:r>
    </w:p>
    <w:p w14:paraId="510E64E5" w14:textId="77777777" w:rsidR="00D659FE" w:rsidRPr="00083D48"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Different antacids influence</w:t>
      </w:r>
      <w:r w:rsidRPr="00083D48">
        <w:rPr>
          <w:rFonts w:ascii="Times New Roman" w:hAnsi="Times New Roman" w:cs="Times New Roman"/>
          <w:sz w:val="24"/>
          <w:szCs w:val="24"/>
        </w:rPr>
        <w:t xml:space="preserve"> gastric emptying rates and gut motility. Magnesium-based antacids tend to promote faster bowel movements, potentially leading to diarrhea, while aluminum-based compounds slow gastric emptying, increasing the risk of constipation (</w:t>
      </w:r>
      <w:proofErr w:type="spellStart"/>
      <w:r w:rsidRPr="00083D48">
        <w:rPr>
          <w:rFonts w:ascii="Times New Roman" w:hAnsi="Times New Roman" w:cs="Times New Roman"/>
          <w:sz w:val="24"/>
          <w:szCs w:val="24"/>
        </w:rPr>
        <w:t>Ogundipe</w:t>
      </w:r>
      <w:proofErr w:type="spellEnd"/>
      <w:r w:rsidRPr="00083D48">
        <w:rPr>
          <w:rFonts w:ascii="Times New Roman" w:hAnsi="Times New Roman" w:cs="Times New Roman"/>
          <w:sz w:val="24"/>
          <w:szCs w:val="24"/>
        </w:rPr>
        <w:t xml:space="preserve"> &amp; Williams, 2022). Combination formulations, such as magnesium-aluminum mixtures, help balance these effects, minimizing gastrointestinal side effects (</w:t>
      </w:r>
      <w:proofErr w:type="spellStart"/>
      <w:r w:rsidRPr="00083D48">
        <w:rPr>
          <w:rFonts w:ascii="Times New Roman" w:hAnsi="Times New Roman" w:cs="Times New Roman"/>
          <w:sz w:val="24"/>
          <w:szCs w:val="24"/>
        </w:rPr>
        <w:t>Okon</w:t>
      </w:r>
      <w:proofErr w:type="spellEnd"/>
      <w:r w:rsidRPr="00083D48">
        <w:rPr>
          <w:rFonts w:ascii="Times New Roman" w:hAnsi="Times New Roman" w:cs="Times New Roman"/>
          <w:sz w:val="24"/>
          <w:szCs w:val="24"/>
        </w:rPr>
        <w:t xml:space="preserve"> &amp; Bello, 2023).</w:t>
      </w:r>
    </w:p>
    <w:p w14:paraId="30419729" w14:textId="77777777" w:rsidR="00B7318F" w:rsidRDefault="00B7318F" w:rsidP="00B7318F">
      <w:pPr>
        <w:spacing w:before="240" w:after="0" w:line="360" w:lineRule="auto"/>
        <w:rPr>
          <w:rFonts w:ascii="Times New Roman" w:hAnsi="Times New Roman" w:cs="Times New Roman"/>
          <w:b/>
          <w:bCs/>
          <w:sz w:val="24"/>
          <w:szCs w:val="24"/>
        </w:rPr>
      </w:pPr>
    </w:p>
    <w:p w14:paraId="5F50BDEF" w14:textId="77777777" w:rsidR="00B7318F" w:rsidRDefault="00B7318F" w:rsidP="00B7318F">
      <w:pPr>
        <w:spacing w:before="240" w:after="0" w:line="360" w:lineRule="auto"/>
        <w:rPr>
          <w:rFonts w:ascii="Times New Roman" w:hAnsi="Times New Roman" w:cs="Times New Roman"/>
          <w:b/>
          <w:bCs/>
          <w:sz w:val="24"/>
          <w:szCs w:val="24"/>
        </w:rPr>
      </w:pPr>
    </w:p>
    <w:p w14:paraId="379362F3" w14:textId="77777777" w:rsidR="00D659FE" w:rsidRPr="007D6963" w:rsidRDefault="007D6963" w:rsidP="00B7318F">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CHEMICAL NEUTRALIZATION</w:t>
      </w:r>
    </w:p>
    <w:p w14:paraId="2C47D80C" w14:textId="77777777" w:rsidR="00A9662E" w:rsidRPr="00B7318F" w:rsidRDefault="00D659FE" w:rsidP="00B7318F">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pri</w:t>
      </w:r>
      <w:r w:rsidRPr="007D6963">
        <w:rPr>
          <w:rFonts w:ascii="Times New Roman" w:hAnsi="Times New Roman" w:cs="Times New Roman"/>
          <w:sz w:val="24"/>
          <w:szCs w:val="24"/>
        </w:rPr>
        <w:t>mary mechanism through which antacids relieve acid-related disorders is chemical neutralization, a process in which weakly basic compounds react with gastric hydrochloric acid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xml:space="preserve">) to form salt and water (Okonkwo &amp; </w:t>
      </w:r>
      <w:proofErr w:type="spellStart"/>
      <w:r w:rsidRPr="007D6963">
        <w:rPr>
          <w:rFonts w:ascii="Times New Roman" w:hAnsi="Times New Roman" w:cs="Times New Roman"/>
          <w:sz w:val="24"/>
          <w:szCs w:val="24"/>
        </w:rPr>
        <w:t>Adeyemi</w:t>
      </w:r>
      <w:proofErr w:type="spellEnd"/>
      <w:r w:rsidRPr="007D6963">
        <w:rPr>
          <w:rFonts w:ascii="Times New Roman" w:hAnsi="Times New Roman" w:cs="Times New Roman"/>
          <w:sz w:val="24"/>
          <w:szCs w:val="24"/>
        </w:rPr>
        <w:t>, 2021</w:t>
      </w:r>
      <w:r w:rsidR="007D6963">
        <w:rPr>
          <w:rFonts w:ascii="Times New Roman" w:hAnsi="Times New Roman" w:cs="Times New Roman"/>
          <w:sz w:val="24"/>
          <w:szCs w:val="24"/>
        </w:rPr>
        <w:t xml:space="preserve">). This neutralization reaction </w:t>
      </w:r>
      <w:r w:rsidRPr="007D6963">
        <w:rPr>
          <w:rFonts w:ascii="Times New Roman" w:hAnsi="Times New Roman" w:cs="Times New Roman"/>
          <w:sz w:val="24"/>
          <w:szCs w:val="24"/>
        </w:rPr>
        <w:t>reduces stomach acidity, increasing the pH and alleviating symptoms such as heartburn, indigestion, and acid reflux. The efficiency of an antacid’s acid-neutralizing capacity (ANC) is determined by its chemical composition, solubility, and rate of reaction with gastric acid (</w:t>
      </w:r>
      <w:proofErr w:type="spellStart"/>
      <w:r w:rsidRPr="007D6963">
        <w:rPr>
          <w:rFonts w:ascii="Times New Roman" w:hAnsi="Times New Roman" w:cs="Times New Roman"/>
          <w:sz w:val="24"/>
          <w:szCs w:val="24"/>
        </w:rPr>
        <w:t>Eze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14:paraId="5B38210B" w14:textId="77777777" w:rsidR="00D659FE" w:rsidRPr="007D6963" w:rsidRDefault="007D6963" w:rsidP="00B7318F">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METHODS OF EVALUATING ACID NEUTRALIZING CAPACITY</w:t>
      </w:r>
    </w:p>
    <w:p w14:paraId="1358974A" w14:textId="77777777" w:rsidR="00D659FE" w:rsidRPr="007D696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w:t>
      </w:r>
      <w:r w:rsidRPr="007D6963">
        <w:rPr>
          <w:rFonts w:ascii="Times New Roman" w:hAnsi="Times New Roman" w:cs="Times New Roman"/>
          <w:sz w:val="24"/>
          <w:szCs w:val="24"/>
        </w:rPr>
        <w:t xml:space="preserve">acid neutralizing capacity (ANC) of an antacid refers to its ability to neutralize gastric acid and maintain an optimal pH level in the stomach. Evaluating ANC is crucial for determining the effectiveness of different antacid formulations, ensuring proper dosage recommendations, and comparing various commercial products (Okonkwo &amp; </w:t>
      </w:r>
      <w:proofErr w:type="spellStart"/>
      <w:r w:rsidRPr="007D6963">
        <w:rPr>
          <w:rFonts w:ascii="Times New Roman" w:hAnsi="Times New Roman" w:cs="Times New Roman"/>
          <w:sz w:val="24"/>
          <w:szCs w:val="24"/>
        </w:rPr>
        <w:t>Adeyemi</w:t>
      </w:r>
      <w:proofErr w:type="spellEnd"/>
      <w:r w:rsidRPr="007D6963">
        <w:rPr>
          <w:rFonts w:ascii="Times New Roman" w:hAnsi="Times New Roman" w:cs="Times New Roman"/>
          <w:sz w:val="24"/>
          <w:szCs w:val="24"/>
        </w:rPr>
        <w:t>, 2021). Several experimental methods have been developed to assess the ANC of antacids, with the most common techniques including titration methods, pH analysis, and in-vitro gastric acid simulation (</w:t>
      </w:r>
      <w:proofErr w:type="spellStart"/>
      <w:r w:rsidRPr="007D6963">
        <w:rPr>
          <w:rFonts w:ascii="Times New Roman" w:hAnsi="Times New Roman" w:cs="Times New Roman"/>
          <w:sz w:val="24"/>
          <w:szCs w:val="24"/>
        </w:rPr>
        <w:t>Eze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14:paraId="48B0A1C3" w14:textId="77777777"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00F03613" w:rsidRPr="00C45905">
        <w:rPr>
          <w:rFonts w:ascii="Times New Roman" w:hAnsi="Times New Roman" w:cs="Times New Roman"/>
          <w:b/>
          <w:bCs/>
          <w:sz w:val="24"/>
          <w:szCs w:val="24"/>
        </w:rPr>
        <w:t>Titration Methods</w:t>
      </w:r>
    </w:p>
    <w:p w14:paraId="3B3A924D"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w:t>
      </w:r>
      <w:r w:rsidRPr="007D6963">
        <w:rPr>
          <w:rFonts w:ascii="Times New Roman" w:hAnsi="Times New Roman" w:cs="Times New Roman"/>
          <w:sz w:val="24"/>
          <w:szCs w:val="24"/>
        </w:rPr>
        <w:t>ost widely used techniques for evaluating ANC is acid-base titration, which determines the amount of acid required to neutralize an antacid formulation. In this method, a known concentration of hydrochloric acid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xml:space="preserve">), usually 0.1 M, is added to a suspension of the antacid under controlled conditions. The reaction continues until the pH reaches a pre-defined endpoint, typically around 3–4, which mimics the acidic environment of the stomach (Williams &amp; </w:t>
      </w:r>
      <w:proofErr w:type="spellStart"/>
      <w:r w:rsidRPr="007D6963">
        <w:rPr>
          <w:rFonts w:ascii="Times New Roman" w:hAnsi="Times New Roman" w:cs="Times New Roman"/>
          <w:sz w:val="24"/>
          <w:szCs w:val="24"/>
        </w:rPr>
        <w:t>C</w:t>
      </w:r>
      <w:r w:rsidRPr="00D659FE">
        <w:rPr>
          <w:rFonts w:ascii="Times New Roman" w:hAnsi="Times New Roman" w:cs="Times New Roman"/>
          <w:sz w:val="24"/>
          <w:szCs w:val="24"/>
        </w:rPr>
        <w:t>hukwudi</w:t>
      </w:r>
      <w:proofErr w:type="spellEnd"/>
      <w:r w:rsidRPr="00D659FE">
        <w:rPr>
          <w:rFonts w:ascii="Times New Roman" w:hAnsi="Times New Roman" w:cs="Times New Roman"/>
          <w:sz w:val="24"/>
          <w:szCs w:val="24"/>
        </w:rPr>
        <w:t>, 2022).</w:t>
      </w:r>
    </w:p>
    <w:p w14:paraId="510B735B"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volume o</w:t>
      </w:r>
      <w:r w:rsidRPr="007D6963">
        <w:rPr>
          <w:rFonts w:ascii="Times New Roman" w:hAnsi="Times New Roman" w:cs="Times New Roman"/>
          <w:sz w:val="24"/>
          <w:szCs w:val="24"/>
        </w:rPr>
        <w:t xml:space="preserve">f acid required to reach the endpoint provides a measure of the neutralizing power of the antacid. More effective antacids require less volume of </w:t>
      </w:r>
      <w:proofErr w:type="spellStart"/>
      <w:r w:rsidRPr="007D6963">
        <w:rPr>
          <w:rFonts w:ascii="Times New Roman" w:hAnsi="Times New Roman" w:cs="Times New Roman"/>
          <w:sz w:val="24"/>
          <w:szCs w:val="24"/>
        </w:rPr>
        <w:t>HCl</w:t>
      </w:r>
      <w:proofErr w:type="spellEnd"/>
      <w:r w:rsidRPr="007D6963">
        <w:rPr>
          <w:rFonts w:ascii="Times New Roman" w:hAnsi="Times New Roman" w:cs="Times New Roman"/>
          <w:sz w:val="24"/>
          <w:szCs w:val="24"/>
        </w:rPr>
        <w:t xml:space="preserve"> to reach the desired pH level, indicating a higher ANC (</w:t>
      </w:r>
      <w:proofErr w:type="spellStart"/>
      <w:r w:rsidRPr="007D6963">
        <w:rPr>
          <w:rFonts w:ascii="Times New Roman" w:hAnsi="Times New Roman" w:cs="Times New Roman"/>
          <w:sz w:val="24"/>
          <w:szCs w:val="24"/>
        </w:rPr>
        <w:t>Ogunleye</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 Back titration is also commonly used, where excess acid is added to the antacid, and the remaining unreacted acid is titrated with a strong base (</w:t>
      </w:r>
      <w:proofErr w:type="spellStart"/>
      <w:r w:rsidRPr="007D6963">
        <w:rPr>
          <w:rFonts w:ascii="Times New Roman" w:hAnsi="Times New Roman" w:cs="Times New Roman"/>
          <w:sz w:val="24"/>
          <w:szCs w:val="24"/>
        </w:rPr>
        <w:t>NaOH</w:t>
      </w:r>
      <w:proofErr w:type="spellEnd"/>
      <w:r w:rsidRPr="007D6963">
        <w:rPr>
          <w:rFonts w:ascii="Times New Roman" w:hAnsi="Times New Roman" w:cs="Times New Roman"/>
          <w:sz w:val="24"/>
          <w:szCs w:val="24"/>
        </w:rPr>
        <w:t>)</w:t>
      </w:r>
      <w:r w:rsidRPr="00D659FE">
        <w:rPr>
          <w:rFonts w:ascii="Times New Roman" w:hAnsi="Times New Roman" w:cs="Times New Roman"/>
          <w:b/>
          <w:sz w:val="24"/>
          <w:szCs w:val="24"/>
        </w:rPr>
        <w:t xml:space="preserve"> </w:t>
      </w:r>
      <w:r w:rsidRPr="00D659FE">
        <w:rPr>
          <w:rFonts w:ascii="Times New Roman" w:hAnsi="Times New Roman" w:cs="Times New Roman"/>
          <w:sz w:val="24"/>
          <w:szCs w:val="24"/>
        </w:rPr>
        <w:t>to determine ANC more precisely (Adebayo &amp; Yusuf, 2024).</w:t>
      </w:r>
    </w:p>
    <w:p w14:paraId="3F554CAA" w14:textId="77777777" w:rsidR="00D659FE" w:rsidRPr="00C45905" w:rsidRDefault="00D659FE" w:rsidP="009A5A72">
      <w:pPr>
        <w:pStyle w:val="ListParagraph"/>
        <w:numPr>
          <w:ilvl w:val="2"/>
          <w:numId w:val="8"/>
        </w:numPr>
        <w:spacing w:line="360" w:lineRule="auto"/>
        <w:jc w:val="both"/>
        <w:rPr>
          <w:b/>
          <w:bCs/>
          <w:sz w:val="24"/>
          <w:szCs w:val="24"/>
        </w:rPr>
      </w:pPr>
      <w:r w:rsidRPr="00C45905">
        <w:rPr>
          <w:b/>
          <w:bCs/>
          <w:sz w:val="24"/>
          <w:szCs w:val="24"/>
        </w:rPr>
        <w:t xml:space="preserve">pH </w:t>
      </w:r>
      <w:r w:rsidR="00F03613">
        <w:rPr>
          <w:b/>
          <w:bCs/>
          <w:sz w:val="24"/>
          <w:szCs w:val="24"/>
        </w:rPr>
        <w:t>Analysis a</w:t>
      </w:r>
      <w:r w:rsidR="00F03613" w:rsidRPr="00C45905">
        <w:rPr>
          <w:b/>
          <w:bCs/>
          <w:sz w:val="24"/>
          <w:szCs w:val="24"/>
        </w:rPr>
        <w:t xml:space="preserve">nd </w:t>
      </w:r>
      <w:r w:rsidR="00F03613">
        <w:rPr>
          <w:b/>
          <w:bCs/>
          <w:sz w:val="24"/>
          <w:szCs w:val="24"/>
        </w:rPr>
        <w:t>pH</w:t>
      </w:r>
      <w:r w:rsidR="00F03613" w:rsidRPr="00C45905">
        <w:rPr>
          <w:b/>
          <w:bCs/>
          <w:sz w:val="24"/>
          <w:szCs w:val="24"/>
        </w:rPr>
        <w:t>-Stat Methods</w:t>
      </w:r>
    </w:p>
    <w:p w14:paraId="466AF118"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Another widely used method for assessin</w:t>
      </w:r>
      <w:r w:rsidRPr="007D6963">
        <w:rPr>
          <w:rFonts w:ascii="Times New Roman" w:hAnsi="Times New Roman" w:cs="Times New Roman"/>
          <w:sz w:val="24"/>
          <w:szCs w:val="24"/>
        </w:rPr>
        <w:t>g ANC involves monitoring real-time pH changes when an antacid is introduced into an acidic solution. The pH-stat method involves continuously measuring the pH of a gastric acid solution as antacid is added, ensuring that the pH remains within the physiologically relev</w:t>
      </w:r>
      <w:r w:rsidRPr="00D659FE">
        <w:rPr>
          <w:rFonts w:ascii="Times New Roman" w:hAnsi="Times New Roman" w:cs="Times New Roman"/>
          <w:sz w:val="24"/>
          <w:szCs w:val="24"/>
        </w:rPr>
        <w:t>ant range (</w:t>
      </w: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14:paraId="0FB00FAC" w14:textId="77777777" w:rsidR="00D659FE" w:rsidRPr="007D696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w:t>
      </w:r>
      <w:r w:rsidRPr="007D6963">
        <w:rPr>
          <w:rFonts w:ascii="Times New Roman" w:hAnsi="Times New Roman" w:cs="Times New Roman"/>
          <w:sz w:val="24"/>
          <w:szCs w:val="24"/>
        </w:rPr>
        <w:t xml:space="preserve"> pH maintenance time—how long the antacid keeps the solution within an optimal pH range—is a critical factor in determining the duration of antacid action. Antacids that provide a longer duration of pH stability are generally considered more effective in controlling hyperacidity and acid reflux symptoms (</w:t>
      </w:r>
      <w:proofErr w:type="spellStart"/>
      <w:r w:rsidRPr="007D6963">
        <w:rPr>
          <w:rFonts w:ascii="Times New Roman" w:hAnsi="Times New Roman" w:cs="Times New Roman"/>
          <w:sz w:val="24"/>
          <w:szCs w:val="24"/>
        </w:rPr>
        <w:t>Oluwaseun</w:t>
      </w:r>
      <w:proofErr w:type="spellEnd"/>
      <w:r w:rsidRPr="007D6963">
        <w:rPr>
          <w:rFonts w:ascii="Times New Roman" w:hAnsi="Times New Roman" w:cs="Times New Roman"/>
          <w:sz w:val="24"/>
          <w:szCs w:val="24"/>
        </w:rPr>
        <w:t xml:space="preserv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2022).</w:t>
      </w:r>
    </w:p>
    <w:p w14:paraId="7055E6D0" w14:textId="77777777" w:rsidR="00D659FE" w:rsidRPr="00C45905" w:rsidRDefault="00D659FE" w:rsidP="009A5A72">
      <w:pPr>
        <w:pStyle w:val="ListParagraph"/>
        <w:numPr>
          <w:ilvl w:val="2"/>
          <w:numId w:val="8"/>
        </w:numPr>
        <w:spacing w:line="360" w:lineRule="auto"/>
        <w:jc w:val="both"/>
        <w:rPr>
          <w:b/>
          <w:bCs/>
          <w:sz w:val="24"/>
          <w:szCs w:val="24"/>
        </w:rPr>
      </w:pPr>
      <w:r w:rsidRPr="00C45905">
        <w:rPr>
          <w:b/>
          <w:bCs/>
          <w:sz w:val="24"/>
          <w:szCs w:val="24"/>
        </w:rPr>
        <w:t>In-Vitro Gastric Acid Simulation</w:t>
      </w:r>
    </w:p>
    <w:p w14:paraId="2A84B5A5" w14:textId="77777777"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 xml:space="preserve">To more accurately simulate real gastric conditions, in-vitro gastric models have been developed to test antacid effectiveness. These models involve synthetic gastric fluid, which mimics the composition and acidity of human stomach secretions. Antacids are added to the system, and their impact on pH stability and acid neutralization is assessed over time (Emmanuel &amp; </w:t>
      </w:r>
      <w:proofErr w:type="spellStart"/>
      <w:r w:rsidRPr="0068456B">
        <w:rPr>
          <w:rFonts w:ascii="Times New Roman" w:hAnsi="Times New Roman" w:cs="Times New Roman"/>
          <w:sz w:val="24"/>
          <w:szCs w:val="24"/>
        </w:rPr>
        <w:t>Okechukwu</w:t>
      </w:r>
      <w:proofErr w:type="spellEnd"/>
      <w:r w:rsidRPr="0068456B">
        <w:rPr>
          <w:rFonts w:ascii="Times New Roman" w:hAnsi="Times New Roman" w:cs="Times New Roman"/>
          <w:sz w:val="24"/>
          <w:szCs w:val="24"/>
        </w:rPr>
        <w:t>, 2021).</w:t>
      </w:r>
    </w:p>
    <w:p w14:paraId="40394CFD" w14:textId="77777777"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Some advanced gastric models include dynamic systems, which simulate gastric motility and food presence, providing a more realistic evaluation of how antacids function inside the stomach. These tests help predict how quickly an antacid dissolves, reacts, and provides symptom relief in real-world conditions (</w:t>
      </w:r>
      <w:proofErr w:type="spellStart"/>
      <w:r w:rsidRPr="0068456B">
        <w:rPr>
          <w:rFonts w:ascii="Times New Roman" w:hAnsi="Times New Roman" w:cs="Times New Roman"/>
          <w:sz w:val="24"/>
          <w:szCs w:val="24"/>
        </w:rPr>
        <w:t>Akinyemi</w:t>
      </w:r>
      <w:proofErr w:type="spellEnd"/>
      <w:r w:rsidRPr="0068456B">
        <w:rPr>
          <w:rFonts w:ascii="Times New Roman" w:hAnsi="Times New Roman" w:cs="Times New Roman"/>
          <w:sz w:val="24"/>
          <w:szCs w:val="24"/>
        </w:rPr>
        <w:t xml:space="preserve">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2023).</w:t>
      </w:r>
    </w:p>
    <w:p w14:paraId="714B5BC6" w14:textId="77777777" w:rsidR="00D659FE" w:rsidRPr="00D659FE" w:rsidRDefault="00D659FE" w:rsidP="009A5A72">
      <w:pPr>
        <w:numPr>
          <w:ilvl w:val="2"/>
          <w:numId w:val="8"/>
        </w:numPr>
        <w:spacing w:after="0" w:line="360" w:lineRule="auto"/>
        <w:jc w:val="both"/>
        <w:rPr>
          <w:rFonts w:ascii="Times New Roman" w:hAnsi="Times New Roman" w:cs="Times New Roman"/>
          <w:b/>
          <w:bCs/>
          <w:sz w:val="24"/>
          <w:szCs w:val="24"/>
        </w:rPr>
      </w:pPr>
      <w:proofErr w:type="spellStart"/>
      <w:r w:rsidRPr="00D659FE">
        <w:rPr>
          <w:rFonts w:ascii="Times New Roman" w:hAnsi="Times New Roman" w:cs="Times New Roman"/>
          <w:b/>
          <w:bCs/>
          <w:sz w:val="24"/>
          <w:szCs w:val="24"/>
        </w:rPr>
        <w:t>Conductometric</w:t>
      </w:r>
      <w:proofErr w:type="spellEnd"/>
      <w:r w:rsidRPr="00D659FE">
        <w:rPr>
          <w:rFonts w:ascii="Times New Roman" w:hAnsi="Times New Roman" w:cs="Times New Roman"/>
          <w:b/>
          <w:bCs/>
          <w:sz w:val="24"/>
          <w:szCs w:val="24"/>
        </w:rPr>
        <w:t xml:space="preserve"> and Spectrophotometric Analysis</w:t>
      </w:r>
    </w:p>
    <w:p w14:paraId="730CC146" w14:textId="77777777" w:rsidR="00D659FE" w:rsidRPr="0068456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Modern techniques such a</w:t>
      </w:r>
      <w:r w:rsidRPr="0068456B">
        <w:rPr>
          <w:rFonts w:ascii="Times New Roman" w:hAnsi="Times New Roman" w:cs="Times New Roman"/>
          <w:sz w:val="24"/>
          <w:szCs w:val="24"/>
        </w:rPr>
        <w:t xml:space="preserve">s </w:t>
      </w:r>
      <w:proofErr w:type="spellStart"/>
      <w:r w:rsidRPr="0068456B">
        <w:rPr>
          <w:rFonts w:ascii="Times New Roman" w:hAnsi="Times New Roman" w:cs="Times New Roman"/>
          <w:sz w:val="24"/>
          <w:szCs w:val="24"/>
        </w:rPr>
        <w:t>conductometric</w:t>
      </w:r>
      <w:proofErr w:type="spellEnd"/>
      <w:r w:rsidRPr="0068456B">
        <w:rPr>
          <w:rFonts w:ascii="Times New Roman" w:hAnsi="Times New Roman" w:cs="Times New Roman"/>
          <w:sz w:val="24"/>
          <w:szCs w:val="24"/>
        </w:rPr>
        <w:t xml:space="preserve"> analysis and UV-visible spectrophotometry</w:t>
      </w:r>
    </w:p>
    <w:p w14:paraId="4B5F8E7E" w14:textId="77777777"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 xml:space="preserve">have also been employed in ANC evaluation. </w:t>
      </w:r>
      <w:proofErr w:type="spellStart"/>
      <w:r w:rsidRPr="0068456B">
        <w:rPr>
          <w:rFonts w:ascii="Times New Roman" w:hAnsi="Times New Roman" w:cs="Times New Roman"/>
          <w:sz w:val="24"/>
          <w:szCs w:val="24"/>
        </w:rPr>
        <w:t>Conductometric</w:t>
      </w:r>
      <w:proofErr w:type="spellEnd"/>
      <w:r w:rsidRPr="0068456B">
        <w:rPr>
          <w:rFonts w:ascii="Times New Roman" w:hAnsi="Times New Roman" w:cs="Times New Roman"/>
          <w:sz w:val="24"/>
          <w:szCs w:val="24"/>
        </w:rPr>
        <w:t xml:space="preserve"> analysis measures the change in electrical conductivity of the solution as the antacid reacts with acid, providing insights into the rate and extent of neutralization (</w:t>
      </w:r>
      <w:proofErr w:type="spellStart"/>
      <w:r w:rsidRPr="0068456B">
        <w:rPr>
          <w:rFonts w:ascii="Times New Roman" w:hAnsi="Times New Roman" w:cs="Times New Roman"/>
          <w:sz w:val="24"/>
          <w:szCs w:val="24"/>
        </w:rPr>
        <w:t>Ogundipe</w:t>
      </w:r>
      <w:proofErr w:type="spellEnd"/>
      <w:r w:rsidRPr="0068456B">
        <w:rPr>
          <w:rFonts w:ascii="Times New Roman" w:hAnsi="Times New Roman" w:cs="Times New Roman"/>
          <w:sz w:val="24"/>
          <w:szCs w:val="24"/>
        </w:rPr>
        <w:t xml:space="preserve"> &amp; Williams, 2022).</w:t>
      </w:r>
    </w:p>
    <w:p w14:paraId="2BEA5F8D" w14:textId="77777777" w:rsidR="00D659FE" w:rsidRPr="0068456B" w:rsidRDefault="00D659FE" w:rsidP="009A5A72">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Similarly, UV-visible spectrophotometry helps determine active ingredient concentration and reaction completion, making it a valuable tool for quality control in pharmaceutical formulations (</w:t>
      </w:r>
      <w:proofErr w:type="spellStart"/>
      <w:r w:rsidRPr="0068456B">
        <w:rPr>
          <w:rFonts w:ascii="Times New Roman" w:hAnsi="Times New Roman" w:cs="Times New Roman"/>
          <w:sz w:val="24"/>
          <w:szCs w:val="24"/>
        </w:rPr>
        <w:t>Okon</w:t>
      </w:r>
      <w:proofErr w:type="spellEnd"/>
      <w:r w:rsidRPr="0068456B">
        <w:rPr>
          <w:rFonts w:ascii="Times New Roman" w:hAnsi="Times New Roman" w:cs="Times New Roman"/>
          <w:sz w:val="24"/>
          <w:szCs w:val="24"/>
        </w:rPr>
        <w:t xml:space="preserve"> &amp; Bello, 2023).</w:t>
      </w:r>
    </w:p>
    <w:p w14:paraId="59606DA7" w14:textId="77777777" w:rsidR="00D659FE" w:rsidRPr="00D659FE" w:rsidRDefault="00D659FE" w:rsidP="009A5A72">
      <w:pPr>
        <w:numPr>
          <w:ilvl w:val="2"/>
          <w:numId w:val="8"/>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Clinical and Pharmacokinetic Studies</w:t>
      </w:r>
    </w:p>
    <w:p w14:paraId="635B79CE" w14:textId="77777777" w:rsidR="00A9662E" w:rsidRPr="00F0361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 addition to laboratory-based A</w:t>
      </w:r>
      <w:r w:rsidRPr="0068456B">
        <w:rPr>
          <w:rFonts w:ascii="Times New Roman" w:hAnsi="Times New Roman" w:cs="Times New Roman"/>
          <w:sz w:val="24"/>
          <w:szCs w:val="24"/>
        </w:rPr>
        <w:t>NC evaluation, clinical studies assess the real-world effectiveness of antacids in managing symptoms like acid reflux and heartburn. Pharmacokinetic studies analyze how antacids interact with gastric secretions and their onset and duration of action in human subjects (</w:t>
      </w:r>
      <w:proofErr w:type="spellStart"/>
      <w:r w:rsidRPr="0068456B">
        <w:rPr>
          <w:rFonts w:ascii="Times New Roman" w:hAnsi="Times New Roman" w:cs="Times New Roman"/>
          <w:sz w:val="24"/>
          <w:szCs w:val="24"/>
        </w:rPr>
        <w:t>Olawale</w:t>
      </w:r>
      <w:proofErr w:type="spellEnd"/>
      <w:r w:rsidRPr="0068456B">
        <w:rPr>
          <w:rFonts w:ascii="Times New Roman" w:hAnsi="Times New Roman" w:cs="Times New Roman"/>
          <w:sz w:val="24"/>
          <w:szCs w:val="24"/>
        </w:rPr>
        <w:t xml:space="preserve">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2024). These studies help refine antacid formulations and improve treatment recommendations for acid-related disorders</w:t>
      </w:r>
      <w:r w:rsidR="0068681A">
        <w:rPr>
          <w:rFonts w:ascii="Times New Roman" w:hAnsi="Times New Roman" w:cs="Times New Roman"/>
          <w:sz w:val="24"/>
          <w:szCs w:val="24"/>
        </w:rPr>
        <w:t>.</w:t>
      </w:r>
    </w:p>
    <w:p w14:paraId="475CC162" w14:textId="77777777" w:rsidR="00D659FE" w:rsidRPr="00D659FE" w:rsidRDefault="0068681A" w:rsidP="00F03613">
      <w:pPr>
        <w:spacing w:before="240" w:after="0" w:line="360" w:lineRule="auto"/>
        <w:jc w:val="both"/>
        <w:rPr>
          <w:rFonts w:ascii="Times New Roman" w:hAnsi="Times New Roman" w:cs="Times New Roman"/>
          <w:b/>
          <w:bCs/>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D659FE" w:rsidRPr="00D659FE">
        <w:rPr>
          <w:rFonts w:ascii="Times New Roman" w:hAnsi="Times New Roman" w:cs="Times New Roman"/>
          <w:b/>
          <w:bCs/>
          <w:sz w:val="24"/>
          <w:szCs w:val="24"/>
        </w:rPr>
        <w:t>HEALTH IMPLICATIONS OF ANTACIDS</w:t>
      </w:r>
    </w:p>
    <w:p w14:paraId="4C739582" w14:textId="77777777" w:rsidR="00D659FE" w:rsidRPr="0068681A"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68681A">
        <w:rPr>
          <w:rFonts w:ascii="Times New Roman" w:hAnsi="Times New Roman" w:cs="Times New Roman"/>
          <w:sz w:val="24"/>
          <w:szCs w:val="24"/>
        </w:rPr>
        <w:t xml:space="preserve">s play a crucial role in managing acid-related disorders, including </w:t>
      </w:r>
      <w:proofErr w:type="spellStart"/>
      <w:r w:rsidRPr="0068681A">
        <w:rPr>
          <w:rFonts w:ascii="Times New Roman" w:hAnsi="Times New Roman" w:cs="Times New Roman"/>
          <w:sz w:val="24"/>
          <w:szCs w:val="24"/>
        </w:rPr>
        <w:t>gastroesophageal</w:t>
      </w:r>
      <w:proofErr w:type="spellEnd"/>
      <w:r w:rsidRPr="0068681A">
        <w:rPr>
          <w:rFonts w:ascii="Times New Roman" w:hAnsi="Times New Roman" w:cs="Times New Roman"/>
          <w:sz w:val="24"/>
          <w:szCs w:val="24"/>
        </w:rPr>
        <w:t xml:space="preserve"> reflux disease (GERD), peptic ulcers, and dyspepsia. They provide rapid relief by neutralizing stomach acid, improving patient comfort and quality of life (Okonkwo &amp; </w:t>
      </w:r>
      <w:proofErr w:type="spellStart"/>
      <w:r w:rsidRPr="0068681A">
        <w:rPr>
          <w:rFonts w:ascii="Times New Roman" w:hAnsi="Times New Roman" w:cs="Times New Roman"/>
          <w:sz w:val="24"/>
          <w:szCs w:val="24"/>
        </w:rPr>
        <w:t>Adeyemi</w:t>
      </w:r>
      <w:proofErr w:type="spellEnd"/>
      <w:r w:rsidRPr="0068681A">
        <w:rPr>
          <w:rFonts w:ascii="Times New Roman" w:hAnsi="Times New Roman" w:cs="Times New Roman"/>
          <w:sz w:val="24"/>
          <w:szCs w:val="24"/>
        </w:rPr>
        <w:t xml:space="preserve">, 2021). However, their prolonged or excessive use can lead to various health implications, including metabolic imbalances, drug interactions, and gastrointestinal disturbances (Williams &amp; </w:t>
      </w:r>
      <w:proofErr w:type="spellStart"/>
      <w:r w:rsidRPr="0068681A">
        <w:rPr>
          <w:rFonts w:ascii="Times New Roman" w:hAnsi="Times New Roman" w:cs="Times New Roman"/>
          <w:sz w:val="24"/>
          <w:szCs w:val="24"/>
        </w:rPr>
        <w:t>Chukwudi</w:t>
      </w:r>
      <w:proofErr w:type="spellEnd"/>
      <w:r w:rsidRPr="0068681A">
        <w:rPr>
          <w:rFonts w:ascii="Times New Roman" w:hAnsi="Times New Roman" w:cs="Times New Roman"/>
          <w:sz w:val="24"/>
          <w:szCs w:val="24"/>
        </w:rPr>
        <w:t>, 2022).</w:t>
      </w:r>
    </w:p>
    <w:p w14:paraId="093B6BF4" w14:textId="77777777"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and Metabolic Imbalances</w:t>
      </w:r>
    </w:p>
    <w:p w14:paraId="47A92D4E" w14:textId="77777777" w:rsidR="00D659FE" w:rsidRPr="0068681A"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w:t>
      </w:r>
      <w:r w:rsidRPr="0068681A">
        <w:rPr>
          <w:rFonts w:ascii="Times New Roman" w:hAnsi="Times New Roman" w:cs="Times New Roman"/>
          <w:sz w:val="24"/>
          <w:szCs w:val="24"/>
        </w:rPr>
        <w:t xml:space="preserve"> of calcium-based antacids, such as calcium carbonate, can result in hypercalcemia, leading to kidney stone formation, altered heart rhythms, and muscle weakness (</w:t>
      </w:r>
      <w:proofErr w:type="spellStart"/>
      <w:r w:rsidRPr="0068681A">
        <w:rPr>
          <w:rFonts w:ascii="Times New Roman" w:hAnsi="Times New Roman" w:cs="Times New Roman"/>
          <w:sz w:val="24"/>
          <w:szCs w:val="24"/>
        </w:rPr>
        <w:t>Ogunleye</w:t>
      </w:r>
      <w:proofErr w:type="spellEnd"/>
      <w:r w:rsidRPr="0068681A">
        <w:rPr>
          <w:rFonts w:ascii="Times New Roman" w:hAnsi="Times New Roman" w:cs="Times New Roman"/>
          <w:sz w:val="24"/>
          <w:szCs w:val="24"/>
        </w:rPr>
        <w:t xml:space="preserve"> </w:t>
      </w:r>
      <w:r w:rsidRPr="0068681A">
        <w:rPr>
          <w:rFonts w:ascii="Times New Roman" w:hAnsi="Times New Roman" w:cs="Times New Roman"/>
          <w:i/>
          <w:sz w:val="24"/>
          <w:szCs w:val="24"/>
        </w:rPr>
        <w:t>et al.,</w:t>
      </w:r>
      <w:r w:rsidRPr="0068681A">
        <w:rPr>
          <w:rFonts w:ascii="Times New Roman" w:hAnsi="Times New Roman" w:cs="Times New Roman"/>
          <w:sz w:val="24"/>
          <w:szCs w:val="24"/>
        </w:rPr>
        <w:t xml:space="preserve"> 2023). Similarly, excessive consumption of magnesium-based antacids may cause </w:t>
      </w:r>
      <w:proofErr w:type="spellStart"/>
      <w:r w:rsidRPr="0068681A">
        <w:rPr>
          <w:rFonts w:ascii="Times New Roman" w:hAnsi="Times New Roman" w:cs="Times New Roman"/>
          <w:sz w:val="24"/>
          <w:szCs w:val="24"/>
        </w:rPr>
        <w:t>hypermagnesemia</w:t>
      </w:r>
      <w:proofErr w:type="spellEnd"/>
      <w:r w:rsidRPr="0068681A">
        <w:rPr>
          <w:rFonts w:ascii="Times New Roman" w:hAnsi="Times New Roman" w:cs="Times New Roman"/>
          <w:sz w:val="24"/>
          <w:szCs w:val="24"/>
        </w:rPr>
        <w:t>, characterized by symptoms such as hypotension, respiratory depression, and confusion (Adebayo &amp; Yusuf, 2024).</w:t>
      </w:r>
    </w:p>
    <w:p w14:paraId="403BF5FB" w14:textId="77777777" w:rsidR="00D659FE" w:rsidRPr="00D659FE" w:rsidRDefault="00D659FE" w:rsidP="009A5A72">
      <w:pPr>
        <w:spacing w:after="0" w:line="360" w:lineRule="auto"/>
        <w:jc w:val="both"/>
        <w:rPr>
          <w:rFonts w:ascii="Times New Roman" w:hAnsi="Times New Roman" w:cs="Times New Roman"/>
          <w:sz w:val="24"/>
          <w:szCs w:val="24"/>
        </w:rPr>
      </w:pPr>
      <w:r w:rsidRPr="0068681A">
        <w:rPr>
          <w:rFonts w:ascii="Times New Roman" w:hAnsi="Times New Roman" w:cs="Times New Roman"/>
          <w:sz w:val="24"/>
          <w:szCs w:val="24"/>
        </w:rPr>
        <w:t>Another common issue is metabolic alkalosis, which occurs due to the overconsumption of bicarbonate-containing antacids. This condition leads to symptoms such as nausea, muscle twitching, and electrolyte imbalances (</w:t>
      </w:r>
      <w:proofErr w:type="spellStart"/>
      <w:r w:rsidRPr="0068681A">
        <w:rPr>
          <w:rFonts w:ascii="Times New Roman" w:hAnsi="Times New Roman" w:cs="Times New Roman"/>
          <w:sz w:val="24"/>
          <w:szCs w:val="24"/>
        </w:rPr>
        <w:t>Chidiebere</w:t>
      </w:r>
      <w:proofErr w:type="spellEnd"/>
      <w:r w:rsidRPr="0068681A">
        <w:rPr>
          <w:rFonts w:ascii="Times New Roman" w:hAnsi="Times New Roman" w:cs="Times New Roman"/>
          <w:sz w:val="24"/>
          <w:szCs w:val="24"/>
        </w:rPr>
        <w:t xml:space="preserve"> &amp; </w:t>
      </w:r>
      <w:proofErr w:type="spellStart"/>
      <w:r w:rsidRPr="0068681A">
        <w:rPr>
          <w:rFonts w:ascii="Times New Roman" w:hAnsi="Times New Roman" w:cs="Times New Roman"/>
          <w:sz w:val="24"/>
          <w:szCs w:val="24"/>
        </w:rPr>
        <w:t>Okafor</w:t>
      </w:r>
      <w:proofErr w:type="spellEnd"/>
      <w:r w:rsidRPr="0068681A">
        <w:rPr>
          <w:rFonts w:ascii="Times New Roman" w:hAnsi="Times New Roman" w:cs="Times New Roman"/>
          <w:sz w:val="24"/>
          <w:szCs w:val="24"/>
        </w:rPr>
        <w:t>, 2023). Patients with renal insufficiency are particularly vulnerable, as their kidneys may struggle to excrete excess calcium, magnesium, or aluminum from pro</w:t>
      </w:r>
      <w:r w:rsidRPr="00D659FE">
        <w:rPr>
          <w:rFonts w:ascii="Times New Roman" w:hAnsi="Times New Roman" w:cs="Times New Roman"/>
          <w:sz w:val="24"/>
          <w:szCs w:val="24"/>
        </w:rPr>
        <w:t>longed antacid use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68681A">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5758868F" w14:textId="77777777" w:rsidR="00D659FE" w:rsidRPr="00C45905" w:rsidRDefault="00C45905"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14:paraId="7A2EF6C2" w14:textId="77777777"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w:t>
      </w:r>
      <w:r w:rsidRPr="00866A7B">
        <w:rPr>
          <w:rFonts w:ascii="Times New Roman" w:hAnsi="Times New Roman" w:cs="Times New Roman"/>
          <w:sz w:val="24"/>
          <w:szCs w:val="24"/>
        </w:rPr>
        <w:t xml:space="preserve">aining magnesium hydroxide can have a laxative effect, leading to diarrhea, while those with aluminum hydroxide may cause constipation (Emmanuel &amp; </w:t>
      </w:r>
      <w:proofErr w:type="spellStart"/>
      <w:r w:rsidRPr="00866A7B">
        <w:rPr>
          <w:rFonts w:ascii="Times New Roman" w:hAnsi="Times New Roman" w:cs="Times New Roman"/>
          <w:sz w:val="24"/>
          <w:szCs w:val="24"/>
        </w:rPr>
        <w:t>Okechukwu</w:t>
      </w:r>
      <w:proofErr w:type="spellEnd"/>
      <w:r w:rsidRPr="00866A7B">
        <w:rPr>
          <w:rFonts w:ascii="Times New Roman" w:hAnsi="Times New Roman" w:cs="Times New Roman"/>
          <w:sz w:val="24"/>
          <w:szCs w:val="24"/>
        </w:rPr>
        <w:t>, 2021). This alternating effect is why some formulations combine magnesium and aluminum compounds to balance their effects (</w:t>
      </w:r>
      <w:proofErr w:type="spellStart"/>
      <w:r w:rsidRPr="00866A7B">
        <w:rPr>
          <w:rFonts w:ascii="Times New Roman" w:hAnsi="Times New Roman" w:cs="Times New Roman"/>
          <w:sz w:val="24"/>
          <w:szCs w:val="24"/>
        </w:rPr>
        <w:t>Akinyemi</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14:paraId="76BD765F" w14:textId="77777777"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Long-term use of aluminum-based antacids has been associated with hypophosphatemia, a condition where phosphate absorption is reduced, leading to bone demineralization, muscle weakness, and osteoporosis (</w:t>
      </w:r>
      <w:proofErr w:type="spellStart"/>
      <w:r w:rsidRPr="00866A7B">
        <w:rPr>
          <w:rFonts w:ascii="Times New Roman" w:hAnsi="Times New Roman" w:cs="Times New Roman"/>
          <w:sz w:val="24"/>
          <w:szCs w:val="24"/>
        </w:rPr>
        <w:t>Ogundipe</w:t>
      </w:r>
      <w:proofErr w:type="spellEnd"/>
      <w:r w:rsidRPr="00866A7B">
        <w:rPr>
          <w:rFonts w:ascii="Times New Roman" w:hAnsi="Times New Roman" w:cs="Times New Roman"/>
          <w:sz w:val="24"/>
          <w:szCs w:val="24"/>
        </w:rPr>
        <w:t xml:space="preserve"> &amp; Williams, 2022). This effect is particularly concerning for elderly patients and individuals with chronic kidney disease.</w:t>
      </w:r>
    </w:p>
    <w:p w14:paraId="5D730B21" w14:textId="77777777" w:rsidR="00D659FE" w:rsidRPr="00C45905" w:rsidRDefault="00D659FE" w:rsidP="00F03613">
      <w:pPr>
        <w:pStyle w:val="ListParagraph"/>
        <w:numPr>
          <w:ilvl w:val="2"/>
          <w:numId w:val="9"/>
        </w:numPr>
        <w:spacing w:before="0" w:line="360" w:lineRule="auto"/>
        <w:jc w:val="both"/>
        <w:rPr>
          <w:b/>
          <w:bCs/>
          <w:sz w:val="24"/>
          <w:szCs w:val="24"/>
        </w:rPr>
      </w:pPr>
      <w:r w:rsidRPr="00C45905">
        <w:rPr>
          <w:b/>
          <w:bCs/>
          <w:sz w:val="24"/>
          <w:szCs w:val="24"/>
        </w:rPr>
        <w:t>Drug Interactions</w:t>
      </w:r>
    </w:p>
    <w:p w14:paraId="217ECB21" w14:textId="77777777"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 interfere with the</w:t>
      </w:r>
      <w:r w:rsidRPr="00866A7B">
        <w:rPr>
          <w:rFonts w:ascii="Times New Roman" w:hAnsi="Times New Roman" w:cs="Times New Roman"/>
          <w:sz w:val="24"/>
          <w:szCs w:val="24"/>
        </w:rPr>
        <w:t xml:space="preserve"> absorption and effectiveness of various medications, leading to potential therapeutic failures. Aluminum hydroxide and magnesium hydroxide </w:t>
      </w:r>
      <w:r w:rsidR="00866A7B">
        <w:rPr>
          <w:rFonts w:ascii="Times New Roman" w:hAnsi="Times New Roman" w:cs="Times New Roman"/>
          <w:sz w:val="24"/>
          <w:szCs w:val="24"/>
        </w:rPr>
        <w:t xml:space="preserve">can bind </w:t>
      </w:r>
      <w:r w:rsidRPr="00866A7B">
        <w:rPr>
          <w:rFonts w:ascii="Times New Roman" w:hAnsi="Times New Roman" w:cs="Times New Roman"/>
          <w:sz w:val="24"/>
          <w:szCs w:val="24"/>
        </w:rPr>
        <w:t xml:space="preserve">to certain antibiotics, such as </w:t>
      </w:r>
      <w:proofErr w:type="spellStart"/>
      <w:r w:rsidRPr="00866A7B">
        <w:rPr>
          <w:rFonts w:ascii="Times New Roman" w:hAnsi="Times New Roman" w:cs="Times New Roman"/>
          <w:sz w:val="24"/>
          <w:szCs w:val="24"/>
        </w:rPr>
        <w:t>tetracyclines</w:t>
      </w:r>
      <w:proofErr w:type="spellEnd"/>
      <w:r w:rsidRPr="00866A7B">
        <w:rPr>
          <w:rFonts w:ascii="Times New Roman" w:hAnsi="Times New Roman" w:cs="Times New Roman"/>
          <w:sz w:val="24"/>
          <w:szCs w:val="24"/>
        </w:rPr>
        <w:t xml:space="preserve"> and </w:t>
      </w:r>
      <w:proofErr w:type="spellStart"/>
      <w:r w:rsidRPr="00866A7B">
        <w:rPr>
          <w:rFonts w:ascii="Times New Roman" w:hAnsi="Times New Roman" w:cs="Times New Roman"/>
          <w:sz w:val="24"/>
          <w:szCs w:val="24"/>
        </w:rPr>
        <w:t>fluoroquinolones</w:t>
      </w:r>
      <w:proofErr w:type="spellEnd"/>
      <w:r w:rsidRPr="00866A7B">
        <w:rPr>
          <w:rFonts w:ascii="Times New Roman" w:hAnsi="Times New Roman" w:cs="Times New Roman"/>
          <w:sz w:val="24"/>
          <w:szCs w:val="24"/>
        </w:rPr>
        <w:t>, reducing their absorption and effectiveness (</w:t>
      </w:r>
      <w:proofErr w:type="spellStart"/>
      <w:r w:rsidRPr="00866A7B">
        <w:rPr>
          <w:rFonts w:ascii="Times New Roman" w:hAnsi="Times New Roman" w:cs="Times New Roman"/>
          <w:sz w:val="24"/>
          <w:szCs w:val="24"/>
        </w:rPr>
        <w:t>Okon</w:t>
      </w:r>
      <w:proofErr w:type="spellEnd"/>
      <w:r w:rsidRPr="00866A7B">
        <w:rPr>
          <w:rFonts w:ascii="Times New Roman" w:hAnsi="Times New Roman" w:cs="Times New Roman"/>
          <w:sz w:val="24"/>
          <w:szCs w:val="24"/>
        </w:rPr>
        <w:t xml:space="preserve"> &amp; Bello, 2023). Similarly, antacids may alter the bioavailability of medications such as levothyroxine, digoxin, and bisphosphonates, making dosage adjustments necessary (Adebayo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2024).</w:t>
      </w:r>
    </w:p>
    <w:p w14:paraId="1843782C" w14:textId="77777777" w:rsidR="00D659FE" w:rsidRP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Additionally, antacids increase gastric pH, which can affect the dissolution and absorption of pH-dependent drugs, such as ketoconazole and </w:t>
      </w:r>
      <w:proofErr w:type="spellStart"/>
      <w:r w:rsidRPr="00866A7B">
        <w:rPr>
          <w:rFonts w:ascii="Times New Roman" w:hAnsi="Times New Roman" w:cs="Times New Roman"/>
          <w:sz w:val="24"/>
          <w:szCs w:val="24"/>
        </w:rPr>
        <w:t>atazanavir</w:t>
      </w:r>
      <w:proofErr w:type="spellEnd"/>
      <w:r w:rsidRPr="00866A7B">
        <w:rPr>
          <w:rFonts w:ascii="Times New Roman" w:hAnsi="Times New Roman" w:cs="Times New Roman"/>
          <w:sz w:val="24"/>
          <w:szCs w:val="24"/>
        </w:rPr>
        <w:t xml:space="preserve"> (</w:t>
      </w:r>
      <w:proofErr w:type="spellStart"/>
      <w:r w:rsidRPr="00866A7B">
        <w:rPr>
          <w:rFonts w:ascii="Times New Roman" w:hAnsi="Times New Roman" w:cs="Times New Roman"/>
          <w:sz w:val="24"/>
          <w:szCs w:val="24"/>
        </w:rPr>
        <w:t>Eze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Patients taking multiple medications should be advised to space antacid administration by at least two hours from other drugs to minimize in</w:t>
      </w:r>
      <w:r w:rsidRPr="00D659FE">
        <w:rPr>
          <w:rFonts w:ascii="Times New Roman" w:hAnsi="Times New Roman" w:cs="Times New Roman"/>
          <w:sz w:val="24"/>
          <w:szCs w:val="24"/>
        </w:rPr>
        <w:t>teractions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14:paraId="6F65F8E3" w14:textId="77777777" w:rsidR="00D659FE" w:rsidRPr="00C45905" w:rsidRDefault="00D659FE" w:rsidP="00F03613">
      <w:pPr>
        <w:pStyle w:val="ListParagraph"/>
        <w:numPr>
          <w:ilvl w:val="2"/>
          <w:numId w:val="9"/>
        </w:numPr>
        <w:spacing w:before="0" w:line="360" w:lineRule="auto"/>
        <w:jc w:val="both"/>
        <w:rPr>
          <w:b/>
          <w:bCs/>
          <w:sz w:val="24"/>
          <w:szCs w:val="24"/>
        </w:rPr>
      </w:pPr>
      <w:r w:rsidRPr="00C45905">
        <w:rPr>
          <w:b/>
          <w:bCs/>
          <w:sz w:val="24"/>
          <w:szCs w:val="24"/>
        </w:rPr>
        <w:t>Risk of Acid Rebound</w:t>
      </w:r>
    </w:p>
    <w:p w14:paraId="360A128E"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significant concern with prolonged antacid use i</w:t>
      </w:r>
      <w:r w:rsidRPr="00866A7B">
        <w:rPr>
          <w:rFonts w:ascii="Times New Roman" w:hAnsi="Times New Roman" w:cs="Times New Roman"/>
          <w:sz w:val="24"/>
          <w:szCs w:val="24"/>
        </w:rPr>
        <w:t>s acid rebound, where gastric acid secretion increases after the medication is discontinued. This is particularly notable with calcium carbonate-based antacids, which stimulate gastrin release, leading to increased acid production once the antacid wears off (</w:t>
      </w:r>
      <w:proofErr w:type="spellStart"/>
      <w:r w:rsidRPr="00866A7B">
        <w:rPr>
          <w:rFonts w:ascii="Times New Roman" w:hAnsi="Times New Roman" w:cs="Times New Roman"/>
          <w:sz w:val="24"/>
          <w:szCs w:val="24"/>
        </w:rPr>
        <w:t>Ogunleye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Acid rebound can worsen GERD symptoms, making long-term management challenging for patients (Adebayo &amp; Yusuf, 2024).</w:t>
      </w:r>
    </w:p>
    <w:p w14:paraId="3B768F41" w14:textId="77777777" w:rsidR="00D659FE" w:rsidRPr="00D659FE" w:rsidRDefault="00D659FE" w:rsidP="009A5A72">
      <w:pPr>
        <w:numPr>
          <w:ilvl w:val="2"/>
          <w:numId w:val="9"/>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Aluminum Toxicity and Neurological Effects</w:t>
      </w:r>
    </w:p>
    <w:p w14:paraId="4E6276E5" w14:textId="77777777" w:rsidR="00866A7B" w:rsidRPr="00C03B81"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use o</w:t>
      </w:r>
      <w:r w:rsidRPr="00866A7B">
        <w:rPr>
          <w:rFonts w:ascii="Times New Roman" w:hAnsi="Times New Roman" w:cs="Times New Roman"/>
          <w:sz w:val="24"/>
          <w:szCs w:val="24"/>
        </w:rPr>
        <w:t xml:space="preserve">f aluminum-containing antacids has been linked to aluminum accumulation in the body, particularly in patients with chronic kidney disease (CKD). Elevated aluminum levels have been associated with cognitive impairments, </w:t>
      </w:r>
      <w:proofErr w:type="spellStart"/>
      <w:r w:rsidRPr="00866A7B">
        <w:rPr>
          <w:rFonts w:ascii="Times New Roman" w:hAnsi="Times New Roman" w:cs="Times New Roman"/>
          <w:sz w:val="24"/>
          <w:szCs w:val="24"/>
        </w:rPr>
        <w:t>osteomalacia</w:t>
      </w:r>
      <w:proofErr w:type="spellEnd"/>
      <w:r w:rsidRPr="00866A7B">
        <w:rPr>
          <w:rFonts w:ascii="Times New Roman" w:hAnsi="Times New Roman" w:cs="Times New Roman"/>
          <w:sz w:val="24"/>
          <w:szCs w:val="24"/>
        </w:rPr>
        <w:t xml:space="preserve"> (soft bones), and anemia (</w:t>
      </w:r>
      <w:proofErr w:type="spellStart"/>
      <w:r w:rsidRPr="00866A7B">
        <w:rPr>
          <w:rFonts w:ascii="Times New Roman" w:hAnsi="Times New Roman" w:cs="Times New Roman"/>
          <w:sz w:val="24"/>
          <w:szCs w:val="24"/>
        </w:rPr>
        <w:t>Chidiebere</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Okafor</w:t>
      </w:r>
      <w:proofErr w:type="spellEnd"/>
      <w:r w:rsidRPr="00866A7B">
        <w:rPr>
          <w:rFonts w:ascii="Times New Roman" w:hAnsi="Times New Roman" w:cs="Times New Roman"/>
          <w:sz w:val="24"/>
          <w:szCs w:val="24"/>
        </w:rPr>
        <w:t>, 2023). Some studies suggest that chronic exposure to aluminum may contribute to neurodegenerative disorders, including Alzheimer’s disease, though conclusive evide</w:t>
      </w:r>
      <w:r w:rsidRPr="00D659FE">
        <w:rPr>
          <w:rFonts w:ascii="Times New Roman" w:hAnsi="Times New Roman" w:cs="Times New Roman"/>
          <w:sz w:val="24"/>
          <w:szCs w:val="24"/>
        </w:rPr>
        <w:t>nce is still debated (</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32781791" w14:textId="77777777" w:rsidR="00D659FE" w:rsidRPr="00D659FE" w:rsidRDefault="00C03B81" w:rsidP="00F0361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866A7B">
        <w:rPr>
          <w:rFonts w:ascii="Times New Roman" w:hAnsi="Times New Roman" w:cs="Times New Roman"/>
          <w:b/>
          <w:bCs/>
          <w:sz w:val="24"/>
          <w:szCs w:val="24"/>
        </w:rPr>
        <w:tab/>
      </w:r>
      <w:r w:rsidR="00D659FE" w:rsidRPr="00D659FE">
        <w:rPr>
          <w:rFonts w:ascii="Times New Roman" w:hAnsi="Times New Roman" w:cs="Times New Roman"/>
          <w:b/>
          <w:bCs/>
          <w:sz w:val="24"/>
          <w:szCs w:val="24"/>
        </w:rPr>
        <w:t>POSITIVE EFFECTS OF ANTACIDS</w:t>
      </w:r>
    </w:p>
    <w:p w14:paraId="442CF07D"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866A7B">
        <w:rPr>
          <w:rFonts w:ascii="Times New Roman" w:hAnsi="Times New Roman" w:cs="Times New Roman"/>
          <w:sz w:val="24"/>
          <w:szCs w:val="24"/>
        </w:rPr>
        <w:t xml:space="preserve">s are widely used for the management of acid-related gastrointestinal disorders, offering rapid relief from symptoms such as heartburn, indigestion, and </w:t>
      </w:r>
      <w:proofErr w:type="spellStart"/>
      <w:r w:rsidRPr="00866A7B">
        <w:rPr>
          <w:rFonts w:ascii="Times New Roman" w:hAnsi="Times New Roman" w:cs="Times New Roman"/>
          <w:sz w:val="24"/>
          <w:szCs w:val="24"/>
        </w:rPr>
        <w:t>gastroesophageal</w:t>
      </w:r>
      <w:proofErr w:type="spellEnd"/>
      <w:r w:rsidRPr="00866A7B">
        <w:rPr>
          <w:rFonts w:ascii="Times New Roman" w:hAnsi="Times New Roman" w:cs="Times New Roman"/>
          <w:sz w:val="24"/>
          <w:szCs w:val="24"/>
        </w:rPr>
        <w:t xml:space="preserve"> reflux disease (GERD). Their mechanism of action involves neutralizing excess stomach acid, which helps protect the esophageal and gastric lining from irritation and damage (Okonkwo &amp; </w:t>
      </w:r>
      <w:proofErr w:type="spellStart"/>
      <w:r w:rsidRPr="00866A7B">
        <w:rPr>
          <w:rFonts w:ascii="Times New Roman" w:hAnsi="Times New Roman" w:cs="Times New Roman"/>
          <w:sz w:val="24"/>
          <w:szCs w:val="24"/>
        </w:rPr>
        <w:t>Adeyemi</w:t>
      </w:r>
      <w:proofErr w:type="spellEnd"/>
      <w:r w:rsidRPr="00866A7B">
        <w:rPr>
          <w:rFonts w:ascii="Times New Roman" w:hAnsi="Times New Roman" w:cs="Times New Roman"/>
          <w:sz w:val="24"/>
          <w:szCs w:val="24"/>
        </w:rPr>
        <w:t>, 2021). Apart from their primary role in acid neutralization, antacids also have several additional health benefits that contribute to improved gastrointestinal functio</w:t>
      </w:r>
      <w:r w:rsidRPr="00D659FE">
        <w:rPr>
          <w:rFonts w:ascii="Times New Roman" w:hAnsi="Times New Roman" w:cs="Times New Roman"/>
          <w:sz w:val="24"/>
          <w:szCs w:val="24"/>
        </w:rPr>
        <w:t>n and overall well-being.</w:t>
      </w:r>
    </w:p>
    <w:p w14:paraId="0B12CAF3"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Rapid Relief of Heartburn and Acid Reflux</w:t>
      </w:r>
    </w:p>
    <w:p w14:paraId="6B007017"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mo</w:t>
      </w:r>
      <w:r w:rsidRPr="00866A7B">
        <w:rPr>
          <w:rFonts w:ascii="Times New Roman" w:hAnsi="Times New Roman" w:cs="Times New Roman"/>
          <w:sz w:val="24"/>
          <w:szCs w:val="24"/>
        </w:rPr>
        <w:t xml:space="preserve">st significant benefits of antacids is their ability to quickly relieve heartburn and acid reflux symptoms by neutralizing gastric acid. Unlike proton pump inhibitors (PPIs) and H2-receptor antagonists, which take longer to act, antacids work within minutes, making them a preferred choice for individuals needing immediate relief (Williams &amp; </w:t>
      </w:r>
      <w:proofErr w:type="spellStart"/>
      <w:r w:rsidRPr="00866A7B">
        <w:rPr>
          <w:rFonts w:ascii="Times New Roman" w:hAnsi="Times New Roman" w:cs="Times New Roman"/>
          <w:sz w:val="24"/>
          <w:szCs w:val="24"/>
        </w:rPr>
        <w:t>Chukwudi</w:t>
      </w:r>
      <w:proofErr w:type="spellEnd"/>
      <w:r w:rsidRPr="00866A7B">
        <w:rPr>
          <w:rFonts w:ascii="Times New Roman" w:hAnsi="Times New Roman" w:cs="Times New Roman"/>
          <w:sz w:val="24"/>
          <w:szCs w:val="24"/>
        </w:rPr>
        <w:t xml:space="preserve">, 2022). This fast action is particularly beneficial for patients experiencing occasional acid reflux or those who consume acidic or spicy foods that </w:t>
      </w:r>
      <w:r w:rsidRPr="00D659FE">
        <w:rPr>
          <w:rFonts w:ascii="Times New Roman" w:hAnsi="Times New Roman" w:cs="Times New Roman"/>
          <w:sz w:val="24"/>
          <w:szCs w:val="24"/>
        </w:rPr>
        <w:t>trigger heartburn.</w:t>
      </w:r>
    </w:p>
    <w:p w14:paraId="0AD91BD1"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Prevention of Peptic Ulcer Complications</w:t>
      </w:r>
    </w:p>
    <w:p w14:paraId="460CE556" w14:textId="77777777"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Peptic ulcers r</w:t>
      </w:r>
      <w:r w:rsidRPr="00866A7B">
        <w:rPr>
          <w:rFonts w:ascii="Times New Roman" w:hAnsi="Times New Roman" w:cs="Times New Roman"/>
          <w:sz w:val="24"/>
          <w:szCs w:val="24"/>
        </w:rPr>
        <w:t>esult from excess gastric acid secretion, often exacerbated by Helicobacter pylori infection or prolonged nonsteroidal anti-inflammatory drug (NSAID) use. Antacids buffer the stomach environment, reducing acidic irritation and promoting ulcer healing. Some formulations, such as magnesium-aluminum combinations, form a protective coating over ulcerated areas, shielding them from further damage (</w:t>
      </w:r>
      <w:proofErr w:type="spellStart"/>
      <w:r w:rsidRPr="00866A7B">
        <w:rPr>
          <w:rFonts w:ascii="Times New Roman" w:hAnsi="Times New Roman" w:cs="Times New Roman"/>
          <w:sz w:val="24"/>
          <w:szCs w:val="24"/>
        </w:rPr>
        <w:t>Ogunleye</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14:paraId="77C6E7DC" w14:textId="77777777" w:rsid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Additionally, studies suggest that aluminum hydroxide-containing antacids can bind to bile acids, reducing their harmful effects on gastric mucosa, thus preventing ulcer aggravation (Adebayo &amp; Yusuf, 2024).</w:t>
      </w:r>
    </w:p>
    <w:p w14:paraId="24B9D809" w14:textId="77777777" w:rsidR="00F03613" w:rsidRPr="00866A7B" w:rsidRDefault="00F03613" w:rsidP="009A5A72">
      <w:pPr>
        <w:spacing w:after="0" w:line="360" w:lineRule="auto"/>
        <w:jc w:val="both"/>
        <w:rPr>
          <w:rFonts w:ascii="Times New Roman" w:hAnsi="Times New Roman" w:cs="Times New Roman"/>
          <w:sz w:val="24"/>
          <w:szCs w:val="24"/>
        </w:rPr>
      </w:pPr>
    </w:p>
    <w:p w14:paraId="08A1A784"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Enhancing Esophageal and Stomach Mucosal Protection</w:t>
      </w:r>
    </w:p>
    <w:p w14:paraId="3CA4290D" w14:textId="77777777"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Certain antacid</w:t>
      </w:r>
      <w:r w:rsidRPr="00866A7B">
        <w:rPr>
          <w:rFonts w:ascii="Times New Roman" w:hAnsi="Times New Roman" w:cs="Times New Roman"/>
          <w:sz w:val="24"/>
          <w:szCs w:val="24"/>
        </w:rPr>
        <w:t xml:space="preserve">s, such as </w:t>
      </w:r>
      <w:proofErr w:type="spellStart"/>
      <w:r w:rsidRPr="00866A7B">
        <w:rPr>
          <w:rFonts w:ascii="Times New Roman" w:hAnsi="Times New Roman" w:cs="Times New Roman"/>
          <w:sz w:val="24"/>
          <w:szCs w:val="24"/>
        </w:rPr>
        <w:t>alginic</w:t>
      </w:r>
      <w:proofErr w:type="spellEnd"/>
      <w:r w:rsidRPr="00866A7B">
        <w:rPr>
          <w:rFonts w:ascii="Times New Roman" w:hAnsi="Times New Roman" w:cs="Times New Roman"/>
          <w:sz w:val="24"/>
          <w:szCs w:val="24"/>
        </w:rPr>
        <w:t xml:space="preserve"> acid formulations, provide physical protection in addition to acid neutralization. When combined with sodium bicarbonate, </w:t>
      </w:r>
      <w:proofErr w:type="spellStart"/>
      <w:r w:rsidRPr="00866A7B">
        <w:rPr>
          <w:rFonts w:ascii="Times New Roman" w:hAnsi="Times New Roman" w:cs="Times New Roman"/>
          <w:sz w:val="24"/>
          <w:szCs w:val="24"/>
        </w:rPr>
        <w:t>alginic</w:t>
      </w:r>
      <w:proofErr w:type="spellEnd"/>
      <w:r w:rsidRPr="00866A7B">
        <w:rPr>
          <w:rFonts w:ascii="Times New Roman" w:hAnsi="Times New Roman" w:cs="Times New Roman"/>
          <w:sz w:val="24"/>
          <w:szCs w:val="24"/>
        </w:rPr>
        <w:t xml:space="preserve"> acid forms a viscous gel-like barrier that floats on top of stomach contents, preventing acid from refluxing into the esophagus (</w:t>
      </w:r>
      <w:proofErr w:type="spellStart"/>
      <w:r w:rsidRPr="00866A7B">
        <w:rPr>
          <w:rFonts w:ascii="Times New Roman" w:hAnsi="Times New Roman" w:cs="Times New Roman"/>
          <w:sz w:val="24"/>
          <w:szCs w:val="24"/>
        </w:rPr>
        <w:t>Chidiebere</w:t>
      </w:r>
      <w:proofErr w:type="spellEnd"/>
      <w:r w:rsidRPr="00866A7B">
        <w:rPr>
          <w:rFonts w:ascii="Times New Roman" w:hAnsi="Times New Roman" w:cs="Times New Roman"/>
          <w:sz w:val="24"/>
          <w:szCs w:val="24"/>
        </w:rPr>
        <w:t xml:space="preserve"> &amp; </w:t>
      </w:r>
      <w:proofErr w:type="spellStart"/>
      <w:r w:rsidRPr="00866A7B">
        <w:rPr>
          <w:rFonts w:ascii="Times New Roman" w:hAnsi="Times New Roman" w:cs="Times New Roman"/>
          <w:sz w:val="24"/>
          <w:szCs w:val="24"/>
        </w:rPr>
        <w:t>Okafor</w:t>
      </w:r>
      <w:proofErr w:type="spellEnd"/>
      <w:r w:rsidRPr="00866A7B">
        <w:rPr>
          <w:rFonts w:ascii="Times New Roman" w:hAnsi="Times New Roman" w:cs="Times New Roman"/>
          <w:sz w:val="24"/>
          <w:szCs w:val="24"/>
        </w:rPr>
        <w:t>, 2023). This effect is particularly useful for patients with GERD and laryngopharyngeal reflux (LPR).</w:t>
      </w:r>
    </w:p>
    <w:p w14:paraId="00C7B71C" w14:textId="77777777" w:rsidR="00D659FE" w:rsidRPr="00D659FE"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Moreover, antacids containing calcium carbonate stimulate mucosal protective factors, including the secretion of prostaglandins and bicarbonate, which further reinforce the stomach lining </w:t>
      </w:r>
      <w:r w:rsidRPr="00D659FE">
        <w:rPr>
          <w:rFonts w:ascii="Times New Roman" w:hAnsi="Times New Roman" w:cs="Times New Roman"/>
          <w:sz w:val="24"/>
          <w:szCs w:val="24"/>
        </w:rPr>
        <w:t>(</w:t>
      </w: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08C8696B"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Support for Bone Health (Calcium-Based Antacids)</w:t>
      </w:r>
    </w:p>
    <w:p w14:paraId="0B80E2DA" w14:textId="77777777"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conta</w:t>
      </w:r>
      <w:r w:rsidRPr="00866A7B">
        <w:rPr>
          <w:rFonts w:ascii="Times New Roman" w:hAnsi="Times New Roman" w:cs="Times New Roman"/>
          <w:sz w:val="24"/>
          <w:szCs w:val="24"/>
        </w:rPr>
        <w:t xml:space="preserve">ining calcium carbonate serve as a supplemental source of calcium, which is essential for bone health and the prevention of osteoporosis. Studies indicate that calcium supplementation through diet or antacids can help reduce the risk of fractures in postmenopausal women and elderly individuals (Emmanuel &amp; </w:t>
      </w:r>
      <w:proofErr w:type="spellStart"/>
      <w:r w:rsidRPr="00866A7B">
        <w:rPr>
          <w:rFonts w:ascii="Times New Roman" w:hAnsi="Times New Roman" w:cs="Times New Roman"/>
          <w:sz w:val="24"/>
          <w:szCs w:val="24"/>
        </w:rPr>
        <w:t>Okechukwu</w:t>
      </w:r>
      <w:proofErr w:type="spellEnd"/>
      <w:r w:rsidRPr="00866A7B">
        <w:rPr>
          <w:rFonts w:ascii="Times New Roman" w:hAnsi="Times New Roman" w:cs="Times New Roman"/>
          <w:sz w:val="24"/>
          <w:szCs w:val="24"/>
        </w:rPr>
        <w:t>, 2021).</w:t>
      </w:r>
    </w:p>
    <w:p w14:paraId="6A8B6DEB" w14:textId="77777777"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However, excessive consumption should be monitored to avoid hypercalcemia and kidney stone formation.</w:t>
      </w:r>
    </w:p>
    <w:p w14:paraId="0204B2B8"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Reducing Phosphate Levels in Chronic Kidney Disease (CKD)</w:t>
      </w:r>
    </w:p>
    <w:p w14:paraId="0948ECA7" w14:textId="77777777" w:rsidR="00D659FE" w:rsidRPr="00866A7B"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For individual</w:t>
      </w:r>
      <w:r w:rsidRPr="00866A7B">
        <w:rPr>
          <w:rFonts w:ascii="Times New Roman" w:hAnsi="Times New Roman" w:cs="Times New Roman"/>
          <w:sz w:val="24"/>
          <w:szCs w:val="24"/>
        </w:rPr>
        <w:t>s with chronic kidney disease (CKD), controlling serum phosphate levels is crucial to prevent complications such as vascular calcification and secondary hyperparathyroidism. Aluminum hydroxide and calcium carbonate-based antacids are frequently used as phosphate binders, reducing phosphate absorption in the intestines (</w:t>
      </w:r>
      <w:proofErr w:type="spellStart"/>
      <w:r w:rsidRPr="00866A7B">
        <w:rPr>
          <w:rFonts w:ascii="Times New Roman" w:hAnsi="Times New Roman" w:cs="Times New Roman"/>
          <w:sz w:val="24"/>
          <w:szCs w:val="24"/>
        </w:rPr>
        <w:t>Akinyemi</w:t>
      </w:r>
      <w:proofErr w:type="spellEnd"/>
      <w:r w:rsidRPr="00866A7B">
        <w:rPr>
          <w:rFonts w:ascii="Times New Roman" w:hAnsi="Times New Roman" w:cs="Times New Roman"/>
          <w:sz w:val="24"/>
          <w:szCs w:val="24"/>
        </w:rPr>
        <w:t xml:space="preserv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14:paraId="4DAB71CD" w14:textId="77777777" w:rsidR="00D659FE" w:rsidRPr="00866A7B" w:rsidRDefault="00D659FE" w:rsidP="009A5A72">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By lowering serum phosphate, these antacids help protect kidney function and bone metabolism, making them beneficial for patients undergoing dialysis or managing advanced CKD (</w:t>
      </w:r>
      <w:proofErr w:type="spellStart"/>
      <w:r w:rsidRPr="00866A7B">
        <w:rPr>
          <w:rFonts w:ascii="Times New Roman" w:hAnsi="Times New Roman" w:cs="Times New Roman"/>
          <w:sz w:val="24"/>
          <w:szCs w:val="24"/>
        </w:rPr>
        <w:t>Ogundipe</w:t>
      </w:r>
      <w:proofErr w:type="spellEnd"/>
      <w:r w:rsidRPr="00866A7B">
        <w:rPr>
          <w:rFonts w:ascii="Times New Roman" w:hAnsi="Times New Roman" w:cs="Times New Roman"/>
          <w:sz w:val="24"/>
          <w:szCs w:val="24"/>
        </w:rPr>
        <w:t xml:space="preserve"> &amp; Williams, 2022).</w:t>
      </w:r>
    </w:p>
    <w:p w14:paraId="4539999C" w14:textId="77777777" w:rsidR="00F03613" w:rsidRDefault="00F03613" w:rsidP="009A5A72">
      <w:pPr>
        <w:spacing w:after="0" w:line="360" w:lineRule="auto"/>
        <w:rPr>
          <w:rFonts w:ascii="Times New Roman" w:hAnsi="Times New Roman" w:cs="Times New Roman"/>
          <w:b/>
          <w:bCs/>
          <w:sz w:val="24"/>
          <w:szCs w:val="24"/>
        </w:rPr>
      </w:pPr>
    </w:p>
    <w:p w14:paraId="4DC6BF8D" w14:textId="77777777" w:rsidR="00F03613" w:rsidRDefault="00F03613" w:rsidP="009A5A72">
      <w:pPr>
        <w:spacing w:after="0" w:line="360" w:lineRule="auto"/>
        <w:rPr>
          <w:rFonts w:ascii="Times New Roman" w:hAnsi="Times New Roman" w:cs="Times New Roman"/>
          <w:b/>
          <w:bCs/>
          <w:sz w:val="24"/>
          <w:szCs w:val="24"/>
        </w:rPr>
      </w:pPr>
    </w:p>
    <w:p w14:paraId="5CAF61CF" w14:textId="77777777" w:rsidR="00D659FE" w:rsidRPr="00866A7B"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866A7B">
        <w:rPr>
          <w:rFonts w:ascii="Times New Roman" w:hAnsi="Times New Roman" w:cs="Times New Roman"/>
          <w:b/>
          <w:bCs/>
          <w:sz w:val="24"/>
          <w:szCs w:val="24"/>
        </w:rPr>
        <w:tab/>
      </w:r>
      <w:r w:rsidR="00D659FE" w:rsidRPr="00866A7B">
        <w:rPr>
          <w:rFonts w:ascii="Times New Roman" w:hAnsi="Times New Roman" w:cs="Times New Roman"/>
          <w:b/>
          <w:bCs/>
          <w:sz w:val="24"/>
          <w:szCs w:val="24"/>
        </w:rPr>
        <w:t>NEGATIVE EFFECTS OF ANTACIDS</w:t>
      </w:r>
    </w:p>
    <w:p w14:paraId="4F481704"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While </w:t>
      </w:r>
      <w:r w:rsidRPr="00866A7B">
        <w:rPr>
          <w:rFonts w:ascii="Times New Roman" w:hAnsi="Times New Roman" w:cs="Times New Roman"/>
          <w:sz w:val="24"/>
          <w:szCs w:val="24"/>
        </w:rPr>
        <w:t>antacids provide rapid relief from acid-related disorders, their prolonged or excessive use can result in adverse health effects. These negative effects range from electrolyte imbalances and metabolic disorders to gastrointestinal disturbances and drug interactions. The long-term implications of antacid misuse highlight the importance of appropriate dosing and medical supervision (Okonkwo</w:t>
      </w:r>
      <w:r w:rsidRPr="00D659FE">
        <w:rPr>
          <w:rFonts w:ascii="Times New Roman" w:hAnsi="Times New Roman" w:cs="Times New Roman"/>
          <w:sz w:val="24"/>
          <w:szCs w:val="24"/>
        </w:rPr>
        <w:t xml:space="preserve">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2021).</w:t>
      </w:r>
    </w:p>
    <w:p w14:paraId="1BA7E5F9"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Imbalances and Metabolic Disorders</w:t>
      </w:r>
    </w:p>
    <w:p w14:paraId="132E3C0E"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use of </w:t>
      </w:r>
      <w:r w:rsidRPr="008E21D3">
        <w:rPr>
          <w:rFonts w:ascii="Times New Roman" w:hAnsi="Times New Roman" w:cs="Times New Roman"/>
          <w:sz w:val="24"/>
          <w:szCs w:val="24"/>
        </w:rPr>
        <w:t xml:space="preserve">calcium-based antacids, such as calcium carbonate, has been associated with hypercalcemia (excess calcium in the blood). This condition can lead to kidney stone formation, muscle weakness, and cardiac abnormalities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2022). Additionally, excessive consumption of bicarbonate-containing antacids may cause metabolic alkalosis, a condition characterized by symptoms such as nausea, muscle spasms, and confusion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6FC29A35" w14:textId="77777777"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Similarly, magnesium-based antacids can cause </w:t>
      </w:r>
      <w:proofErr w:type="spellStart"/>
      <w:r w:rsidRPr="008E21D3">
        <w:rPr>
          <w:rFonts w:ascii="Times New Roman" w:hAnsi="Times New Roman" w:cs="Times New Roman"/>
          <w:sz w:val="24"/>
          <w:szCs w:val="24"/>
        </w:rPr>
        <w:t>hypermagnesemia</w:t>
      </w:r>
      <w:proofErr w:type="spellEnd"/>
      <w:r w:rsidRPr="008E21D3">
        <w:rPr>
          <w:rFonts w:ascii="Times New Roman" w:hAnsi="Times New Roman" w:cs="Times New Roman"/>
          <w:sz w:val="24"/>
          <w:szCs w:val="24"/>
        </w:rPr>
        <w:t xml:space="preserve">, particularly in patients with kidney disease. Elevated magnesium levels can result in hypotension, drowsiness, and respiratory distress (Adebayo &amp; Yusuf, 2024). In contrast, aluminum- based antacids have been linked to hypophosphatemia, which can weaken bones and lead to </w:t>
      </w:r>
      <w:proofErr w:type="spellStart"/>
      <w:r w:rsidRPr="008E21D3">
        <w:rPr>
          <w:rFonts w:ascii="Times New Roman" w:hAnsi="Times New Roman" w:cs="Times New Roman"/>
          <w:sz w:val="24"/>
          <w:szCs w:val="24"/>
        </w:rPr>
        <w:t>osteomalacia</w:t>
      </w:r>
      <w:proofErr w:type="spellEnd"/>
      <w:r w:rsidRPr="008E21D3">
        <w:rPr>
          <w:rFonts w:ascii="Times New Roman" w:hAnsi="Times New Roman" w:cs="Times New Roman"/>
          <w:sz w:val="24"/>
          <w:szCs w:val="24"/>
        </w:rPr>
        <w:t xml:space="preserve"> (</w:t>
      </w:r>
      <w:proofErr w:type="spellStart"/>
      <w:r w:rsidRPr="008E21D3">
        <w:rPr>
          <w:rFonts w:ascii="Times New Roman" w:hAnsi="Times New Roman" w:cs="Times New Roman"/>
          <w:sz w:val="24"/>
          <w:szCs w:val="24"/>
        </w:rPr>
        <w:t>Chidiebere</w:t>
      </w:r>
      <w:proofErr w:type="spellEnd"/>
      <w:r w:rsidRPr="008E21D3">
        <w:rPr>
          <w:rFonts w:ascii="Times New Roman" w:hAnsi="Times New Roman" w:cs="Times New Roman"/>
          <w:sz w:val="24"/>
          <w:szCs w:val="24"/>
        </w:rPr>
        <w:t xml:space="preserve"> </w:t>
      </w:r>
      <w:r w:rsidRPr="00D659FE">
        <w:rPr>
          <w:rFonts w:ascii="Times New Roman" w:hAnsi="Times New Roman" w:cs="Times New Roman"/>
          <w:sz w:val="24"/>
          <w:szCs w:val="24"/>
        </w:rPr>
        <w:t xml:space="preserve">&amp;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2023).</w:t>
      </w:r>
    </w:p>
    <w:p w14:paraId="17A2DB24"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14:paraId="5DBDBF88"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w:t>
      </w:r>
      <w:r w:rsidRPr="008E21D3">
        <w:rPr>
          <w:rFonts w:ascii="Times New Roman" w:hAnsi="Times New Roman" w:cs="Times New Roman"/>
          <w:sz w:val="24"/>
          <w:szCs w:val="24"/>
        </w:rPr>
        <w:t>nt antacid formulations can have varying effects on gastrointestinal motility. For instance, magnesium-containing antacids are known to have a laxative effect, leading to diarrhea. On the other hand, aluminum hydroxide-based antacids tend to cause constipation due to their ability to slow down intestinal motility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14:paraId="53699ADF" w14:textId="77777777"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Long-term use of aluminum-containing antacids has also been associated with bloating, nausea, and gastric discomfort. These effects can be particularly distressing for individuals with irritable bowel syndrome (IBS) or other functional gastrointestinal disorders (Emmanuel &amp; </w:t>
      </w:r>
      <w:proofErr w:type="spellStart"/>
      <w:r w:rsidRPr="008E21D3">
        <w:rPr>
          <w:rFonts w:ascii="Times New Roman" w:hAnsi="Times New Roman" w:cs="Times New Roman"/>
          <w:sz w:val="24"/>
          <w:szCs w:val="24"/>
        </w:rPr>
        <w:t>Okechukwu</w:t>
      </w:r>
      <w:proofErr w:type="spellEnd"/>
      <w:r w:rsidRPr="008E21D3">
        <w:rPr>
          <w:rFonts w:ascii="Times New Roman" w:hAnsi="Times New Roman" w:cs="Times New Roman"/>
          <w:sz w:val="24"/>
          <w:szCs w:val="24"/>
        </w:rPr>
        <w:t>, 2021).</w:t>
      </w:r>
    </w:p>
    <w:p w14:paraId="15674E62"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Drug Interactions</w:t>
      </w:r>
    </w:p>
    <w:p w14:paraId="3736B242"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w:t>
      </w:r>
      <w:r w:rsidRPr="008E21D3">
        <w:rPr>
          <w:rFonts w:ascii="Times New Roman" w:hAnsi="Times New Roman" w:cs="Times New Roman"/>
          <w:sz w:val="24"/>
          <w:szCs w:val="24"/>
        </w:rPr>
        <w:t xml:space="preserve"> interfere with the absorption and bioavailability of several medications, potentially reducing their effectiveness. Aluminum hydroxide and magnesium hydroxide can bind to antibiotics like </w:t>
      </w:r>
      <w:proofErr w:type="spellStart"/>
      <w:r w:rsidRPr="008E21D3">
        <w:rPr>
          <w:rFonts w:ascii="Times New Roman" w:hAnsi="Times New Roman" w:cs="Times New Roman"/>
          <w:sz w:val="24"/>
          <w:szCs w:val="24"/>
        </w:rPr>
        <w:t>tetracyclines</w:t>
      </w:r>
      <w:proofErr w:type="spellEnd"/>
      <w:r w:rsidRPr="008E21D3">
        <w:rPr>
          <w:rFonts w:ascii="Times New Roman" w:hAnsi="Times New Roman" w:cs="Times New Roman"/>
          <w:sz w:val="24"/>
          <w:szCs w:val="24"/>
        </w:rPr>
        <w:t xml:space="preserve"> and </w:t>
      </w:r>
      <w:proofErr w:type="spellStart"/>
      <w:r w:rsidRPr="008E21D3">
        <w:rPr>
          <w:rFonts w:ascii="Times New Roman" w:hAnsi="Times New Roman" w:cs="Times New Roman"/>
          <w:sz w:val="24"/>
          <w:szCs w:val="24"/>
        </w:rPr>
        <w:t>fluoroquinolones</w:t>
      </w:r>
      <w:proofErr w:type="spellEnd"/>
      <w:r w:rsidRPr="008E21D3">
        <w:rPr>
          <w:rFonts w:ascii="Times New Roman" w:hAnsi="Times New Roman" w:cs="Times New Roman"/>
          <w:sz w:val="24"/>
          <w:szCs w:val="24"/>
        </w:rPr>
        <w:t>, preventing their proper absorption (</w:t>
      </w:r>
      <w:proofErr w:type="spellStart"/>
      <w:r w:rsidRPr="008E21D3">
        <w:rPr>
          <w:rFonts w:ascii="Times New Roman" w:hAnsi="Times New Roman" w:cs="Times New Roman"/>
          <w:sz w:val="24"/>
          <w:szCs w:val="24"/>
        </w:rPr>
        <w:t>Akinyemi</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This interaction can lead to treatment failure in bacterial infections.</w:t>
      </w:r>
    </w:p>
    <w:p w14:paraId="486171B5" w14:textId="77777777"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Additionally, antacids may impair the absorption of iron, calcium, and vitamin B12, leading to nutritional deficiencies over time. Individuals on levothyroxine, digoxin, or bisphosphonates should avoid taking antacids simultaneously, as they can significantly reduce the efficacy of </w:t>
      </w:r>
      <w:r w:rsidRPr="00D659FE">
        <w:rPr>
          <w:rFonts w:ascii="Times New Roman" w:hAnsi="Times New Roman" w:cs="Times New Roman"/>
          <w:sz w:val="24"/>
          <w:szCs w:val="24"/>
        </w:rPr>
        <w:t>these medications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14:paraId="5D53FD86"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 xml:space="preserve">Rebound Acid </w:t>
      </w:r>
      <w:proofErr w:type="spellStart"/>
      <w:r w:rsidR="00D659FE" w:rsidRPr="00C45905">
        <w:rPr>
          <w:rFonts w:ascii="Times New Roman" w:hAnsi="Times New Roman" w:cs="Times New Roman"/>
          <w:b/>
          <w:bCs/>
          <w:sz w:val="24"/>
          <w:szCs w:val="24"/>
        </w:rPr>
        <w:t>Hypersecretion</w:t>
      </w:r>
      <w:proofErr w:type="spellEnd"/>
    </w:p>
    <w:p w14:paraId="7A31F689"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 o</w:t>
      </w:r>
      <w:r w:rsidRPr="008E21D3">
        <w:rPr>
          <w:rFonts w:ascii="Times New Roman" w:hAnsi="Times New Roman" w:cs="Times New Roman"/>
          <w:sz w:val="24"/>
          <w:szCs w:val="24"/>
        </w:rPr>
        <w:t>f calcium carbonate-based antacids can lead to acid rebound, where gastric acid production increases after the medication wears off. This is due to the stimulation of gastrin release, which causes the stomach to compensate by producing more acid (</w:t>
      </w:r>
      <w:proofErr w:type="spellStart"/>
      <w:r w:rsidRPr="008E21D3">
        <w:rPr>
          <w:rFonts w:ascii="Times New Roman" w:hAnsi="Times New Roman" w:cs="Times New Roman"/>
          <w:sz w:val="24"/>
          <w:szCs w:val="24"/>
        </w:rPr>
        <w:t>Okon</w:t>
      </w:r>
      <w:proofErr w:type="spellEnd"/>
      <w:r w:rsidRPr="008E21D3">
        <w:rPr>
          <w:rFonts w:ascii="Times New Roman" w:hAnsi="Times New Roman" w:cs="Times New Roman"/>
          <w:sz w:val="24"/>
          <w:szCs w:val="24"/>
        </w:rPr>
        <w:t xml:space="preserve"> &amp; Bello, 2023). As a result, individuals may experience worsening acid reflux symptoms when they discontinue antacid use, creating a cycle of dependency (Adebayo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2024).</w:t>
      </w:r>
    </w:p>
    <w:p w14:paraId="69CBE572"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Aluminum Toxicity and Neurological Concerns</w:t>
      </w:r>
    </w:p>
    <w:p w14:paraId="4E2E3409"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w:t>
      </w:r>
      <w:r w:rsidRPr="008E21D3">
        <w:rPr>
          <w:rFonts w:ascii="Times New Roman" w:hAnsi="Times New Roman" w:cs="Times New Roman"/>
          <w:sz w:val="24"/>
          <w:szCs w:val="24"/>
        </w:rPr>
        <w:t>e of aluminum-containing antacids poses a risk of aluminum toxicity, particularly in individuals with chronic kidney disease (CKD). Because the kidneys play a crucial role in eliminating excess aluminum, patients with impaired renal fu</w:t>
      </w:r>
      <w:r w:rsidR="008E21D3">
        <w:rPr>
          <w:rFonts w:ascii="Times New Roman" w:hAnsi="Times New Roman" w:cs="Times New Roman"/>
          <w:sz w:val="24"/>
          <w:szCs w:val="24"/>
        </w:rPr>
        <w:t xml:space="preserve">nction may </w:t>
      </w:r>
      <w:r w:rsidRPr="008E21D3">
        <w:rPr>
          <w:rFonts w:ascii="Times New Roman" w:hAnsi="Times New Roman" w:cs="Times New Roman"/>
          <w:sz w:val="24"/>
          <w:szCs w:val="24"/>
        </w:rPr>
        <w:t>experience aluminum accumulation in the bloodstream, leading to cognitive impairments, muscle weakness, and bone disorders (</w:t>
      </w:r>
      <w:proofErr w:type="spellStart"/>
      <w:r w:rsidRPr="008E21D3">
        <w:rPr>
          <w:rFonts w:ascii="Times New Roman" w:hAnsi="Times New Roman" w:cs="Times New Roman"/>
          <w:sz w:val="24"/>
          <w:szCs w:val="24"/>
        </w:rPr>
        <w:t>Eze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5D8F0D24" w14:textId="77777777"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Some studies have suggested a possible link between chronic aluminum exposure and neurodegenerative conditions, such as Alzheimer’s disease, although the evidence remains inconclusive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Nonetheless, individuals at risk should limit prolonged use of aluminum-based antacids t</w:t>
      </w:r>
      <w:r w:rsidRPr="00D659FE">
        <w:rPr>
          <w:rFonts w:ascii="Times New Roman" w:hAnsi="Times New Roman" w:cs="Times New Roman"/>
          <w:sz w:val="24"/>
          <w:szCs w:val="24"/>
        </w:rPr>
        <w:t>o prevent potential complications.</w:t>
      </w:r>
    </w:p>
    <w:p w14:paraId="53F8100B" w14:textId="77777777" w:rsidR="00F03613" w:rsidRDefault="00F03613" w:rsidP="009A5A72">
      <w:pPr>
        <w:spacing w:after="0" w:line="360" w:lineRule="auto"/>
        <w:rPr>
          <w:rFonts w:ascii="Times New Roman" w:hAnsi="Times New Roman" w:cs="Times New Roman"/>
          <w:b/>
          <w:bCs/>
          <w:sz w:val="24"/>
          <w:szCs w:val="24"/>
        </w:rPr>
      </w:pPr>
    </w:p>
    <w:p w14:paraId="6E8C5A66" w14:textId="77777777" w:rsidR="00F03613" w:rsidRDefault="00F03613" w:rsidP="009A5A72">
      <w:pPr>
        <w:spacing w:after="0" w:line="360" w:lineRule="auto"/>
        <w:rPr>
          <w:rFonts w:ascii="Times New Roman" w:hAnsi="Times New Roman" w:cs="Times New Roman"/>
          <w:b/>
          <w:bCs/>
          <w:sz w:val="24"/>
          <w:szCs w:val="24"/>
        </w:rPr>
      </w:pPr>
    </w:p>
    <w:p w14:paraId="1974E42F" w14:textId="77777777" w:rsidR="00D659FE" w:rsidRPr="008E21D3"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2.7</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RELIEF OF ACID REFLUX AND HEARTBURN</w:t>
      </w:r>
    </w:p>
    <w:p w14:paraId="34628C8F"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re</w:t>
      </w:r>
      <w:r w:rsidRPr="008E21D3">
        <w:rPr>
          <w:rFonts w:ascii="Times New Roman" w:hAnsi="Times New Roman" w:cs="Times New Roman"/>
          <w:sz w:val="24"/>
          <w:szCs w:val="24"/>
        </w:rPr>
        <w:t xml:space="preserve">flux and heartburn are common gastrointestinal disorders caused by the backflow of stomach acid into the esophagus, leading to irritation and discomfort. Antacids are widely used for rapid symptomatic relief by neutralizing excess gastric acid and reducing esophageal irritation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2022). These over-the-counter (OTC) medications provide short-term relief, making them a first-line treatment for mild to moderate acid-related conditions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43B7073E"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Mechanism of Antacids in Acid Reflux Relief</w:t>
      </w:r>
    </w:p>
    <w:p w14:paraId="5F9D9F54"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work</w:t>
      </w:r>
      <w:r w:rsidRPr="008E21D3">
        <w:rPr>
          <w:rFonts w:ascii="Times New Roman" w:hAnsi="Times New Roman" w:cs="Times New Roman"/>
          <w:sz w:val="24"/>
          <w:szCs w:val="24"/>
        </w:rPr>
        <w:t xml:space="preserve"> by chemically neutralizing gastric acid, raising the pH of the stomach contents and reducing acidity. This action helps to relieve the burning sensation in the chest and throat that characterizes heartburn. Common ingredients in antacids, such as calcium carbonate, magnesium hydroxide, and aluminum hydroxide, react with hydrochloric acid (</w:t>
      </w:r>
      <w:proofErr w:type="spellStart"/>
      <w:r w:rsidRPr="008E21D3">
        <w:rPr>
          <w:rFonts w:ascii="Times New Roman" w:hAnsi="Times New Roman" w:cs="Times New Roman"/>
          <w:sz w:val="24"/>
          <w:szCs w:val="24"/>
        </w:rPr>
        <w:t>HCl</w:t>
      </w:r>
      <w:proofErr w:type="spellEnd"/>
      <w:r w:rsidRPr="008E21D3">
        <w:rPr>
          <w:rFonts w:ascii="Times New Roman" w:hAnsi="Times New Roman" w:cs="Times New Roman"/>
          <w:sz w:val="24"/>
          <w:szCs w:val="24"/>
        </w:rPr>
        <w:t>) in the stomach to form water and neutral salts, thereby reducing acidity (Adebayo &amp; Yusuf, 2024).</w:t>
      </w:r>
    </w:p>
    <w:p w14:paraId="3CF63022"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For example, </w:t>
      </w:r>
      <w:r w:rsidRPr="008E21D3">
        <w:rPr>
          <w:rFonts w:ascii="Times New Roman" w:hAnsi="Times New Roman" w:cs="Times New Roman"/>
          <w:sz w:val="24"/>
          <w:szCs w:val="24"/>
        </w:rPr>
        <w:t>calcium carbonate (</w:t>
      </w:r>
      <w:proofErr w:type="spellStart"/>
      <w:r w:rsidRPr="008E21D3">
        <w:rPr>
          <w:rFonts w:ascii="Times New Roman" w:hAnsi="Times New Roman" w:cs="Times New Roman"/>
          <w:sz w:val="24"/>
          <w:szCs w:val="24"/>
        </w:rPr>
        <w:t>CaCO</w:t>
      </w:r>
      <w:proofErr w:type="spellEnd"/>
      <w:r w:rsidRPr="008E21D3">
        <w:rPr>
          <w:rFonts w:ascii="Cambria Math" w:hAnsi="Cambria Math" w:cs="Cambria Math"/>
          <w:sz w:val="24"/>
          <w:szCs w:val="24"/>
        </w:rPr>
        <w:t>₃</w:t>
      </w:r>
      <w:r w:rsidRPr="008E21D3">
        <w:rPr>
          <w:rFonts w:ascii="Times New Roman" w:hAnsi="Times New Roman" w:cs="Times New Roman"/>
          <w:sz w:val="24"/>
          <w:szCs w:val="24"/>
        </w:rPr>
        <w:t>) reacts with gastric acid as follows:</w:t>
      </w:r>
    </w:p>
    <w:p w14:paraId="4BA1614B" w14:textId="77777777" w:rsidR="00D659FE" w:rsidRPr="00D659FE"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CaCO</w:t>
      </w:r>
      <w:r w:rsidRPr="00C03B81">
        <w:rPr>
          <w:rFonts w:ascii="Times New Roman" w:hAnsi="Times New Roman" w:cs="Times New Roman"/>
          <w:sz w:val="24"/>
          <w:szCs w:val="24"/>
          <w:vertAlign w:val="subscript"/>
        </w:rPr>
        <w:t>3</w:t>
      </w:r>
      <w:r w:rsidRPr="008E21D3">
        <w:rPr>
          <w:rFonts w:ascii="Times New Roman" w:hAnsi="Times New Roman" w:cs="Times New Roman"/>
          <w:sz w:val="24"/>
          <w:szCs w:val="24"/>
        </w:rPr>
        <w:t>+2HC</w:t>
      </w:r>
      <w:r w:rsidR="00C03B81">
        <w:rPr>
          <w:rFonts w:ascii="Times New Roman" w:hAnsi="Times New Roman" w:cs="Times New Roman"/>
          <w:sz w:val="24"/>
          <w:szCs w:val="24"/>
        </w:rPr>
        <w:t>l</w:t>
      </w:r>
      <w:r w:rsidR="00C03B81">
        <w:rPr>
          <w:rFonts w:ascii="Times New Roman" w:hAnsi="Times New Roman" w:cs="Times New Roman"/>
          <w:sz w:val="24"/>
          <w:szCs w:val="24"/>
        </w:rPr>
        <w:tab/>
        <w:t>→   CaCl</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vertAlign w:val="subscript"/>
        </w:rPr>
        <w:t xml:space="preserve">  </w:t>
      </w:r>
      <w:r w:rsidR="00C03B81">
        <w:rPr>
          <w:rFonts w:ascii="Times New Roman" w:hAnsi="Times New Roman" w:cs="Times New Roman"/>
          <w:sz w:val="24"/>
          <w:szCs w:val="24"/>
        </w:rPr>
        <w:t>+  H</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rPr>
        <w:t>O + CO</w:t>
      </w:r>
      <w:r w:rsidR="00C03B81" w:rsidRPr="00C03B81">
        <w:rPr>
          <w:rFonts w:ascii="Times New Roman" w:hAnsi="Times New Roman" w:cs="Times New Roman"/>
          <w:sz w:val="24"/>
          <w:szCs w:val="24"/>
          <w:vertAlign w:val="subscript"/>
        </w:rPr>
        <w:t>2</w:t>
      </w:r>
    </w:p>
    <w:p w14:paraId="091E4507" w14:textId="77777777" w:rsidR="00A9662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w:t>
      </w:r>
      <w:r w:rsidRPr="008E21D3">
        <w:rPr>
          <w:rFonts w:ascii="Times New Roman" w:hAnsi="Times New Roman" w:cs="Times New Roman"/>
          <w:sz w:val="24"/>
          <w:szCs w:val="24"/>
        </w:rPr>
        <w:t xml:space="preserve">neutralizes stomach acid and produces carbon dioxide gas, which may lead to belching or bloating in some individuals (Okonkwo &amp; </w:t>
      </w:r>
      <w:proofErr w:type="spellStart"/>
      <w:r w:rsidRPr="008E21D3">
        <w:rPr>
          <w:rFonts w:ascii="Times New Roman" w:hAnsi="Times New Roman" w:cs="Times New Roman"/>
          <w:sz w:val="24"/>
          <w:szCs w:val="24"/>
        </w:rPr>
        <w:t>Adeyemi</w:t>
      </w:r>
      <w:proofErr w:type="spellEnd"/>
      <w:r w:rsidRPr="008E21D3">
        <w:rPr>
          <w:rFonts w:ascii="Times New Roman" w:hAnsi="Times New Roman" w:cs="Times New Roman"/>
          <w:sz w:val="24"/>
          <w:szCs w:val="24"/>
        </w:rPr>
        <w:t>, 2021). Magnesium- based antacids tend to act more rapidly, while aluminum-containing antacids provide a longer- lasting effect but may cause constipation as a side effect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14:paraId="694ADBA8" w14:textId="77777777" w:rsidR="00D659FE" w:rsidRPr="00C45905" w:rsidRDefault="00C03B81" w:rsidP="009A5A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Comparing Antacids with Other Acid Suppressors</w:t>
      </w:r>
    </w:p>
    <w:p w14:paraId="77D9AC1F" w14:textId="77777777" w:rsid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Although </w:t>
      </w:r>
      <w:r w:rsidRPr="008E21D3">
        <w:rPr>
          <w:rFonts w:ascii="Times New Roman" w:hAnsi="Times New Roman" w:cs="Times New Roman"/>
          <w:sz w:val="24"/>
          <w:szCs w:val="24"/>
        </w:rPr>
        <w:t>antacids provide quick relief, they do not address the underlying causes of acid reflux, such as lower esophageal sphincter (LES) dysfunction. Other classes of medications, such as H2-receptor antagonists (H2RAs) and proton pump inhibitors (PPIs), are often prescribed for more persistent or severe acid reflux cases (</w:t>
      </w:r>
      <w:proofErr w:type="spellStart"/>
      <w:r w:rsidRPr="008E21D3">
        <w:rPr>
          <w:rFonts w:ascii="Times New Roman" w:hAnsi="Times New Roman" w:cs="Times New Roman"/>
          <w:sz w:val="24"/>
          <w:szCs w:val="24"/>
        </w:rPr>
        <w:t>Chidiebere</w:t>
      </w:r>
      <w:proofErr w:type="spellEnd"/>
      <w:r w:rsidRPr="008E21D3">
        <w:rPr>
          <w:rFonts w:ascii="Times New Roman" w:hAnsi="Times New Roman" w:cs="Times New Roman"/>
          <w:sz w:val="24"/>
          <w:szCs w:val="24"/>
        </w:rPr>
        <w:t xml:space="preserve"> &amp; </w:t>
      </w:r>
      <w:proofErr w:type="spellStart"/>
      <w:r w:rsidRPr="008E21D3">
        <w:rPr>
          <w:rFonts w:ascii="Times New Roman" w:hAnsi="Times New Roman" w:cs="Times New Roman"/>
          <w:sz w:val="24"/>
          <w:szCs w:val="24"/>
        </w:rPr>
        <w:t>Okafor</w:t>
      </w:r>
      <w:proofErr w:type="spellEnd"/>
      <w:r w:rsidRPr="008E21D3">
        <w:rPr>
          <w:rFonts w:ascii="Times New Roman" w:hAnsi="Times New Roman" w:cs="Times New Roman"/>
          <w:sz w:val="24"/>
          <w:szCs w:val="24"/>
        </w:rPr>
        <w:t>, 2023). However, antacids remain a preferred option for occasional heartburn due to their rapid onset of action and minimal systemic side effects (</w:t>
      </w:r>
      <w:proofErr w:type="spellStart"/>
      <w:r w:rsidRPr="008E21D3">
        <w:rPr>
          <w:rFonts w:ascii="Times New Roman" w:hAnsi="Times New Roman" w:cs="Times New Roman"/>
          <w:sz w:val="24"/>
          <w:szCs w:val="24"/>
        </w:rPr>
        <w:t>Eze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74AD1745" w14:textId="77777777" w:rsidR="00F03613" w:rsidRPr="008E21D3" w:rsidRDefault="00F03613" w:rsidP="009A5A72">
      <w:pPr>
        <w:spacing w:after="0" w:line="360" w:lineRule="auto"/>
        <w:jc w:val="both"/>
        <w:rPr>
          <w:rFonts w:ascii="Times New Roman" w:hAnsi="Times New Roman" w:cs="Times New Roman"/>
          <w:sz w:val="24"/>
          <w:szCs w:val="24"/>
        </w:rPr>
      </w:pPr>
    </w:p>
    <w:p w14:paraId="2F62B591" w14:textId="77777777" w:rsidR="00D659FE" w:rsidRPr="00C03B81" w:rsidRDefault="00D659FE" w:rsidP="00F03613">
      <w:pPr>
        <w:pStyle w:val="ListParagraph"/>
        <w:numPr>
          <w:ilvl w:val="2"/>
          <w:numId w:val="11"/>
        </w:numPr>
        <w:spacing w:before="0" w:line="360" w:lineRule="auto"/>
        <w:jc w:val="both"/>
        <w:rPr>
          <w:b/>
          <w:bCs/>
          <w:sz w:val="24"/>
          <w:szCs w:val="24"/>
        </w:rPr>
      </w:pPr>
      <w:r w:rsidRPr="00C03B81">
        <w:rPr>
          <w:b/>
          <w:bCs/>
          <w:sz w:val="24"/>
          <w:szCs w:val="24"/>
        </w:rPr>
        <w:t>Combination Antacids for Enhanced Efficacy</w:t>
      </w:r>
    </w:p>
    <w:p w14:paraId="78DC4D1F"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antacid formulations include </w:t>
      </w:r>
      <w:r w:rsidRPr="008E21D3">
        <w:rPr>
          <w:rFonts w:ascii="Times New Roman" w:hAnsi="Times New Roman" w:cs="Times New Roman"/>
          <w:sz w:val="24"/>
          <w:szCs w:val="24"/>
        </w:rPr>
        <w:t>alginates, which create a physical barrier against acid reflux by forming a gel-like raft that floats on top of stomach contents. These formulations, such as those containing sodium alginate and bicarbonates, are particularly effective for reducing nighttime reflux symptoms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Additionally, </w:t>
      </w:r>
      <w:proofErr w:type="spellStart"/>
      <w:r w:rsidRPr="008E21D3">
        <w:rPr>
          <w:rFonts w:ascii="Times New Roman" w:hAnsi="Times New Roman" w:cs="Times New Roman"/>
          <w:sz w:val="24"/>
          <w:szCs w:val="24"/>
        </w:rPr>
        <w:t>simethicone</w:t>
      </w:r>
      <w:proofErr w:type="spellEnd"/>
      <w:r w:rsidRPr="008E21D3">
        <w:rPr>
          <w:rFonts w:ascii="Times New Roman" w:hAnsi="Times New Roman" w:cs="Times New Roman"/>
          <w:sz w:val="24"/>
          <w:szCs w:val="24"/>
        </w:rPr>
        <w:t xml:space="preserve"> is sometimes added to reduce gas and bloating ass</w:t>
      </w:r>
      <w:r w:rsidRPr="00D659FE">
        <w:rPr>
          <w:rFonts w:ascii="Times New Roman" w:hAnsi="Times New Roman" w:cs="Times New Roman"/>
          <w:sz w:val="24"/>
          <w:szCs w:val="24"/>
        </w:rPr>
        <w:t>ociated with acid reflux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&amp; Williams, 2022).</w:t>
      </w:r>
    </w:p>
    <w:p w14:paraId="3687891C" w14:textId="77777777" w:rsidR="00D659FE" w:rsidRPr="00C03B81" w:rsidRDefault="00D659FE" w:rsidP="00F03613">
      <w:pPr>
        <w:pStyle w:val="ListParagraph"/>
        <w:numPr>
          <w:ilvl w:val="2"/>
          <w:numId w:val="11"/>
        </w:numPr>
        <w:spacing w:before="0" w:line="360" w:lineRule="auto"/>
        <w:jc w:val="both"/>
        <w:rPr>
          <w:b/>
          <w:bCs/>
          <w:sz w:val="24"/>
          <w:szCs w:val="24"/>
        </w:rPr>
      </w:pPr>
      <w:r w:rsidRPr="00C03B81">
        <w:rPr>
          <w:b/>
          <w:bCs/>
          <w:sz w:val="24"/>
          <w:szCs w:val="24"/>
        </w:rPr>
        <w:t>Considerations and Precautions in Antacid Use</w:t>
      </w:r>
    </w:p>
    <w:p w14:paraId="08A3D1C4"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While antacids are generally safe for</w:t>
      </w:r>
      <w:r w:rsidRPr="008E21D3">
        <w:rPr>
          <w:rFonts w:ascii="Times New Roman" w:hAnsi="Times New Roman" w:cs="Times New Roman"/>
          <w:sz w:val="24"/>
          <w:szCs w:val="24"/>
        </w:rPr>
        <w:t xml:space="preserve"> short-term use, excessive or prolonged consumption can lead to complications such as acid rebound, electrolyte imbalances, and drug interactions (</w:t>
      </w:r>
      <w:proofErr w:type="spellStart"/>
      <w:r w:rsidRPr="008E21D3">
        <w:rPr>
          <w:rFonts w:ascii="Times New Roman" w:hAnsi="Times New Roman" w:cs="Times New Roman"/>
          <w:sz w:val="24"/>
          <w:szCs w:val="24"/>
        </w:rPr>
        <w:t>Akinyemi</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For instance, calcium carbonate-based antacids may cause hypercalcemia, while aluminum-based antacids can contribute to phosphate depletion and bone demineralization (</w:t>
      </w:r>
      <w:proofErr w:type="spellStart"/>
      <w:r w:rsidRPr="008E21D3">
        <w:rPr>
          <w:rFonts w:ascii="Times New Roman" w:hAnsi="Times New Roman" w:cs="Times New Roman"/>
          <w:sz w:val="24"/>
          <w:szCs w:val="24"/>
        </w:rPr>
        <w:t>Okon</w:t>
      </w:r>
      <w:proofErr w:type="spellEnd"/>
      <w:r w:rsidRPr="008E21D3">
        <w:rPr>
          <w:rFonts w:ascii="Times New Roman" w:hAnsi="Times New Roman" w:cs="Times New Roman"/>
          <w:sz w:val="24"/>
          <w:szCs w:val="24"/>
        </w:rPr>
        <w:t xml:space="preserve"> &amp; Bell</w:t>
      </w:r>
      <w:r w:rsidRPr="00D659FE">
        <w:rPr>
          <w:rFonts w:ascii="Times New Roman" w:hAnsi="Times New Roman" w:cs="Times New Roman"/>
          <w:sz w:val="24"/>
          <w:szCs w:val="24"/>
        </w:rPr>
        <w:t>o, 2023).</w:t>
      </w:r>
    </w:p>
    <w:p w14:paraId="0FB2F079" w14:textId="77777777" w:rsidR="00A9662E" w:rsidRPr="00A9662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w:t>
      </w:r>
      <w:r w:rsidRPr="00F57C15">
        <w:rPr>
          <w:rFonts w:ascii="Times New Roman" w:hAnsi="Times New Roman" w:cs="Times New Roman"/>
          <w:sz w:val="24"/>
          <w:szCs w:val="24"/>
        </w:rPr>
        <w:t xml:space="preserve">nts with chronic acid reflux (GERD) should consult healthcare providers for long- term management options, as antacids alone may not provide adequate symptom control (Emmanuel &amp; </w:t>
      </w:r>
      <w:proofErr w:type="spellStart"/>
      <w:r w:rsidRPr="00F57C15">
        <w:rPr>
          <w:rFonts w:ascii="Times New Roman" w:hAnsi="Times New Roman" w:cs="Times New Roman"/>
          <w:sz w:val="24"/>
          <w:szCs w:val="24"/>
        </w:rPr>
        <w:t>Okechukwu</w:t>
      </w:r>
      <w:proofErr w:type="spellEnd"/>
      <w:r w:rsidRPr="00F57C15">
        <w:rPr>
          <w:rFonts w:ascii="Times New Roman" w:hAnsi="Times New Roman" w:cs="Times New Roman"/>
          <w:sz w:val="24"/>
          <w:szCs w:val="24"/>
        </w:rPr>
        <w:t xml:space="preserve">, 2021). Lifestyle modifications, including dietary adjustments, weight management, and avoiding trigger foods, are crucial for sustained relief from acid reflux and heartburn </w:t>
      </w:r>
      <w:r w:rsidRPr="00D659FE">
        <w:rPr>
          <w:rFonts w:ascii="Times New Roman" w:hAnsi="Times New Roman" w:cs="Times New Roman"/>
          <w:sz w:val="24"/>
          <w:szCs w:val="24"/>
        </w:rPr>
        <w:t xml:space="preserve">(Adebayo </w:t>
      </w:r>
      <w:r w:rsidRPr="00F57C1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14:paraId="5EC00222" w14:textId="77777777" w:rsidR="00D659FE" w:rsidRPr="008E21D3" w:rsidRDefault="00C03B81" w:rsidP="00F0361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ANTACID USE IN SPECIAL POPULATIONS</w:t>
      </w:r>
    </w:p>
    <w:p w14:paraId="071ECAB1" w14:textId="77777777" w:rsidR="00D659FE" w:rsidRPr="008E21D3"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use</w:t>
      </w:r>
      <w:r w:rsidRPr="008E21D3">
        <w:rPr>
          <w:rFonts w:ascii="Times New Roman" w:hAnsi="Times New Roman" w:cs="Times New Roman"/>
          <w:sz w:val="24"/>
          <w:szCs w:val="24"/>
        </w:rPr>
        <w:t xml:space="preserve"> of antacids varies across different population groups due to age, pre-existing medical conditions, pregnancy, and organ function. While antacids are generally considered safe, their effects can be altered in specific populations, necessitating caution and individualized medical advice (Williams &amp; </w:t>
      </w:r>
      <w:proofErr w:type="spellStart"/>
      <w:r w:rsidRPr="008E21D3">
        <w:rPr>
          <w:rFonts w:ascii="Times New Roman" w:hAnsi="Times New Roman" w:cs="Times New Roman"/>
          <w:sz w:val="24"/>
          <w:szCs w:val="24"/>
        </w:rPr>
        <w:t>Chukwudi</w:t>
      </w:r>
      <w:proofErr w:type="spellEnd"/>
      <w:r w:rsidRPr="008E21D3">
        <w:rPr>
          <w:rFonts w:ascii="Times New Roman" w:hAnsi="Times New Roman" w:cs="Times New Roman"/>
          <w:sz w:val="24"/>
          <w:szCs w:val="24"/>
        </w:rPr>
        <w:t xml:space="preserve">, 2022). Special populations, including </w:t>
      </w:r>
      <w:r w:rsidR="008E21D3">
        <w:rPr>
          <w:rFonts w:ascii="Times New Roman" w:hAnsi="Times New Roman" w:cs="Times New Roman"/>
          <w:sz w:val="24"/>
          <w:szCs w:val="24"/>
        </w:rPr>
        <w:t xml:space="preserve">pregnant </w:t>
      </w:r>
      <w:r w:rsidRPr="008E21D3">
        <w:rPr>
          <w:rFonts w:ascii="Times New Roman" w:hAnsi="Times New Roman" w:cs="Times New Roman"/>
          <w:sz w:val="24"/>
          <w:szCs w:val="24"/>
        </w:rPr>
        <w:t>women, the elderly, children, and patients with chronic diseases, may require dose adjustments or alternative treatments to prevent adverse effects (</w:t>
      </w:r>
      <w:proofErr w:type="spellStart"/>
      <w:r w:rsidRPr="008E21D3">
        <w:rPr>
          <w:rFonts w:ascii="Times New Roman" w:hAnsi="Times New Roman" w:cs="Times New Roman"/>
          <w:sz w:val="24"/>
          <w:szCs w:val="24"/>
        </w:rPr>
        <w:t>Ogunleye</w:t>
      </w:r>
      <w:proofErr w:type="spellEnd"/>
      <w:r w:rsidRPr="008E21D3">
        <w:rPr>
          <w:rFonts w:ascii="Times New Roman" w:hAnsi="Times New Roman" w:cs="Times New Roman"/>
          <w:sz w:val="24"/>
          <w:szCs w:val="24"/>
        </w:rPr>
        <w:t xml:space="preserv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435290D6" w14:textId="77777777" w:rsidR="00D659FE" w:rsidRPr="00020FAF"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020FAF">
        <w:rPr>
          <w:rFonts w:ascii="Times New Roman" w:hAnsi="Times New Roman" w:cs="Times New Roman"/>
          <w:b/>
          <w:bCs/>
          <w:sz w:val="24"/>
          <w:szCs w:val="24"/>
        </w:rPr>
        <w:t>Antacid Use in Pregnant Women</w:t>
      </w:r>
    </w:p>
    <w:p w14:paraId="518B45D8" w14:textId="77777777"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Acid reflux and </w:t>
      </w:r>
      <w:proofErr w:type="spellStart"/>
      <w:r w:rsidRPr="008E21D3">
        <w:rPr>
          <w:rFonts w:ascii="Times New Roman" w:hAnsi="Times New Roman" w:cs="Times New Roman"/>
          <w:sz w:val="24"/>
          <w:szCs w:val="24"/>
        </w:rPr>
        <w:t>gastroesophageal</w:t>
      </w:r>
      <w:proofErr w:type="spellEnd"/>
      <w:r w:rsidRPr="008E21D3">
        <w:rPr>
          <w:rFonts w:ascii="Times New Roman" w:hAnsi="Times New Roman" w:cs="Times New Roman"/>
          <w:sz w:val="24"/>
          <w:szCs w:val="24"/>
        </w:rPr>
        <w:t xml:space="preserve"> reflux disease (GERD) are common during pregnancy due to hormonal changes and increased intra-abdominal pressure. Many pregnant women turn to OTC antacids for symptom relief. Calcium carbonate-based antacids are considered safe and beneficial because they provide both acid neutralization and calcium supplementation, which is essential during pregnancy (Adebayo &amp; Yusuf, 2024).</w:t>
      </w:r>
    </w:p>
    <w:p w14:paraId="67036315" w14:textId="77777777" w:rsidR="00D659FE" w:rsidRPr="008E21D3" w:rsidRDefault="00D659FE" w:rsidP="009A5A72">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However, aluminum-containing antacids should be used with caution as they can lead to phosphate depletion, potentially affecting fetal bone development. Sodium bicarbonate- based antacids should also be avoided due to the risk of fluid retention and metabolic alkalosis (Okonkwo &amp; </w:t>
      </w:r>
      <w:proofErr w:type="spellStart"/>
      <w:r w:rsidRPr="008E21D3">
        <w:rPr>
          <w:rFonts w:ascii="Times New Roman" w:hAnsi="Times New Roman" w:cs="Times New Roman"/>
          <w:sz w:val="24"/>
          <w:szCs w:val="24"/>
        </w:rPr>
        <w:t>Adeyemi</w:t>
      </w:r>
      <w:proofErr w:type="spellEnd"/>
      <w:r w:rsidRPr="008E21D3">
        <w:rPr>
          <w:rFonts w:ascii="Times New Roman" w:hAnsi="Times New Roman" w:cs="Times New Roman"/>
          <w:sz w:val="24"/>
          <w:szCs w:val="24"/>
        </w:rPr>
        <w:t>, 2021). Healthcare providers often recommend dietary and lifestyle modifications alongside safer antacid choices for managing acid reflux in pregnancy (</w:t>
      </w:r>
      <w:proofErr w:type="spellStart"/>
      <w:r w:rsidRPr="008E21D3">
        <w:rPr>
          <w:rFonts w:ascii="Times New Roman" w:hAnsi="Times New Roman" w:cs="Times New Roman"/>
          <w:sz w:val="24"/>
          <w:szCs w:val="24"/>
        </w:rPr>
        <w:t>Oluwaseun</w:t>
      </w:r>
      <w:proofErr w:type="spellEnd"/>
      <w:r w:rsidRPr="008E21D3">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14:paraId="07FD00E3"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Elderly Individuals</w:t>
      </w:r>
    </w:p>
    <w:p w14:paraId="1017B94B" w14:textId="77777777"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Older adults o</w:t>
      </w:r>
      <w:r w:rsidRPr="00020FAF">
        <w:rPr>
          <w:rFonts w:ascii="Times New Roman" w:hAnsi="Times New Roman" w:cs="Times New Roman"/>
          <w:sz w:val="24"/>
          <w:szCs w:val="24"/>
        </w:rPr>
        <w:t>ften suffer from chronic acid-related disorders, requiring long-term antacid use. However, aging-related changes in renal function, bone density, and medication metabolism necessitate careful selection of antacids. Aluminum-based antacids can contribute to osteoporosis and cognitive decline, making them unsuitable for elderly patients, especially those at risk for Alzheimer’s disease (</w:t>
      </w:r>
      <w:proofErr w:type="spellStart"/>
      <w:r w:rsidRPr="00020FAF">
        <w:rPr>
          <w:rFonts w:ascii="Times New Roman" w:hAnsi="Times New Roman" w:cs="Times New Roman"/>
          <w:sz w:val="24"/>
          <w:szCs w:val="24"/>
        </w:rPr>
        <w:t>Chidiebere</w:t>
      </w:r>
      <w:proofErr w:type="spellEnd"/>
      <w:r w:rsidRPr="00020FAF">
        <w:rPr>
          <w:rFonts w:ascii="Times New Roman" w:hAnsi="Times New Roman" w:cs="Times New Roman"/>
          <w:sz w:val="24"/>
          <w:szCs w:val="24"/>
        </w:rPr>
        <w:t xml:space="preserve"> &amp; </w:t>
      </w:r>
      <w:proofErr w:type="spellStart"/>
      <w:r w:rsidRPr="00020FAF">
        <w:rPr>
          <w:rFonts w:ascii="Times New Roman" w:hAnsi="Times New Roman" w:cs="Times New Roman"/>
          <w:sz w:val="24"/>
          <w:szCs w:val="24"/>
        </w:rPr>
        <w:t>Okafor</w:t>
      </w:r>
      <w:proofErr w:type="spellEnd"/>
      <w:r w:rsidRPr="00020FAF">
        <w:rPr>
          <w:rFonts w:ascii="Times New Roman" w:hAnsi="Times New Roman" w:cs="Times New Roman"/>
          <w:sz w:val="24"/>
          <w:szCs w:val="24"/>
        </w:rPr>
        <w:t>, 2023). Similarly, elderly individuals with chronic kidney disease (CKD) should avoid magnesium- containing antacids, as impaired kidney function can lead to magnesium accumulation (</w:t>
      </w:r>
      <w:proofErr w:type="spellStart"/>
      <w:r w:rsidRPr="00020FAF">
        <w:rPr>
          <w:rFonts w:ascii="Times New Roman" w:hAnsi="Times New Roman" w:cs="Times New Roman"/>
          <w:sz w:val="24"/>
          <w:szCs w:val="24"/>
        </w:rPr>
        <w:t>hypermagnesemia</w:t>
      </w:r>
      <w:proofErr w:type="spellEnd"/>
      <w:r w:rsidRPr="00020FAF">
        <w:rPr>
          <w:rFonts w:ascii="Times New Roman" w:hAnsi="Times New Roman" w:cs="Times New Roman"/>
          <w:sz w:val="24"/>
          <w:szCs w:val="24"/>
        </w:rPr>
        <w:t>), resulting in cardiovascular and neuromuscular complications (</w:t>
      </w:r>
      <w:proofErr w:type="spellStart"/>
      <w:r w:rsidRPr="00020FAF">
        <w:rPr>
          <w:rFonts w:ascii="Times New Roman" w:hAnsi="Times New Roman" w:cs="Times New Roman"/>
          <w:sz w:val="24"/>
          <w:szCs w:val="24"/>
        </w:rPr>
        <w:t>Eze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Instead, calcium carbonate-based or low-dose aluminum hydroxide antacids may be considered under medical supervision (</w:t>
      </w:r>
      <w:proofErr w:type="spellStart"/>
      <w:r w:rsidRPr="00020FAF">
        <w:rPr>
          <w:rFonts w:ascii="Times New Roman" w:hAnsi="Times New Roman" w:cs="Times New Roman"/>
          <w:sz w:val="24"/>
          <w:szCs w:val="24"/>
        </w:rPr>
        <w:t>Ogunleye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14:paraId="792C27E4"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Children</w:t>
      </w:r>
    </w:p>
    <w:p w14:paraId="2E035821" w14:textId="77777777"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Children with </w:t>
      </w:r>
      <w:r w:rsidRPr="00020FAF">
        <w:rPr>
          <w:rFonts w:ascii="Times New Roman" w:hAnsi="Times New Roman" w:cs="Times New Roman"/>
          <w:sz w:val="24"/>
          <w:szCs w:val="24"/>
        </w:rPr>
        <w:t>acid reflux or peptic disorders may require antacid therapy, but dosing must be carefully adjusted. Pediatric guidelines recommend calcium carbonate-based antacids due to their safety profile and essential mineral benefits. However, excessive use can lead to hypercalcemia and milk-alkali syndrome (</w:t>
      </w:r>
      <w:proofErr w:type="spellStart"/>
      <w:r w:rsidRPr="00020FAF">
        <w:rPr>
          <w:rFonts w:ascii="Times New Roman" w:hAnsi="Times New Roman" w:cs="Times New Roman"/>
          <w:sz w:val="24"/>
          <w:szCs w:val="24"/>
        </w:rPr>
        <w:t>Ogundipe</w:t>
      </w:r>
      <w:proofErr w:type="spellEnd"/>
      <w:r w:rsidRPr="00020FAF">
        <w:rPr>
          <w:rFonts w:ascii="Times New Roman" w:hAnsi="Times New Roman" w:cs="Times New Roman"/>
          <w:sz w:val="24"/>
          <w:szCs w:val="24"/>
        </w:rPr>
        <w:t xml:space="preserve"> &amp; Williams, 2022).</w:t>
      </w:r>
    </w:p>
    <w:p w14:paraId="5158BF08" w14:textId="77777777" w:rsidR="00D659FE" w:rsidRPr="00020FAF" w:rsidRDefault="00D659FE" w:rsidP="009A5A72">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Prolonged use of aluminum-based antacids is discouraged in children due to the risk of neurotoxicity and bone mineralization issues. Instead, pediatricians may prescribe H2- receptor antagonists (H2RAs) or proton pump inhibitors (PPIs) for chronic reflux management (</w:t>
      </w:r>
      <w:proofErr w:type="spellStart"/>
      <w:r w:rsidRPr="00020FAF">
        <w:rPr>
          <w:rFonts w:ascii="Times New Roman" w:hAnsi="Times New Roman" w:cs="Times New Roman"/>
          <w:sz w:val="24"/>
          <w:szCs w:val="24"/>
        </w:rPr>
        <w:t>Akinyemi</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Additionally, dietary changes and postural adjustments are recommended to reduce acid reflux symptoms in infants and young children (</w:t>
      </w:r>
      <w:proofErr w:type="spellStart"/>
      <w:r w:rsidRPr="00020FAF">
        <w:rPr>
          <w:rFonts w:ascii="Times New Roman" w:hAnsi="Times New Roman" w:cs="Times New Roman"/>
          <w:sz w:val="24"/>
          <w:szCs w:val="24"/>
        </w:rPr>
        <w:t>Okon</w:t>
      </w:r>
      <w:proofErr w:type="spellEnd"/>
      <w:r w:rsidRPr="00020FAF">
        <w:rPr>
          <w:rFonts w:ascii="Times New Roman" w:hAnsi="Times New Roman" w:cs="Times New Roman"/>
          <w:sz w:val="24"/>
          <w:szCs w:val="24"/>
        </w:rPr>
        <w:t xml:space="preserve"> &amp; Bello, 2023).</w:t>
      </w:r>
    </w:p>
    <w:p w14:paraId="54A575F7"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Chronic Kidney Disease (CKD)</w:t>
      </w:r>
    </w:p>
    <w:p w14:paraId="6AAB5952" w14:textId="77777777" w:rsidR="00D659FE" w:rsidRPr="00020FAF"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Patients with</w:t>
      </w:r>
      <w:r w:rsidRPr="00020FAF">
        <w:rPr>
          <w:rFonts w:ascii="Times New Roman" w:hAnsi="Times New Roman" w:cs="Times New Roman"/>
          <w:sz w:val="24"/>
          <w:szCs w:val="24"/>
        </w:rPr>
        <w:t xml:space="preserve"> kidney dysfunction face challenges in eliminating excess minerals from their bodies. Magnesium- and aluminum-based antacids should be avoided in CKD patients due to the risk of </w:t>
      </w:r>
      <w:proofErr w:type="spellStart"/>
      <w:r w:rsidRPr="00020FAF">
        <w:rPr>
          <w:rFonts w:ascii="Times New Roman" w:hAnsi="Times New Roman" w:cs="Times New Roman"/>
          <w:sz w:val="24"/>
          <w:szCs w:val="24"/>
        </w:rPr>
        <w:t>hypermagnesemia</w:t>
      </w:r>
      <w:proofErr w:type="spellEnd"/>
      <w:r w:rsidRPr="00020FAF">
        <w:rPr>
          <w:rFonts w:ascii="Times New Roman" w:hAnsi="Times New Roman" w:cs="Times New Roman"/>
          <w:sz w:val="24"/>
          <w:szCs w:val="24"/>
        </w:rPr>
        <w:t xml:space="preserve"> and aluminum toxicity, which can lead to neurological and skeletal complications (Emmanuel &amp; </w:t>
      </w:r>
      <w:proofErr w:type="spellStart"/>
      <w:r w:rsidRPr="00020FAF">
        <w:rPr>
          <w:rFonts w:ascii="Times New Roman" w:hAnsi="Times New Roman" w:cs="Times New Roman"/>
          <w:sz w:val="24"/>
          <w:szCs w:val="24"/>
        </w:rPr>
        <w:t>Okechukwu</w:t>
      </w:r>
      <w:proofErr w:type="spellEnd"/>
      <w:r w:rsidRPr="00020FAF">
        <w:rPr>
          <w:rFonts w:ascii="Times New Roman" w:hAnsi="Times New Roman" w:cs="Times New Roman"/>
          <w:sz w:val="24"/>
          <w:szCs w:val="24"/>
        </w:rPr>
        <w:t>, 2021).</w:t>
      </w:r>
    </w:p>
    <w:p w14:paraId="4A8EA1C3" w14:textId="77777777" w:rsidR="00D659FE" w:rsidRPr="00020FAF" w:rsidRDefault="00D659FE" w:rsidP="009A5A72">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 xml:space="preserve">Instead, calcium-based antacids are often used, but excessive calcium intake can lead to vascular calcification, which worsens cardiovascular risks in CKD patients (Adebayo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2024). Therefore, phosphate binders such as </w:t>
      </w:r>
      <w:proofErr w:type="spellStart"/>
      <w:r w:rsidRPr="00020FAF">
        <w:rPr>
          <w:rFonts w:ascii="Times New Roman" w:hAnsi="Times New Roman" w:cs="Times New Roman"/>
          <w:sz w:val="24"/>
          <w:szCs w:val="24"/>
        </w:rPr>
        <w:t>sevelamer</w:t>
      </w:r>
      <w:proofErr w:type="spellEnd"/>
      <w:r w:rsidRPr="00020FAF">
        <w:rPr>
          <w:rFonts w:ascii="Times New Roman" w:hAnsi="Times New Roman" w:cs="Times New Roman"/>
          <w:sz w:val="24"/>
          <w:szCs w:val="24"/>
        </w:rPr>
        <w:t xml:space="preserve"> and lanthanum carbonate may be preferable alternatives for acid regulation in CKD patients (</w:t>
      </w:r>
      <w:proofErr w:type="spellStart"/>
      <w:r w:rsidRPr="00020FAF">
        <w:rPr>
          <w:rFonts w:ascii="Times New Roman" w:hAnsi="Times New Roman" w:cs="Times New Roman"/>
          <w:sz w:val="24"/>
          <w:szCs w:val="24"/>
        </w:rPr>
        <w:t>Ogunleye</w:t>
      </w:r>
      <w:proofErr w:type="spellEnd"/>
      <w:r w:rsidRPr="00020FAF">
        <w:rPr>
          <w:rFonts w:ascii="Times New Roman" w:hAnsi="Times New Roman" w:cs="Times New Roman"/>
          <w:sz w:val="24"/>
          <w:szCs w:val="24"/>
        </w:rPr>
        <w:t xml:space="preserv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14:paraId="5CE0A329" w14:textId="77777777" w:rsidR="00D659FE" w:rsidRPr="00C45905" w:rsidRDefault="00C03B81"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Osteoporosis</w:t>
      </w:r>
    </w:p>
    <w:p w14:paraId="30E03642"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Since calcium </w:t>
      </w:r>
      <w:r w:rsidRPr="00020FAF">
        <w:rPr>
          <w:rFonts w:ascii="Times New Roman" w:hAnsi="Times New Roman" w:cs="Times New Roman"/>
          <w:sz w:val="24"/>
          <w:szCs w:val="24"/>
        </w:rPr>
        <w:t>plays a crucial role in bone health, some individuals with osteoporosis may benefit from calcium carbonate-based antacids. However, excessive calcium intake can lead to the milk-alkali syndrome, characterized by hypercalcemia, kidney dysfunction, and metabolic alkalosis (</w:t>
      </w:r>
      <w:proofErr w:type="spellStart"/>
      <w:r w:rsidRPr="00020FAF">
        <w:rPr>
          <w:rFonts w:ascii="Times New Roman" w:hAnsi="Times New Roman" w:cs="Times New Roman"/>
          <w:sz w:val="24"/>
          <w:szCs w:val="24"/>
        </w:rPr>
        <w:t>Chidiebere</w:t>
      </w:r>
      <w:proofErr w:type="spellEnd"/>
      <w:r w:rsidRPr="00020FAF">
        <w:rPr>
          <w:rFonts w:ascii="Times New Roman" w:hAnsi="Times New Roman" w:cs="Times New Roman"/>
          <w:sz w:val="24"/>
          <w:szCs w:val="24"/>
        </w:rPr>
        <w:t xml:space="preserve"> &amp; </w:t>
      </w:r>
      <w:proofErr w:type="spellStart"/>
      <w:r w:rsidRPr="00020FAF">
        <w:rPr>
          <w:rFonts w:ascii="Times New Roman" w:hAnsi="Times New Roman" w:cs="Times New Roman"/>
          <w:sz w:val="24"/>
          <w:szCs w:val="24"/>
        </w:rPr>
        <w:t>Okafor</w:t>
      </w:r>
      <w:proofErr w:type="spellEnd"/>
      <w:r w:rsidRPr="00020FAF">
        <w:rPr>
          <w:rFonts w:ascii="Times New Roman" w:hAnsi="Times New Roman" w:cs="Times New Roman"/>
          <w:sz w:val="24"/>
          <w:szCs w:val="24"/>
        </w:rPr>
        <w:t>, 2023). Patients at risk of osteoporosis should balance calcium intake with vitamin D supplementation and consult a physician regarding the safest antacid options (</w:t>
      </w: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et al., 2023).</w:t>
      </w:r>
    </w:p>
    <w:p w14:paraId="248E5E11" w14:textId="77777777" w:rsidR="00D659FE" w:rsidRPr="00D659FE" w:rsidRDefault="00D659FE" w:rsidP="009A5A72">
      <w:pPr>
        <w:spacing w:after="0" w:line="360" w:lineRule="auto"/>
        <w:jc w:val="both"/>
        <w:rPr>
          <w:rFonts w:ascii="Times New Roman" w:hAnsi="Times New Roman" w:cs="Times New Roman"/>
          <w:sz w:val="24"/>
          <w:szCs w:val="24"/>
        </w:rPr>
        <w:sectPr w:rsidR="00D659FE" w:rsidRPr="00D659FE" w:rsidSect="000B4B76">
          <w:pgSz w:w="11808" w:h="15120"/>
          <w:pgMar w:top="1296" w:right="1282" w:bottom="2506" w:left="1282" w:header="0" w:footer="1440" w:gutter="0"/>
          <w:pgNumType w:start="1"/>
          <w:cols w:space="720"/>
          <w:docGrid w:linePitch="299"/>
        </w:sectPr>
      </w:pPr>
    </w:p>
    <w:p w14:paraId="04BB6EB9" w14:textId="77777777" w:rsidR="00020FAF" w:rsidRDefault="00C03B81" w:rsidP="009A5A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59359B1" w14:textId="77777777" w:rsidR="00C03B81" w:rsidRDefault="00C03B81" w:rsidP="009A5A7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MATERIAL AND METHOD</w:t>
      </w:r>
    </w:p>
    <w:p w14:paraId="20E4B4C4" w14:textId="77777777" w:rsidR="00D659FE" w:rsidRPr="00D659FE" w:rsidRDefault="00C03B81" w:rsidP="009A5A72">
      <w:pPr>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00020FAF">
        <w:rPr>
          <w:rFonts w:ascii="Times New Roman" w:hAnsi="Times New Roman" w:cs="Times New Roman"/>
          <w:b/>
          <w:sz w:val="24"/>
          <w:szCs w:val="24"/>
        </w:rPr>
        <w:t>.1</w:t>
      </w:r>
      <w:r w:rsidR="00020FAF">
        <w:rPr>
          <w:rFonts w:ascii="Times New Roman" w:hAnsi="Times New Roman" w:cs="Times New Roman"/>
          <w:b/>
          <w:sz w:val="24"/>
          <w:szCs w:val="24"/>
        </w:rPr>
        <w:tab/>
      </w:r>
      <w:r w:rsidR="00D659FE" w:rsidRPr="00D659FE">
        <w:rPr>
          <w:rFonts w:ascii="Times New Roman" w:hAnsi="Times New Roman" w:cs="Times New Roman"/>
          <w:b/>
          <w:sz w:val="24"/>
          <w:szCs w:val="24"/>
        </w:rPr>
        <w:t>EQUIPMENT AND REAGENT</w:t>
      </w:r>
    </w:p>
    <w:p w14:paraId="00F79867" w14:textId="77777777" w:rsidR="00D659FE" w:rsidRPr="00D659FE" w:rsidRDefault="00F03613" w:rsidP="009A5A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020FAF">
        <w:rPr>
          <w:rFonts w:ascii="Times New Roman" w:hAnsi="Times New Roman" w:cs="Times New Roman"/>
          <w:b/>
          <w:sz w:val="24"/>
          <w:szCs w:val="24"/>
        </w:rPr>
        <w:t>.1.1</w:t>
      </w:r>
      <w:r w:rsidR="00020FAF">
        <w:rPr>
          <w:rFonts w:ascii="Times New Roman" w:hAnsi="Times New Roman" w:cs="Times New Roman"/>
          <w:b/>
          <w:sz w:val="24"/>
          <w:szCs w:val="24"/>
        </w:rPr>
        <w:tab/>
      </w:r>
      <w:r w:rsidR="005E1AA2" w:rsidRPr="00D659FE">
        <w:rPr>
          <w:rFonts w:ascii="Times New Roman" w:hAnsi="Times New Roman" w:cs="Times New Roman"/>
          <w:b/>
          <w:sz w:val="24"/>
          <w:szCs w:val="24"/>
        </w:rPr>
        <w:t>Equipment</w:t>
      </w:r>
      <w:r w:rsidR="00D659FE" w:rsidRPr="00D659FE">
        <w:rPr>
          <w:rFonts w:ascii="Times New Roman" w:hAnsi="Times New Roman" w:cs="Times New Roman"/>
          <w:b/>
          <w:sz w:val="24"/>
          <w:szCs w:val="24"/>
        </w:rPr>
        <w:t>:</w:t>
      </w:r>
    </w:p>
    <w:p w14:paraId="359E48B0"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1000ml Standard Flask, Filter Paper, Beaker, Pipette, Burette, Conical Flask, Funnel, PH Measurement, Magnetic Stir, Measuring Cylinder, Spatula, Weighing Balance.</w:t>
      </w:r>
    </w:p>
    <w:p w14:paraId="1457544B" w14:textId="77777777" w:rsidR="00D659FE" w:rsidRPr="00F03613" w:rsidRDefault="00F03613" w:rsidP="00F036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00D659FE" w:rsidRPr="00F03613">
        <w:rPr>
          <w:rFonts w:ascii="Times New Roman" w:hAnsi="Times New Roman" w:cs="Times New Roman"/>
          <w:b/>
          <w:sz w:val="24"/>
          <w:szCs w:val="24"/>
        </w:rPr>
        <w:t xml:space="preserve"> </w:t>
      </w:r>
      <w:r w:rsidR="005E1AA2" w:rsidRPr="00F03613">
        <w:rPr>
          <w:rFonts w:ascii="Times New Roman" w:hAnsi="Times New Roman" w:cs="Times New Roman"/>
          <w:b/>
          <w:sz w:val="24"/>
          <w:szCs w:val="24"/>
        </w:rPr>
        <w:t>Reagent</w:t>
      </w:r>
      <w:r w:rsidR="00D659FE" w:rsidRPr="00F03613">
        <w:rPr>
          <w:rFonts w:ascii="Times New Roman" w:hAnsi="Times New Roman" w:cs="Times New Roman"/>
          <w:b/>
          <w:sz w:val="24"/>
          <w:szCs w:val="24"/>
        </w:rPr>
        <w:t>:</w:t>
      </w:r>
    </w:p>
    <w:p w14:paraId="754983B4"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Hydrochloric Acid (HCL), Distilled Water, Sodium Hydroxide (</w:t>
      </w:r>
      <w:proofErr w:type="spellStart"/>
      <w:r w:rsidRPr="00D659FE">
        <w:rPr>
          <w:rFonts w:ascii="Times New Roman" w:hAnsi="Times New Roman" w:cs="Times New Roman"/>
          <w:sz w:val="24"/>
          <w:szCs w:val="24"/>
        </w:rPr>
        <w:t>NaOH</w:t>
      </w:r>
      <w:proofErr w:type="spellEnd"/>
      <w:r w:rsidRPr="00D659FE">
        <w:rPr>
          <w:rFonts w:ascii="Times New Roman" w:hAnsi="Times New Roman" w:cs="Times New Roman"/>
          <w:sz w:val="24"/>
          <w:szCs w:val="24"/>
        </w:rPr>
        <w:t>), Indicator (</w:t>
      </w:r>
      <w:proofErr w:type="spellStart"/>
      <w:r w:rsidRPr="00D659FE">
        <w:rPr>
          <w:rFonts w:ascii="Times New Roman" w:hAnsi="Times New Roman" w:cs="Times New Roman"/>
          <w:sz w:val="24"/>
          <w:szCs w:val="24"/>
        </w:rPr>
        <w:t>Bromocresol</w:t>
      </w:r>
      <w:proofErr w:type="spellEnd"/>
      <w:r w:rsidRPr="00D659FE">
        <w:rPr>
          <w:rFonts w:ascii="Times New Roman" w:hAnsi="Times New Roman" w:cs="Times New Roman"/>
          <w:sz w:val="24"/>
          <w:szCs w:val="24"/>
        </w:rPr>
        <w:t xml:space="preserve"> Green), Benzoic Acid, Indicator (Phenolphthalein), </w:t>
      </w:r>
      <w:proofErr w:type="spellStart"/>
      <w:r w:rsidRPr="00D659FE">
        <w:rPr>
          <w:rFonts w:ascii="Times New Roman" w:hAnsi="Times New Roman" w:cs="Times New Roman"/>
          <w:sz w:val="24"/>
          <w:szCs w:val="24"/>
        </w:rPr>
        <w:t>Tromethamine</w:t>
      </w:r>
      <w:proofErr w:type="spellEnd"/>
      <w:r w:rsidRPr="00D659FE">
        <w:rPr>
          <w:rFonts w:ascii="Times New Roman" w:hAnsi="Times New Roman" w:cs="Times New Roman"/>
          <w:sz w:val="24"/>
          <w:szCs w:val="24"/>
        </w:rPr>
        <w:t>, Buffer Solution</w:t>
      </w:r>
    </w:p>
    <w:p w14:paraId="204E9504" w14:textId="77777777" w:rsidR="00D659FE" w:rsidRPr="00F03613" w:rsidRDefault="00F03613" w:rsidP="00F036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3.1.3</w:t>
      </w:r>
      <w:r>
        <w:rPr>
          <w:rFonts w:ascii="Times New Roman" w:hAnsi="Times New Roman" w:cs="Times New Roman"/>
          <w:b/>
          <w:sz w:val="24"/>
          <w:szCs w:val="24"/>
        </w:rPr>
        <w:tab/>
      </w:r>
      <w:r w:rsidR="005E1AA2" w:rsidRPr="00F03613">
        <w:rPr>
          <w:rFonts w:ascii="Times New Roman" w:hAnsi="Times New Roman" w:cs="Times New Roman"/>
          <w:b/>
          <w:sz w:val="24"/>
          <w:szCs w:val="24"/>
        </w:rPr>
        <w:t>Reagent 2</w:t>
      </w:r>
      <w:r w:rsidR="00D659FE" w:rsidRPr="00F03613">
        <w:rPr>
          <w:rFonts w:ascii="Times New Roman" w:hAnsi="Times New Roman" w:cs="Times New Roman"/>
          <w:b/>
          <w:sz w:val="24"/>
          <w:szCs w:val="24"/>
        </w:rPr>
        <w:t xml:space="preserve"> (Antacids):</w:t>
      </w:r>
    </w:p>
    <w:p w14:paraId="01B78144" w14:textId="77777777" w:rsidR="00D659FE" w:rsidRPr="00F03613" w:rsidRDefault="009E55DF" w:rsidP="009A5A72">
      <w:pPr>
        <w:spacing w:after="0" w:line="360" w:lineRule="auto"/>
        <w:jc w:val="both"/>
        <w:rPr>
          <w:rFonts w:ascii="Times New Roman" w:hAnsi="Times New Roman" w:cs="Times New Roman"/>
          <w:sz w:val="24"/>
          <w:szCs w:val="24"/>
        </w:rPr>
      </w:pPr>
      <w:r w:rsidRPr="00F03613">
        <w:rPr>
          <w:rFonts w:ascii="Times New Roman" w:hAnsi="Times New Roman" w:cs="Times New Roman"/>
          <w:sz w:val="24"/>
          <w:szCs w:val="24"/>
        </w:rPr>
        <w:t>4 Suspension, 5 Tablets, 2 Liquids</w:t>
      </w:r>
      <w:r w:rsidR="00D659FE" w:rsidRPr="00F03613">
        <w:rPr>
          <w:rFonts w:ascii="Times New Roman" w:hAnsi="Times New Roman" w:cs="Times New Roman"/>
          <w:sz w:val="24"/>
          <w:szCs w:val="24"/>
        </w:rPr>
        <w:t>.</w:t>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r w:rsidR="00D659FE" w:rsidRPr="00F03613">
        <w:rPr>
          <w:rFonts w:ascii="Times New Roman" w:hAnsi="Times New Roman" w:cs="Times New Roman"/>
          <w:sz w:val="24"/>
          <w:szCs w:val="24"/>
        </w:rPr>
        <w:tab/>
      </w:r>
    </w:p>
    <w:p w14:paraId="77E6B3C3" w14:textId="77777777" w:rsidR="00D659FE" w:rsidRPr="00D659FE" w:rsidRDefault="00C03B81" w:rsidP="00F03613">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SAMPLE PREPARATION</w:t>
      </w:r>
    </w:p>
    <w:p w14:paraId="688B4A88" w14:textId="77777777" w:rsidR="00C03B81" w:rsidRDefault="00C03B81" w:rsidP="00F03613">
      <w:pPr>
        <w:spacing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The experimental procedure commenced with the thorough cleaning and setup of all required apparatus. Each tablet sample was carefully ground into fine powder using a mortar and pestle and labeled appropriately as</w:t>
      </w:r>
      <w:r w:rsidR="009E55DF">
        <w:rPr>
          <w:rFonts w:ascii="Times New Roman" w:eastAsia="Times New Roman" w:hAnsi="Times New Roman" w:cs="Times New Roman"/>
          <w:sz w:val="24"/>
          <w:szCs w:val="24"/>
        </w:rPr>
        <w:t xml:space="preserve"> follows: Specimen A, Specimen B, Specimen C, Specimen D, and Specimen E</w:t>
      </w:r>
      <w:r w:rsidRPr="00C03B81">
        <w:rPr>
          <w:rFonts w:ascii="Times New Roman" w:eastAsia="Times New Roman" w:hAnsi="Times New Roman" w:cs="Times New Roman"/>
          <w:sz w:val="24"/>
          <w:szCs w:val="24"/>
        </w:rPr>
        <w:t>. After grinding, the powdered samples were wrapped in aluminum foil and properly labeled for identification. Precisely 2 g of each specimen was weighed using an analytical balance, and the weighing was performed in triplicates to ensure accuracy and repeatability (i.e., 2 g × 3 replicates). Subsequently, 400 mL of distilled water and 1000 mL of hydrochloric acid (</w:t>
      </w:r>
      <w:proofErr w:type="spellStart"/>
      <w:r w:rsidRPr="00C03B81">
        <w:rPr>
          <w:rFonts w:ascii="Times New Roman" w:eastAsia="Times New Roman" w:hAnsi="Times New Roman" w:cs="Times New Roman"/>
          <w:sz w:val="24"/>
          <w:szCs w:val="24"/>
        </w:rPr>
        <w:t>HCl</w:t>
      </w:r>
      <w:proofErr w:type="spellEnd"/>
      <w:r w:rsidRPr="00C03B81">
        <w:rPr>
          <w:rFonts w:ascii="Times New Roman" w:eastAsia="Times New Roman" w:hAnsi="Times New Roman" w:cs="Times New Roman"/>
          <w:sz w:val="24"/>
          <w:szCs w:val="24"/>
        </w:rPr>
        <w:t>) were measured using a measuring cylinder and combined in a 1000 mL standard flask, with the acid carefully added to the water to prevent splashing or hazardous reactions, following the standard acid-to-water mixing protocol.</w:t>
      </w:r>
    </w:p>
    <w:p w14:paraId="42B73C91" w14:textId="77777777" w:rsidR="00C03B81" w:rsidRPr="00C03B81" w:rsidRDefault="00C03B81" w:rsidP="00F03613">
      <w:pPr>
        <w:spacing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For the titration process,</w:t>
      </w:r>
      <w:r w:rsidR="009E55DF">
        <w:rPr>
          <w:rFonts w:ascii="Times New Roman" w:eastAsia="Times New Roman" w:hAnsi="Times New Roman" w:cs="Times New Roman"/>
          <w:sz w:val="24"/>
          <w:szCs w:val="24"/>
        </w:rPr>
        <w:t xml:space="preserve"> 2 g of Specimen A </w:t>
      </w:r>
      <w:r w:rsidRPr="00C03B81">
        <w:rPr>
          <w:rFonts w:ascii="Times New Roman" w:eastAsia="Times New Roman" w:hAnsi="Times New Roman" w:cs="Times New Roman"/>
          <w:sz w:val="24"/>
          <w:szCs w:val="24"/>
        </w:rPr>
        <w:t xml:space="preserve">was transferred into a clean conical flask, followed by the addition of 25 mL of distilled water. The mixture was vigorously shaken to ensure complete dissolution. A burette was mounted on a retort stand and filled with the acid solution prepared earlier. Three drops of methyl orange indicator were then added to the conical flask containing the specimen solution. While continuously swirling the flask, the acid solution from the burette was added </w:t>
      </w:r>
      <w:proofErr w:type="spellStart"/>
      <w:r w:rsidRPr="00C03B81">
        <w:rPr>
          <w:rFonts w:ascii="Times New Roman" w:eastAsia="Times New Roman" w:hAnsi="Times New Roman" w:cs="Times New Roman"/>
          <w:sz w:val="24"/>
          <w:szCs w:val="24"/>
        </w:rPr>
        <w:t>dropwise</w:t>
      </w:r>
      <w:proofErr w:type="spellEnd"/>
      <w:r w:rsidRPr="00C03B81">
        <w:rPr>
          <w:rFonts w:ascii="Times New Roman" w:eastAsia="Times New Roman" w:hAnsi="Times New Roman" w:cs="Times New Roman"/>
          <w:sz w:val="24"/>
          <w:szCs w:val="24"/>
        </w:rPr>
        <w:t xml:space="preserve"> until a clear and stable color change was observed, indicating the titration endpoint. The volume of acid used was recorded. This titration procedure was repeated three times for each of the five specimens (A to E) to ensure consistency and reliability of results.</w:t>
      </w:r>
    </w:p>
    <w:p w14:paraId="0A9B5581" w14:textId="77777777" w:rsidR="001E66C2" w:rsidRDefault="00C03B81" w:rsidP="00F03613">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1E66C2">
        <w:rPr>
          <w:rFonts w:ascii="Times New Roman" w:hAnsi="Times New Roman" w:cs="Times New Roman"/>
          <w:b/>
          <w:sz w:val="24"/>
          <w:szCs w:val="24"/>
        </w:rPr>
        <w:t>.3</w:t>
      </w:r>
      <w:r w:rsidR="001E66C2">
        <w:rPr>
          <w:rFonts w:ascii="Times New Roman" w:hAnsi="Times New Roman" w:cs="Times New Roman"/>
          <w:b/>
          <w:sz w:val="24"/>
          <w:szCs w:val="24"/>
        </w:rPr>
        <w:tab/>
        <w:t>ORGANOLEPTIC PROPERTIES OF ANTACID FORMULATIONS</w:t>
      </w:r>
    </w:p>
    <w:p w14:paraId="042BECA4" w14:textId="77777777" w:rsidR="00C03B81" w:rsidRPr="001E66C2" w:rsidRDefault="00C03B81" w:rsidP="009A5A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3.1: organoleptic properties of antacid formulations </w:t>
      </w:r>
    </w:p>
    <w:tbl>
      <w:tblPr>
        <w:tblStyle w:val="TableGrid"/>
        <w:tblW w:w="9778" w:type="dxa"/>
        <w:jc w:val="center"/>
        <w:tblLayout w:type="fixed"/>
        <w:tblLook w:val="04A0" w:firstRow="1" w:lastRow="0" w:firstColumn="1" w:lastColumn="0" w:noHBand="0" w:noVBand="1"/>
      </w:tblPr>
      <w:tblGrid>
        <w:gridCol w:w="630"/>
        <w:gridCol w:w="971"/>
        <w:gridCol w:w="1170"/>
        <w:gridCol w:w="1260"/>
        <w:gridCol w:w="1639"/>
        <w:gridCol w:w="1781"/>
        <w:gridCol w:w="990"/>
        <w:gridCol w:w="1337"/>
      </w:tblGrid>
      <w:tr w:rsidR="005F4524" w:rsidRPr="00D70544" w14:paraId="5ADF1113" w14:textId="77777777" w:rsidTr="005F4524">
        <w:trPr>
          <w:jc w:val="center"/>
        </w:trPr>
        <w:tc>
          <w:tcPr>
            <w:tcW w:w="630" w:type="dxa"/>
            <w:hideMark/>
          </w:tcPr>
          <w:p w14:paraId="2421FA97" w14:textId="77777777"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S/N</w:t>
            </w:r>
          </w:p>
        </w:tc>
        <w:tc>
          <w:tcPr>
            <w:tcW w:w="971" w:type="dxa"/>
            <w:hideMark/>
          </w:tcPr>
          <w:p w14:paraId="4697305F" w14:textId="77777777"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Brand Name</w:t>
            </w:r>
          </w:p>
        </w:tc>
        <w:tc>
          <w:tcPr>
            <w:tcW w:w="1170" w:type="dxa"/>
            <w:hideMark/>
          </w:tcPr>
          <w:p w14:paraId="31278B39" w14:textId="77777777"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Country</w:t>
            </w:r>
          </w:p>
        </w:tc>
        <w:tc>
          <w:tcPr>
            <w:tcW w:w="1260" w:type="dxa"/>
            <w:hideMark/>
          </w:tcPr>
          <w:p w14:paraId="5514D3F6" w14:textId="77777777" w:rsidR="00D70544" w:rsidRP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Dosage Form</w:t>
            </w:r>
          </w:p>
        </w:tc>
        <w:tc>
          <w:tcPr>
            <w:tcW w:w="1639" w:type="dxa"/>
            <w:hideMark/>
          </w:tcPr>
          <w:p w14:paraId="1B145E6F" w14:textId="77777777" w:rsidR="00D70544" w:rsidRPr="00D70544" w:rsidRDefault="00D70544"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Package</w:t>
            </w:r>
          </w:p>
        </w:tc>
        <w:tc>
          <w:tcPr>
            <w:tcW w:w="1781" w:type="dxa"/>
            <w:hideMark/>
          </w:tcPr>
          <w:p w14:paraId="77778889" w14:textId="77777777" w:rsidR="00D70544" w:rsidRPr="00D70544" w:rsidRDefault="00D70544" w:rsidP="009A5A72">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Composition</w:t>
            </w:r>
          </w:p>
        </w:tc>
        <w:tc>
          <w:tcPr>
            <w:tcW w:w="990" w:type="dxa"/>
            <w:hideMark/>
          </w:tcPr>
          <w:p w14:paraId="3FBDE329" w14:textId="77777777" w:rsidR="00D70544" w:rsidRPr="00D70544" w:rsidRDefault="00D70544" w:rsidP="009A5A72">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Colour</w:t>
            </w:r>
            <w:proofErr w:type="spellEnd"/>
          </w:p>
        </w:tc>
        <w:tc>
          <w:tcPr>
            <w:tcW w:w="1337" w:type="dxa"/>
          </w:tcPr>
          <w:p w14:paraId="72C06B3E" w14:textId="77777777" w:rsidR="00D70544" w:rsidRDefault="00D70544" w:rsidP="009A5A72">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Odour</w:t>
            </w:r>
            <w:proofErr w:type="spellEnd"/>
            <w:r>
              <w:rPr>
                <w:rFonts w:ascii="Times New Roman" w:hAnsi="Times New Roman" w:cs="Times New Roman"/>
                <w:b/>
                <w:bCs/>
                <w:sz w:val="24"/>
                <w:szCs w:val="24"/>
              </w:rPr>
              <w:t xml:space="preserve"> &amp; </w:t>
            </w:r>
            <w:proofErr w:type="spellStart"/>
            <w:r>
              <w:rPr>
                <w:rFonts w:ascii="Times New Roman" w:hAnsi="Times New Roman" w:cs="Times New Roman"/>
                <w:b/>
                <w:bCs/>
                <w:sz w:val="24"/>
                <w:szCs w:val="24"/>
              </w:rPr>
              <w:t>Flavour</w:t>
            </w:r>
            <w:proofErr w:type="spellEnd"/>
          </w:p>
        </w:tc>
      </w:tr>
      <w:tr w:rsidR="005F4524" w:rsidRPr="00D70544" w14:paraId="2F8D08E2" w14:textId="77777777" w:rsidTr="005F4524">
        <w:trPr>
          <w:jc w:val="center"/>
        </w:trPr>
        <w:tc>
          <w:tcPr>
            <w:tcW w:w="630" w:type="dxa"/>
            <w:hideMark/>
          </w:tcPr>
          <w:p w14:paraId="3A9EE0CB" w14:textId="77777777"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1</w:t>
            </w:r>
          </w:p>
        </w:tc>
        <w:tc>
          <w:tcPr>
            <w:tcW w:w="971" w:type="dxa"/>
            <w:hideMark/>
          </w:tcPr>
          <w:p w14:paraId="7C228BE2" w14:textId="77777777" w:rsidR="00D70544" w:rsidRPr="00D70544" w:rsidRDefault="00D70544" w:rsidP="009A5A72">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Kriscet</w:t>
            </w:r>
            <w:proofErr w:type="spellEnd"/>
          </w:p>
        </w:tc>
        <w:tc>
          <w:tcPr>
            <w:tcW w:w="1170" w:type="dxa"/>
            <w:hideMark/>
          </w:tcPr>
          <w:p w14:paraId="545D4986"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14:paraId="19DA6D3A"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14:paraId="6B9D11D9" w14:textId="77777777" w:rsidR="00D70544" w:rsidRPr="00D70544" w:rsidRDefault="00D70544" w:rsidP="009A5A72">
            <w:pPr>
              <w:spacing w:line="360" w:lineRule="auto"/>
              <w:rPr>
                <w:rFonts w:ascii="Times New Roman" w:hAnsi="Times New Roman" w:cs="Times New Roman"/>
                <w:sz w:val="24"/>
                <w:szCs w:val="24"/>
              </w:rPr>
            </w:pPr>
            <w:r>
              <w:rPr>
                <w:rFonts w:ascii="Times New Roman" w:hAnsi="Times New Roman" w:cs="Times New Roman"/>
                <w:sz w:val="24"/>
                <w:szCs w:val="24"/>
              </w:rPr>
              <w:t>20</w:t>
            </w:r>
            <w:r w:rsidRPr="00D70544">
              <w:rPr>
                <w:rFonts w:ascii="Times New Roman" w:hAnsi="Times New Roman" w:cs="Times New Roman"/>
                <w:sz w:val="24"/>
                <w:szCs w:val="24"/>
              </w:rPr>
              <w:t>0 mg</w:t>
            </w:r>
            <w:r>
              <w:rPr>
                <w:rFonts w:ascii="Times New Roman" w:hAnsi="Times New Roman" w:cs="Times New Roman"/>
                <w:sz w:val="24"/>
                <w:szCs w:val="24"/>
              </w:rPr>
              <w:t xml:space="preserve"> Sachet</w:t>
            </w:r>
          </w:p>
        </w:tc>
        <w:tc>
          <w:tcPr>
            <w:tcW w:w="1781" w:type="dxa"/>
            <w:hideMark/>
          </w:tcPr>
          <w:p w14:paraId="03C2B27D"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Each uncoated tablet contains Cimetidine BP 2</w:t>
            </w:r>
            <w:r>
              <w:rPr>
                <w:rFonts w:ascii="Times New Roman" w:hAnsi="Times New Roman" w:cs="Times New Roman"/>
                <w:sz w:val="24"/>
                <w:szCs w:val="24"/>
              </w:rPr>
              <w:t>0</w:t>
            </w:r>
            <w:r w:rsidRPr="00D70544">
              <w:rPr>
                <w:rFonts w:ascii="Times New Roman" w:hAnsi="Times New Roman" w:cs="Times New Roman"/>
                <w:sz w:val="24"/>
                <w:szCs w:val="24"/>
              </w:rPr>
              <w:t xml:space="preserve">0 mg. Excipients </w:t>
            </w:r>
            <w:r>
              <w:rPr>
                <w:rFonts w:ascii="Times New Roman" w:hAnsi="Times New Roman" w:cs="Times New Roman"/>
                <w:sz w:val="24"/>
                <w:szCs w:val="24"/>
              </w:rPr>
              <w:t>Q.S</w:t>
            </w:r>
          </w:p>
        </w:tc>
        <w:tc>
          <w:tcPr>
            <w:tcW w:w="990" w:type="dxa"/>
            <w:hideMark/>
          </w:tcPr>
          <w:p w14:paraId="5F46143D"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 W</w:t>
            </w:r>
            <w:r w:rsidR="00C44110">
              <w:rPr>
                <w:rFonts w:ascii="Times New Roman" w:hAnsi="Times New Roman" w:cs="Times New Roman"/>
                <w:sz w:val="24"/>
                <w:szCs w:val="24"/>
              </w:rPr>
              <w:t>hite</w:t>
            </w:r>
            <w:r w:rsidR="00C44110">
              <w:rPr>
                <w:rFonts w:ascii="Times New Roman" w:hAnsi="Times New Roman" w:cs="Times New Roman"/>
                <w:sz w:val="24"/>
                <w:szCs w:val="24"/>
              </w:rPr>
              <w:br/>
            </w:r>
          </w:p>
        </w:tc>
        <w:tc>
          <w:tcPr>
            <w:tcW w:w="1337" w:type="dxa"/>
          </w:tcPr>
          <w:p w14:paraId="1E835628" w14:textId="77777777"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Odorless and bitter</w:t>
            </w:r>
          </w:p>
        </w:tc>
      </w:tr>
      <w:tr w:rsidR="005F4524" w:rsidRPr="00D70544" w14:paraId="475A4D61" w14:textId="77777777" w:rsidTr="005F4524">
        <w:trPr>
          <w:jc w:val="center"/>
        </w:trPr>
        <w:tc>
          <w:tcPr>
            <w:tcW w:w="630" w:type="dxa"/>
            <w:hideMark/>
          </w:tcPr>
          <w:p w14:paraId="509AA376" w14:textId="77777777"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2</w:t>
            </w:r>
          </w:p>
        </w:tc>
        <w:tc>
          <w:tcPr>
            <w:tcW w:w="971" w:type="dxa"/>
            <w:hideMark/>
          </w:tcPr>
          <w:p w14:paraId="577DCC25" w14:textId="77777777" w:rsidR="00D70544" w:rsidRPr="00D70544" w:rsidRDefault="00C44110" w:rsidP="009A5A72">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Phe</w:t>
            </w:r>
            <w:r w:rsidR="00D70544" w:rsidRPr="00D70544">
              <w:rPr>
                <w:rFonts w:ascii="Times New Roman" w:hAnsi="Times New Roman" w:cs="Times New Roman"/>
                <w:sz w:val="24"/>
                <w:szCs w:val="24"/>
              </w:rPr>
              <w:t>rix</w:t>
            </w:r>
            <w:proofErr w:type="spellEnd"/>
          </w:p>
        </w:tc>
        <w:tc>
          <w:tcPr>
            <w:tcW w:w="1170" w:type="dxa"/>
            <w:hideMark/>
          </w:tcPr>
          <w:p w14:paraId="100D7EF6"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60" w:type="dxa"/>
            <w:hideMark/>
          </w:tcPr>
          <w:p w14:paraId="70CC5CD6"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14:paraId="6B1263CB" w14:textId="77777777"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10m</w:t>
            </w:r>
            <w:r w:rsidR="00D70544" w:rsidRPr="00D70544">
              <w:rPr>
                <w:rFonts w:ascii="Times New Roman" w:hAnsi="Times New Roman" w:cs="Times New Roman"/>
                <w:sz w:val="24"/>
                <w:szCs w:val="24"/>
              </w:rPr>
              <w:t>g</w:t>
            </w:r>
          </w:p>
        </w:tc>
        <w:tc>
          <w:tcPr>
            <w:tcW w:w="1781" w:type="dxa"/>
            <w:hideMark/>
          </w:tcPr>
          <w:p w14:paraId="3B8B4BB9" w14:textId="77777777" w:rsidR="00D70544" w:rsidRPr="00D70544" w:rsidRDefault="00C44110" w:rsidP="009A5A72">
            <w:pPr>
              <w:spacing w:line="360" w:lineRule="auto"/>
              <w:rPr>
                <w:rFonts w:ascii="Times New Roman" w:hAnsi="Times New Roman" w:cs="Times New Roman"/>
                <w:sz w:val="24"/>
                <w:szCs w:val="24"/>
              </w:rPr>
            </w:pPr>
            <w:r>
              <w:rPr>
                <w:rFonts w:ascii="Times New Roman" w:hAnsi="Times New Roman" w:cs="Times New Roman"/>
                <w:sz w:val="24"/>
                <w:szCs w:val="24"/>
              </w:rPr>
              <w:t>Each enteric c</w:t>
            </w:r>
            <w:r w:rsidR="00D70544" w:rsidRPr="00D70544">
              <w:rPr>
                <w:rFonts w:ascii="Times New Roman" w:hAnsi="Times New Roman" w:cs="Times New Roman"/>
                <w:sz w:val="24"/>
                <w:szCs w:val="24"/>
              </w:rPr>
              <w:t>o</w:t>
            </w:r>
            <w:r w:rsidR="00BA04F8">
              <w:rPr>
                <w:rFonts w:ascii="Times New Roman" w:hAnsi="Times New Roman" w:cs="Times New Roman"/>
                <w:sz w:val="24"/>
                <w:szCs w:val="24"/>
              </w:rPr>
              <w:t xml:space="preserve">ated tablet contains </w:t>
            </w:r>
            <w:proofErr w:type="spellStart"/>
            <w:r w:rsidR="00BA04F8">
              <w:rPr>
                <w:rFonts w:ascii="Times New Roman" w:hAnsi="Times New Roman" w:cs="Times New Roman"/>
                <w:sz w:val="24"/>
                <w:szCs w:val="24"/>
              </w:rPr>
              <w:t>Dexrabeprazole</w:t>
            </w:r>
            <w:proofErr w:type="spellEnd"/>
            <w:r w:rsidR="00BA04F8">
              <w:rPr>
                <w:rFonts w:ascii="Times New Roman" w:hAnsi="Times New Roman" w:cs="Times New Roman"/>
                <w:sz w:val="24"/>
                <w:szCs w:val="24"/>
              </w:rPr>
              <w:t xml:space="preserve"> Sodium</w:t>
            </w:r>
            <w:r w:rsidR="00D70544" w:rsidRPr="00D70544">
              <w:rPr>
                <w:rFonts w:ascii="Times New Roman" w:hAnsi="Times New Roman" w:cs="Times New Roman"/>
                <w:sz w:val="24"/>
                <w:szCs w:val="24"/>
              </w:rPr>
              <w:t xml:space="preserve"> </w:t>
            </w:r>
            <w:r w:rsidR="00BA04F8">
              <w:rPr>
                <w:rFonts w:ascii="Times New Roman" w:hAnsi="Times New Roman" w:cs="Times New Roman"/>
                <w:sz w:val="24"/>
                <w:szCs w:val="24"/>
              </w:rPr>
              <w:t>10</w:t>
            </w:r>
            <w:r w:rsidR="001E66C2">
              <w:rPr>
                <w:rFonts w:ascii="Times New Roman" w:hAnsi="Times New Roman" w:cs="Times New Roman"/>
                <w:sz w:val="24"/>
                <w:szCs w:val="24"/>
              </w:rPr>
              <w:t xml:space="preserve"> </w:t>
            </w:r>
            <w:r w:rsidR="00D70544" w:rsidRPr="00D70544">
              <w:rPr>
                <w:rFonts w:ascii="Times New Roman" w:hAnsi="Times New Roman" w:cs="Times New Roman"/>
                <w:sz w:val="24"/>
                <w:szCs w:val="24"/>
              </w:rPr>
              <w:t xml:space="preserve">mg. Excipients </w:t>
            </w:r>
            <w:r w:rsidR="00BA04F8">
              <w:rPr>
                <w:rFonts w:ascii="Times New Roman" w:hAnsi="Times New Roman" w:cs="Times New Roman"/>
                <w:sz w:val="24"/>
                <w:szCs w:val="24"/>
              </w:rPr>
              <w:t>Q.S</w:t>
            </w:r>
            <w:r w:rsidR="00D70544" w:rsidRPr="00D70544">
              <w:rPr>
                <w:rFonts w:ascii="Times New Roman" w:hAnsi="Times New Roman" w:cs="Times New Roman"/>
                <w:sz w:val="24"/>
                <w:szCs w:val="24"/>
              </w:rPr>
              <w:t>.</w:t>
            </w:r>
          </w:p>
        </w:tc>
        <w:tc>
          <w:tcPr>
            <w:tcW w:w="990" w:type="dxa"/>
            <w:hideMark/>
          </w:tcPr>
          <w:p w14:paraId="69E4BE1D" w14:textId="77777777"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White</w:t>
            </w:r>
          </w:p>
        </w:tc>
        <w:tc>
          <w:tcPr>
            <w:tcW w:w="1337" w:type="dxa"/>
          </w:tcPr>
          <w:p w14:paraId="075E4A70" w14:textId="77777777"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5F4524" w:rsidRPr="00D70544" w14:paraId="4D3714D8" w14:textId="77777777" w:rsidTr="005F4524">
        <w:trPr>
          <w:jc w:val="center"/>
        </w:trPr>
        <w:tc>
          <w:tcPr>
            <w:tcW w:w="630" w:type="dxa"/>
            <w:hideMark/>
          </w:tcPr>
          <w:p w14:paraId="6E575FE5" w14:textId="77777777"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3</w:t>
            </w:r>
          </w:p>
        </w:tc>
        <w:tc>
          <w:tcPr>
            <w:tcW w:w="971" w:type="dxa"/>
            <w:hideMark/>
          </w:tcPr>
          <w:p w14:paraId="2906D658" w14:textId="77777777" w:rsidR="00D70544" w:rsidRPr="00D70544" w:rsidRDefault="00D70544" w:rsidP="009A5A72">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Krisnat</w:t>
            </w:r>
            <w:proofErr w:type="spellEnd"/>
            <w:r w:rsidRPr="00D70544">
              <w:rPr>
                <w:rFonts w:ascii="Times New Roman" w:hAnsi="Times New Roman" w:cs="Times New Roman"/>
                <w:sz w:val="24"/>
                <w:szCs w:val="24"/>
              </w:rPr>
              <w:t xml:space="preserve"> Omeprazole</w:t>
            </w:r>
          </w:p>
        </w:tc>
        <w:tc>
          <w:tcPr>
            <w:tcW w:w="1170" w:type="dxa"/>
            <w:hideMark/>
          </w:tcPr>
          <w:p w14:paraId="0659B514"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14:paraId="3A848234"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14:paraId="0883D8BD"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20 mg</w:t>
            </w:r>
          </w:p>
        </w:tc>
        <w:tc>
          <w:tcPr>
            <w:tcW w:w="1781" w:type="dxa"/>
            <w:hideMark/>
          </w:tcPr>
          <w:p w14:paraId="451E87F4"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Omeprazole</w:t>
            </w:r>
            <w:r w:rsidR="00BA04F8">
              <w:rPr>
                <w:rFonts w:ascii="Times New Roman" w:hAnsi="Times New Roman" w:cs="Times New Roman"/>
                <w:sz w:val="24"/>
                <w:szCs w:val="24"/>
              </w:rPr>
              <w:t xml:space="preserve"> (as enteric coated pellets)</w:t>
            </w:r>
            <w:r w:rsidRPr="00D70544">
              <w:rPr>
                <w:rFonts w:ascii="Times New Roman" w:hAnsi="Times New Roman" w:cs="Times New Roman"/>
                <w:sz w:val="24"/>
                <w:szCs w:val="24"/>
              </w:rPr>
              <w:t xml:space="preserve"> 20 mg.</w:t>
            </w:r>
          </w:p>
        </w:tc>
        <w:tc>
          <w:tcPr>
            <w:tcW w:w="990" w:type="dxa"/>
            <w:hideMark/>
          </w:tcPr>
          <w:p w14:paraId="3F526572"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337" w:type="dxa"/>
          </w:tcPr>
          <w:p w14:paraId="570A9D08" w14:textId="77777777" w:rsidR="00D70544" w:rsidRPr="00D70544" w:rsidRDefault="00BA04F8"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5F4524" w:rsidRPr="00D70544" w14:paraId="2E14C53C" w14:textId="77777777" w:rsidTr="005F4524">
        <w:trPr>
          <w:jc w:val="center"/>
        </w:trPr>
        <w:tc>
          <w:tcPr>
            <w:tcW w:w="630" w:type="dxa"/>
            <w:hideMark/>
          </w:tcPr>
          <w:p w14:paraId="5527939C" w14:textId="77777777"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4</w:t>
            </w:r>
          </w:p>
        </w:tc>
        <w:tc>
          <w:tcPr>
            <w:tcW w:w="971" w:type="dxa"/>
            <w:hideMark/>
          </w:tcPr>
          <w:p w14:paraId="6A56AC26" w14:textId="77777777" w:rsidR="00D70544" w:rsidRPr="00D70544" w:rsidRDefault="00BA04F8" w:rsidP="009A5A72">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Gestid</w:t>
            </w:r>
            <w:proofErr w:type="spellEnd"/>
          </w:p>
        </w:tc>
        <w:tc>
          <w:tcPr>
            <w:tcW w:w="1170" w:type="dxa"/>
            <w:hideMark/>
          </w:tcPr>
          <w:p w14:paraId="1A171DE6"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60" w:type="dxa"/>
            <w:hideMark/>
          </w:tcPr>
          <w:p w14:paraId="03E2D035"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14:paraId="2F5A37F4"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300 mg</w:t>
            </w:r>
          </w:p>
        </w:tc>
        <w:tc>
          <w:tcPr>
            <w:tcW w:w="1781" w:type="dxa"/>
            <w:hideMark/>
          </w:tcPr>
          <w:p w14:paraId="3321560C"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Each</w:t>
            </w:r>
            <w:r w:rsidR="00BA04F8">
              <w:rPr>
                <w:rFonts w:ascii="Times New Roman" w:hAnsi="Times New Roman" w:cs="Times New Roman"/>
                <w:sz w:val="24"/>
                <w:szCs w:val="24"/>
              </w:rPr>
              <w:t xml:space="preserve"> chewable</w:t>
            </w:r>
            <w:r w:rsidRPr="00D70544">
              <w:rPr>
                <w:rFonts w:ascii="Times New Roman" w:hAnsi="Times New Roman" w:cs="Times New Roman"/>
                <w:sz w:val="24"/>
                <w:szCs w:val="24"/>
              </w:rPr>
              <w:t xml:space="preserve"> tablet contain</w:t>
            </w:r>
            <w:r w:rsidR="00BA04F8">
              <w:rPr>
                <w:rFonts w:ascii="Times New Roman" w:hAnsi="Times New Roman" w:cs="Times New Roman"/>
                <w:sz w:val="24"/>
                <w:szCs w:val="24"/>
              </w:rPr>
              <w:t xml:space="preserve">s: Dried </w:t>
            </w:r>
            <w:proofErr w:type="spellStart"/>
            <w:r w:rsidR="00BA04F8">
              <w:rPr>
                <w:rFonts w:ascii="Times New Roman" w:hAnsi="Times New Roman" w:cs="Times New Roman"/>
                <w:sz w:val="24"/>
                <w:szCs w:val="24"/>
              </w:rPr>
              <w:t>Aluminium</w:t>
            </w:r>
            <w:proofErr w:type="spellEnd"/>
            <w:r w:rsidR="00BA04F8">
              <w:rPr>
                <w:rFonts w:ascii="Times New Roman" w:hAnsi="Times New Roman" w:cs="Times New Roman"/>
                <w:sz w:val="24"/>
                <w:szCs w:val="24"/>
              </w:rPr>
              <w:t xml:space="preserve"> Hydroxide</w:t>
            </w:r>
            <w:r w:rsidR="001E66C2">
              <w:rPr>
                <w:rFonts w:ascii="Times New Roman" w:hAnsi="Times New Roman" w:cs="Times New Roman"/>
                <w:sz w:val="24"/>
                <w:szCs w:val="24"/>
              </w:rPr>
              <w:t xml:space="preserve"> BP 300 mg </w:t>
            </w:r>
            <w:r w:rsidRPr="00D70544">
              <w:rPr>
                <w:rFonts w:ascii="Times New Roman" w:hAnsi="Times New Roman" w:cs="Times New Roman"/>
                <w:sz w:val="24"/>
                <w:szCs w:val="24"/>
              </w:rPr>
              <w:t xml:space="preserve">Magnesium </w:t>
            </w:r>
            <w:proofErr w:type="spellStart"/>
            <w:r w:rsidRPr="00D70544">
              <w:rPr>
                <w:rFonts w:ascii="Times New Roman" w:hAnsi="Times New Roman" w:cs="Times New Roman"/>
                <w:sz w:val="24"/>
                <w:szCs w:val="24"/>
              </w:rPr>
              <w:t>Trisilicate</w:t>
            </w:r>
            <w:proofErr w:type="spellEnd"/>
            <w:r w:rsidRPr="00D70544">
              <w:rPr>
                <w:rFonts w:ascii="Times New Roman" w:hAnsi="Times New Roman" w:cs="Times New Roman"/>
                <w:sz w:val="24"/>
                <w:szCs w:val="24"/>
              </w:rPr>
              <w:t xml:space="preserve"> </w:t>
            </w:r>
            <w:r w:rsidR="001E66C2">
              <w:rPr>
                <w:rFonts w:ascii="Times New Roman" w:hAnsi="Times New Roman" w:cs="Times New Roman"/>
                <w:sz w:val="24"/>
                <w:szCs w:val="24"/>
              </w:rPr>
              <w:t>B</w:t>
            </w:r>
            <w:r w:rsidRPr="00D70544">
              <w:rPr>
                <w:rFonts w:ascii="Times New Roman" w:hAnsi="Times New Roman" w:cs="Times New Roman"/>
                <w:sz w:val="24"/>
                <w:szCs w:val="24"/>
              </w:rPr>
              <w:t>P</w:t>
            </w:r>
            <w:r w:rsidR="001E66C2">
              <w:rPr>
                <w:rFonts w:ascii="Times New Roman" w:hAnsi="Times New Roman" w:cs="Times New Roman"/>
                <w:sz w:val="24"/>
                <w:szCs w:val="24"/>
              </w:rPr>
              <w:t xml:space="preserve"> 5</w:t>
            </w:r>
            <w:r w:rsidRPr="00D70544">
              <w:rPr>
                <w:rFonts w:ascii="Times New Roman" w:hAnsi="Times New Roman" w:cs="Times New Roman"/>
                <w:sz w:val="24"/>
                <w:szCs w:val="24"/>
              </w:rPr>
              <w:t>0 mg</w:t>
            </w:r>
            <w:r w:rsidR="001E66C2">
              <w:rPr>
                <w:rFonts w:ascii="Times New Roman" w:hAnsi="Times New Roman" w:cs="Times New Roman"/>
                <w:sz w:val="24"/>
                <w:szCs w:val="24"/>
              </w:rPr>
              <w:t xml:space="preserve"> Magnesium Hydroxide USP 25 mg </w:t>
            </w:r>
            <w:proofErr w:type="spellStart"/>
            <w:r w:rsidR="001E66C2">
              <w:rPr>
                <w:rFonts w:ascii="Times New Roman" w:hAnsi="Times New Roman" w:cs="Times New Roman"/>
                <w:sz w:val="24"/>
                <w:szCs w:val="24"/>
              </w:rPr>
              <w:t>Simetilicone</w:t>
            </w:r>
            <w:proofErr w:type="spellEnd"/>
            <w:r w:rsidR="001E66C2">
              <w:rPr>
                <w:rFonts w:ascii="Times New Roman" w:hAnsi="Times New Roman" w:cs="Times New Roman"/>
                <w:sz w:val="24"/>
                <w:szCs w:val="24"/>
              </w:rPr>
              <w:t xml:space="preserve"> USP 10 mg.</w:t>
            </w:r>
          </w:p>
        </w:tc>
        <w:tc>
          <w:tcPr>
            <w:tcW w:w="990" w:type="dxa"/>
            <w:hideMark/>
          </w:tcPr>
          <w:p w14:paraId="20EECC00"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Light yellow</w:t>
            </w:r>
            <w:r w:rsidRPr="00D70544">
              <w:rPr>
                <w:rFonts w:ascii="Times New Roman" w:hAnsi="Times New Roman" w:cs="Times New Roman"/>
                <w:sz w:val="24"/>
                <w:szCs w:val="24"/>
              </w:rPr>
              <w:br/>
            </w:r>
          </w:p>
        </w:tc>
        <w:tc>
          <w:tcPr>
            <w:tcW w:w="1337" w:type="dxa"/>
          </w:tcPr>
          <w:p w14:paraId="0414D3FA" w14:textId="77777777" w:rsidR="00D70544" w:rsidRPr="00D70544" w:rsidRDefault="001E66C2"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5F4524" w:rsidRPr="00D70544" w14:paraId="6098EE1D" w14:textId="77777777" w:rsidTr="005F4524">
        <w:trPr>
          <w:jc w:val="center"/>
        </w:trPr>
        <w:tc>
          <w:tcPr>
            <w:tcW w:w="630" w:type="dxa"/>
            <w:hideMark/>
          </w:tcPr>
          <w:p w14:paraId="6DDF571A" w14:textId="77777777" w:rsidR="00D70544" w:rsidRPr="00D70544" w:rsidRDefault="00D70544" w:rsidP="009A5A72">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5</w:t>
            </w:r>
          </w:p>
        </w:tc>
        <w:tc>
          <w:tcPr>
            <w:tcW w:w="971" w:type="dxa"/>
            <w:hideMark/>
          </w:tcPr>
          <w:p w14:paraId="2C1D6527" w14:textId="77777777" w:rsidR="00D70544" w:rsidRPr="00D70544" w:rsidRDefault="00D70544" w:rsidP="009A5A72">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Krisacid</w:t>
            </w:r>
            <w:proofErr w:type="spellEnd"/>
          </w:p>
        </w:tc>
        <w:tc>
          <w:tcPr>
            <w:tcW w:w="1170" w:type="dxa"/>
            <w:hideMark/>
          </w:tcPr>
          <w:p w14:paraId="7EBE4170"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60" w:type="dxa"/>
            <w:hideMark/>
          </w:tcPr>
          <w:p w14:paraId="63E14F56"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639" w:type="dxa"/>
            <w:hideMark/>
          </w:tcPr>
          <w:p w14:paraId="55AD746D"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250 mg</w:t>
            </w:r>
          </w:p>
        </w:tc>
        <w:tc>
          <w:tcPr>
            <w:tcW w:w="1781" w:type="dxa"/>
            <w:hideMark/>
          </w:tcPr>
          <w:p w14:paraId="7A585FCC"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Each </w:t>
            </w:r>
            <w:r w:rsidR="001E66C2">
              <w:rPr>
                <w:rFonts w:ascii="Times New Roman" w:hAnsi="Times New Roman" w:cs="Times New Roman"/>
                <w:sz w:val="24"/>
                <w:szCs w:val="24"/>
              </w:rPr>
              <w:t xml:space="preserve">uncoated </w:t>
            </w:r>
            <w:r w:rsidRPr="00D70544">
              <w:rPr>
                <w:rFonts w:ascii="Times New Roman" w:hAnsi="Times New Roman" w:cs="Times New Roman"/>
                <w:sz w:val="24"/>
                <w:szCs w:val="24"/>
              </w:rPr>
              <w:t>tablet contains:</w:t>
            </w:r>
            <w:r w:rsidR="001E66C2">
              <w:rPr>
                <w:rFonts w:ascii="Times New Roman" w:hAnsi="Times New Roman" w:cs="Times New Roman"/>
                <w:sz w:val="24"/>
                <w:szCs w:val="24"/>
              </w:rPr>
              <w:t xml:space="preserve"> </w:t>
            </w:r>
            <w:r w:rsidRPr="00D70544">
              <w:rPr>
                <w:rFonts w:ascii="Times New Roman" w:hAnsi="Times New Roman" w:cs="Times New Roman"/>
                <w:sz w:val="24"/>
                <w:szCs w:val="24"/>
              </w:rPr>
              <w:t xml:space="preserve"> Magnesium </w:t>
            </w:r>
            <w:proofErr w:type="spellStart"/>
            <w:r w:rsidRPr="00D70544">
              <w:rPr>
                <w:rFonts w:ascii="Times New Roman" w:hAnsi="Times New Roman" w:cs="Times New Roman"/>
                <w:sz w:val="24"/>
                <w:szCs w:val="24"/>
              </w:rPr>
              <w:t>Trisilicate</w:t>
            </w:r>
            <w:proofErr w:type="spellEnd"/>
            <w:r w:rsidR="001E66C2">
              <w:rPr>
                <w:rFonts w:ascii="Times New Roman" w:hAnsi="Times New Roman" w:cs="Times New Roman"/>
                <w:sz w:val="24"/>
                <w:szCs w:val="24"/>
              </w:rPr>
              <w:t xml:space="preserve"> BP 250 mg</w:t>
            </w:r>
            <w:r w:rsidRPr="00D70544">
              <w:rPr>
                <w:rFonts w:ascii="Times New Roman" w:hAnsi="Times New Roman" w:cs="Times New Roman"/>
                <w:sz w:val="24"/>
                <w:szCs w:val="24"/>
              </w:rPr>
              <w:t>,</w:t>
            </w:r>
            <w:r w:rsidR="001E66C2">
              <w:rPr>
                <w:rFonts w:ascii="Times New Roman" w:hAnsi="Times New Roman" w:cs="Times New Roman"/>
                <w:sz w:val="24"/>
                <w:szCs w:val="24"/>
              </w:rPr>
              <w:t xml:space="preserve"> Dried </w:t>
            </w:r>
            <w:proofErr w:type="spellStart"/>
            <w:r w:rsidR="001E66C2">
              <w:rPr>
                <w:rFonts w:ascii="Times New Roman" w:hAnsi="Times New Roman" w:cs="Times New Roman"/>
                <w:sz w:val="24"/>
                <w:szCs w:val="24"/>
              </w:rPr>
              <w:t>Aluminium</w:t>
            </w:r>
            <w:proofErr w:type="spellEnd"/>
            <w:r w:rsidR="001E66C2">
              <w:rPr>
                <w:rFonts w:ascii="Times New Roman" w:hAnsi="Times New Roman" w:cs="Times New Roman"/>
                <w:sz w:val="24"/>
                <w:szCs w:val="24"/>
              </w:rPr>
              <w:t xml:space="preserve"> Hydroxide BP 120 mg, pepper mint flavor</w:t>
            </w:r>
            <w:r w:rsidRPr="00D70544">
              <w:rPr>
                <w:rFonts w:ascii="Times New Roman" w:hAnsi="Times New Roman" w:cs="Times New Roman"/>
                <w:sz w:val="24"/>
                <w:szCs w:val="24"/>
              </w:rPr>
              <w:t xml:space="preserve"> </w:t>
            </w:r>
            <w:r w:rsidR="001E66C2">
              <w:rPr>
                <w:rFonts w:ascii="Times New Roman" w:hAnsi="Times New Roman" w:cs="Times New Roman"/>
                <w:sz w:val="24"/>
                <w:szCs w:val="24"/>
              </w:rPr>
              <w:t>Q.S</w:t>
            </w:r>
            <w:r w:rsidRPr="00D70544">
              <w:rPr>
                <w:rFonts w:ascii="Times New Roman" w:hAnsi="Times New Roman" w:cs="Times New Roman"/>
                <w:sz w:val="24"/>
                <w:szCs w:val="24"/>
              </w:rPr>
              <w:t>.</w:t>
            </w:r>
          </w:p>
        </w:tc>
        <w:tc>
          <w:tcPr>
            <w:tcW w:w="990" w:type="dxa"/>
            <w:hideMark/>
          </w:tcPr>
          <w:p w14:paraId="2B600C06" w14:textId="77777777" w:rsidR="00D70544" w:rsidRPr="00D70544" w:rsidRDefault="00D70544" w:rsidP="009A5A72">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337" w:type="dxa"/>
          </w:tcPr>
          <w:p w14:paraId="1EB9FFD9" w14:textId="77777777" w:rsidR="00D70544" w:rsidRPr="00D70544" w:rsidRDefault="001E66C2" w:rsidP="009A5A72">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bl>
    <w:p w14:paraId="65F3B6E9" w14:textId="77777777" w:rsidR="00D70544" w:rsidRPr="00D659FE" w:rsidRDefault="00D70544" w:rsidP="009A5A72">
      <w:pPr>
        <w:spacing w:after="0" w:line="360" w:lineRule="auto"/>
        <w:jc w:val="both"/>
        <w:rPr>
          <w:rFonts w:ascii="Times New Roman" w:hAnsi="Times New Roman" w:cs="Times New Roman"/>
          <w:sz w:val="24"/>
          <w:szCs w:val="24"/>
        </w:rPr>
      </w:pPr>
    </w:p>
    <w:p w14:paraId="51BCE375" w14:textId="77777777" w:rsidR="00D659FE" w:rsidRPr="00D659FE" w:rsidRDefault="00D659FE" w:rsidP="009A5A72">
      <w:pPr>
        <w:spacing w:after="0" w:line="360" w:lineRule="auto"/>
        <w:jc w:val="both"/>
        <w:rPr>
          <w:rFonts w:ascii="Times New Roman" w:hAnsi="Times New Roman" w:cs="Times New Roman"/>
          <w:sz w:val="24"/>
          <w:szCs w:val="24"/>
        </w:rPr>
        <w:sectPr w:rsidR="00D659FE" w:rsidRPr="00D659FE" w:rsidSect="000B4B76">
          <w:footerReference w:type="default" r:id="rId8"/>
          <w:pgSz w:w="11808" w:h="15120"/>
          <w:pgMar w:top="1360" w:right="1417" w:bottom="2500" w:left="1417" w:header="0" w:footer="1440" w:gutter="0"/>
          <w:cols w:space="720"/>
          <w:docGrid w:linePitch="299"/>
        </w:sectPr>
      </w:pPr>
    </w:p>
    <w:p w14:paraId="566EDF09" w14:textId="77777777" w:rsidR="00505174" w:rsidRDefault="009E55DF" w:rsidP="009A5A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766F4CCF" w14:textId="77777777" w:rsidR="009E55DF" w:rsidRDefault="009E55DF" w:rsidP="009A5A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 AND DISCUSSION</w:t>
      </w:r>
    </w:p>
    <w:p w14:paraId="26E29AA9" w14:textId="77777777" w:rsid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RESULT </w:t>
      </w:r>
    </w:p>
    <w:p w14:paraId="5E5409CD" w14:textId="77777777" w:rsidR="009E55DF" w:rsidRPr="005F4524" w:rsidRDefault="009E55DF" w:rsidP="005F4524">
      <w:pPr>
        <w:pStyle w:val="NormalWeb"/>
        <w:spacing w:before="0" w:beforeAutospacing="0" w:after="0" w:afterAutospacing="0" w:line="360" w:lineRule="auto"/>
        <w:rPr>
          <w:b/>
        </w:rPr>
      </w:pPr>
      <w:r w:rsidRPr="005F4524">
        <w:rPr>
          <w:b/>
        </w:rPr>
        <w:t xml:space="preserve">Table 4.1: </w:t>
      </w:r>
      <w:r w:rsidRPr="005F4524">
        <w:rPr>
          <w:rStyle w:val="Strong"/>
          <w:b w:val="0"/>
        </w:rPr>
        <w:t>Comparative Analysis of pH Variation and Acid Neutralizing Capacity of Selected Antacid and Anti-Ulcer Drug Brands</w:t>
      </w:r>
    </w:p>
    <w:tbl>
      <w:tblPr>
        <w:tblStyle w:val="TableGrid"/>
        <w:tblW w:w="0" w:type="auto"/>
        <w:tblLook w:val="04A0" w:firstRow="1" w:lastRow="0" w:firstColumn="1" w:lastColumn="0" w:noHBand="0" w:noVBand="1"/>
      </w:tblPr>
      <w:tblGrid>
        <w:gridCol w:w="590"/>
        <w:gridCol w:w="2353"/>
        <w:gridCol w:w="1560"/>
        <w:gridCol w:w="1559"/>
        <w:gridCol w:w="2693"/>
      </w:tblGrid>
      <w:tr w:rsidR="009E55DF" w:rsidRPr="00FA245E" w14:paraId="446828EE" w14:textId="77777777" w:rsidTr="005F4524">
        <w:tc>
          <w:tcPr>
            <w:tcW w:w="0" w:type="auto"/>
            <w:hideMark/>
          </w:tcPr>
          <w:p w14:paraId="5908F774" w14:textId="77777777"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S/N</w:t>
            </w:r>
          </w:p>
        </w:tc>
        <w:tc>
          <w:tcPr>
            <w:tcW w:w="2353" w:type="dxa"/>
            <w:hideMark/>
          </w:tcPr>
          <w:p w14:paraId="480A1241" w14:textId="77777777"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Brand Name</w:t>
            </w:r>
          </w:p>
        </w:tc>
        <w:tc>
          <w:tcPr>
            <w:tcW w:w="1560" w:type="dxa"/>
            <w:hideMark/>
          </w:tcPr>
          <w:p w14:paraId="456B1DC8" w14:textId="77777777"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0 min (Mean ± SD)</w:t>
            </w:r>
          </w:p>
        </w:tc>
        <w:tc>
          <w:tcPr>
            <w:tcW w:w="1559" w:type="dxa"/>
            <w:hideMark/>
          </w:tcPr>
          <w:p w14:paraId="39625726" w14:textId="77777777" w:rsidR="009E55DF" w:rsidRPr="00FA245E" w:rsidRDefault="009E55DF" w:rsidP="009A5A72">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15 min (Mean ± SD)</w:t>
            </w:r>
          </w:p>
        </w:tc>
        <w:tc>
          <w:tcPr>
            <w:tcW w:w="2693" w:type="dxa"/>
            <w:hideMark/>
          </w:tcPr>
          <w:p w14:paraId="0CB63050" w14:textId="77777777" w:rsidR="009E55DF" w:rsidRPr="00FA245E" w:rsidRDefault="009E55DF" w:rsidP="009A5A7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ANC per Dose (</w:t>
            </w:r>
            <w:proofErr w:type="spellStart"/>
            <w:r>
              <w:rPr>
                <w:rFonts w:ascii="Times New Roman" w:hAnsi="Times New Roman" w:cs="Times New Roman"/>
                <w:b/>
                <w:bCs/>
                <w:sz w:val="24"/>
                <w:szCs w:val="24"/>
              </w:rPr>
              <w:t>mEq</w:t>
            </w:r>
            <w:proofErr w:type="spellEnd"/>
            <w:r>
              <w:rPr>
                <w:rFonts w:ascii="Times New Roman" w:hAnsi="Times New Roman" w:cs="Times New Roman"/>
                <w:b/>
                <w:bCs/>
                <w:sz w:val="24"/>
                <w:szCs w:val="24"/>
              </w:rPr>
              <w:t>/10ml</w:t>
            </w:r>
            <w:r w:rsidRPr="00FA245E">
              <w:rPr>
                <w:rFonts w:ascii="Times New Roman" w:hAnsi="Times New Roman" w:cs="Times New Roman"/>
                <w:b/>
                <w:bCs/>
                <w:sz w:val="24"/>
                <w:szCs w:val="24"/>
              </w:rPr>
              <w:t xml:space="preserve"> or 5gm/tab)</w:t>
            </w:r>
          </w:p>
        </w:tc>
      </w:tr>
      <w:tr w:rsidR="009E55DF" w:rsidRPr="00FA245E" w14:paraId="3080B73A" w14:textId="77777777" w:rsidTr="005F4524">
        <w:tc>
          <w:tcPr>
            <w:tcW w:w="0" w:type="auto"/>
            <w:hideMark/>
          </w:tcPr>
          <w:p w14:paraId="6AF71151"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w:t>
            </w:r>
          </w:p>
        </w:tc>
        <w:tc>
          <w:tcPr>
            <w:tcW w:w="2353" w:type="dxa"/>
            <w:hideMark/>
          </w:tcPr>
          <w:p w14:paraId="23604EFB" w14:textId="77777777" w:rsidR="009E55DF" w:rsidRPr="00FA245E" w:rsidRDefault="009E55DF" w:rsidP="009A5A72">
            <w:pPr>
              <w:spacing w:line="360" w:lineRule="auto"/>
              <w:rPr>
                <w:rFonts w:ascii="Times New Roman" w:hAnsi="Times New Roman" w:cs="Times New Roman"/>
                <w:sz w:val="24"/>
                <w:szCs w:val="24"/>
              </w:rPr>
            </w:pPr>
            <w:r>
              <w:rPr>
                <w:rFonts w:ascii="Times New Roman" w:hAnsi="Times New Roman" w:cs="Times New Roman"/>
                <w:sz w:val="24"/>
                <w:szCs w:val="24"/>
              </w:rPr>
              <w:t xml:space="preserve">        Specimen A</w:t>
            </w:r>
          </w:p>
        </w:tc>
        <w:tc>
          <w:tcPr>
            <w:tcW w:w="1560" w:type="dxa"/>
            <w:hideMark/>
          </w:tcPr>
          <w:p w14:paraId="40C2C515"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6.39 ± (0.09)</w:t>
            </w:r>
          </w:p>
        </w:tc>
        <w:tc>
          <w:tcPr>
            <w:tcW w:w="1559" w:type="dxa"/>
            <w:hideMark/>
          </w:tcPr>
          <w:p w14:paraId="0B0F7E90"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1.42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2693" w:type="dxa"/>
            <w:hideMark/>
          </w:tcPr>
          <w:p w14:paraId="6C771C2C"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12.15</w:t>
            </w:r>
          </w:p>
        </w:tc>
      </w:tr>
      <w:tr w:rsidR="009E55DF" w:rsidRPr="00FA245E" w14:paraId="07B75637" w14:textId="77777777" w:rsidTr="005F4524">
        <w:tc>
          <w:tcPr>
            <w:tcW w:w="0" w:type="auto"/>
            <w:hideMark/>
          </w:tcPr>
          <w:p w14:paraId="5501ED7B"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2</w:t>
            </w:r>
          </w:p>
        </w:tc>
        <w:tc>
          <w:tcPr>
            <w:tcW w:w="2353" w:type="dxa"/>
            <w:hideMark/>
          </w:tcPr>
          <w:p w14:paraId="4600777A"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B</w:t>
            </w:r>
          </w:p>
        </w:tc>
        <w:tc>
          <w:tcPr>
            <w:tcW w:w="1560" w:type="dxa"/>
            <w:hideMark/>
          </w:tcPr>
          <w:p w14:paraId="1AF45D76"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.94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1559" w:type="dxa"/>
            <w:hideMark/>
          </w:tcPr>
          <w:p w14:paraId="2BB23F0D"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0.94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2693" w:type="dxa"/>
            <w:hideMark/>
          </w:tcPr>
          <w:p w14:paraId="70299EA0"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11.55</w:t>
            </w:r>
          </w:p>
        </w:tc>
      </w:tr>
      <w:tr w:rsidR="009E55DF" w:rsidRPr="00FA245E" w14:paraId="7EB25B98" w14:textId="77777777" w:rsidTr="005F4524">
        <w:tc>
          <w:tcPr>
            <w:tcW w:w="0" w:type="auto"/>
            <w:hideMark/>
          </w:tcPr>
          <w:p w14:paraId="1F7339A6"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3</w:t>
            </w:r>
          </w:p>
        </w:tc>
        <w:tc>
          <w:tcPr>
            <w:tcW w:w="2353" w:type="dxa"/>
            <w:hideMark/>
          </w:tcPr>
          <w:p w14:paraId="22775B97"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C</w:t>
            </w:r>
          </w:p>
        </w:tc>
        <w:tc>
          <w:tcPr>
            <w:tcW w:w="1560" w:type="dxa"/>
            <w:hideMark/>
          </w:tcPr>
          <w:p w14:paraId="580171DE"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14:paraId="4A7A2C76"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0.78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2693" w:type="dxa"/>
            <w:hideMark/>
          </w:tcPr>
          <w:p w14:paraId="4C088A66"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10.95</w:t>
            </w:r>
          </w:p>
        </w:tc>
      </w:tr>
      <w:tr w:rsidR="009E55DF" w:rsidRPr="00FA245E" w14:paraId="5E5F2447" w14:textId="77777777" w:rsidTr="005F4524">
        <w:tc>
          <w:tcPr>
            <w:tcW w:w="0" w:type="auto"/>
            <w:hideMark/>
          </w:tcPr>
          <w:p w14:paraId="1B70CFAE"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4</w:t>
            </w:r>
          </w:p>
        </w:tc>
        <w:tc>
          <w:tcPr>
            <w:tcW w:w="2353" w:type="dxa"/>
            <w:hideMark/>
          </w:tcPr>
          <w:p w14:paraId="51DC0A9F"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D</w:t>
            </w:r>
          </w:p>
        </w:tc>
        <w:tc>
          <w:tcPr>
            <w:tcW w:w="1560" w:type="dxa"/>
            <w:hideMark/>
          </w:tcPr>
          <w:p w14:paraId="01904963"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.89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1559" w:type="dxa"/>
            <w:hideMark/>
          </w:tcPr>
          <w:p w14:paraId="175C035B"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1.31 ± </w:t>
            </w:r>
            <w:r>
              <w:rPr>
                <w:rFonts w:ascii="Times New Roman" w:hAnsi="Times New Roman" w:cs="Times New Roman"/>
                <w:sz w:val="24"/>
                <w:szCs w:val="24"/>
              </w:rPr>
              <w:t>(</w:t>
            </w:r>
            <w:r w:rsidRPr="00FA245E">
              <w:rPr>
                <w:rFonts w:ascii="Times New Roman" w:hAnsi="Times New Roman" w:cs="Times New Roman"/>
                <w:sz w:val="24"/>
                <w:szCs w:val="24"/>
              </w:rPr>
              <w:t>0.01</w:t>
            </w:r>
            <w:r>
              <w:rPr>
                <w:rFonts w:ascii="Times New Roman" w:hAnsi="Times New Roman" w:cs="Times New Roman"/>
                <w:sz w:val="24"/>
                <w:szCs w:val="24"/>
              </w:rPr>
              <w:t>)</w:t>
            </w:r>
          </w:p>
        </w:tc>
        <w:tc>
          <w:tcPr>
            <w:tcW w:w="2693" w:type="dxa"/>
            <w:hideMark/>
          </w:tcPr>
          <w:p w14:paraId="3FF969DD"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13.80</w:t>
            </w:r>
          </w:p>
        </w:tc>
      </w:tr>
      <w:tr w:rsidR="009E55DF" w:rsidRPr="00FA245E" w14:paraId="1948AD03" w14:textId="77777777" w:rsidTr="005F4524">
        <w:tc>
          <w:tcPr>
            <w:tcW w:w="0" w:type="auto"/>
            <w:hideMark/>
          </w:tcPr>
          <w:p w14:paraId="02FFA9FD"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5</w:t>
            </w:r>
          </w:p>
        </w:tc>
        <w:tc>
          <w:tcPr>
            <w:tcW w:w="2353" w:type="dxa"/>
            <w:hideMark/>
          </w:tcPr>
          <w:p w14:paraId="2528FB7F"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E</w:t>
            </w:r>
          </w:p>
        </w:tc>
        <w:tc>
          <w:tcPr>
            <w:tcW w:w="1560" w:type="dxa"/>
            <w:hideMark/>
          </w:tcPr>
          <w:p w14:paraId="3044ED8A" w14:textId="77777777" w:rsidR="009E55DF" w:rsidRPr="00FA245E" w:rsidRDefault="009E55DF" w:rsidP="009A5A7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14:paraId="5F598CAA"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1.51 ± </w:t>
            </w:r>
            <w:r>
              <w:rPr>
                <w:rFonts w:ascii="Times New Roman" w:hAnsi="Times New Roman" w:cs="Times New Roman"/>
                <w:sz w:val="24"/>
                <w:szCs w:val="24"/>
              </w:rPr>
              <w:t>(</w:t>
            </w:r>
            <w:r w:rsidRPr="00FA245E">
              <w:rPr>
                <w:rFonts w:ascii="Times New Roman" w:hAnsi="Times New Roman" w:cs="Times New Roman"/>
                <w:sz w:val="24"/>
                <w:szCs w:val="24"/>
              </w:rPr>
              <w:t>0.08</w:t>
            </w:r>
            <w:r>
              <w:rPr>
                <w:rFonts w:ascii="Times New Roman" w:hAnsi="Times New Roman" w:cs="Times New Roman"/>
                <w:sz w:val="24"/>
                <w:szCs w:val="24"/>
              </w:rPr>
              <w:t>)</w:t>
            </w:r>
          </w:p>
        </w:tc>
        <w:tc>
          <w:tcPr>
            <w:tcW w:w="2693" w:type="dxa"/>
            <w:hideMark/>
          </w:tcPr>
          <w:p w14:paraId="0976452E" w14:textId="77777777" w:rsidR="009E55DF" w:rsidRPr="00FA245E" w:rsidRDefault="009E55DF" w:rsidP="009A5A72">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13.25</w:t>
            </w:r>
          </w:p>
        </w:tc>
      </w:tr>
    </w:tbl>
    <w:p w14:paraId="14220184" w14:textId="77777777" w:rsidR="009E55DF" w:rsidRDefault="009E55DF" w:rsidP="009A5A72">
      <w:pPr>
        <w:spacing w:after="0" w:line="360" w:lineRule="auto"/>
        <w:rPr>
          <w:rFonts w:ascii="Times New Roman" w:hAnsi="Times New Roman" w:cs="Times New Roman"/>
          <w:b/>
          <w:bCs/>
          <w:sz w:val="24"/>
          <w:szCs w:val="24"/>
        </w:rPr>
      </w:pPr>
      <w:r w:rsidRPr="00FA245E">
        <w:rPr>
          <w:rFonts w:ascii="Times New Roman" w:hAnsi="Times New Roman" w:cs="Times New Roman"/>
          <w:b/>
          <w:bCs/>
          <w:sz w:val="24"/>
          <w:szCs w:val="24"/>
        </w:rPr>
        <w:t>Parameters Tested for the Antacids</w:t>
      </w:r>
      <w:r>
        <w:rPr>
          <w:rFonts w:ascii="Times New Roman" w:hAnsi="Times New Roman" w:cs="Times New Roman"/>
          <w:b/>
          <w:bCs/>
          <w:sz w:val="24"/>
          <w:szCs w:val="24"/>
        </w:rPr>
        <w:t xml:space="preserve"> </w:t>
      </w:r>
      <w:r w:rsidRPr="00FA245E">
        <w:rPr>
          <w:rFonts w:ascii="Times New Roman" w:hAnsi="Times New Roman" w:cs="Times New Roman"/>
          <w:b/>
          <w:bCs/>
          <w:sz w:val="24"/>
          <w:szCs w:val="24"/>
        </w:rPr>
        <w:t>(n = 3 ± SD)</w:t>
      </w:r>
    </w:p>
    <w:p w14:paraId="77A0EBFB" w14:textId="77777777" w:rsidR="009E55DF" w:rsidRPr="009E55DF" w:rsidRDefault="009E55DF" w:rsidP="009A5A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5F4524" w:rsidRPr="009E55DF">
        <w:rPr>
          <w:rFonts w:ascii="Times New Roman" w:eastAsia="Times New Roman" w:hAnsi="Times New Roman" w:cs="Times New Roman"/>
          <w:b/>
          <w:bCs/>
          <w:sz w:val="24"/>
          <w:szCs w:val="24"/>
        </w:rPr>
        <w:t>DISCUSSION</w:t>
      </w:r>
    </w:p>
    <w:p w14:paraId="738A03E0" w14:textId="77777777"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The pH and Acid Neutralizing Capacity (ANC) of the five antacid and anti-ulcer drug samples evaluated in this study varied notably, reflecting differences in their chemical compositions and formulation efficiency. At baseline (0 minutes), all samples exhibited al</w:t>
      </w:r>
      <w:r>
        <w:rPr>
          <w:rFonts w:ascii="Times New Roman" w:eastAsia="Times New Roman" w:hAnsi="Times New Roman" w:cs="Times New Roman"/>
          <w:sz w:val="24"/>
          <w:szCs w:val="24"/>
        </w:rPr>
        <w:t>kaline pH values, ranging from 6.35 ± 0.02 Specimen E to 8.35 ± 0.02 Specimen C. Specimen C</w:t>
      </w:r>
      <w:r w:rsidRPr="009E55DF">
        <w:rPr>
          <w:rFonts w:ascii="Times New Roman" w:eastAsia="Times New Roman" w:hAnsi="Times New Roman" w:cs="Times New Roman"/>
          <w:sz w:val="24"/>
          <w:szCs w:val="24"/>
        </w:rPr>
        <w:t xml:space="preserve"> showed the highest initial pH, indicating a stronger alkaline nature among the samples, which may be attributed to its proton pump inhibitor mechanism that acts more systemically compared to conventional antacids.</w:t>
      </w:r>
    </w:p>
    <w:p w14:paraId="10C3A6C8" w14:textId="77777777"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After 15 minutes of exposure, a significant drop in pH was observed in all samples, highlighting their interaction with acidic media. The extent of pH reduction serves as an indirect indicator of buffering action and acid resistance</w:t>
      </w:r>
      <w:r>
        <w:rPr>
          <w:rFonts w:ascii="Times New Roman" w:eastAsia="Times New Roman" w:hAnsi="Times New Roman" w:cs="Times New Roman"/>
          <w:sz w:val="24"/>
          <w:szCs w:val="24"/>
        </w:rPr>
        <w:t xml:space="preserve">. Specimen B &amp; C </w:t>
      </w:r>
      <w:r w:rsidRPr="009E55DF">
        <w:rPr>
          <w:rFonts w:ascii="Times New Roman" w:eastAsia="Times New Roman" w:hAnsi="Times New Roman" w:cs="Times New Roman"/>
          <w:sz w:val="24"/>
          <w:szCs w:val="24"/>
        </w:rPr>
        <w:t>exhibited the most pronounced reductions, with final pH values of 0.94 ± 0.03 and 0.78 ± 0.02, respectively. This sharp decline may reflect the limited duration of their surface-level neutralizing effects, suggesting that their sustained acid suppression likely depends on systemic absorption and delayed pharmacodynamics.</w:t>
      </w:r>
    </w:p>
    <w:p w14:paraId="3CE20A9E" w14:textId="77777777" w:rsidR="009E55DF" w:rsidRPr="009E55DF" w:rsidRDefault="009E55DF" w:rsidP="009A5A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Specimen E</w:t>
      </w:r>
      <w:r w:rsidRPr="009E55DF">
        <w:rPr>
          <w:rFonts w:ascii="Times New Roman" w:eastAsia="Times New Roman" w:hAnsi="Times New Roman" w:cs="Times New Roman"/>
          <w:sz w:val="24"/>
          <w:szCs w:val="24"/>
        </w:rPr>
        <w:t xml:space="preserve"> maintained the highest pH at 15 minutes (1.51 ± 0.08), suggesting better short-term acid neutralization or slower dissolution, which could prolong its effectiveness in</w:t>
      </w:r>
      <w:r>
        <w:rPr>
          <w:rFonts w:ascii="Times New Roman" w:eastAsia="Times New Roman" w:hAnsi="Times New Roman" w:cs="Times New Roman"/>
          <w:sz w:val="24"/>
          <w:szCs w:val="24"/>
        </w:rPr>
        <w:t xml:space="preserve"> immediate symptom relief. Specimen E</w:t>
      </w:r>
      <w:r w:rsidRPr="009E55DF">
        <w:rPr>
          <w:rFonts w:ascii="Times New Roman" w:eastAsia="Times New Roman" w:hAnsi="Times New Roman" w:cs="Times New Roman"/>
          <w:sz w:val="24"/>
          <w:szCs w:val="24"/>
        </w:rPr>
        <w:t xml:space="preserve"> also maintained relatively stable pH (1.31 ± 0.01), indicating a favorable buffering effect over time.</w:t>
      </w:r>
    </w:p>
    <w:p w14:paraId="46BE1F92" w14:textId="77777777"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With regard to ANC, which quantifies the amount of a</w:t>
      </w:r>
      <w:r>
        <w:rPr>
          <w:rFonts w:ascii="Times New Roman" w:eastAsia="Times New Roman" w:hAnsi="Times New Roman" w:cs="Times New Roman"/>
          <w:sz w:val="24"/>
          <w:szCs w:val="24"/>
        </w:rPr>
        <w:t xml:space="preserve">cid neutralized per dose, Specimen D </w:t>
      </w:r>
      <w:r w:rsidRPr="009E55DF">
        <w:rPr>
          <w:rFonts w:ascii="Times New Roman" w:eastAsia="Times New Roman" w:hAnsi="Times New Roman" w:cs="Times New Roman"/>
          <w:sz w:val="24"/>
          <w:szCs w:val="24"/>
        </w:rPr>
        <w:t xml:space="preserve">demonstrated the highest acid-neutralizing capacity (13.80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/10 m</w:t>
      </w:r>
      <w:r>
        <w:rPr>
          <w:rFonts w:ascii="Times New Roman" w:eastAsia="Times New Roman" w:hAnsi="Times New Roman" w:cs="Times New Roman"/>
          <w:sz w:val="24"/>
          <w:szCs w:val="24"/>
        </w:rPr>
        <w:t xml:space="preserve">L), followed closely by </w:t>
      </w:r>
      <w:proofErr w:type="spellStart"/>
      <w:r>
        <w:rPr>
          <w:rFonts w:ascii="Times New Roman" w:eastAsia="Times New Roman" w:hAnsi="Times New Roman" w:cs="Times New Roman"/>
          <w:sz w:val="24"/>
          <w:szCs w:val="24"/>
        </w:rPr>
        <w:t>Specmen</w:t>
      </w:r>
      <w:proofErr w:type="spellEnd"/>
      <w:r>
        <w:rPr>
          <w:rFonts w:ascii="Times New Roman" w:eastAsia="Times New Roman" w:hAnsi="Times New Roman" w:cs="Times New Roman"/>
          <w:sz w:val="24"/>
          <w:szCs w:val="24"/>
        </w:rPr>
        <w:t xml:space="preserve"> E</w:t>
      </w:r>
      <w:r w:rsidRPr="009E55DF">
        <w:rPr>
          <w:rFonts w:ascii="Times New Roman" w:eastAsia="Times New Roman" w:hAnsi="Times New Roman" w:cs="Times New Roman"/>
          <w:sz w:val="24"/>
          <w:szCs w:val="24"/>
        </w:rPr>
        <w:t xml:space="preserve"> (13.25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w:t>
      </w:r>
      <w:r>
        <w:rPr>
          <w:rFonts w:ascii="Times New Roman" w:eastAsia="Times New Roman" w:hAnsi="Times New Roman" w:cs="Times New Roman"/>
          <w:sz w:val="24"/>
          <w:szCs w:val="24"/>
        </w:rPr>
        <w:t>10 mL), while Specimen C</w:t>
      </w:r>
      <w:r w:rsidRPr="009E55DF">
        <w:rPr>
          <w:rFonts w:ascii="Times New Roman" w:eastAsia="Times New Roman" w:hAnsi="Times New Roman" w:cs="Times New Roman"/>
          <w:sz w:val="24"/>
          <w:szCs w:val="24"/>
        </w:rPr>
        <w:t xml:space="preserve"> had the lowest (10.95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 xml:space="preserve">/10 mL). </w:t>
      </w:r>
      <w:r>
        <w:rPr>
          <w:rFonts w:ascii="Times New Roman" w:eastAsia="Times New Roman" w:hAnsi="Times New Roman" w:cs="Times New Roman"/>
          <w:sz w:val="24"/>
          <w:szCs w:val="24"/>
        </w:rPr>
        <w:t>The higher ANC values of Specimen D &amp; E</w:t>
      </w:r>
      <w:r w:rsidRPr="009E55DF">
        <w:rPr>
          <w:rFonts w:ascii="Times New Roman" w:eastAsia="Times New Roman" w:hAnsi="Times New Roman" w:cs="Times New Roman"/>
          <w:sz w:val="24"/>
          <w:szCs w:val="24"/>
        </w:rPr>
        <w:t xml:space="preserve"> align with their relatively stable pH at 15 minutes, implying a stronger neutralization poten</w:t>
      </w:r>
      <w:r>
        <w:rPr>
          <w:rFonts w:ascii="Times New Roman" w:eastAsia="Times New Roman" w:hAnsi="Times New Roman" w:cs="Times New Roman"/>
          <w:sz w:val="24"/>
          <w:szCs w:val="24"/>
        </w:rPr>
        <w:t>tial. Despite Specimen C</w:t>
      </w:r>
      <w:r w:rsidRPr="009E55DF">
        <w:rPr>
          <w:rFonts w:ascii="Times New Roman" w:eastAsia="Times New Roman" w:hAnsi="Times New Roman" w:cs="Times New Roman"/>
          <w:sz w:val="24"/>
          <w:szCs w:val="24"/>
        </w:rPr>
        <w:t>’s high initial pH, its low ANC suggests that its mechanism of action may not rely heavily on direct acid neutralization, but rather on inhibition of gastric acid secretion at the cellular level.</w:t>
      </w:r>
    </w:p>
    <w:p w14:paraId="06CE0B85" w14:textId="77777777" w:rsidR="009E55DF" w:rsidRPr="009E55DF" w:rsidRDefault="009E55DF" w:rsidP="009A5A72">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Overall, the differences in pH stability and ANC among the tested brands emphasize the diverse pharmacological approaches and efficacy profiles of the formulation</w:t>
      </w:r>
      <w:r>
        <w:rPr>
          <w:rFonts w:ascii="Times New Roman" w:eastAsia="Times New Roman" w:hAnsi="Times New Roman" w:cs="Times New Roman"/>
          <w:sz w:val="24"/>
          <w:szCs w:val="24"/>
        </w:rPr>
        <w:t>s. Antacids like Specimen D &amp; E</w:t>
      </w:r>
      <w:r w:rsidRPr="009E55DF">
        <w:rPr>
          <w:rFonts w:ascii="Times New Roman" w:eastAsia="Times New Roman" w:hAnsi="Times New Roman" w:cs="Times New Roman"/>
          <w:sz w:val="24"/>
          <w:szCs w:val="24"/>
        </w:rPr>
        <w:t xml:space="preserve"> appear to be more effective in immediate acid neutralization, making them potentially more suitable for quick symptomatic relief. In contrast, agents such </w:t>
      </w:r>
      <w:r>
        <w:rPr>
          <w:rFonts w:ascii="Times New Roman" w:eastAsia="Times New Roman" w:hAnsi="Times New Roman" w:cs="Times New Roman"/>
          <w:sz w:val="24"/>
          <w:szCs w:val="24"/>
        </w:rPr>
        <w:t>as Specimen B &amp; C</w:t>
      </w:r>
      <w:r w:rsidRPr="009E55DF">
        <w:rPr>
          <w:rFonts w:ascii="Times New Roman" w:eastAsia="Times New Roman" w:hAnsi="Times New Roman" w:cs="Times New Roman"/>
          <w:sz w:val="24"/>
          <w:szCs w:val="24"/>
        </w:rPr>
        <w:t xml:space="preserve"> may offer prolonged acid suppression through systemic mechanisms, despite lower ANC values.</w:t>
      </w:r>
    </w:p>
    <w:p w14:paraId="299C9AE0" w14:textId="77777777" w:rsidR="009E55DF" w:rsidRP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7EE47A2" w14:textId="77777777" w:rsidR="00F87772" w:rsidRDefault="00F87772" w:rsidP="00F87772">
      <w:pPr>
        <w:pStyle w:val="Heading3"/>
        <w:spacing w:after="240" w:line="360"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CHAPTER FIVE</w:t>
      </w:r>
    </w:p>
    <w:p w14:paraId="0B3EFDE7" w14:textId="77777777" w:rsidR="009E55DF" w:rsidRPr="009E55DF" w:rsidRDefault="009E55DF" w:rsidP="00F87772">
      <w:pPr>
        <w:pStyle w:val="Heading3"/>
        <w:spacing w:after="240" w:line="360" w:lineRule="auto"/>
        <w:jc w:val="center"/>
        <w:rPr>
          <w:rFonts w:ascii="Times New Roman" w:hAnsi="Times New Roman" w:cs="Times New Roman"/>
          <w:color w:val="auto"/>
          <w:sz w:val="24"/>
          <w:szCs w:val="24"/>
        </w:rPr>
      </w:pPr>
      <w:r w:rsidRPr="009E55DF">
        <w:rPr>
          <w:rStyle w:val="Strong"/>
          <w:rFonts w:ascii="Times New Roman" w:hAnsi="Times New Roman" w:cs="Times New Roman"/>
          <w:b/>
          <w:bCs/>
          <w:color w:val="auto"/>
          <w:sz w:val="24"/>
          <w:szCs w:val="24"/>
        </w:rPr>
        <w:t>CONCLUSION AND RECOMMENDATION</w:t>
      </w:r>
    </w:p>
    <w:p w14:paraId="0A9F378D" w14:textId="77777777" w:rsidR="00F87772" w:rsidRPr="00F87772" w:rsidRDefault="00F87772" w:rsidP="009A5A72">
      <w:pPr>
        <w:pStyle w:val="NormalWeb"/>
        <w:spacing w:before="0" w:beforeAutospacing="0" w:after="0" w:afterAutospacing="0" w:line="360" w:lineRule="auto"/>
        <w:jc w:val="both"/>
        <w:rPr>
          <w:b/>
        </w:rPr>
      </w:pPr>
      <w:r>
        <w:rPr>
          <w:b/>
        </w:rPr>
        <w:t>5.1</w:t>
      </w:r>
      <w:r>
        <w:rPr>
          <w:b/>
        </w:rPr>
        <w:tab/>
        <w:t>CONCLUSION</w:t>
      </w:r>
    </w:p>
    <w:p w14:paraId="1922CB48" w14:textId="77777777" w:rsidR="009E55DF" w:rsidRDefault="009E55DF" w:rsidP="009A5A72">
      <w:pPr>
        <w:pStyle w:val="NormalWeb"/>
        <w:spacing w:before="0" w:beforeAutospacing="0" w:after="0" w:afterAutospacing="0" w:line="360" w:lineRule="auto"/>
        <w:jc w:val="both"/>
      </w:pPr>
      <w:r>
        <w:t xml:space="preserve">The findings of this study reveal marked differences in the acid neutralizing capacity and pH stability of the selected antacid and anti-ulcer drug brands. While all samples exhibited alkaline properties at the point of preparation, their ability to maintain pH stability varied significantly. </w:t>
      </w:r>
      <w:proofErr w:type="spellStart"/>
      <w:r>
        <w:t>Gerdt</w:t>
      </w:r>
      <w:proofErr w:type="spellEnd"/>
      <w:r>
        <w:t xml:space="preserve"> and </w:t>
      </w:r>
      <w:proofErr w:type="spellStart"/>
      <w:r>
        <w:t>Krisacid</w:t>
      </w:r>
      <w:proofErr w:type="spellEnd"/>
      <w:r>
        <w:t xml:space="preserve"> showed superior buffering and neutralization performance, suggesting their suitability for rapid relief of gastric acidity. In contrast, drugs like </w:t>
      </w:r>
      <w:proofErr w:type="spellStart"/>
      <w:r>
        <w:t>Krisnat</w:t>
      </w:r>
      <w:proofErr w:type="spellEnd"/>
      <w:r>
        <w:t xml:space="preserve"> Omeprazole and </w:t>
      </w:r>
      <w:proofErr w:type="spellStart"/>
      <w:r>
        <w:t>Pherix</w:t>
      </w:r>
      <w:proofErr w:type="spellEnd"/>
      <w:r>
        <w:t>, despite high initial alkalinity, demonstrated lower ANC values and greater pH reduction over time, reflecting systemic rather than immediate neutralizing effects. These results emphasize that the clinical effectiveness of antacid products is not solely dependent on pH but also on the extent and duration of acid neutralization, which varies with formulation type.</w:t>
      </w:r>
    </w:p>
    <w:p w14:paraId="66DD3F54" w14:textId="77777777" w:rsidR="009E55DF" w:rsidRPr="00F87772" w:rsidRDefault="00F87772" w:rsidP="009A5A72">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009E55DF" w:rsidRPr="00F87772">
        <w:rPr>
          <w:rStyle w:val="Strong"/>
          <w:rFonts w:ascii="Times New Roman" w:hAnsi="Times New Roman" w:cs="Times New Roman"/>
          <w:b/>
          <w:bCs/>
          <w:color w:val="auto"/>
          <w:sz w:val="24"/>
          <w:szCs w:val="24"/>
        </w:rPr>
        <w:t>RECOMMENDATION</w:t>
      </w:r>
    </w:p>
    <w:p w14:paraId="50D35FDE" w14:textId="77777777" w:rsidR="009E55DF" w:rsidRDefault="009E55DF" w:rsidP="009A5A72">
      <w:pPr>
        <w:pStyle w:val="NormalWeb"/>
        <w:spacing w:before="0" w:beforeAutospacing="0" w:after="0" w:afterAutospacing="0" w:line="360" w:lineRule="auto"/>
        <w:jc w:val="both"/>
      </w:pPr>
      <w:r>
        <w:t>Based on the findings of this study, the following recommendations are proposed:</w:t>
      </w:r>
    </w:p>
    <w:p w14:paraId="5811A622" w14:textId="77777777" w:rsidR="009E55DF" w:rsidRDefault="009E55DF" w:rsidP="009A5A72">
      <w:pPr>
        <w:pStyle w:val="NormalWeb"/>
        <w:numPr>
          <w:ilvl w:val="0"/>
          <w:numId w:val="12"/>
        </w:numPr>
        <w:spacing w:before="0" w:beforeAutospacing="0" w:after="0" w:afterAutospacing="0" w:line="360" w:lineRule="auto"/>
        <w:jc w:val="both"/>
      </w:pPr>
      <w:r>
        <w:rPr>
          <w:rStyle w:val="Strong"/>
        </w:rPr>
        <w:t>Clinical Selection</w:t>
      </w:r>
      <w:r>
        <w:t>: Healthcare providers should consider both the acid neutralizing capacity and pH stability when prescribing antacids or anti-ulcer agents to ensure optimal therapeutic outcomes based on patient-specific needs.</w:t>
      </w:r>
    </w:p>
    <w:p w14:paraId="381F4211" w14:textId="77777777" w:rsidR="009E55DF" w:rsidRDefault="009E55DF" w:rsidP="009A5A72">
      <w:pPr>
        <w:pStyle w:val="NormalWeb"/>
        <w:numPr>
          <w:ilvl w:val="0"/>
          <w:numId w:val="12"/>
        </w:numPr>
        <w:spacing w:before="0" w:beforeAutospacing="0" w:after="0" w:afterAutospacing="0" w:line="360" w:lineRule="auto"/>
        <w:jc w:val="both"/>
      </w:pPr>
      <w:r>
        <w:rPr>
          <w:rStyle w:val="Strong"/>
        </w:rPr>
        <w:t>Public Awareness</w:t>
      </w:r>
      <w:r>
        <w:t>: Consumers should be educated on the pharmacological differences between rapid-acting antacids and delayed systemic agents to avoid misuse and ensure effective symptom management.</w:t>
      </w:r>
    </w:p>
    <w:p w14:paraId="2236463E" w14:textId="77777777" w:rsidR="009E55DF" w:rsidRDefault="009E55DF" w:rsidP="009A5A72">
      <w:pPr>
        <w:pStyle w:val="NormalWeb"/>
        <w:numPr>
          <w:ilvl w:val="0"/>
          <w:numId w:val="12"/>
        </w:numPr>
        <w:spacing w:before="0" w:beforeAutospacing="0" w:after="0" w:afterAutospacing="0" w:line="360" w:lineRule="auto"/>
        <w:jc w:val="both"/>
      </w:pPr>
      <w:r>
        <w:rPr>
          <w:rStyle w:val="Strong"/>
        </w:rPr>
        <w:t>Regulatory Oversight</w:t>
      </w:r>
      <w:r>
        <w:t>: Regulatory agencies such as NAFDAC should enforce routine testing of antacid formulations for quality assurance, ensuring that only products with proven efficacy are allowed into the market.</w:t>
      </w:r>
    </w:p>
    <w:p w14:paraId="1731779E" w14:textId="77777777" w:rsidR="009E55DF" w:rsidRDefault="009E55DF" w:rsidP="009A5A72">
      <w:pPr>
        <w:pStyle w:val="NormalWeb"/>
        <w:numPr>
          <w:ilvl w:val="0"/>
          <w:numId w:val="12"/>
        </w:numPr>
        <w:spacing w:before="0" w:beforeAutospacing="0" w:after="0" w:afterAutospacing="0" w:line="360" w:lineRule="auto"/>
        <w:jc w:val="both"/>
      </w:pPr>
      <w:r>
        <w:rPr>
          <w:rStyle w:val="Strong"/>
        </w:rPr>
        <w:t>Further Research</w:t>
      </w:r>
      <w:r>
        <w:t xml:space="preserve">: Additional studies involving in vivo testing and broader sample sizes are recommended to corroborate these findings and explore long-term </w:t>
      </w:r>
      <w:proofErr w:type="spellStart"/>
      <w:r>
        <w:t>pharmacodynamic</w:t>
      </w:r>
      <w:proofErr w:type="spellEnd"/>
      <w:r>
        <w:t xml:space="preserve"> effects of these formulations.</w:t>
      </w:r>
    </w:p>
    <w:p w14:paraId="5FC699A0" w14:textId="77777777" w:rsidR="009E55DF" w:rsidRDefault="009E55DF" w:rsidP="009A5A72">
      <w:pPr>
        <w:spacing w:after="0" w:line="360" w:lineRule="auto"/>
      </w:pPr>
    </w:p>
    <w:p w14:paraId="610075ED" w14:textId="77777777" w:rsidR="00A9662E" w:rsidRDefault="00A9662E" w:rsidP="009A5A72">
      <w:pPr>
        <w:spacing w:after="0" w:line="360" w:lineRule="auto"/>
        <w:jc w:val="both"/>
        <w:rPr>
          <w:rFonts w:ascii="Times New Roman" w:hAnsi="Times New Roman" w:cs="Times New Roman"/>
          <w:b/>
          <w:bCs/>
          <w:sz w:val="24"/>
          <w:szCs w:val="24"/>
        </w:rPr>
      </w:pPr>
    </w:p>
    <w:p w14:paraId="69B8E707" w14:textId="77777777" w:rsidR="00A9662E" w:rsidRPr="00D659FE" w:rsidRDefault="00A9662E" w:rsidP="009A5A72">
      <w:pPr>
        <w:spacing w:after="0" w:line="360" w:lineRule="auto"/>
        <w:jc w:val="both"/>
        <w:rPr>
          <w:rFonts w:ascii="Times New Roman" w:hAnsi="Times New Roman" w:cs="Times New Roman"/>
          <w:b/>
          <w:bCs/>
          <w:sz w:val="24"/>
          <w:szCs w:val="24"/>
        </w:rPr>
      </w:pPr>
    </w:p>
    <w:p w14:paraId="7583E0E4" w14:textId="77777777" w:rsidR="009E55DF" w:rsidRDefault="009E55DF" w:rsidP="009A5A7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F577380" w14:textId="77777777" w:rsidR="00D659FE" w:rsidRPr="00D659FE" w:rsidRDefault="00D659FE" w:rsidP="009A5A72">
      <w:pPr>
        <w:spacing w:after="0" w:line="360" w:lineRule="auto"/>
        <w:jc w:val="center"/>
        <w:rPr>
          <w:rFonts w:ascii="Times New Roman" w:hAnsi="Times New Roman" w:cs="Times New Roman"/>
          <w:b/>
          <w:bCs/>
          <w:sz w:val="24"/>
          <w:szCs w:val="24"/>
        </w:rPr>
      </w:pPr>
      <w:r w:rsidRPr="00D659FE">
        <w:rPr>
          <w:rFonts w:ascii="Times New Roman" w:hAnsi="Times New Roman" w:cs="Times New Roman"/>
          <w:b/>
          <w:bCs/>
          <w:sz w:val="24"/>
          <w:szCs w:val="24"/>
        </w:rPr>
        <w:t>REFERENCES</w:t>
      </w:r>
    </w:p>
    <w:p w14:paraId="38F6EC43"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Adebayo, T. O., &amp; Yusuf, M. A. (2024). Comparative analysis of antacid formulations: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Efficacy and safety considerations. International Journal of Pharmaceutical </w:t>
      </w:r>
      <w:r w:rsidR="00FD791B">
        <w:rPr>
          <w:rFonts w:ascii="Times New Roman" w:hAnsi="Times New Roman" w:cs="Times New Roman"/>
          <w:sz w:val="24"/>
          <w:szCs w:val="24"/>
        </w:rPr>
        <w:tab/>
      </w:r>
      <w:r w:rsidRPr="00D659FE">
        <w:rPr>
          <w:rFonts w:ascii="Times New Roman" w:hAnsi="Times New Roman" w:cs="Times New Roman"/>
          <w:sz w:val="24"/>
          <w:szCs w:val="24"/>
        </w:rPr>
        <w:t>Sciences, 15(1), 45-59.</w:t>
      </w:r>
    </w:p>
    <w:p w14:paraId="73D29C5B" w14:textId="77777777"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Akinyemi</w:t>
      </w:r>
      <w:proofErr w:type="spellEnd"/>
      <w:r w:rsidRPr="00D659FE">
        <w:rPr>
          <w:rFonts w:ascii="Times New Roman" w:hAnsi="Times New Roman" w:cs="Times New Roman"/>
          <w:sz w:val="24"/>
          <w:szCs w:val="24"/>
        </w:rPr>
        <w:t xml:space="preserve">, O. T., Williams, A. D.,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P. C. (2023). </w:t>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disease (GERD) treatment and the role of antacids. Journal of Gastrointestinal </w:t>
      </w:r>
      <w:r w:rsidR="00FD791B">
        <w:rPr>
          <w:rFonts w:ascii="Times New Roman" w:hAnsi="Times New Roman" w:cs="Times New Roman"/>
          <w:sz w:val="24"/>
          <w:szCs w:val="24"/>
        </w:rPr>
        <w:tab/>
      </w:r>
      <w:r w:rsidRPr="00D659FE">
        <w:rPr>
          <w:rFonts w:ascii="Times New Roman" w:hAnsi="Times New Roman" w:cs="Times New Roman"/>
          <w:sz w:val="24"/>
          <w:szCs w:val="24"/>
        </w:rPr>
        <w:t>Research, 12(3), 78- 91.</w:t>
      </w:r>
    </w:p>
    <w:p w14:paraId="71C53CFA"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Bello, R. A., &amp; </w:t>
      </w:r>
      <w:proofErr w:type="spellStart"/>
      <w:r w:rsidRPr="00D659FE">
        <w:rPr>
          <w:rFonts w:ascii="Times New Roman" w:hAnsi="Times New Roman" w:cs="Times New Roman"/>
          <w:sz w:val="24"/>
          <w:szCs w:val="24"/>
        </w:rPr>
        <w:t>Okon</w:t>
      </w:r>
      <w:proofErr w:type="spellEnd"/>
      <w:r w:rsidRPr="00D659FE">
        <w:rPr>
          <w:rFonts w:ascii="Times New Roman" w:hAnsi="Times New Roman" w:cs="Times New Roman"/>
          <w:sz w:val="24"/>
          <w:szCs w:val="24"/>
        </w:rPr>
        <w:t xml:space="preserve">, E. M. (2023). Magnesium-based antacids: Benefits and risks for </w:t>
      </w:r>
      <w:r w:rsidR="00FD791B">
        <w:rPr>
          <w:rFonts w:ascii="Times New Roman" w:hAnsi="Times New Roman" w:cs="Times New Roman"/>
          <w:sz w:val="24"/>
          <w:szCs w:val="24"/>
        </w:rPr>
        <w:tab/>
      </w:r>
      <w:r w:rsidRPr="00D659FE">
        <w:rPr>
          <w:rFonts w:ascii="Times New Roman" w:hAnsi="Times New Roman" w:cs="Times New Roman"/>
          <w:sz w:val="24"/>
          <w:szCs w:val="24"/>
        </w:rPr>
        <w:t>renal patients. Kidney Health Journal, 8(4), 32-45.</w:t>
      </w:r>
    </w:p>
    <w:p w14:paraId="36C12EA5" w14:textId="77777777"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Chidiebere</w:t>
      </w:r>
      <w:proofErr w:type="spellEnd"/>
      <w:r w:rsidRPr="00D659FE">
        <w:rPr>
          <w:rFonts w:ascii="Times New Roman" w:hAnsi="Times New Roman" w:cs="Times New Roman"/>
          <w:sz w:val="24"/>
          <w:szCs w:val="24"/>
        </w:rPr>
        <w:t xml:space="preserve">, N. E., &amp; </w:t>
      </w: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M. O. (2023). Long-term effects of antacid use in elderly </w:t>
      </w:r>
      <w:r w:rsidR="00FD791B">
        <w:rPr>
          <w:rFonts w:ascii="Times New Roman" w:hAnsi="Times New Roman" w:cs="Times New Roman"/>
          <w:sz w:val="24"/>
          <w:szCs w:val="24"/>
        </w:rPr>
        <w:tab/>
      </w:r>
      <w:r w:rsidRPr="00D659FE">
        <w:rPr>
          <w:rFonts w:ascii="Times New Roman" w:hAnsi="Times New Roman" w:cs="Times New Roman"/>
          <w:sz w:val="24"/>
          <w:szCs w:val="24"/>
        </w:rPr>
        <w:t>populations: A systematic review. Aging &amp; Digestive Health, 11(2), 101-115.</w:t>
      </w:r>
    </w:p>
    <w:p w14:paraId="2C27321B"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Emmanuel, K. U., &amp; </w:t>
      </w:r>
      <w:proofErr w:type="spellStart"/>
      <w:r w:rsidRPr="00D659FE">
        <w:rPr>
          <w:rFonts w:ascii="Times New Roman" w:hAnsi="Times New Roman" w:cs="Times New Roman"/>
          <w:sz w:val="24"/>
          <w:szCs w:val="24"/>
        </w:rPr>
        <w:t>Okechukwu</w:t>
      </w:r>
      <w:proofErr w:type="spellEnd"/>
      <w:r w:rsidRPr="00D659FE">
        <w:rPr>
          <w:rFonts w:ascii="Times New Roman" w:hAnsi="Times New Roman" w:cs="Times New Roman"/>
          <w:sz w:val="24"/>
          <w:szCs w:val="24"/>
        </w:rPr>
        <w:t xml:space="preserve">, V. T. (2021). Evaluation of calcium carbonate antacids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in pregnant women with acid reflux. Obstetrics &amp; Gastroenterology Journal, 9(2), </w:t>
      </w:r>
      <w:r w:rsidR="00FD791B">
        <w:rPr>
          <w:rFonts w:ascii="Times New Roman" w:hAnsi="Times New Roman" w:cs="Times New Roman"/>
          <w:sz w:val="24"/>
          <w:szCs w:val="24"/>
        </w:rPr>
        <w:tab/>
      </w:r>
      <w:r w:rsidRPr="00D659FE">
        <w:rPr>
          <w:rFonts w:ascii="Times New Roman" w:hAnsi="Times New Roman" w:cs="Times New Roman"/>
          <w:sz w:val="24"/>
          <w:szCs w:val="24"/>
        </w:rPr>
        <w:t>87-</w:t>
      </w:r>
      <w:r w:rsidR="007B2833">
        <w:rPr>
          <w:rFonts w:ascii="Times New Roman" w:hAnsi="Times New Roman" w:cs="Times New Roman"/>
          <w:sz w:val="24"/>
          <w:szCs w:val="24"/>
        </w:rPr>
        <w:tab/>
      </w:r>
      <w:r w:rsidRPr="00D659FE">
        <w:rPr>
          <w:rFonts w:ascii="Times New Roman" w:hAnsi="Times New Roman" w:cs="Times New Roman"/>
          <w:sz w:val="24"/>
          <w:szCs w:val="24"/>
        </w:rPr>
        <w:t>99.</w:t>
      </w:r>
    </w:p>
    <w:p w14:paraId="76B9F831" w14:textId="77777777"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Eze</w:t>
      </w:r>
      <w:proofErr w:type="spellEnd"/>
      <w:r w:rsidRPr="00D659FE">
        <w:rPr>
          <w:rFonts w:ascii="Times New Roman" w:hAnsi="Times New Roman" w:cs="Times New Roman"/>
          <w:sz w:val="24"/>
          <w:szCs w:val="24"/>
        </w:rPr>
        <w:t xml:space="preserve">, J. P., </w:t>
      </w:r>
      <w:proofErr w:type="spellStart"/>
      <w:r w:rsidRPr="00D659FE">
        <w:rPr>
          <w:rFonts w:ascii="Times New Roman" w:hAnsi="Times New Roman" w:cs="Times New Roman"/>
          <w:sz w:val="24"/>
          <w:szCs w:val="24"/>
        </w:rPr>
        <w:t>Adesanya</w:t>
      </w:r>
      <w:proofErr w:type="spellEnd"/>
      <w:r w:rsidRPr="00D659FE">
        <w:rPr>
          <w:rFonts w:ascii="Times New Roman" w:hAnsi="Times New Roman" w:cs="Times New Roman"/>
          <w:sz w:val="24"/>
          <w:szCs w:val="24"/>
        </w:rPr>
        <w:t xml:space="preserve">, O. K., &amp; Martins, L. B. (2023). Aluminum-containing antacids and </w:t>
      </w:r>
      <w:r w:rsidR="00FD791B">
        <w:rPr>
          <w:rFonts w:ascii="Times New Roman" w:hAnsi="Times New Roman" w:cs="Times New Roman"/>
          <w:sz w:val="24"/>
          <w:szCs w:val="24"/>
        </w:rPr>
        <w:tab/>
      </w:r>
      <w:r w:rsidRPr="00D659FE">
        <w:rPr>
          <w:rFonts w:ascii="Times New Roman" w:hAnsi="Times New Roman" w:cs="Times New Roman"/>
          <w:sz w:val="24"/>
          <w:szCs w:val="24"/>
        </w:rPr>
        <w:t>their impact on bone health. Journal of Clinical Pharmacology, 14(1), 55-70.</w:t>
      </w:r>
    </w:p>
    <w:p w14:paraId="57736D74"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George, F. R.,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xml:space="preserve">, P. J. (2022). Assessing the acid-neutralizing capacity of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different antacid brands in Nigeria. Nigerian Journal of Pharmaceutical Research, </w:t>
      </w:r>
      <w:r w:rsidR="00FD791B">
        <w:rPr>
          <w:rFonts w:ascii="Times New Roman" w:hAnsi="Times New Roman" w:cs="Times New Roman"/>
          <w:sz w:val="24"/>
          <w:szCs w:val="24"/>
        </w:rPr>
        <w:tab/>
      </w:r>
      <w:r w:rsidRPr="00D659FE">
        <w:rPr>
          <w:rFonts w:ascii="Times New Roman" w:hAnsi="Times New Roman" w:cs="Times New Roman"/>
          <w:sz w:val="24"/>
          <w:szCs w:val="24"/>
        </w:rPr>
        <w:t>7(3), 123-138.</w:t>
      </w:r>
    </w:p>
    <w:p w14:paraId="023AEC83"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Ibrahim, S. A., &amp; </w:t>
      </w:r>
      <w:proofErr w:type="spellStart"/>
      <w:r w:rsidRPr="00D659FE">
        <w:rPr>
          <w:rFonts w:ascii="Times New Roman" w:hAnsi="Times New Roman" w:cs="Times New Roman"/>
          <w:sz w:val="24"/>
          <w:szCs w:val="24"/>
        </w:rPr>
        <w:t>Chukwu</w:t>
      </w:r>
      <w:proofErr w:type="spellEnd"/>
      <w:r w:rsidRPr="00D659FE">
        <w:rPr>
          <w:rFonts w:ascii="Times New Roman" w:hAnsi="Times New Roman" w:cs="Times New Roman"/>
          <w:sz w:val="24"/>
          <w:szCs w:val="24"/>
        </w:rPr>
        <w:t xml:space="preserve">, D. N. (2022). A study on the pharmacokinetics of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components and their effectiveness in GERD patients. West African Journal of </w:t>
      </w:r>
      <w:r w:rsidR="00FD791B">
        <w:rPr>
          <w:rFonts w:ascii="Times New Roman" w:hAnsi="Times New Roman" w:cs="Times New Roman"/>
          <w:sz w:val="24"/>
          <w:szCs w:val="24"/>
        </w:rPr>
        <w:tab/>
      </w:r>
      <w:r w:rsidRPr="00D659FE">
        <w:rPr>
          <w:rFonts w:ascii="Times New Roman" w:hAnsi="Times New Roman" w:cs="Times New Roman"/>
          <w:sz w:val="24"/>
          <w:szCs w:val="24"/>
        </w:rPr>
        <w:t>Pharmacology, 10(4), 67-82.</w:t>
      </w:r>
    </w:p>
    <w:p w14:paraId="29900A40"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Martins, L. B., &amp; </w:t>
      </w:r>
      <w:proofErr w:type="spellStart"/>
      <w:r w:rsidRPr="00D659FE">
        <w:rPr>
          <w:rFonts w:ascii="Times New Roman" w:hAnsi="Times New Roman" w:cs="Times New Roman"/>
          <w:sz w:val="24"/>
          <w:szCs w:val="24"/>
        </w:rPr>
        <w:t>Adegbite</w:t>
      </w:r>
      <w:proofErr w:type="spellEnd"/>
      <w:r w:rsidRPr="00D659FE">
        <w:rPr>
          <w:rFonts w:ascii="Times New Roman" w:hAnsi="Times New Roman" w:cs="Times New Roman"/>
          <w:sz w:val="24"/>
          <w:szCs w:val="24"/>
        </w:rPr>
        <w:t xml:space="preserve">, O. S. (2021). Calcium-based antacids and their role in </w:t>
      </w:r>
      <w:r w:rsidR="00FD791B">
        <w:rPr>
          <w:rFonts w:ascii="Times New Roman" w:hAnsi="Times New Roman" w:cs="Times New Roman"/>
          <w:sz w:val="24"/>
          <w:szCs w:val="24"/>
        </w:rPr>
        <w:tab/>
      </w:r>
      <w:r w:rsidRPr="00D659FE">
        <w:rPr>
          <w:rFonts w:ascii="Times New Roman" w:hAnsi="Times New Roman" w:cs="Times New Roman"/>
          <w:sz w:val="24"/>
          <w:szCs w:val="24"/>
        </w:rPr>
        <w:t>osteoporosis prevention. Bone Health &amp; Pharmacology Review, 9(1), 44-58.</w:t>
      </w:r>
    </w:p>
    <w:p w14:paraId="15E5F69F" w14:textId="77777777" w:rsidR="00FD791B"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Nwankwo</w:t>
      </w:r>
      <w:proofErr w:type="spellEnd"/>
      <w:r w:rsidRPr="00D659FE">
        <w:rPr>
          <w:rFonts w:ascii="Times New Roman" w:hAnsi="Times New Roman" w:cs="Times New Roman"/>
          <w:sz w:val="24"/>
          <w:szCs w:val="24"/>
        </w:rPr>
        <w:t xml:space="preserve">, J. K., &amp; </w:t>
      </w: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T. A. (2023). Antacid-drug interactions: Clinical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considerations in patients with polypharmacy. African Journal of Pharmacy and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13(2), 89-104.</w:t>
      </w:r>
    </w:p>
    <w:p w14:paraId="3232F32D" w14:textId="77777777" w:rsidR="00FD791B"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Ogunleye</w:t>
      </w:r>
      <w:proofErr w:type="spellEnd"/>
      <w:r w:rsidRPr="00D659FE">
        <w:rPr>
          <w:rFonts w:ascii="Times New Roman" w:hAnsi="Times New Roman" w:cs="Times New Roman"/>
          <w:sz w:val="24"/>
          <w:szCs w:val="24"/>
        </w:rPr>
        <w:t xml:space="preserve">, A. T., &amp; Williams, B. K. (2023). Efficacy of alginate-based antacids in </w:t>
      </w:r>
      <w:r w:rsidR="00FD791B">
        <w:rPr>
          <w:rFonts w:ascii="Times New Roman" w:hAnsi="Times New Roman" w:cs="Times New Roman"/>
          <w:sz w:val="24"/>
          <w:szCs w:val="24"/>
        </w:rPr>
        <w:tab/>
      </w:r>
      <w:proofErr w:type="spellStart"/>
      <w:r w:rsidRPr="00D659FE">
        <w:rPr>
          <w:rFonts w:ascii="Times New Roman" w:hAnsi="Times New Roman" w:cs="Times New Roman"/>
          <w:sz w:val="24"/>
          <w:szCs w:val="24"/>
        </w:rPr>
        <w:t>gastroesophageal</w:t>
      </w:r>
      <w:proofErr w:type="spellEnd"/>
      <w:r w:rsidRPr="00D659FE">
        <w:rPr>
          <w:rFonts w:ascii="Times New Roman" w:hAnsi="Times New Roman" w:cs="Times New Roman"/>
          <w:sz w:val="24"/>
          <w:szCs w:val="24"/>
        </w:rPr>
        <w:t xml:space="preserve"> reflux disease management. Journal of Digestive Medicine, </w:t>
      </w:r>
      <w:r w:rsidR="00FD791B">
        <w:rPr>
          <w:rFonts w:ascii="Times New Roman" w:hAnsi="Times New Roman" w:cs="Times New Roman"/>
          <w:sz w:val="24"/>
          <w:szCs w:val="24"/>
        </w:rPr>
        <w:tab/>
        <w:t>15(3), 120- 135.</w:t>
      </w:r>
    </w:p>
    <w:p w14:paraId="67A7CEC6" w14:textId="77777777"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Ogundipe</w:t>
      </w:r>
      <w:proofErr w:type="spellEnd"/>
      <w:r w:rsidRPr="00D659FE">
        <w:rPr>
          <w:rFonts w:ascii="Times New Roman" w:hAnsi="Times New Roman" w:cs="Times New Roman"/>
          <w:sz w:val="24"/>
          <w:szCs w:val="24"/>
        </w:rPr>
        <w:t xml:space="preserve">, T. A., &amp; Williams, C. L. (2022). Pediatric use of antacids: Safety and efficacy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in </w:t>
      </w:r>
      <w:r w:rsidR="007B2833">
        <w:rPr>
          <w:rFonts w:ascii="Times New Roman" w:hAnsi="Times New Roman" w:cs="Times New Roman"/>
          <w:sz w:val="24"/>
          <w:szCs w:val="24"/>
        </w:rPr>
        <w:tab/>
      </w:r>
      <w:r w:rsidRPr="00D659FE">
        <w:rPr>
          <w:rFonts w:ascii="Times New Roman" w:hAnsi="Times New Roman" w:cs="Times New Roman"/>
          <w:sz w:val="24"/>
          <w:szCs w:val="24"/>
        </w:rPr>
        <w:t>children with acid reflux. Journal of Pediatric Gastroenterology, 11(4), 150-165.</w:t>
      </w:r>
    </w:p>
    <w:p w14:paraId="2BB4826F" w14:textId="77777777"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Okafor</w:t>
      </w:r>
      <w:proofErr w:type="spellEnd"/>
      <w:r w:rsidRPr="00D659FE">
        <w:rPr>
          <w:rFonts w:ascii="Times New Roman" w:hAnsi="Times New Roman" w:cs="Times New Roman"/>
          <w:sz w:val="24"/>
          <w:szCs w:val="24"/>
        </w:rPr>
        <w:t xml:space="preserve">, M. C.,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xml:space="preserve">, O. J. (2021). The role of antacids in acid-related disorders: </w:t>
      </w:r>
      <w:r w:rsidR="00FD791B">
        <w:rPr>
          <w:rFonts w:ascii="Times New Roman" w:hAnsi="Times New Roman" w:cs="Times New Roman"/>
          <w:sz w:val="24"/>
          <w:szCs w:val="24"/>
        </w:rPr>
        <w:tab/>
      </w:r>
      <w:r w:rsidRPr="00D659FE">
        <w:rPr>
          <w:rFonts w:ascii="Times New Roman" w:hAnsi="Times New Roman" w:cs="Times New Roman"/>
          <w:sz w:val="24"/>
          <w:szCs w:val="24"/>
        </w:rPr>
        <w:t>Mechanisms and clinical applications. Journal of Clinical Medicine, 8(3), 79-</w:t>
      </w:r>
      <w:r w:rsidR="00FD791B">
        <w:rPr>
          <w:rFonts w:ascii="Times New Roman" w:hAnsi="Times New Roman" w:cs="Times New Roman"/>
          <w:sz w:val="24"/>
          <w:szCs w:val="24"/>
        </w:rPr>
        <w:tab/>
      </w:r>
      <w:r w:rsidRPr="00D659FE">
        <w:rPr>
          <w:rFonts w:ascii="Times New Roman" w:hAnsi="Times New Roman" w:cs="Times New Roman"/>
          <w:sz w:val="24"/>
          <w:szCs w:val="24"/>
        </w:rPr>
        <w:t>94.Okonkwo,</w:t>
      </w:r>
    </w:p>
    <w:p w14:paraId="46FCA382"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 B., &amp; </w:t>
      </w:r>
      <w:proofErr w:type="spellStart"/>
      <w:r w:rsidRPr="00D659FE">
        <w:rPr>
          <w:rFonts w:ascii="Times New Roman" w:hAnsi="Times New Roman" w:cs="Times New Roman"/>
          <w:sz w:val="24"/>
          <w:szCs w:val="24"/>
        </w:rPr>
        <w:t>Adeyemi</w:t>
      </w:r>
      <w:proofErr w:type="spellEnd"/>
      <w:r w:rsidRPr="00D659FE">
        <w:rPr>
          <w:rFonts w:ascii="Times New Roman" w:hAnsi="Times New Roman" w:cs="Times New Roman"/>
          <w:sz w:val="24"/>
          <w:szCs w:val="24"/>
        </w:rPr>
        <w:t>, P. K. (2021). Comparison of aluminum, magnesium, and calcium-</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based antacids in acid neutralization tests. West African Journal of Medicine, 9(2), </w:t>
      </w:r>
      <w:r w:rsidR="00FD791B">
        <w:rPr>
          <w:rFonts w:ascii="Times New Roman" w:hAnsi="Times New Roman" w:cs="Times New Roman"/>
          <w:sz w:val="24"/>
          <w:szCs w:val="24"/>
        </w:rPr>
        <w:tab/>
      </w:r>
      <w:r w:rsidRPr="00D659FE">
        <w:rPr>
          <w:rFonts w:ascii="Times New Roman" w:hAnsi="Times New Roman" w:cs="Times New Roman"/>
          <w:sz w:val="24"/>
          <w:szCs w:val="24"/>
        </w:rPr>
        <w:t>110-125.</w:t>
      </w:r>
    </w:p>
    <w:p w14:paraId="65197B21" w14:textId="77777777"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Oluwaseun</w:t>
      </w:r>
      <w:proofErr w:type="spellEnd"/>
      <w:r w:rsidRPr="00D659FE">
        <w:rPr>
          <w:rFonts w:ascii="Times New Roman" w:hAnsi="Times New Roman" w:cs="Times New Roman"/>
          <w:sz w:val="24"/>
          <w:szCs w:val="24"/>
        </w:rPr>
        <w:t xml:space="preserve">, B. F., &amp; Martins, L. O. (2022). Impact of chronic antacid use on gastric 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secretion and nutrient absorption. Gastrointestinal Pharmacology Journal, 10(3), </w:t>
      </w:r>
      <w:r w:rsidR="00FD791B">
        <w:rPr>
          <w:rFonts w:ascii="Times New Roman" w:hAnsi="Times New Roman" w:cs="Times New Roman"/>
          <w:sz w:val="24"/>
          <w:szCs w:val="24"/>
        </w:rPr>
        <w:tab/>
      </w:r>
      <w:r w:rsidRPr="00D659FE">
        <w:rPr>
          <w:rFonts w:ascii="Times New Roman" w:hAnsi="Times New Roman" w:cs="Times New Roman"/>
          <w:sz w:val="24"/>
          <w:szCs w:val="24"/>
        </w:rPr>
        <w:t>99-</w:t>
      </w:r>
      <w:r w:rsidR="007B2833">
        <w:rPr>
          <w:rFonts w:ascii="Times New Roman" w:hAnsi="Times New Roman" w:cs="Times New Roman"/>
          <w:sz w:val="24"/>
          <w:szCs w:val="24"/>
        </w:rPr>
        <w:tab/>
      </w:r>
      <w:r w:rsidRPr="00D659FE">
        <w:rPr>
          <w:rFonts w:ascii="Times New Roman" w:hAnsi="Times New Roman" w:cs="Times New Roman"/>
          <w:sz w:val="24"/>
          <w:szCs w:val="24"/>
        </w:rPr>
        <w:t>115.</w:t>
      </w:r>
    </w:p>
    <w:p w14:paraId="1D959714" w14:textId="77777777"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Omotayo</w:t>
      </w:r>
      <w:proofErr w:type="spellEnd"/>
      <w:r w:rsidRPr="00D659FE">
        <w:rPr>
          <w:rFonts w:ascii="Times New Roman" w:hAnsi="Times New Roman" w:cs="Times New Roman"/>
          <w:sz w:val="24"/>
          <w:szCs w:val="24"/>
        </w:rPr>
        <w:t xml:space="preserve">, S. D., &amp; Ibrahim, S. T. (2024). Advancements in antacid formulations: A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review of recent innovations. International Journal of Pharmaceutical Innovations, </w:t>
      </w:r>
      <w:r w:rsidR="00FD791B">
        <w:rPr>
          <w:rFonts w:ascii="Times New Roman" w:hAnsi="Times New Roman" w:cs="Times New Roman"/>
          <w:sz w:val="24"/>
          <w:szCs w:val="24"/>
        </w:rPr>
        <w:tab/>
      </w:r>
      <w:r w:rsidRPr="00D659FE">
        <w:rPr>
          <w:rFonts w:ascii="Times New Roman" w:hAnsi="Times New Roman" w:cs="Times New Roman"/>
          <w:sz w:val="24"/>
          <w:szCs w:val="24"/>
        </w:rPr>
        <w:t>16(1), 25- 40.</w:t>
      </w:r>
    </w:p>
    <w:p w14:paraId="0ED197EF" w14:textId="77777777"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Onwuegbuchulam</w:t>
      </w:r>
      <w:proofErr w:type="spellEnd"/>
      <w:r w:rsidRPr="00D659FE">
        <w:rPr>
          <w:rFonts w:ascii="Times New Roman" w:hAnsi="Times New Roman" w:cs="Times New Roman"/>
          <w:sz w:val="24"/>
          <w:szCs w:val="24"/>
        </w:rPr>
        <w:t xml:space="preserve">, R. N., &amp; Okonkwo, E. T. (2023). Role of diet and lifestyle in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effectiveness: A clinical review. Nutrition and Digestive Health Journal, 12(4), </w:t>
      </w:r>
      <w:r w:rsidR="00FD791B">
        <w:rPr>
          <w:rFonts w:ascii="Times New Roman" w:hAnsi="Times New Roman" w:cs="Times New Roman"/>
          <w:sz w:val="24"/>
          <w:szCs w:val="24"/>
        </w:rPr>
        <w:tab/>
      </w:r>
      <w:r w:rsidRPr="00D659FE">
        <w:rPr>
          <w:rFonts w:ascii="Times New Roman" w:hAnsi="Times New Roman" w:cs="Times New Roman"/>
          <w:sz w:val="24"/>
          <w:szCs w:val="24"/>
        </w:rPr>
        <w:t>115-130.</w:t>
      </w:r>
    </w:p>
    <w:p w14:paraId="19BE721C" w14:textId="77777777"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Osho</w:t>
      </w:r>
      <w:proofErr w:type="spellEnd"/>
      <w:r w:rsidRPr="00D659FE">
        <w:rPr>
          <w:rFonts w:ascii="Times New Roman" w:hAnsi="Times New Roman" w:cs="Times New Roman"/>
          <w:sz w:val="24"/>
          <w:szCs w:val="24"/>
        </w:rPr>
        <w:t xml:space="preserve">, B. A., &amp; </w:t>
      </w:r>
      <w:proofErr w:type="spellStart"/>
      <w:r w:rsidRPr="00D659FE">
        <w:rPr>
          <w:rFonts w:ascii="Times New Roman" w:hAnsi="Times New Roman" w:cs="Times New Roman"/>
          <w:sz w:val="24"/>
          <w:szCs w:val="24"/>
        </w:rPr>
        <w:t>Ogundele</w:t>
      </w:r>
      <w:proofErr w:type="spellEnd"/>
      <w:r w:rsidRPr="00D659FE">
        <w:rPr>
          <w:rFonts w:ascii="Times New Roman" w:hAnsi="Times New Roman" w:cs="Times New Roman"/>
          <w:sz w:val="24"/>
          <w:szCs w:val="24"/>
        </w:rPr>
        <w:t xml:space="preserve">, K. J. (2022). Acid neutralizing capacity of antacids: An in-vitro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evaluation of commercial brands. Pharmaceutical Science &amp; Research Journal, </w:t>
      </w:r>
      <w:r w:rsidR="00FD791B">
        <w:rPr>
          <w:rFonts w:ascii="Times New Roman" w:hAnsi="Times New Roman" w:cs="Times New Roman"/>
          <w:sz w:val="24"/>
          <w:szCs w:val="24"/>
        </w:rPr>
        <w:tab/>
        <w:t>PPSC</w:t>
      </w:r>
      <w:r w:rsidRPr="00D659FE">
        <w:rPr>
          <w:rFonts w:ascii="Times New Roman" w:hAnsi="Times New Roman" w:cs="Times New Roman"/>
          <w:sz w:val="24"/>
          <w:szCs w:val="24"/>
        </w:rPr>
        <w:t>10(2), 140- 155.</w:t>
      </w:r>
    </w:p>
    <w:p w14:paraId="3A2C5E2F" w14:textId="77777777" w:rsidR="00D659FE" w:rsidRPr="00D659FE" w:rsidRDefault="00D659FE" w:rsidP="009A5A72">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Oyedepo</w:t>
      </w:r>
      <w:proofErr w:type="spellEnd"/>
      <w:r w:rsidRPr="00D659FE">
        <w:rPr>
          <w:rFonts w:ascii="Times New Roman" w:hAnsi="Times New Roman" w:cs="Times New Roman"/>
          <w:sz w:val="24"/>
          <w:szCs w:val="24"/>
        </w:rPr>
        <w:t xml:space="preserve">, C. O., &amp; </w:t>
      </w:r>
      <w:proofErr w:type="spellStart"/>
      <w:r w:rsidRPr="00D659FE">
        <w:rPr>
          <w:rFonts w:ascii="Times New Roman" w:hAnsi="Times New Roman" w:cs="Times New Roman"/>
          <w:sz w:val="24"/>
          <w:szCs w:val="24"/>
        </w:rPr>
        <w:t>Nwankwo</w:t>
      </w:r>
      <w:proofErr w:type="spellEnd"/>
      <w:r w:rsidRPr="00D659FE">
        <w:rPr>
          <w:rFonts w:ascii="Times New Roman" w:hAnsi="Times New Roman" w:cs="Times New Roman"/>
          <w:sz w:val="24"/>
          <w:szCs w:val="24"/>
        </w:rPr>
        <w:t xml:space="preserve">, J. K. (2023). Management of acid reflux in special </w:t>
      </w:r>
      <w:r w:rsidR="00FD791B">
        <w:rPr>
          <w:rFonts w:ascii="Times New Roman" w:hAnsi="Times New Roman" w:cs="Times New Roman"/>
          <w:sz w:val="24"/>
          <w:szCs w:val="24"/>
        </w:rPr>
        <w:tab/>
      </w:r>
      <w:r w:rsidRPr="00D659FE">
        <w:rPr>
          <w:rFonts w:ascii="Times New Roman" w:hAnsi="Times New Roman" w:cs="Times New Roman"/>
          <w:sz w:val="24"/>
          <w:szCs w:val="24"/>
        </w:rPr>
        <w:t>populations: A focus on antacids. Medical Review Journal, 14(3), 95-108.</w:t>
      </w:r>
    </w:p>
    <w:p w14:paraId="53260BE3" w14:textId="77777777" w:rsidR="00D659FE" w:rsidRPr="00D659FE" w:rsidRDefault="00D659FE" w:rsidP="009A5A72">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Williams, D. A., &amp; </w:t>
      </w:r>
      <w:proofErr w:type="spellStart"/>
      <w:r w:rsidRPr="00D659FE">
        <w:rPr>
          <w:rFonts w:ascii="Times New Roman" w:hAnsi="Times New Roman" w:cs="Times New Roman"/>
          <w:sz w:val="24"/>
          <w:szCs w:val="24"/>
        </w:rPr>
        <w:t>Chukwudi</w:t>
      </w:r>
      <w:proofErr w:type="spellEnd"/>
      <w:r w:rsidRPr="00D659FE">
        <w:rPr>
          <w:rFonts w:ascii="Times New Roman" w:hAnsi="Times New Roman" w:cs="Times New Roman"/>
          <w:sz w:val="24"/>
          <w:szCs w:val="24"/>
        </w:rPr>
        <w:t xml:space="preserve">, N. P. (2022). The efficacy and safety of antacid use in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pregnant women and elderly patients. Journal of Clinical Pharmacy &amp;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13(1), 60-75.</w:t>
      </w:r>
    </w:p>
    <w:p w14:paraId="75A2E2FF" w14:textId="77777777" w:rsidR="00FA245E" w:rsidRPr="009E55DF" w:rsidRDefault="00FA245E" w:rsidP="009A5A72">
      <w:pPr>
        <w:spacing w:after="0" w:line="360" w:lineRule="auto"/>
        <w:rPr>
          <w:rFonts w:ascii="Times New Roman" w:hAnsi="Times New Roman" w:cs="Times New Roman"/>
          <w:b/>
          <w:sz w:val="24"/>
          <w:szCs w:val="24"/>
        </w:rPr>
      </w:pPr>
    </w:p>
    <w:sectPr w:rsidR="00FA245E" w:rsidRPr="009E55DF" w:rsidSect="000B4B76">
      <w:footerReference w:type="default" r:id="rId9"/>
      <w:pgSz w:w="11808" w:h="15120"/>
      <w:pgMar w:top="1354" w:right="1411" w:bottom="2506" w:left="1411" w:header="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7DFD" w14:textId="77777777" w:rsidR="00905ACB" w:rsidRDefault="00905ACB" w:rsidP="00D659FE">
      <w:pPr>
        <w:spacing w:after="0" w:line="240" w:lineRule="auto"/>
      </w:pPr>
      <w:r>
        <w:separator/>
      </w:r>
    </w:p>
  </w:endnote>
  <w:endnote w:type="continuationSeparator" w:id="0">
    <w:p w14:paraId="4C536E10" w14:textId="77777777" w:rsidR="00905ACB" w:rsidRDefault="00905ACB" w:rsidP="00D6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721588"/>
      <w:docPartObj>
        <w:docPartGallery w:val="Page Numbers (Bottom of Page)"/>
        <w:docPartUnique/>
      </w:docPartObj>
    </w:sdtPr>
    <w:sdtEndPr>
      <w:rPr>
        <w:noProof/>
      </w:rPr>
    </w:sdtEndPr>
    <w:sdtContent>
      <w:p w14:paraId="4B6D9194" w14:textId="77777777" w:rsidR="0052353C" w:rsidRDefault="0052353C">
        <w:pPr>
          <w:pStyle w:val="Footer"/>
          <w:jc w:val="center"/>
        </w:pPr>
        <w:r>
          <w:fldChar w:fldCharType="begin"/>
        </w:r>
        <w:r>
          <w:instrText xml:space="preserve"> PAGE   \* MERGEFORMAT </w:instrText>
        </w:r>
        <w:r>
          <w:fldChar w:fldCharType="separate"/>
        </w:r>
        <w:r w:rsidR="001263DA">
          <w:rPr>
            <w:noProof/>
          </w:rPr>
          <w:t>v</w:t>
        </w:r>
        <w:r>
          <w:rPr>
            <w:noProof/>
          </w:rPr>
          <w:fldChar w:fldCharType="end"/>
        </w:r>
      </w:p>
    </w:sdtContent>
  </w:sdt>
  <w:p w14:paraId="4576C96F" w14:textId="77777777" w:rsidR="0052353C" w:rsidRDefault="0052353C">
    <w:pPr>
      <w:pStyle w:val="BodyText"/>
      <w:spacing w:before="0"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515605"/>
      <w:docPartObj>
        <w:docPartGallery w:val="Page Numbers (Bottom of Page)"/>
        <w:docPartUnique/>
      </w:docPartObj>
    </w:sdtPr>
    <w:sdtEndPr>
      <w:rPr>
        <w:noProof/>
      </w:rPr>
    </w:sdtEndPr>
    <w:sdtContent>
      <w:p w14:paraId="0A7AC72E" w14:textId="77777777" w:rsidR="0052353C" w:rsidRDefault="0052353C">
        <w:pPr>
          <w:pStyle w:val="Footer"/>
          <w:jc w:val="center"/>
        </w:pPr>
        <w:r>
          <w:fldChar w:fldCharType="begin"/>
        </w:r>
        <w:r>
          <w:instrText xml:space="preserve"> PAGE   \* MERGEFORMAT </w:instrText>
        </w:r>
        <w:r>
          <w:fldChar w:fldCharType="separate"/>
        </w:r>
        <w:r w:rsidR="004B3B34">
          <w:rPr>
            <w:noProof/>
          </w:rPr>
          <w:t>32</w:t>
        </w:r>
        <w:r>
          <w:rPr>
            <w:noProof/>
          </w:rPr>
          <w:fldChar w:fldCharType="end"/>
        </w:r>
      </w:p>
    </w:sdtContent>
  </w:sdt>
  <w:p w14:paraId="2337F313" w14:textId="77777777" w:rsidR="0052353C" w:rsidRDefault="0052353C">
    <w:pPr>
      <w:pStyle w:val="BodyText"/>
      <w:spacing w:before="0"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621458"/>
      <w:docPartObj>
        <w:docPartGallery w:val="Page Numbers (Bottom of Page)"/>
        <w:docPartUnique/>
      </w:docPartObj>
    </w:sdtPr>
    <w:sdtEndPr>
      <w:rPr>
        <w:noProof/>
      </w:rPr>
    </w:sdtEndPr>
    <w:sdtContent>
      <w:p w14:paraId="02900E63" w14:textId="77777777" w:rsidR="0052353C" w:rsidRDefault="0052353C">
        <w:pPr>
          <w:pStyle w:val="Footer"/>
          <w:jc w:val="center"/>
        </w:pPr>
        <w:r>
          <w:fldChar w:fldCharType="begin"/>
        </w:r>
        <w:r>
          <w:instrText xml:space="preserve"> PAGE   \* MERGEFORMAT </w:instrText>
        </w:r>
        <w:r>
          <w:fldChar w:fldCharType="separate"/>
        </w:r>
        <w:r w:rsidR="004B3B34">
          <w:rPr>
            <w:noProof/>
          </w:rPr>
          <w:t>39</w:t>
        </w:r>
        <w:r>
          <w:rPr>
            <w:noProof/>
          </w:rPr>
          <w:fldChar w:fldCharType="end"/>
        </w:r>
      </w:p>
    </w:sdtContent>
  </w:sdt>
  <w:p w14:paraId="6B849686" w14:textId="77777777" w:rsidR="0052353C" w:rsidRDefault="0052353C">
    <w:pPr>
      <w:pStyle w:val="BodyText"/>
      <w:spacing w:before="0"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31CB" w14:textId="77777777" w:rsidR="00905ACB" w:rsidRDefault="00905ACB" w:rsidP="00D659FE">
      <w:pPr>
        <w:spacing w:after="0" w:line="240" w:lineRule="auto"/>
      </w:pPr>
      <w:r>
        <w:separator/>
      </w:r>
    </w:p>
  </w:footnote>
  <w:footnote w:type="continuationSeparator" w:id="0">
    <w:p w14:paraId="7B4705C1" w14:textId="77777777" w:rsidR="00905ACB" w:rsidRDefault="00905ACB" w:rsidP="00D65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259"/>
    <w:multiLevelType w:val="multilevel"/>
    <w:tmpl w:val="190A0E50"/>
    <w:lvl w:ilvl="0">
      <w:start w:val="2"/>
      <w:numFmt w:val="decimal"/>
      <w:lvlText w:val="%1"/>
      <w:lvlJc w:val="left"/>
      <w:pPr>
        <w:ind w:left="885" w:hanging="720"/>
      </w:pPr>
      <w:rPr>
        <w:rFonts w:hint="default"/>
        <w:lang w:val="en-US"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25" w:hanging="540"/>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decimal"/>
      <w:lvlText w:val="%1.%2.%3.%4"/>
      <w:lvlJc w:val="left"/>
      <w:pPr>
        <w:ind w:left="2301" w:hanging="936"/>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040" w:hanging="936"/>
      </w:pPr>
      <w:rPr>
        <w:rFonts w:hint="default"/>
        <w:lang w:val="en-US" w:eastAsia="en-US" w:bidi="ar-SA"/>
      </w:rPr>
    </w:lvl>
    <w:lvl w:ilvl="5">
      <w:numFmt w:val="bullet"/>
      <w:lvlText w:val="•"/>
      <w:lvlJc w:val="left"/>
      <w:pPr>
        <w:ind w:left="4910" w:hanging="936"/>
      </w:pPr>
      <w:rPr>
        <w:rFonts w:hint="default"/>
        <w:lang w:val="en-US" w:eastAsia="en-US" w:bidi="ar-SA"/>
      </w:rPr>
    </w:lvl>
    <w:lvl w:ilvl="6">
      <w:numFmt w:val="bullet"/>
      <w:lvlText w:val="•"/>
      <w:lvlJc w:val="left"/>
      <w:pPr>
        <w:ind w:left="5780" w:hanging="936"/>
      </w:pPr>
      <w:rPr>
        <w:rFonts w:hint="default"/>
        <w:lang w:val="en-US" w:eastAsia="en-US" w:bidi="ar-SA"/>
      </w:rPr>
    </w:lvl>
    <w:lvl w:ilvl="7">
      <w:numFmt w:val="bullet"/>
      <w:lvlText w:val="•"/>
      <w:lvlJc w:val="left"/>
      <w:pPr>
        <w:ind w:left="6650" w:hanging="936"/>
      </w:pPr>
      <w:rPr>
        <w:rFonts w:hint="default"/>
        <w:lang w:val="en-US" w:eastAsia="en-US" w:bidi="ar-SA"/>
      </w:rPr>
    </w:lvl>
    <w:lvl w:ilvl="8">
      <w:numFmt w:val="bullet"/>
      <w:lvlText w:val="•"/>
      <w:lvlJc w:val="left"/>
      <w:pPr>
        <w:ind w:left="7520" w:hanging="936"/>
      </w:pPr>
      <w:rPr>
        <w:rFonts w:hint="default"/>
        <w:lang w:val="en-US" w:eastAsia="en-US" w:bidi="ar-SA"/>
      </w:rPr>
    </w:lvl>
  </w:abstractNum>
  <w:abstractNum w:abstractNumId="1" w15:restartNumberingAfterBreak="0">
    <w:nsid w:val="1B4A2287"/>
    <w:multiLevelType w:val="multilevel"/>
    <w:tmpl w:val="74E0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666E0"/>
    <w:multiLevelType w:val="multilevel"/>
    <w:tmpl w:val="E24C038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69148A"/>
    <w:multiLevelType w:val="multilevel"/>
    <w:tmpl w:val="3DBE01C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A2EE7"/>
    <w:multiLevelType w:val="multilevel"/>
    <w:tmpl w:val="22EE4DC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E958AF"/>
    <w:multiLevelType w:val="multilevel"/>
    <w:tmpl w:val="D03C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E37855"/>
    <w:multiLevelType w:val="multilevel"/>
    <w:tmpl w:val="6C9C0F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1A81475"/>
    <w:multiLevelType w:val="multilevel"/>
    <w:tmpl w:val="FCE6D022"/>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DA02B5"/>
    <w:multiLevelType w:val="multilevel"/>
    <w:tmpl w:val="1DCECF9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9F2F32"/>
    <w:multiLevelType w:val="multilevel"/>
    <w:tmpl w:val="A29A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C10828"/>
    <w:multiLevelType w:val="multilevel"/>
    <w:tmpl w:val="12A8063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FD78B3"/>
    <w:multiLevelType w:val="multilevel"/>
    <w:tmpl w:val="95A667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267071"/>
    <w:multiLevelType w:val="multilevel"/>
    <w:tmpl w:val="B98A8E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FA3D31"/>
    <w:multiLevelType w:val="multilevel"/>
    <w:tmpl w:val="729AE0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0E7B3C"/>
    <w:multiLevelType w:val="multilevel"/>
    <w:tmpl w:val="F1A02D2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7927596">
    <w:abstractNumId w:val="0"/>
  </w:num>
  <w:num w:numId="2" w16cid:durableId="1995988040">
    <w:abstractNumId w:val="14"/>
  </w:num>
  <w:num w:numId="3" w16cid:durableId="1600138567">
    <w:abstractNumId w:val="13"/>
  </w:num>
  <w:num w:numId="4" w16cid:durableId="765419184">
    <w:abstractNumId w:val="8"/>
  </w:num>
  <w:num w:numId="5" w16cid:durableId="1725174425">
    <w:abstractNumId w:val="11"/>
  </w:num>
  <w:num w:numId="6" w16cid:durableId="267666889">
    <w:abstractNumId w:val="7"/>
  </w:num>
  <w:num w:numId="7" w16cid:durableId="820734123">
    <w:abstractNumId w:val="4"/>
  </w:num>
  <w:num w:numId="8" w16cid:durableId="1044982880">
    <w:abstractNumId w:val="12"/>
  </w:num>
  <w:num w:numId="9" w16cid:durableId="141972470">
    <w:abstractNumId w:val="2"/>
  </w:num>
  <w:num w:numId="10" w16cid:durableId="211041071">
    <w:abstractNumId w:val="3"/>
  </w:num>
  <w:num w:numId="11" w16cid:durableId="350571406">
    <w:abstractNumId w:val="10"/>
  </w:num>
  <w:num w:numId="12" w16cid:durableId="179704063">
    <w:abstractNumId w:val="1"/>
  </w:num>
  <w:num w:numId="13" w16cid:durableId="122426447">
    <w:abstractNumId w:val="9"/>
  </w:num>
  <w:num w:numId="14" w16cid:durableId="1174342593">
    <w:abstractNumId w:val="5"/>
  </w:num>
  <w:num w:numId="15" w16cid:durableId="770472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9FE"/>
    <w:rsid w:val="00020FAF"/>
    <w:rsid w:val="00033D43"/>
    <w:rsid w:val="00044E0E"/>
    <w:rsid w:val="00083D48"/>
    <w:rsid w:val="000B4B76"/>
    <w:rsid w:val="000C50BB"/>
    <w:rsid w:val="000D150A"/>
    <w:rsid w:val="0012239B"/>
    <w:rsid w:val="001263DA"/>
    <w:rsid w:val="0013327B"/>
    <w:rsid w:val="001854CA"/>
    <w:rsid w:val="001C49F6"/>
    <w:rsid w:val="001E66C2"/>
    <w:rsid w:val="001F41D3"/>
    <w:rsid w:val="002310AE"/>
    <w:rsid w:val="002F5AFB"/>
    <w:rsid w:val="00351CD6"/>
    <w:rsid w:val="00375EC0"/>
    <w:rsid w:val="003A3088"/>
    <w:rsid w:val="003C0190"/>
    <w:rsid w:val="00441909"/>
    <w:rsid w:val="00455718"/>
    <w:rsid w:val="004A5A28"/>
    <w:rsid w:val="004B16A8"/>
    <w:rsid w:val="004B3B34"/>
    <w:rsid w:val="004B65CA"/>
    <w:rsid w:val="004C068E"/>
    <w:rsid w:val="004E171D"/>
    <w:rsid w:val="00505174"/>
    <w:rsid w:val="005116DC"/>
    <w:rsid w:val="0052353C"/>
    <w:rsid w:val="00556125"/>
    <w:rsid w:val="00557FF6"/>
    <w:rsid w:val="005657DC"/>
    <w:rsid w:val="00572FEE"/>
    <w:rsid w:val="00584B9B"/>
    <w:rsid w:val="005853B2"/>
    <w:rsid w:val="005A11D9"/>
    <w:rsid w:val="005B2470"/>
    <w:rsid w:val="005B6981"/>
    <w:rsid w:val="005E1AA2"/>
    <w:rsid w:val="005F4524"/>
    <w:rsid w:val="0068456B"/>
    <w:rsid w:val="0068681A"/>
    <w:rsid w:val="00742D94"/>
    <w:rsid w:val="007A05B7"/>
    <w:rsid w:val="007B2833"/>
    <w:rsid w:val="007B764E"/>
    <w:rsid w:val="007D6963"/>
    <w:rsid w:val="007E0770"/>
    <w:rsid w:val="007E33BA"/>
    <w:rsid w:val="007F3E35"/>
    <w:rsid w:val="007F7090"/>
    <w:rsid w:val="008069D7"/>
    <w:rsid w:val="00814E70"/>
    <w:rsid w:val="00866A7B"/>
    <w:rsid w:val="008A31B5"/>
    <w:rsid w:val="008E21D3"/>
    <w:rsid w:val="00905ACB"/>
    <w:rsid w:val="00923B2A"/>
    <w:rsid w:val="00954D10"/>
    <w:rsid w:val="00957AE2"/>
    <w:rsid w:val="00965BFC"/>
    <w:rsid w:val="009A5A72"/>
    <w:rsid w:val="009E55DF"/>
    <w:rsid w:val="00A32B4F"/>
    <w:rsid w:val="00A628EF"/>
    <w:rsid w:val="00A9662E"/>
    <w:rsid w:val="00AA70DC"/>
    <w:rsid w:val="00AC25C9"/>
    <w:rsid w:val="00B06891"/>
    <w:rsid w:val="00B31FFF"/>
    <w:rsid w:val="00B56C0D"/>
    <w:rsid w:val="00B7318F"/>
    <w:rsid w:val="00BA04F8"/>
    <w:rsid w:val="00BA3F78"/>
    <w:rsid w:val="00BC1219"/>
    <w:rsid w:val="00BC6E20"/>
    <w:rsid w:val="00C03B81"/>
    <w:rsid w:val="00C308F5"/>
    <w:rsid w:val="00C35E98"/>
    <w:rsid w:val="00C44110"/>
    <w:rsid w:val="00C45905"/>
    <w:rsid w:val="00C664FF"/>
    <w:rsid w:val="00C76F66"/>
    <w:rsid w:val="00C9015E"/>
    <w:rsid w:val="00CA7C88"/>
    <w:rsid w:val="00CB23A7"/>
    <w:rsid w:val="00CE2674"/>
    <w:rsid w:val="00CE6680"/>
    <w:rsid w:val="00D167D5"/>
    <w:rsid w:val="00D64514"/>
    <w:rsid w:val="00D659FE"/>
    <w:rsid w:val="00D70544"/>
    <w:rsid w:val="00D718B5"/>
    <w:rsid w:val="00D932B2"/>
    <w:rsid w:val="00D96B8E"/>
    <w:rsid w:val="00E85599"/>
    <w:rsid w:val="00E93475"/>
    <w:rsid w:val="00EA4DFA"/>
    <w:rsid w:val="00EB0122"/>
    <w:rsid w:val="00EB0EA5"/>
    <w:rsid w:val="00EB567F"/>
    <w:rsid w:val="00EC2AAA"/>
    <w:rsid w:val="00F03613"/>
    <w:rsid w:val="00F57C15"/>
    <w:rsid w:val="00F65E53"/>
    <w:rsid w:val="00F87772"/>
    <w:rsid w:val="00FA245E"/>
    <w:rsid w:val="00FD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D07A"/>
  <w15:docId w15:val="{8D70CA77-1C2A-C54B-A320-956C6BC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659FE"/>
    <w:pPr>
      <w:widowControl w:val="0"/>
      <w:autoSpaceDE w:val="0"/>
      <w:autoSpaceDN w:val="0"/>
      <w:spacing w:before="160" w:after="0" w:line="240" w:lineRule="auto"/>
      <w:ind w:left="885"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D659FE"/>
    <w:pPr>
      <w:widowControl w:val="0"/>
      <w:autoSpaceDE w:val="0"/>
      <w:autoSpaceDN w:val="0"/>
      <w:spacing w:before="160" w:after="0" w:line="240" w:lineRule="auto"/>
      <w:ind w:left="1124" w:hanging="539"/>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A24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59F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659F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659FE"/>
    <w:pPr>
      <w:widowControl w:val="0"/>
      <w:autoSpaceDE w:val="0"/>
      <w:autoSpaceDN w:val="0"/>
      <w:spacing w:before="202" w:after="0" w:line="240" w:lineRule="auto"/>
      <w:ind w:left="14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59FE"/>
    <w:rPr>
      <w:rFonts w:ascii="Times New Roman" w:eastAsia="Times New Roman" w:hAnsi="Times New Roman" w:cs="Times New Roman"/>
      <w:sz w:val="24"/>
      <w:szCs w:val="24"/>
    </w:rPr>
  </w:style>
  <w:style w:type="paragraph" w:styleId="Title">
    <w:name w:val="Title"/>
    <w:basedOn w:val="Normal"/>
    <w:link w:val="TitleChar"/>
    <w:uiPriority w:val="1"/>
    <w:qFormat/>
    <w:rsid w:val="00D659FE"/>
    <w:pPr>
      <w:widowControl w:val="0"/>
      <w:autoSpaceDE w:val="0"/>
      <w:autoSpaceDN w:val="0"/>
      <w:spacing w:after="0" w:line="240" w:lineRule="auto"/>
      <w:ind w:right="1"/>
      <w:jc w:val="center"/>
    </w:pPr>
    <w:rPr>
      <w:rFonts w:ascii="Cambria" w:eastAsia="Cambria" w:hAnsi="Cambria" w:cs="Cambria"/>
      <w:b/>
      <w:bCs/>
      <w:sz w:val="38"/>
      <w:szCs w:val="38"/>
    </w:rPr>
  </w:style>
  <w:style w:type="character" w:customStyle="1" w:styleId="TitleChar">
    <w:name w:val="Title Char"/>
    <w:basedOn w:val="DefaultParagraphFont"/>
    <w:link w:val="Title"/>
    <w:uiPriority w:val="1"/>
    <w:rsid w:val="00D659FE"/>
    <w:rPr>
      <w:rFonts w:ascii="Cambria" w:eastAsia="Cambria" w:hAnsi="Cambria" w:cs="Cambria"/>
      <w:b/>
      <w:bCs/>
      <w:sz w:val="38"/>
      <w:szCs w:val="38"/>
    </w:rPr>
  </w:style>
  <w:style w:type="paragraph" w:styleId="ListParagraph">
    <w:name w:val="List Paragraph"/>
    <w:basedOn w:val="Normal"/>
    <w:uiPriority w:val="1"/>
    <w:qFormat/>
    <w:rsid w:val="00D659FE"/>
    <w:pPr>
      <w:widowControl w:val="0"/>
      <w:autoSpaceDE w:val="0"/>
      <w:autoSpaceDN w:val="0"/>
      <w:spacing w:before="160" w:after="0" w:line="240" w:lineRule="auto"/>
      <w:ind w:left="885" w:hanging="720"/>
    </w:pPr>
    <w:rPr>
      <w:rFonts w:ascii="Times New Roman" w:eastAsia="Times New Roman" w:hAnsi="Times New Roman" w:cs="Times New Roman"/>
    </w:rPr>
  </w:style>
  <w:style w:type="paragraph" w:customStyle="1" w:styleId="TableParagraph">
    <w:name w:val="Table Paragraph"/>
    <w:basedOn w:val="Normal"/>
    <w:uiPriority w:val="1"/>
    <w:qFormat/>
    <w:rsid w:val="00D659F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659F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59FE"/>
    <w:rPr>
      <w:rFonts w:ascii="Tahoma" w:eastAsia="Times New Roman" w:hAnsi="Tahoma" w:cs="Tahoma"/>
      <w:sz w:val="16"/>
      <w:szCs w:val="16"/>
    </w:rPr>
  </w:style>
  <w:style w:type="table" w:styleId="TableGrid">
    <w:name w:val="Table Grid"/>
    <w:basedOn w:val="TableNormal"/>
    <w:uiPriority w:val="59"/>
    <w:rsid w:val="00D659F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659FE"/>
    <w:rPr>
      <w:rFonts w:ascii="Times New Roman" w:eastAsia="Times New Roman" w:hAnsi="Times New Roman" w:cs="Times New Roman"/>
    </w:rPr>
  </w:style>
  <w:style w:type="paragraph" w:styleId="Footer">
    <w:name w:val="footer"/>
    <w:basedOn w:val="Normal"/>
    <w:link w:val="Foot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659FE"/>
    <w:rPr>
      <w:rFonts w:ascii="Times New Roman" w:eastAsia="Times New Roman" w:hAnsi="Times New Roman" w:cs="Times New Roman"/>
    </w:rPr>
  </w:style>
  <w:style w:type="character" w:styleId="Strong">
    <w:name w:val="Strong"/>
    <w:basedOn w:val="DefaultParagraphFont"/>
    <w:uiPriority w:val="22"/>
    <w:qFormat/>
    <w:rsid w:val="007E33BA"/>
    <w:rPr>
      <w:b/>
      <w:bCs/>
    </w:rPr>
  </w:style>
  <w:style w:type="character" w:styleId="PlaceholderText">
    <w:name w:val="Placeholder Text"/>
    <w:basedOn w:val="DefaultParagraphFont"/>
    <w:uiPriority w:val="99"/>
    <w:semiHidden/>
    <w:rsid w:val="007E33BA"/>
    <w:rPr>
      <w:color w:val="808080"/>
    </w:rPr>
  </w:style>
  <w:style w:type="character" w:customStyle="1" w:styleId="Heading3Char">
    <w:name w:val="Heading 3 Char"/>
    <w:basedOn w:val="DefaultParagraphFont"/>
    <w:link w:val="Heading3"/>
    <w:uiPriority w:val="9"/>
    <w:rsid w:val="00FA245E"/>
    <w:rPr>
      <w:rFonts w:asciiTheme="majorHAnsi" w:eastAsiaTheme="majorEastAsia" w:hAnsiTheme="majorHAnsi" w:cstheme="majorBidi"/>
      <w:b/>
      <w:bCs/>
      <w:color w:val="4F81BD" w:themeColor="accent1"/>
    </w:rPr>
  </w:style>
  <w:style w:type="paragraph" w:styleId="NoSpacing">
    <w:name w:val="No Spacing"/>
    <w:uiPriority w:val="1"/>
    <w:qFormat/>
    <w:rsid w:val="003C0190"/>
    <w:pPr>
      <w:spacing w:after="0" w:line="240" w:lineRule="auto"/>
    </w:pPr>
  </w:style>
  <w:style w:type="paragraph" w:styleId="NormalWeb">
    <w:name w:val="Normal (Web)"/>
    <w:basedOn w:val="Normal"/>
    <w:uiPriority w:val="99"/>
    <w:unhideWhenUsed/>
    <w:rsid w:val="00C03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229">
      <w:bodyDiv w:val="1"/>
      <w:marLeft w:val="0"/>
      <w:marRight w:val="0"/>
      <w:marTop w:val="0"/>
      <w:marBottom w:val="0"/>
      <w:divBdr>
        <w:top w:val="none" w:sz="0" w:space="0" w:color="auto"/>
        <w:left w:val="none" w:sz="0" w:space="0" w:color="auto"/>
        <w:bottom w:val="none" w:sz="0" w:space="0" w:color="auto"/>
        <w:right w:val="none" w:sz="0" w:space="0" w:color="auto"/>
      </w:divBdr>
    </w:div>
    <w:div w:id="73626487">
      <w:bodyDiv w:val="1"/>
      <w:marLeft w:val="0"/>
      <w:marRight w:val="0"/>
      <w:marTop w:val="0"/>
      <w:marBottom w:val="0"/>
      <w:divBdr>
        <w:top w:val="none" w:sz="0" w:space="0" w:color="auto"/>
        <w:left w:val="none" w:sz="0" w:space="0" w:color="auto"/>
        <w:bottom w:val="none" w:sz="0" w:space="0" w:color="auto"/>
        <w:right w:val="none" w:sz="0" w:space="0" w:color="auto"/>
      </w:divBdr>
      <w:divsChild>
        <w:div w:id="1010523603">
          <w:marLeft w:val="0"/>
          <w:marRight w:val="0"/>
          <w:marTop w:val="0"/>
          <w:marBottom w:val="0"/>
          <w:divBdr>
            <w:top w:val="none" w:sz="0" w:space="0" w:color="auto"/>
            <w:left w:val="none" w:sz="0" w:space="0" w:color="auto"/>
            <w:bottom w:val="none" w:sz="0" w:space="0" w:color="auto"/>
            <w:right w:val="none" w:sz="0" w:space="0" w:color="auto"/>
          </w:divBdr>
          <w:divsChild>
            <w:div w:id="5263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119">
      <w:bodyDiv w:val="1"/>
      <w:marLeft w:val="0"/>
      <w:marRight w:val="0"/>
      <w:marTop w:val="0"/>
      <w:marBottom w:val="0"/>
      <w:divBdr>
        <w:top w:val="none" w:sz="0" w:space="0" w:color="auto"/>
        <w:left w:val="none" w:sz="0" w:space="0" w:color="auto"/>
        <w:bottom w:val="none" w:sz="0" w:space="0" w:color="auto"/>
        <w:right w:val="none" w:sz="0" w:space="0" w:color="auto"/>
      </w:divBdr>
    </w:div>
    <w:div w:id="241069188">
      <w:bodyDiv w:val="1"/>
      <w:marLeft w:val="0"/>
      <w:marRight w:val="0"/>
      <w:marTop w:val="0"/>
      <w:marBottom w:val="0"/>
      <w:divBdr>
        <w:top w:val="none" w:sz="0" w:space="0" w:color="auto"/>
        <w:left w:val="none" w:sz="0" w:space="0" w:color="auto"/>
        <w:bottom w:val="none" w:sz="0" w:space="0" w:color="auto"/>
        <w:right w:val="none" w:sz="0" w:space="0" w:color="auto"/>
      </w:divBdr>
    </w:div>
    <w:div w:id="608045404">
      <w:bodyDiv w:val="1"/>
      <w:marLeft w:val="0"/>
      <w:marRight w:val="0"/>
      <w:marTop w:val="0"/>
      <w:marBottom w:val="0"/>
      <w:divBdr>
        <w:top w:val="none" w:sz="0" w:space="0" w:color="auto"/>
        <w:left w:val="none" w:sz="0" w:space="0" w:color="auto"/>
        <w:bottom w:val="none" w:sz="0" w:space="0" w:color="auto"/>
        <w:right w:val="none" w:sz="0" w:space="0" w:color="auto"/>
      </w:divBdr>
    </w:div>
    <w:div w:id="712195186">
      <w:bodyDiv w:val="1"/>
      <w:marLeft w:val="0"/>
      <w:marRight w:val="0"/>
      <w:marTop w:val="0"/>
      <w:marBottom w:val="0"/>
      <w:divBdr>
        <w:top w:val="none" w:sz="0" w:space="0" w:color="auto"/>
        <w:left w:val="none" w:sz="0" w:space="0" w:color="auto"/>
        <w:bottom w:val="none" w:sz="0" w:space="0" w:color="auto"/>
        <w:right w:val="none" w:sz="0" w:space="0" w:color="auto"/>
      </w:divBdr>
    </w:div>
    <w:div w:id="831258865">
      <w:bodyDiv w:val="1"/>
      <w:marLeft w:val="0"/>
      <w:marRight w:val="0"/>
      <w:marTop w:val="0"/>
      <w:marBottom w:val="0"/>
      <w:divBdr>
        <w:top w:val="none" w:sz="0" w:space="0" w:color="auto"/>
        <w:left w:val="none" w:sz="0" w:space="0" w:color="auto"/>
        <w:bottom w:val="none" w:sz="0" w:space="0" w:color="auto"/>
        <w:right w:val="none" w:sz="0" w:space="0" w:color="auto"/>
      </w:divBdr>
    </w:div>
    <w:div w:id="902638988">
      <w:bodyDiv w:val="1"/>
      <w:marLeft w:val="0"/>
      <w:marRight w:val="0"/>
      <w:marTop w:val="0"/>
      <w:marBottom w:val="0"/>
      <w:divBdr>
        <w:top w:val="none" w:sz="0" w:space="0" w:color="auto"/>
        <w:left w:val="none" w:sz="0" w:space="0" w:color="auto"/>
        <w:bottom w:val="none" w:sz="0" w:space="0" w:color="auto"/>
        <w:right w:val="none" w:sz="0" w:space="0" w:color="auto"/>
      </w:divBdr>
    </w:div>
    <w:div w:id="967126619">
      <w:bodyDiv w:val="1"/>
      <w:marLeft w:val="0"/>
      <w:marRight w:val="0"/>
      <w:marTop w:val="0"/>
      <w:marBottom w:val="0"/>
      <w:divBdr>
        <w:top w:val="none" w:sz="0" w:space="0" w:color="auto"/>
        <w:left w:val="none" w:sz="0" w:space="0" w:color="auto"/>
        <w:bottom w:val="none" w:sz="0" w:space="0" w:color="auto"/>
        <w:right w:val="none" w:sz="0" w:space="0" w:color="auto"/>
      </w:divBdr>
    </w:div>
    <w:div w:id="1219710475">
      <w:bodyDiv w:val="1"/>
      <w:marLeft w:val="0"/>
      <w:marRight w:val="0"/>
      <w:marTop w:val="0"/>
      <w:marBottom w:val="0"/>
      <w:divBdr>
        <w:top w:val="none" w:sz="0" w:space="0" w:color="auto"/>
        <w:left w:val="none" w:sz="0" w:space="0" w:color="auto"/>
        <w:bottom w:val="none" w:sz="0" w:space="0" w:color="auto"/>
        <w:right w:val="none" w:sz="0" w:space="0" w:color="auto"/>
      </w:divBdr>
    </w:div>
    <w:div w:id="1484854912">
      <w:bodyDiv w:val="1"/>
      <w:marLeft w:val="0"/>
      <w:marRight w:val="0"/>
      <w:marTop w:val="0"/>
      <w:marBottom w:val="0"/>
      <w:divBdr>
        <w:top w:val="none" w:sz="0" w:space="0" w:color="auto"/>
        <w:left w:val="none" w:sz="0" w:space="0" w:color="auto"/>
        <w:bottom w:val="none" w:sz="0" w:space="0" w:color="auto"/>
        <w:right w:val="none" w:sz="0" w:space="0" w:color="auto"/>
      </w:divBdr>
    </w:div>
    <w:div w:id="1502087365">
      <w:bodyDiv w:val="1"/>
      <w:marLeft w:val="0"/>
      <w:marRight w:val="0"/>
      <w:marTop w:val="0"/>
      <w:marBottom w:val="0"/>
      <w:divBdr>
        <w:top w:val="none" w:sz="0" w:space="0" w:color="auto"/>
        <w:left w:val="none" w:sz="0" w:space="0" w:color="auto"/>
        <w:bottom w:val="none" w:sz="0" w:space="0" w:color="auto"/>
        <w:right w:val="none" w:sz="0" w:space="0" w:color="auto"/>
      </w:divBdr>
    </w:div>
    <w:div w:id="1579435004">
      <w:bodyDiv w:val="1"/>
      <w:marLeft w:val="0"/>
      <w:marRight w:val="0"/>
      <w:marTop w:val="0"/>
      <w:marBottom w:val="0"/>
      <w:divBdr>
        <w:top w:val="none" w:sz="0" w:space="0" w:color="auto"/>
        <w:left w:val="none" w:sz="0" w:space="0" w:color="auto"/>
        <w:bottom w:val="none" w:sz="0" w:space="0" w:color="auto"/>
        <w:right w:val="none" w:sz="0" w:space="0" w:color="auto"/>
      </w:divBdr>
    </w:div>
    <w:div w:id="1767337731">
      <w:bodyDiv w:val="1"/>
      <w:marLeft w:val="0"/>
      <w:marRight w:val="0"/>
      <w:marTop w:val="0"/>
      <w:marBottom w:val="0"/>
      <w:divBdr>
        <w:top w:val="none" w:sz="0" w:space="0" w:color="auto"/>
        <w:left w:val="none" w:sz="0" w:space="0" w:color="auto"/>
        <w:bottom w:val="none" w:sz="0" w:space="0" w:color="auto"/>
        <w:right w:val="none" w:sz="0" w:space="0" w:color="auto"/>
      </w:divBdr>
    </w:div>
    <w:div w:id="1778135392">
      <w:bodyDiv w:val="1"/>
      <w:marLeft w:val="0"/>
      <w:marRight w:val="0"/>
      <w:marTop w:val="0"/>
      <w:marBottom w:val="0"/>
      <w:divBdr>
        <w:top w:val="none" w:sz="0" w:space="0" w:color="auto"/>
        <w:left w:val="none" w:sz="0" w:space="0" w:color="auto"/>
        <w:bottom w:val="none" w:sz="0" w:space="0" w:color="auto"/>
        <w:right w:val="none" w:sz="0" w:space="0" w:color="auto"/>
      </w:divBdr>
    </w:div>
    <w:div w:id="1847162311">
      <w:bodyDiv w:val="1"/>
      <w:marLeft w:val="0"/>
      <w:marRight w:val="0"/>
      <w:marTop w:val="0"/>
      <w:marBottom w:val="0"/>
      <w:divBdr>
        <w:top w:val="none" w:sz="0" w:space="0" w:color="auto"/>
        <w:left w:val="none" w:sz="0" w:space="0" w:color="auto"/>
        <w:bottom w:val="none" w:sz="0" w:space="0" w:color="auto"/>
        <w:right w:val="none" w:sz="0" w:space="0" w:color="auto"/>
      </w:divBdr>
      <w:divsChild>
        <w:div w:id="808009562">
          <w:marLeft w:val="0"/>
          <w:marRight w:val="0"/>
          <w:marTop w:val="0"/>
          <w:marBottom w:val="0"/>
          <w:divBdr>
            <w:top w:val="none" w:sz="0" w:space="0" w:color="auto"/>
            <w:left w:val="none" w:sz="0" w:space="0" w:color="auto"/>
            <w:bottom w:val="none" w:sz="0" w:space="0" w:color="auto"/>
            <w:right w:val="none" w:sz="0" w:space="0" w:color="auto"/>
          </w:divBdr>
          <w:divsChild>
            <w:div w:id="18633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8121">
      <w:bodyDiv w:val="1"/>
      <w:marLeft w:val="0"/>
      <w:marRight w:val="0"/>
      <w:marTop w:val="0"/>
      <w:marBottom w:val="0"/>
      <w:divBdr>
        <w:top w:val="none" w:sz="0" w:space="0" w:color="auto"/>
        <w:left w:val="none" w:sz="0" w:space="0" w:color="auto"/>
        <w:bottom w:val="none" w:sz="0" w:space="0" w:color="auto"/>
        <w:right w:val="none" w:sz="0" w:space="0" w:color="auto"/>
      </w:divBdr>
    </w:div>
    <w:div w:id="2082360575">
      <w:bodyDiv w:val="1"/>
      <w:marLeft w:val="0"/>
      <w:marRight w:val="0"/>
      <w:marTop w:val="0"/>
      <w:marBottom w:val="0"/>
      <w:divBdr>
        <w:top w:val="none" w:sz="0" w:space="0" w:color="auto"/>
        <w:left w:val="none" w:sz="0" w:space="0" w:color="auto"/>
        <w:bottom w:val="none" w:sz="0" w:space="0" w:color="auto"/>
        <w:right w:val="none" w:sz="0" w:space="0" w:color="auto"/>
      </w:divBdr>
    </w:div>
    <w:div w:id="21436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11646</Words>
  <Characters>66383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 CON</dc:creator>
  <cp:lastModifiedBy>saheedafeez128@gmail.com</cp:lastModifiedBy>
  <cp:revision>2</cp:revision>
  <dcterms:created xsi:type="dcterms:W3CDTF">2025-07-29T15:46:00Z</dcterms:created>
  <dcterms:modified xsi:type="dcterms:W3CDTF">2025-07-29T15:46:00Z</dcterms:modified>
</cp:coreProperties>
</file>