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2A02B">
      <w:pPr>
        <w:pStyle w:val="31"/>
        <w:spacing w:line="360" w:lineRule="auto"/>
        <w:jc w:val="center"/>
        <w:rPr>
          <w:rFonts w:ascii="Times New Roman" w:hAnsi="Times New Roman" w:eastAsia="Times New Roman" w:cs="Times New Roman"/>
          <w:b/>
          <w:sz w:val="32"/>
          <w:szCs w:val="32"/>
        </w:rPr>
      </w:pPr>
      <w:bookmarkStart w:id="0" w:name="_Hlk199257075"/>
      <w:r>
        <w:rPr>
          <w:rFonts w:ascii="Times New Roman" w:hAnsi="Times New Roman" w:eastAsia="Times New Roman" w:cs="Times New Roman"/>
          <w:b/>
          <w:sz w:val="32"/>
          <w:szCs w:val="32"/>
        </w:rPr>
        <w:t>KWARA STATE POLYTECHNIC, ILORIN</w:t>
      </w:r>
    </w:p>
    <w:p w14:paraId="3EF7720E">
      <w:pPr>
        <w:spacing w:line="360" w:lineRule="auto"/>
        <w:rPr>
          <w:rFonts w:ascii="Times New Roman" w:hAnsi="Times New Roman" w:cs="Times New Roman"/>
          <w:sz w:val="32"/>
          <w:szCs w:val="32"/>
        </w:rPr>
      </w:pPr>
    </w:p>
    <w:p w14:paraId="35DF5429">
      <w:pPr>
        <w:spacing w:line="360" w:lineRule="auto"/>
        <w:jc w:val="center"/>
        <w:rPr>
          <w:rFonts w:ascii="Times New Roman" w:hAnsi="Times New Roman" w:cs="Times New Roman"/>
          <w:bCs/>
          <w:sz w:val="32"/>
          <w:szCs w:val="32"/>
        </w:rPr>
      </w:pPr>
      <w:r>
        <w:rPr>
          <w:rFonts w:hint="default" w:ascii="Times New Roman" w:hAnsi="Times New Roman" w:cs="Times New Roman"/>
          <w:bCs/>
          <w:sz w:val="32"/>
          <w:szCs w:val="32"/>
          <w:lang w:val="en-US"/>
        </w:rPr>
        <w:t>ASSESSING</w:t>
      </w:r>
      <w:r>
        <w:rPr>
          <w:rFonts w:ascii="Times New Roman" w:hAnsi="Times New Roman" w:cs="Times New Roman"/>
          <w:bCs/>
          <w:sz w:val="32"/>
          <w:szCs w:val="32"/>
        </w:rPr>
        <w:t xml:space="preserve"> THE ROLE OF QUANTITY SURVEYORS IN</w:t>
      </w:r>
      <w:bookmarkStart w:id="121" w:name="_GoBack"/>
      <w:bookmarkEnd w:id="121"/>
      <w:r>
        <w:rPr>
          <w:rFonts w:ascii="Times New Roman" w:hAnsi="Times New Roman" w:cs="Times New Roman"/>
          <w:bCs/>
          <w:sz w:val="32"/>
          <w:szCs w:val="32"/>
        </w:rPr>
        <w:t xml:space="preserve"> ECONOMIC VIABILITY OF AGRICULTURAL PROCESSING PLANTS</w:t>
      </w:r>
    </w:p>
    <w:p w14:paraId="53AC70E6">
      <w:pPr>
        <w:pStyle w:val="31"/>
        <w:spacing w:line="360" w:lineRule="auto"/>
        <w:jc w:val="center"/>
        <w:rPr>
          <w:rFonts w:ascii="Times New Roman" w:hAnsi="Times New Roman" w:eastAsia="Times New Roman" w:cs="Times New Roman"/>
          <w:bCs/>
          <w:sz w:val="32"/>
          <w:szCs w:val="32"/>
        </w:rPr>
      </w:pPr>
    </w:p>
    <w:p w14:paraId="197416C0">
      <w:pPr>
        <w:pStyle w:val="31"/>
        <w:spacing w:line="360" w:lineRule="auto"/>
        <w:jc w:val="center"/>
        <w:rPr>
          <w:rFonts w:ascii="Times New Roman" w:hAnsi="Times New Roman" w:eastAsia="Times New Roman" w:cs="Times New Roman"/>
          <w:bCs/>
          <w:sz w:val="32"/>
          <w:szCs w:val="32"/>
        </w:rPr>
      </w:pPr>
      <w:r>
        <w:rPr>
          <w:rFonts w:ascii="Times New Roman" w:hAnsi="Times New Roman" w:eastAsia="Times New Roman" w:cs="Times New Roman"/>
          <w:bCs/>
          <w:sz w:val="32"/>
          <w:szCs w:val="32"/>
        </w:rPr>
        <w:t>By</w:t>
      </w:r>
    </w:p>
    <w:p w14:paraId="15998C82">
      <w:pPr>
        <w:pStyle w:val="31"/>
        <w:spacing w:line="360" w:lineRule="auto"/>
        <w:jc w:val="center"/>
        <w:rPr>
          <w:rFonts w:ascii="Times New Roman" w:hAnsi="Times New Roman" w:eastAsia="Times New Roman" w:cs="Times New Roman"/>
          <w:bCs/>
          <w:sz w:val="32"/>
          <w:szCs w:val="32"/>
        </w:rPr>
      </w:pPr>
    </w:p>
    <w:p w14:paraId="3EB01904">
      <w:pPr>
        <w:pStyle w:val="31"/>
        <w:spacing w:line="360" w:lineRule="auto"/>
        <w:jc w:val="center"/>
        <w:rPr>
          <w:rFonts w:ascii="Times New Roman" w:hAnsi="Times New Roman" w:eastAsia="Times New Roman" w:cs="Times New Roman"/>
          <w:bCs/>
          <w:sz w:val="32"/>
          <w:szCs w:val="32"/>
        </w:rPr>
      </w:pPr>
      <w:r>
        <w:rPr>
          <w:rFonts w:ascii="Times New Roman" w:hAnsi="Times New Roman" w:cs="Times New Roman" w:eastAsiaTheme="minorEastAsia"/>
          <w:b/>
          <w:sz w:val="32"/>
          <w:szCs w:val="32"/>
        </w:rPr>
        <w:t>ADEMOLA OLALEKAN MATHEW</w:t>
      </w:r>
    </w:p>
    <w:p w14:paraId="04BC745D">
      <w:pPr>
        <w:pStyle w:val="31"/>
        <w:spacing w:line="360" w:lineRule="auto"/>
        <w:jc w:val="center"/>
        <w:rPr>
          <w:rFonts w:ascii="Times New Roman" w:hAnsi="Times New Roman" w:eastAsia="Times New Roman" w:cs="Times New Roman"/>
          <w:bCs/>
          <w:sz w:val="32"/>
          <w:szCs w:val="32"/>
        </w:rPr>
      </w:pPr>
      <w:r>
        <w:rPr>
          <w:rFonts w:ascii="Times New Roman" w:hAnsi="Times New Roman" w:cs="Times New Roman" w:eastAsiaTheme="minorEastAsia"/>
          <w:b/>
          <w:sz w:val="32"/>
          <w:szCs w:val="32"/>
        </w:rPr>
        <w:t>HND/23/FT/QTS/0005</w:t>
      </w:r>
    </w:p>
    <w:p w14:paraId="4CC8D951">
      <w:pPr>
        <w:pStyle w:val="31"/>
        <w:spacing w:line="360" w:lineRule="auto"/>
        <w:jc w:val="center"/>
        <w:rPr>
          <w:rFonts w:ascii="Times New Roman" w:hAnsi="Times New Roman" w:eastAsia="Times New Roman" w:cs="Times New Roman"/>
          <w:bCs/>
          <w:sz w:val="32"/>
          <w:szCs w:val="32"/>
        </w:rPr>
      </w:pPr>
    </w:p>
    <w:p w14:paraId="5045E7D8">
      <w:pPr>
        <w:pStyle w:val="31"/>
        <w:spacing w:line="360" w:lineRule="auto"/>
        <w:jc w:val="center"/>
        <w:rPr>
          <w:rFonts w:ascii="Times New Roman" w:hAnsi="Times New Roman" w:eastAsia="Times New Roman" w:cs="Times New Roman"/>
          <w:bCs/>
          <w:sz w:val="32"/>
          <w:szCs w:val="32"/>
        </w:rPr>
      </w:pPr>
    </w:p>
    <w:p w14:paraId="24DC2722">
      <w:pPr>
        <w:pStyle w:val="31"/>
        <w:spacing w:line="360" w:lineRule="auto"/>
        <w:jc w:val="center"/>
        <w:rPr>
          <w:rFonts w:ascii="Times New Roman" w:hAnsi="Times New Roman" w:eastAsia="Times New Roman" w:cs="Times New Roman"/>
          <w:bCs/>
          <w:sz w:val="32"/>
          <w:szCs w:val="32"/>
        </w:rPr>
      </w:pPr>
      <w:r>
        <w:rPr>
          <w:rFonts w:ascii="Times New Roman" w:hAnsi="Times New Roman" w:eastAsia="Times New Roman" w:cs="Times New Roman"/>
          <w:bCs/>
          <w:sz w:val="32"/>
          <w:szCs w:val="32"/>
        </w:rPr>
        <w:t xml:space="preserve">A FINAL-YEAR PROJECT SUBMITTED TO QUANTITY SURVEYING DEPARTMENT </w:t>
      </w:r>
    </w:p>
    <w:p w14:paraId="2CD5F8C7">
      <w:pPr>
        <w:pStyle w:val="31"/>
        <w:spacing w:line="360" w:lineRule="auto"/>
        <w:jc w:val="center"/>
        <w:rPr>
          <w:rFonts w:ascii="Times New Roman" w:hAnsi="Times New Roman" w:eastAsia="Times New Roman" w:cs="Times New Roman"/>
          <w:bCs/>
          <w:sz w:val="32"/>
          <w:szCs w:val="32"/>
        </w:rPr>
      </w:pPr>
    </w:p>
    <w:p w14:paraId="15ACD304">
      <w:pPr>
        <w:pStyle w:val="31"/>
        <w:spacing w:line="360" w:lineRule="auto"/>
        <w:rPr>
          <w:rFonts w:ascii="Times New Roman" w:hAnsi="Times New Roman" w:eastAsia="Times New Roman" w:cs="Times New Roman"/>
          <w:bCs/>
          <w:sz w:val="32"/>
          <w:szCs w:val="32"/>
        </w:rPr>
      </w:pPr>
    </w:p>
    <w:p w14:paraId="2227FD60">
      <w:pPr>
        <w:pStyle w:val="31"/>
        <w:spacing w:line="360" w:lineRule="auto"/>
        <w:jc w:val="center"/>
        <w:rPr>
          <w:rFonts w:ascii="Times New Roman" w:hAnsi="Times New Roman" w:eastAsia="Times New Roman" w:cs="Times New Roman"/>
          <w:bCs/>
          <w:sz w:val="32"/>
          <w:szCs w:val="32"/>
        </w:rPr>
      </w:pPr>
    </w:p>
    <w:p w14:paraId="73300134">
      <w:pPr>
        <w:pStyle w:val="31"/>
        <w:spacing w:line="360" w:lineRule="auto"/>
        <w:rPr>
          <w:rFonts w:ascii="Times New Roman" w:hAnsi="Times New Roman" w:eastAsia="Times New Roman" w:cs="Times New Roman"/>
          <w:bCs/>
          <w:sz w:val="32"/>
          <w:szCs w:val="32"/>
        </w:rPr>
      </w:pPr>
    </w:p>
    <w:p w14:paraId="257EF14D">
      <w:pPr>
        <w:pStyle w:val="31"/>
        <w:spacing w:line="360" w:lineRule="auto"/>
        <w:jc w:val="center"/>
        <w:rPr>
          <w:rFonts w:ascii="Times New Roman" w:hAnsi="Times New Roman" w:eastAsia="Times New Roman" w:cs="Times New Roman"/>
          <w:bCs/>
          <w:sz w:val="32"/>
          <w:szCs w:val="32"/>
        </w:rPr>
      </w:pPr>
      <w:r>
        <w:rPr>
          <w:rFonts w:ascii="Times New Roman" w:hAnsi="Times New Roman" w:eastAsia="Times New Roman" w:cs="Times New Roman"/>
          <w:bCs/>
          <w:sz w:val="32"/>
          <w:szCs w:val="32"/>
        </w:rPr>
        <w:t>IN PARTIAL FULFILLMENT OF THE REQUIREMENT FOR THE AWARD OF HIGHER NATIONAL DIPLOMA (HND) IN QUANTITY SURVEYING.</w:t>
      </w:r>
    </w:p>
    <w:p w14:paraId="11FBE3DA">
      <w:pPr>
        <w:spacing w:line="360" w:lineRule="auto"/>
        <w:rPr>
          <w:rFonts w:ascii="Times New Roman" w:hAnsi="Times New Roman" w:cs="Times New Roman"/>
          <w:bCs/>
          <w:sz w:val="32"/>
          <w:szCs w:val="32"/>
        </w:rPr>
      </w:pPr>
    </w:p>
    <w:p w14:paraId="2214A1F6">
      <w:pPr>
        <w:spacing w:line="360" w:lineRule="auto"/>
        <w:ind w:left="6480" w:leftChars="0" w:firstLine="720" w:firstLineChars="0"/>
        <w:rPr>
          <w:rFonts w:ascii="Times New Roman" w:hAnsi="Times New Roman" w:cs="Times New Roman"/>
          <w:bCs/>
          <w:i/>
          <w:iCs/>
          <w:sz w:val="32"/>
          <w:szCs w:val="32"/>
        </w:rPr>
      </w:pPr>
      <w:r>
        <w:rPr>
          <w:rFonts w:ascii="Times New Roman" w:hAnsi="Times New Roman" w:cs="Times New Roman"/>
          <w:bCs/>
          <w:i/>
          <w:iCs/>
          <w:sz w:val="32"/>
          <w:szCs w:val="32"/>
        </w:rPr>
        <w:t>JULY 2025</w:t>
      </w:r>
    </w:p>
    <w:p w14:paraId="2CAB6056">
      <w:pPr>
        <w:pStyle w:val="2"/>
      </w:pPr>
      <w:bookmarkStart w:id="1" w:name="_Toc203596134"/>
      <w:bookmarkStart w:id="2" w:name="_Toc15480667"/>
      <w:bookmarkStart w:id="3" w:name="_Toc201496241"/>
      <w:bookmarkStart w:id="4" w:name="_Toc15480666"/>
      <w:r>
        <w:t>CERTIFICATION</w:t>
      </w:r>
      <w:bookmarkEnd w:id="1"/>
      <w:bookmarkEnd w:id="2"/>
      <w:bookmarkEnd w:id="3"/>
    </w:p>
    <w:p w14:paraId="459B85B4">
      <w:pPr>
        <w:jc w:val="both"/>
        <w:rPr>
          <w:sz w:val="24"/>
          <w:szCs w:val="24"/>
        </w:rPr>
      </w:pPr>
    </w:p>
    <w:p w14:paraId="7A6528A6">
      <w:pPr>
        <w:spacing w:line="360" w:lineRule="auto"/>
        <w:jc w:val="both"/>
        <w:rPr>
          <w:rFonts w:ascii="Times New Roman" w:hAnsi="Times New Roman" w:cs="Times New Roman"/>
          <w:bCs/>
          <w:sz w:val="32"/>
          <w:szCs w:val="32"/>
        </w:rPr>
      </w:pPr>
      <w:r>
        <w:rPr>
          <w:rFonts w:ascii="Times New Roman" w:hAnsi="Times New Roman" w:cs="Times New Roman"/>
          <w:sz w:val="24"/>
          <w:szCs w:val="24"/>
        </w:rPr>
        <w:t xml:space="preserve">This is to certify that the research titled </w:t>
      </w:r>
      <w:r>
        <w:rPr>
          <w:rFonts w:ascii="Times New Roman" w:hAnsi="Times New Roman" w:cs="Times New Roman"/>
          <w:bCs/>
          <w:sz w:val="24"/>
          <w:szCs w:val="24"/>
        </w:rPr>
        <w:t xml:space="preserve">Investigation of the Role of Quantity Surveyors in Assessing the Economic Viability of Agricultural Processing Plants </w:t>
      </w:r>
      <w:r>
        <w:rPr>
          <w:rFonts w:ascii="Times New Roman" w:hAnsi="Times New Roman" w:cs="Times New Roman"/>
          <w:sz w:val="24"/>
          <w:szCs w:val="24"/>
        </w:rPr>
        <w:t xml:space="preserve">was carried out by </w:t>
      </w:r>
      <w:r>
        <w:rPr>
          <w:rFonts w:ascii="Times New Roman" w:hAnsi="Times New Roman" w:cs="Times New Roman"/>
          <w:bCs/>
          <w:sz w:val="24"/>
          <w:szCs w:val="24"/>
        </w:rPr>
        <w:t>Ademola Olalekan Mathew</w:t>
      </w:r>
      <w:r>
        <w:rPr>
          <w:rFonts w:ascii="Times New Roman" w:hAnsi="Times New Roman" w:cs="Times New Roman"/>
          <w:bCs/>
          <w:sz w:val="32"/>
          <w:szCs w:val="32"/>
        </w:rPr>
        <w:t xml:space="preserve"> </w:t>
      </w:r>
      <w:r>
        <w:rPr>
          <w:rFonts w:ascii="Times New Roman" w:hAnsi="Times New Roman" w:cs="Times New Roman"/>
          <w:sz w:val="24"/>
          <w:szCs w:val="24"/>
        </w:rPr>
        <w:t xml:space="preserve">with matriculation number HND/23/FT/QTS/0005 has been read and approved as meeting the requirements for the award </w:t>
      </w:r>
      <w:r>
        <w:rPr>
          <w:rFonts w:ascii="Times New Roman" w:hAnsi="Times New Roman" w:eastAsia="Times New Roman" w:cs="Times New Roman"/>
          <w:sz w:val="24"/>
          <w:szCs w:val="24"/>
        </w:rPr>
        <w:t>Higher National Diploma (HND) In Quantity Surveying,</w:t>
      </w:r>
      <w:r>
        <w:rPr>
          <w:rFonts w:ascii="Times New Roman" w:hAnsi="Times New Roman" w:cs="Times New Roman"/>
          <w:sz w:val="24"/>
          <w:szCs w:val="24"/>
        </w:rPr>
        <w:t xml:space="preserve"> Kwara state polytechnic, Ilorin, Nigeria.</w:t>
      </w:r>
    </w:p>
    <w:p w14:paraId="15D5557A">
      <w:pPr>
        <w:spacing w:line="360" w:lineRule="auto"/>
        <w:jc w:val="both"/>
        <w:rPr>
          <w:rFonts w:ascii="Times New Roman" w:hAnsi="Times New Roman" w:cs="Times New Roman"/>
          <w:bCs/>
          <w:sz w:val="24"/>
          <w:szCs w:val="24"/>
          <w:shd w:val="clear" w:color="auto" w:fill="FFFFFF"/>
        </w:rPr>
      </w:pPr>
    </w:p>
    <w:p w14:paraId="343CF5D3">
      <w:pPr>
        <w:spacing w:line="480" w:lineRule="auto"/>
        <w:jc w:val="both"/>
        <w:rPr>
          <w:rFonts w:ascii="Times New Roman" w:hAnsi="Times New Roman" w:cs="Times New Roman"/>
          <w:bCs/>
          <w:sz w:val="24"/>
          <w:szCs w:val="24"/>
        </w:rPr>
      </w:pPr>
      <w:r>
        <w:rPr>
          <w:rFonts w:ascii="Times New Roman" w:hAnsi="Times New Roman" w:cs="Times New Roman"/>
          <w:b/>
          <w:sz w:val="24"/>
          <w:szCs w:val="24"/>
        </w:rPr>
        <w:t>QS SIDEEQ LATEEF</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w:t>
      </w:r>
    </w:p>
    <w:p w14:paraId="21AF649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(Project Supervisor)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Signature and Date</w:t>
      </w:r>
    </w:p>
    <w:p w14:paraId="60B2AC87">
      <w:pPr>
        <w:spacing w:line="480" w:lineRule="auto"/>
        <w:jc w:val="both"/>
        <w:rPr>
          <w:rFonts w:ascii="Times New Roman" w:hAnsi="Times New Roman" w:cs="Times New Roman"/>
          <w:b/>
          <w:sz w:val="24"/>
          <w:szCs w:val="24"/>
        </w:rPr>
      </w:pPr>
    </w:p>
    <w:p w14:paraId="41918F4F">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QS SIDEEQ LATEEF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w:t>
      </w:r>
    </w:p>
    <w:p w14:paraId="0833A27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(Head of Department)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Signature and Date</w:t>
      </w:r>
    </w:p>
    <w:p w14:paraId="3FED789E">
      <w:pPr>
        <w:spacing w:line="480" w:lineRule="auto"/>
        <w:jc w:val="both"/>
        <w:rPr>
          <w:rFonts w:ascii="Times New Roman" w:hAnsi="Times New Roman" w:cs="Times New Roman"/>
          <w:bCs/>
          <w:sz w:val="24"/>
          <w:szCs w:val="24"/>
        </w:rPr>
      </w:pPr>
    </w:p>
    <w:p w14:paraId="14390BC2">
      <w:pPr>
        <w:spacing w:line="480" w:lineRule="auto"/>
        <w:jc w:val="both"/>
        <w:rPr>
          <w:rFonts w:ascii="Times New Roman" w:hAnsi="Times New Roman" w:cs="Times New Roman"/>
          <w:bCs/>
          <w:sz w:val="24"/>
          <w:szCs w:val="24"/>
        </w:rPr>
      </w:pPr>
      <w:r>
        <w:rPr>
          <w:rFonts w:ascii="Times New Roman" w:hAnsi="Times New Roman" w:cs="Times New Roman"/>
          <w:b/>
          <w:sz w:val="24"/>
          <w:szCs w:val="24"/>
        </w:rPr>
        <w:t>QS AISHA OMAR MUAZU</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w:t>
      </w:r>
    </w:p>
    <w:p w14:paraId="6B84DA7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(Project Coordinator)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Signature and Date</w:t>
      </w:r>
    </w:p>
    <w:p w14:paraId="62BD9132">
      <w:pPr>
        <w:spacing w:line="480" w:lineRule="auto"/>
        <w:jc w:val="both"/>
        <w:rPr>
          <w:rFonts w:ascii="Times New Roman" w:hAnsi="Times New Roman" w:cs="Times New Roman"/>
          <w:bCs/>
          <w:sz w:val="24"/>
          <w:szCs w:val="24"/>
        </w:rPr>
      </w:pPr>
    </w:p>
    <w:p w14:paraId="1D780B26">
      <w:pPr>
        <w:spacing w:line="480" w:lineRule="auto"/>
        <w:jc w:val="both"/>
        <w:rPr>
          <w:rFonts w:ascii="Times New Roman" w:hAnsi="Times New Roman" w:cs="Times New Roman"/>
          <w:bCs/>
          <w:sz w:val="24"/>
          <w:szCs w:val="24"/>
        </w:rPr>
      </w:pPr>
      <w:r>
        <w:rPr>
          <w:rFonts w:ascii="Times New Roman" w:hAnsi="Times New Roman" w:cs="Times New Roman"/>
          <w:b/>
          <w:sz w:val="24"/>
          <w:szCs w:val="24"/>
        </w:rPr>
        <w:t>QS. (DR) ADAMU MUDI (FNIQS. RQ)</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w:t>
      </w:r>
    </w:p>
    <w:p w14:paraId="21507E6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(External Examiner)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Signature and Date</w:t>
      </w:r>
    </w:p>
    <w:p w14:paraId="280F22B2">
      <w:pPr>
        <w:spacing w:line="480" w:lineRule="auto"/>
        <w:jc w:val="both"/>
        <w:rPr>
          <w:rFonts w:ascii="Times New Roman" w:hAnsi="Times New Roman" w:cs="Times New Roman"/>
          <w:bCs/>
          <w:sz w:val="24"/>
          <w:szCs w:val="24"/>
        </w:rPr>
      </w:pPr>
    </w:p>
    <w:p w14:paraId="67B2CD3F">
      <w:pPr>
        <w:pStyle w:val="2"/>
      </w:pPr>
    </w:p>
    <w:p w14:paraId="5178C7C5">
      <w:pPr>
        <w:jc w:val="both"/>
      </w:pPr>
    </w:p>
    <w:p w14:paraId="2194C143">
      <w:pPr>
        <w:jc w:val="both"/>
      </w:pPr>
    </w:p>
    <w:p w14:paraId="1216F3D0">
      <w:pPr>
        <w:jc w:val="both"/>
      </w:pPr>
    </w:p>
    <w:p w14:paraId="73277566">
      <w:pPr>
        <w:jc w:val="both"/>
      </w:pPr>
    </w:p>
    <w:p w14:paraId="7C4EF48C">
      <w:pPr>
        <w:jc w:val="both"/>
      </w:pPr>
    </w:p>
    <w:p w14:paraId="5597D39B">
      <w:pPr>
        <w:jc w:val="both"/>
      </w:pPr>
    </w:p>
    <w:p w14:paraId="62C6E202">
      <w:pPr>
        <w:pStyle w:val="2"/>
      </w:pPr>
      <w:bookmarkStart w:id="5" w:name="_Toc15480668"/>
      <w:bookmarkStart w:id="6" w:name="_Toc203596135"/>
      <w:bookmarkStart w:id="7" w:name="_Toc201496242"/>
      <w:r>
        <w:t>DEDICATION</w:t>
      </w:r>
      <w:bookmarkEnd w:id="5"/>
      <w:bookmarkEnd w:id="6"/>
      <w:bookmarkEnd w:id="7"/>
    </w:p>
    <w:p w14:paraId="02D9493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is dedicated to the Almighty Allah, the Most Gracious, the Most Merciful, for granting me life, strength, wisdom, and the opportunity to complete this academic journey.</w:t>
      </w:r>
    </w:p>
    <w:p w14:paraId="64D95D79">
      <w:pPr>
        <w:spacing w:line="360" w:lineRule="auto"/>
        <w:jc w:val="both"/>
        <w:rPr>
          <w:rFonts w:ascii="Times New Roman" w:hAnsi="Times New Roman" w:cs="Times New Roman"/>
          <w:sz w:val="24"/>
          <w:szCs w:val="24"/>
        </w:rPr>
      </w:pPr>
      <w:r>
        <w:rPr>
          <w:rFonts w:ascii="Times New Roman" w:hAnsi="Times New Roman" w:cs="Times New Roman"/>
          <w:sz w:val="24"/>
          <w:szCs w:val="24"/>
        </w:rPr>
        <w:t>To my beloved parents and guardians, whose prayers, love, and unwavering support have been my greatest source of motivation thank you for believing in me even when the road was tough.</w:t>
      </w:r>
    </w:p>
    <w:p w14:paraId="01E3DD27">
      <w:pPr>
        <w:spacing w:line="360" w:lineRule="auto"/>
        <w:jc w:val="both"/>
        <w:rPr>
          <w:rFonts w:ascii="Times New Roman" w:hAnsi="Times New Roman" w:cs="Times New Roman"/>
          <w:sz w:val="24"/>
          <w:szCs w:val="24"/>
        </w:rPr>
      </w:pPr>
      <w:r>
        <w:rPr>
          <w:rFonts w:ascii="Times New Roman" w:hAnsi="Times New Roman" w:cs="Times New Roman"/>
          <w:sz w:val="24"/>
          <w:szCs w:val="24"/>
        </w:rPr>
        <w:t>To my siblings and family members, thank you for your encouragement and kind words throughout this journey.</w:t>
      </w:r>
    </w:p>
    <w:p w14:paraId="1DA7E4C1">
      <w:pPr>
        <w:spacing w:line="360" w:lineRule="auto"/>
        <w:jc w:val="both"/>
        <w:rPr>
          <w:rFonts w:ascii="Times New Roman" w:hAnsi="Times New Roman" w:cs="Times New Roman"/>
          <w:sz w:val="24"/>
          <w:szCs w:val="24"/>
        </w:rPr>
      </w:pPr>
      <w:r>
        <w:rPr>
          <w:rFonts w:ascii="Times New Roman" w:hAnsi="Times New Roman" w:cs="Times New Roman"/>
          <w:sz w:val="24"/>
          <w:szCs w:val="24"/>
        </w:rPr>
        <w:t>I also dedicate this work to all the lecturers and mentors who guided me with their knowledge and wisdom, and to my colleagues and friends whose companionship and collaboration made the process more meaningful.</w:t>
      </w:r>
    </w:p>
    <w:p w14:paraId="4CFF93CF">
      <w:pPr>
        <w:spacing w:line="360" w:lineRule="auto"/>
        <w:jc w:val="both"/>
      </w:pPr>
      <w:r>
        <w:rPr>
          <w:rFonts w:ascii="Times New Roman" w:hAnsi="Times New Roman" w:cs="Times New Roman"/>
          <w:sz w:val="24"/>
          <w:szCs w:val="24"/>
        </w:rPr>
        <w:t>Finally, this work is dedicated to every student who dares to dream, perseveres through challenges, and strives for excellence in the pursuit of knowledge.</w:t>
      </w:r>
    </w:p>
    <w:p w14:paraId="03D658ED">
      <w:pPr>
        <w:jc w:val="both"/>
      </w:pPr>
    </w:p>
    <w:p w14:paraId="511E1EB7">
      <w:pPr>
        <w:jc w:val="both"/>
      </w:pPr>
    </w:p>
    <w:p w14:paraId="0B8D292D">
      <w:pPr>
        <w:spacing w:line="480" w:lineRule="auto"/>
        <w:jc w:val="both"/>
        <w:rPr>
          <w:rFonts w:ascii="Times New Roman" w:hAnsi="Times New Roman" w:cs="Times New Roman"/>
          <w:bCs/>
          <w:sz w:val="24"/>
          <w:szCs w:val="24"/>
        </w:rPr>
      </w:pPr>
    </w:p>
    <w:p w14:paraId="41715CE5">
      <w:pPr>
        <w:pStyle w:val="2"/>
      </w:pPr>
    </w:p>
    <w:p w14:paraId="350583DA">
      <w:pPr>
        <w:pStyle w:val="2"/>
      </w:pPr>
    </w:p>
    <w:p w14:paraId="2FA000B0">
      <w:pPr>
        <w:pStyle w:val="2"/>
      </w:pPr>
    </w:p>
    <w:p w14:paraId="28472626">
      <w:pPr>
        <w:pStyle w:val="2"/>
      </w:pPr>
    </w:p>
    <w:p w14:paraId="4C8F3AD9">
      <w:pPr>
        <w:pStyle w:val="2"/>
      </w:pPr>
    </w:p>
    <w:p w14:paraId="2DD175C5">
      <w:pPr>
        <w:pStyle w:val="2"/>
      </w:pPr>
    </w:p>
    <w:p w14:paraId="579FBF5C">
      <w:pPr>
        <w:pStyle w:val="2"/>
      </w:pPr>
    </w:p>
    <w:p w14:paraId="267D207D"/>
    <w:p w14:paraId="7604B2C1">
      <w:pPr>
        <w:pStyle w:val="2"/>
      </w:pPr>
      <w:bookmarkStart w:id="8" w:name="_Toc201496243"/>
    </w:p>
    <w:p w14:paraId="1EF19025">
      <w:pPr>
        <w:pStyle w:val="2"/>
      </w:pPr>
    </w:p>
    <w:p w14:paraId="7B00E651"/>
    <w:p w14:paraId="1BB1D38C">
      <w:pPr>
        <w:pStyle w:val="2"/>
      </w:pPr>
      <w:bookmarkStart w:id="9" w:name="_Toc203596136"/>
      <w:r>
        <w:t>DECLARATION</w:t>
      </w:r>
      <w:bookmarkEnd w:id="4"/>
      <w:bookmarkEnd w:id="8"/>
      <w:bookmarkEnd w:id="9"/>
    </w:p>
    <w:p w14:paraId="100D6E4A">
      <w:pPr>
        <w:spacing w:line="480" w:lineRule="auto"/>
        <w:rPr>
          <w:rFonts w:ascii="Times New Roman" w:hAnsi="Times New Roman" w:cs="Times New Roman"/>
          <w:bCs/>
          <w:sz w:val="24"/>
          <w:szCs w:val="24"/>
        </w:rPr>
      </w:pPr>
    </w:p>
    <w:p w14:paraId="6E4CCAD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hereby declare that this Research work, which I submit to the Department of Quantity Surveying, Institute of environmental studies, Kwara state polytechnic, Ilorin, Kwara state, Nigeria, examination in consideration of the award of a Higher National Diploma</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rPr>
        <w:t>in Quantity Surveying in an original work undertaken by me Ademola Olalekan Mathew.</w:t>
      </w:r>
    </w:p>
    <w:p w14:paraId="130EC8FE">
      <w:pPr>
        <w:spacing w:line="480" w:lineRule="auto"/>
        <w:rPr>
          <w:rFonts w:ascii="Times New Roman" w:hAnsi="Times New Roman" w:cs="Times New Roman"/>
          <w:bCs/>
          <w:sz w:val="24"/>
          <w:szCs w:val="24"/>
        </w:rPr>
      </w:pPr>
    </w:p>
    <w:p w14:paraId="394169F4">
      <w:pPr>
        <w:spacing w:line="480" w:lineRule="auto"/>
        <w:rPr>
          <w:rFonts w:ascii="Times New Roman" w:hAnsi="Times New Roman" w:cs="Times New Roman"/>
          <w:bCs/>
          <w:sz w:val="24"/>
          <w:szCs w:val="24"/>
        </w:rPr>
      </w:pPr>
    </w:p>
    <w:p w14:paraId="1D8A7987">
      <w:pPr>
        <w:spacing w:line="480" w:lineRule="auto"/>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w:t>
      </w:r>
    </w:p>
    <w:p w14:paraId="6464F93F">
      <w:pPr>
        <w:spacing w:line="480" w:lineRule="auto"/>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Cs/>
          <w:sz w:val="24"/>
          <w:szCs w:val="24"/>
        </w:rPr>
        <w:t>Ademola Olalekan Mathew</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DATE</w:t>
      </w:r>
    </w:p>
    <w:p w14:paraId="10BAD17D">
      <w:pPr>
        <w:spacing w:line="480" w:lineRule="auto"/>
        <w:ind w:firstLine="720"/>
        <w:rPr>
          <w:rFonts w:ascii="Times New Roman" w:hAnsi="Times New Roman" w:cs="Times New Roman"/>
          <w:bCs/>
          <w:sz w:val="24"/>
          <w:szCs w:val="24"/>
        </w:rPr>
      </w:pPr>
      <w:r>
        <w:rPr>
          <w:rFonts w:ascii="Times New Roman" w:hAnsi="Times New Roman" w:cs="Times New Roman"/>
          <w:sz w:val="24"/>
          <w:szCs w:val="24"/>
        </w:rPr>
        <w:t>(HND/23/FT/QTS/0005)</w:t>
      </w:r>
    </w:p>
    <w:p w14:paraId="6A035597">
      <w:pPr>
        <w:pStyle w:val="2"/>
      </w:pPr>
    </w:p>
    <w:p w14:paraId="1CF77001">
      <w:pPr>
        <w:pStyle w:val="2"/>
      </w:pPr>
    </w:p>
    <w:p w14:paraId="5B908A4A">
      <w:pPr>
        <w:spacing w:line="480" w:lineRule="auto"/>
        <w:rPr>
          <w:rFonts w:ascii="Times New Roman" w:hAnsi="Times New Roman" w:cs="Times New Roman" w:eastAsiaTheme="majorEastAsia"/>
          <w:bCs/>
          <w:sz w:val="24"/>
          <w:szCs w:val="24"/>
        </w:rPr>
      </w:pPr>
      <w:r>
        <w:rPr>
          <w:rFonts w:ascii="Times New Roman" w:hAnsi="Times New Roman" w:cs="Times New Roman"/>
          <w:bCs/>
          <w:sz w:val="24"/>
          <w:szCs w:val="24"/>
        </w:rPr>
        <w:br w:type="page"/>
      </w:r>
    </w:p>
    <w:p w14:paraId="53160E00">
      <w:pPr>
        <w:pStyle w:val="2"/>
      </w:pPr>
      <w:bookmarkStart w:id="10" w:name="_Toc203596137"/>
      <w:bookmarkStart w:id="11" w:name="_Toc15480669"/>
      <w:bookmarkStart w:id="12" w:name="_Toc201496244"/>
      <w:r>
        <w:t>ACKNOWLEDGEMENTS</w:t>
      </w:r>
      <w:bookmarkEnd w:id="10"/>
      <w:bookmarkEnd w:id="11"/>
      <w:bookmarkEnd w:id="12"/>
    </w:p>
    <w:p w14:paraId="1023FD08"/>
    <w:p w14:paraId="4FAEC604">
      <w:pPr>
        <w:spacing w:line="360" w:lineRule="auto"/>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Allah, the source of my strength, knowledge, and perseverance, for granting me the wisdom and ability to successfully complete this research work.</w:t>
      </w:r>
    </w:p>
    <w:p w14:paraId="7EEF6470">
      <w:pPr>
        <w:spacing w:line="360" w:lineRule="auto"/>
        <w:jc w:val="both"/>
        <w:rPr>
          <w:rFonts w:ascii="Times New Roman" w:hAnsi="Times New Roman" w:cs="Times New Roman"/>
          <w:sz w:val="24"/>
          <w:szCs w:val="24"/>
        </w:rPr>
      </w:pPr>
      <w:r>
        <w:rPr>
          <w:rFonts w:ascii="Times New Roman" w:hAnsi="Times New Roman" w:cs="Times New Roman"/>
          <w:sz w:val="24"/>
          <w:szCs w:val="24"/>
        </w:rPr>
        <w:t>My sincere appreciation goes to my project supervisor Q.S sideeq lateef whose invaluable guidance, constructive feedback, and constant encouragement contributed significantly to the quality and completion of this study. Your support and academic mentorship have been instrumental throughout this journey.</w:t>
      </w:r>
    </w:p>
    <w:p w14:paraId="40ED067D">
      <w:pPr>
        <w:spacing w:line="360" w:lineRule="auto"/>
        <w:jc w:val="both"/>
        <w:rPr>
          <w:rFonts w:ascii="Times New Roman" w:hAnsi="Times New Roman" w:cs="Times New Roman"/>
          <w:sz w:val="24"/>
          <w:szCs w:val="24"/>
        </w:rPr>
      </w:pPr>
      <w:r>
        <w:rPr>
          <w:rFonts w:ascii="Times New Roman" w:hAnsi="Times New Roman" w:cs="Times New Roman"/>
          <w:sz w:val="24"/>
          <w:szCs w:val="24"/>
        </w:rPr>
        <w:t>I extend my heartfelt thanks to the Head of Department, academic staff, and management of the Department of Quantity Surveying, Kwara State Polytechnic, Ilorin, for providing a conducive learning environment and access to relevant resources.</w:t>
      </w:r>
    </w:p>
    <w:p w14:paraId="601EAF2B">
      <w:pPr>
        <w:spacing w:line="360" w:lineRule="auto"/>
        <w:jc w:val="both"/>
        <w:rPr>
          <w:rFonts w:ascii="Times New Roman" w:hAnsi="Times New Roman" w:cs="Times New Roman"/>
          <w:sz w:val="24"/>
          <w:szCs w:val="24"/>
        </w:rPr>
      </w:pPr>
      <w:r>
        <w:rPr>
          <w:rFonts w:ascii="Times New Roman" w:hAnsi="Times New Roman" w:cs="Times New Roman"/>
          <w:sz w:val="24"/>
          <w:szCs w:val="24"/>
        </w:rPr>
        <w:t>Special thanks to all the respondents and professionals in the construction industry who took the time to participate in the survey and share their experiences. Your input was vital to the success of this research.</w:t>
      </w:r>
    </w:p>
    <w:p w14:paraId="1432E296">
      <w:pPr>
        <w:spacing w:line="360" w:lineRule="auto"/>
        <w:jc w:val="both"/>
        <w:rPr>
          <w:rFonts w:ascii="Times New Roman" w:hAnsi="Times New Roman" w:cs="Times New Roman"/>
          <w:sz w:val="24"/>
          <w:szCs w:val="24"/>
        </w:rPr>
      </w:pPr>
      <w:r>
        <w:rPr>
          <w:rFonts w:ascii="Times New Roman" w:hAnsi="Times New Roman" w:cs="Times New Roman"/>
          <w:sz w:val="24"/>
          <w:szCs w:val="24"/>
        </w:rPr>
        <w:t>To my beloved family, thank you for your unwavering love, prayers, and emotional support. Your belief in my potential kept me going even in the most challenging moments. I am especially grateful to my wife and daughter for their patience, love, and understanding during the many late nights and long days dedicated to this project.</w:t>
      </w:r>
    </w:p>
    <w:p w14:paraId="7F2B3F6C">
      <w:pPr>
        <w:spacing w:line="360" w:lineRule="auto"/>
        <w:jc w:val="both"/>
        <w:rPr>
          <w:rFonts w:ascii="Times New Roman" w:hAnsi="Times New Roman" w:cs="Times New Roman"/>
          <w:sz w:val="24"/>
          <w:szCs w:val="24"/>
        </w:rPr>
      </w:pPr>
      <w:r>
        <w:rPr>
          <w:rFonts w:ascii="Times New Roman" w:hAnsi="Times New Roman" w:cs="Times New Roman"/>
          <w:sz w:val="24"/>
          <w:szCs w:val="24"/>
        </w:rPr>
        <w:t>To my friends and colleagues, thank you for the shared experiences, moral support, and constant encouragement that helped me stay focused and determined.</w:t>
      </w:r>
    </w:p>
    <w:p w14:paraId="392D1582">
      <w:pPr>
        <w:spacing w:line="360" w:lineRule="auto"/>
        <w:jc w:val="both"/>
        <w:rPr>
          <w:rFonts w:ascii="Times New Roman" w:hAnsi="Times New Roman" w:cs="Times New Roman"/>
          <w:sz w:val="24"/>
          <w:szCs w:val="24"/>
        </w:rPr>
      </w:pPr>
      <w:r>
        <w:rPr>
          <w:rFonts w:ascii="Times New Roman" w:hAnsi="Times New Roman" w:cs="Times New Roman"/>
          <w:sz w:val="24"/>
          <w:szCs w:val="24"/>
        </w:rPr>
        <w:t>Lastly, I acknowledge everyone who contributed in one way or another to the successful completion of this project. May Allah reward you all abundantly.</w:t>
      </w:r>
    </w:p>
    <w:p w14:paraId="119EFF0F"/>
    <w:p w14:paraId="1BABAC55">
      <w:pPr>
        <w:spacing w:line="360" w:lineRule="auto"/>
        <w:ind w:left="7200"/>
        <w:rPr>
          <w:rFonts w:ascii="Times New Roman" w:hAnsi="Times New Roman" w:cs="Times New Roman"/>
          <w:bCs/>
          <w:sz w:val="24"/>
          <w:szCs w:val="24"/>
          <w:shd w:val="clear" w:color="auto" w:fill="FFFFFF"/>
        </w:rPr>
      </w:pPr>
    </w:p>
    <w:p w14:paraId="23E0D6A5">
      <w:pPr>
        <w:spacing w:line="360" w:lineRule="auto"/>
        <w:ind w:left="7200"/>
        <w:rPr>
          <w:rFonts w:ascii="Times New Roman" w:hAnsi="Times New Roman" w:cs="Times New Roman"/>
          <w:bCs/>
          <w:sz w:val="24"/>
          <w:szCs w:val="24"/>
          <w:shd w:val="clear" w:color="auto" w:fill="FFFFFF"/>
        </w:rPr>
      </w:pPr>
    </w:p>
    <w:p w14:paraId="5D4C0CCB">
      <w:pPr>
        <w:spacing w:line="360" w:lineRule="auto"/>
        <w:ind w:left="7200"/>
        <w:rPr>
          <w:rFonts w:ascii="Times New Roman" w:hAnsi="Times New Roman" w:cs="Times New Roman"/>
          <w:bCs/>
          <w:sz w:val="24"/>
          <w:szCs w:val="24"/>
          <w:shd w:val="clear" w:color="auto" w:fill="FFFFFF"/>
        </w:rPr>
      </w:pPr>
    </w:p>
    <w:p w14:paraId="446212D9">
      <w:pPr>
        <w:spacing w:line="360" w:lineRule="auto"/>
        <w:ind w:left="7200"/>
        <w:rPr>
          <w:rFonts w:ascii="Times New Roman" w:hAnsi="Times New Roman" w:cs="Times New Roman"/>
          <w:bCs/>
          <w:sz w:val="24"/>
          <w:szCs w:val="24"/>
          <w:shd w:val="clear" w:color="auto" w:fill="FFFFFF"/>
        </w:rPr>
      </w:pPr>
    </w:p>
    <w:p w14:paraId="7620FDDA"/>
    <w:p w14:paraId="3C2228B1"/>
    <w:sdt>
      <w:sdtPr>
        <w:rPr>
          <w:rFonts w:asciiTheme="minorHAnsi" w:hAnsiTheme="minorHAnsi" w:eastAsiaTheme="minorEastAsia" w:cstheme="minorBidi"/>
          <w:sz w:val="20"/>
          <w:szCs w:val="20"/>
        </w:rPr>
        <w:id w:val="-652208932"/>
        <w:docPartObj>
          <w:docPartGallery w:val="Table of Contents"/>
          <w:docPartUnique/>
        </w:docPartObj>
      </w:sdtPr>
      <w:sdtEndPr>
        <w:rPr>
          <w:rFonts w:asciiTheme="minorHAnsi" w:hAnsiTheme="minorHAnsi" w:eastAsiaTheme="minorEastAsia" w:cstheme="minorBidi"/>
          <w:bCs/>
          <w:sz w:val="20"/>
          <w:szCs w:val="20"/>
        </w:rPr>
      </w:sdtEndPr>
      <w:sdtContent>
        <w:p w14:paraId="6AB79B83">
          <w:pPr>
            <w:pStyle w:val="60"/>
          </w:pPr>
        </w:p>
        <w:p w14:paraId="20D5F298">
          <w:pPr>
            <w:pStyle w:val="2"/>
          </w:pPr>
          <w:bookmarkStart w:id="13" w:name="_Toc203596138"/>
          <w:r>
            <w:t>TABLE OF CONTENTS</w:t>
          </w:r>
          <w:bookmarkEnd w:id="13"/>
        </w:p>
        <w:p w14:paraId="16C3E0D3">
          <w:pPr>
            <w:pStyle w:val="22"/>
            <w:tabs>
              <w:tab w:val="right" w:leader="dot" w:pos="9350"/>
            </w:tabs>
            <w:rPr>
              <w:kern w:val="2"/>
              <w:sz w:val="24"/>
              <w:szCs w:val="24"/>
              <w14:ligatures w14:val="standardContextual"/>
            </w:rPr>
          </w:pPr>
          <w:r>
            <w:rPr>
              <w:rFonts w:cs="Times New Roman"/>
            </w:rPr>
            <w:fldChar w:fldCharType="begin"/>
          </w:r>
          <w:r>
            <w:instrText xml:space="preserve"> TOC \o "1-3" \h \z \u </w:instrText>
          </w:r>
          <w:r>
            <w:rPr>
              <w:rFonts w:cs="Times New Roman"/>
            </w:rPr>
            <w:fldChar w:fldCharType="separate"/>
          </w:r>
          <w:r>
            <w:fldChar w:fldCharType="begin"/>
          </w:r>
          <w:r>
            <w:instrText xml:space="preserve"> HYPERLINK \l "_Toc203596134" </w:instrText>
          </w:r>
          <w:r>
            <w:fldChar w:fldCharType="separate"/>
          </w:r>
          <w:r>
            <w:rPr>
              <w:rStyle w:val="17"/>
            </w:rPr>
            <w:t>CERTIFICATION</w:t>
          </w:r>
          <w:r>
            <w:tab/>
          </w:r>
          <w:r>
            <w:fldChar w:fldCharType="begin"/>
          </w:r>
          <w:r>
            <w:instrText xml:space="preserve"> PAGEREF _Toc203596134 \h </w:instrText>
          </w:r>
          <w:r>
            <w:fldChar w:fldCharType="separate"/>
          </w:r>
          <w:r>
            <w:t>2</w:t>
          </w:r>
          <w:r>
            <w:fldChar w:fldCharType="end"/>
          </w:r>
          <w:r>
            <w:fldChar w:fldCharType="end"/>
          </w:r>
        </w:p>
        <w:p w14:paraId="7394CE99">
          <w:pPr>
            <w:pStyle w:val="22"/>
            <w:tabs>
              <w:tab w:val="right" w:leader="dot" w:pos="9350"/>
            </w:tabs>
            <w:rPr>
              <w:kern w:val="2"/>
              <w:sz w:val="24"/>
              <w:szCs w:val="24"/>
              <w14:ligatures w14:val="standardContextual"/>
            </w:rPr>
          </w:pPr>
          <w:r>
            <w:fldChar w:fldCharType="begin"/>
          </w:r>
          <w:r>
            <w:instrText xml:space="preserve"> HYPERLINK \l "_Toc203596135" </w:instrText>
          </w:r>
          <w:r>
            <w:fldChar w:fldCharType="separate"/>
          </w:r>
          <w:r>
            <w:rPr>
              <w:rStyle w:val="17"/>
            </w:rPr>
            <w:t>DEDICATION</w:t>
          </w:r>
          <w:r>
            <w:tab/>
          </w:r>
          <w:r>
            <w:fldChar w:fldCharType="begin"/>
          </w:r>
          <w:r>
            <w:instrText xml:space="preserve"> PAGEREF _Toc203596135 \h </w:instrText>
          </w:r>
          <w:r>
            <w:fldChar w:fldCharType="separate"/>
          </w:r>
          <w:r>
            <w:t>3</w:t>
          </w:r>
          <w:r>
            <w:fldChar w:fldCharType="end"/>
          </w:r>
          <w:r>
            <w:fldChar w:fldCharType="end"/>
          </w:r>
        </w:p>
        <w:p w14:paraId="2EC6BC85">
          <w:pPr>
            <w:pStyle w:val="22"/>
            <w:tabs>
              <w:tab w:val="right" w:leader="dot" w:pos="9350"/>
            </w:tabs>
            <w:rPr>
              <w:kern w:val="2"/>
              <w:sz w:val="24"/>
              <w:szCs w:val="24"/>
              <w14:ligatures w14:val="standardContextual"/>
            </w:rPr>
          </w:pPr>
          <w:r>
            <w:fldChar w:fldCharType="begin"/>
          </w:r>
          <w:r>
            <w:instrText xml:space="preserve"> HYPERLINK \l "_Toc203596136" </w:instrText>
          </w:r>
          <w:r>
            <w:fldChar w:fldCharType="separate"/>
          </w:r>
          <w:r>
            <w:rPr>
              <w:rStyle w:val="17"/>
            </w:rPr>
            <w:t>DECLARATION</w:t>
          </w:r>
          <w:r>
            <w:tab/>
          </w:r>
          <w:r>
            <w:fldChar w:fldCharType="begin"/>
          </w:r>
          <w:r>
            <w:instrText xml:space="preserve"> PAGEREF _Toc203596136 \h </w:instrText>
          </w:r>
          <w:r>
            <w:fldChar w:fldCharType="separate"/>
          </w:r>
          <w:r>
            <w:t>4</w:t>
          </w:r>
          <w:r>
            <w:fldChar w:fldCharType="end"/>
          </w:r>
          <w:r>
            <w:fldChar w:fldCharType="end"/>
          </w:r>
        </w:p>
        <w:p w14:paraId="193AF463">
          <w:pPr>
            <w:pStyle w:val="22"/>
            <w:tabs>
              <w:tab w:val="right" w:leader="dot" w:pos="9350"/>
            </w:tabs>
            <w:rPr>
              <w:kern w:val="2"/>
              <w:sz w:val="24"/>
              <w:szCs w:val="24"/>
              <w14:ligatures w14:val="standardContextual"/>
            </w:rPr>
          </w:pPr>
          <w:r>
            <w:fldChar w:fldCharType="begin"/>
          </w:r>
          <w:r>
            <w:instrText xml:space="preserve"> HYPERLINK \l "_Toc203596137" </w:instrText>
          </w:r>
          <w:r>
            <w:fldChar w:fldCharType="separate"/>
          </w:r>
          <w:r>
            <w:rPr>
              <w:rStyle w:val="17"/>
            </w:rPr>
            <w:t>ACKNOWLEDGEMENTS</w:t>
          </w:r>
          <w:r>
            <w:tab/>
          </w:r>
          <w:r>
            <w:fldChar w:fldCharType="begin"/>
          </w:r>
          <w:r>
            <w:instrText xml:space="preserve"> PAGEREF _Toc203596137 \h </w:instrText>
          </w:r>
          <w:r>
            <w:fldChar w:fldCharType="separate"/>
          </w:r>
          <w:r>
            <w:t>5</w:t>
          </w:r>
          <w:r>
            <w:fldChar w:fldCharType="end"/>
          </w:r>
          <w:r>
            <w:fldChar w:fldCharType="end"/>
          </w:r>
        </w:p>
        <w:p w14:paraId="05BE4B0B">
          <w:pPr>
            <w:pStyle w:val="22"/>
            <w:tabs>
              <w:tab w:val="right" w:leader="dot" w:pos="9350"/>
            </w:tabs>
            <w:rPr>
              <w:kern w:val="2"/>
              <w:sz w:val="24"/>
              <w:szCs w:val="24"/>
              <w14:ligatures w14:val="standardContextual"/>
            </w:rPr>
          </w:pPr>
          <w:r>
            <w:fldChar w:fldCharType="begin"/>
          </w:r>
          <w:r>
            <w:instrText xml:space="preserve"> HYPERLINK \l "_Toc203596138" </w:instrText>
          </w:r>
          <w:r>
            <w:fldChar w:fldCharType="separate"/>
          </w:r>
          <w:r>
            <w:rPr>
              <w:rStyle w:val="17"/>
            </w:rPr>
            <w:t>TABLE OF CONTENTS</w:t>
          </w:r>
          <w:r>
            <w:tab/>
          </w:r>
          <w:r>
            <w:fldChar w:fldCharType="begin"/>
          </w:r>
          <w:r>
            <w:instrText xml:space="preserve"> PAGEREF _Toc203596138 \h </w:instrText>
          </w:r>
          <w:r>
            <w:fldChar w:fldCharType="separate"/>
          </w:r>
          <w:r>
            <w:t>6</w:t>
          </w:r>
          <w:r>
            <w:fldChar w:fldCharType="end"/>
          </w:r>
          <w:r>
            <w:fldChar w:fldCharType="end"/>
          </w:r>
        </w:p>
        <w:p w14:paraId="705186A3">
          <w:pPr>
            <w:pStyle w:val="22"/>
            <w:tabs>
              <w:tab w:val="right" w:leader="dot" w:pos="9350"/>
            </w:tabs>
            <w:rPr>
              <w:kern w:val="2"/>
              <w:sz w:val="24"/>
              <w:szCs w:val="24"/>
              <w14:ligatures w14:val="standardContextual"/>
            </w:rPr>
          </w:pPr>
          <w:r>
            <w:fldChar w:fldCharType="begin"/>
          </w:r>
          <w:r>
            <w:instrText xml:space="preserve"> HYPERLINK \l "_Toc203596139" </w:instrText>
          </w:r>
          <w:r>
            <w:fldChar w:fldCharType="separate"/>
          </w:r>
          <w:r>
            <w:rPr>
              <w:rStyle w:val="17"/>
            </w:rPr>
            <w:t>CHAPTER ONE</w:t>
          </w:r>
          <w:r>
            <w:tab/>
          </w:r>
          <w:r>
            <w:fldChar w:fldCharType="begin"/>
          </w:r>
          <w:r>
            <w:instrText xml:space="preserve"> PAGEREF _Toc203596139 \h </w:instrText>
          </w:r>
          <w:r>
            <w:fldChar w:fldCharType="separate"/>
          </w:r>
          <w:r>
            <w:t>9</w:t>
          </w:r>
          <w:r>
            <w:fldChar w:fldCharType="end"/>
          </w:r>
          <w:r>
            <w:fldChar w:fldCharType="end"/>
          </w:r>
        </w:p>
        <w:p w14:paraId="02A70A6A">
          <w:pPr>
            <w:pStyle w:val="22"/>
            <w:tabs>
              <w:tab w:val="right" w:leader="dot" w:pos="9350"/>
            </w:tabs>
            <w:rPr>
              <w:kern w:val="2"/>
              <w:sz w:val="24"/>
              <w:szCs w:val="24"/>
              <w14:ligatures w14:val="standardContextual"/>
            </w:rPr>
          </w:pPr>
          <w:r>
            <w:fldChar w:fldCharType="begin"/>
          </w:r>
          <w:r>
            <w:instrText xml:space="preserve"> HYPERLINK \l "_Toc203596140" </w:instrText>
          </w:r>
          <w:r>
            <w:fldChar w:fldCharType="separate"/>
          </w:r>
          <w:r>
            <w:rPr>
              <w:rStyle w:val="17"/>
            </w:rPr>
            <w:t>INTRODUCTION</w:t>
          </w:r>
          <w:r>
            <w:tab/>
          </w:r>
          <w:r>
            <w:fldChar w:fldCharType="begin"/>
          </w:r>
          <w:r>
            <w:instrText xml:space="preserve"> PAGEREF _Toc203596140 \h </w:instrText>
          </w:r>
          <w:r>
            <w:fldChar w:fldCharType="separate"/>
          </w:r>
          <w:r>
            <w:t>9</w:t>
          </w:r>
          <w:r>
            <w:fldChar w:fldCharType="end"/>
          </w:r>
          <w:r>
            <w:fldChar w:fldCharType="end"/>
          </w:r>
        </w:p>
        <w:p w14:paraId="5D4726E6">
          <w:pPr>
            <w:pStyle w:val="23"/>
            <w:tabs>
              <w:tab w:val="right" w:leader="dot" w:pos="9350"/>
            </w:tabs>
            <w:rPr>
              <w:kern w:val="2"/>
              <w:sz w:val="24"/>
              <w:szCs w:val="24"/>
              <w14:ligatures w14:val="standardContextual"/>
            </w:rPr>
          </w:pPr>
          <w:r>
            <w:fldChar w:fldCharType="begin"/>
          </w:r>
          <w:r>
            <w:instrText xml:space="preserve"> HYPERLINK \l "_Toc203596141" </w:instrText>
          </w:r>
          <w:r>
            <w:fldChar w:fldCharType="separate"/>
          </w:r>
          <w:r>
            <w:rPr>
              <w:rStyle w:val="17"/>
              <w:b/>
              <w:bCs/>
            </w:rPr>
            <w:t>1.1 Background to the Study</w:t>
          </w:r>
          <w:r>
            <w:tab/>
          </w:r>
          <w:r>
            <w:fldChar w:fldCharType="begin"/>
          </w:r>
          <w:r>
            <w:instrText xml:space="preserve"> PAGEREF _Toc203596141 \h </w:instrText>
          </w:r>
          <w:r>
            <w:fldChar w:fldCharType="separate"/>
          </w:r>
          <w:r>
            <w:t>9</w:t>
          </w:r>
          <w:r>
            <w:fldChar w:fldCharType="end"/>
          </w:r>
          <w:r>
            <w:fldChar w:fldCharType="end"/>
          </w:r>
        </w:p>
        <w:p w14:paraId="0DAC2DB6">
          <w:pPr>
            <w:pStyle w:val="23"/>
            <w:tabs>
              <w:tab w:val="right" w:leader="dot" w:pos="9350"/>
            </w:tabs>
            <w:rPr>
              <w:kern w:val="2"/>
              <w:sz w:val="24"/>
              <w:szCs w:val="24"/>
              <w14:ligatures w14:val="standardContextual"/>
            </w:rPr>
          </w:pPr>
          <w:r>
            <w:fldChar w:fldCharType="begin"/>
          </w:r>
          <w:r>
            <w:instrText xml:space="preserve"> HYPERLINK \l "_Toc203596142" </w:instrText>
          </w:r>
          <w:r>
            <w:fldChar w:fldCharType="separate"/>
          </w:r>
          <w:r>
            <w:rPr>
              <w:rStyle w:val="17"/>
            </w:rPr>
            <w:t>1.2 Statement of Research Problems</w:t>
          </w:r>
          <w:r>
            <w:tab/>
          </w:r>
          <w:r>
            <w:fldChar w:fldCharType="begin"/>
          </w:r>
          <w:r>
            <w:instrText xml:space="preserve"> PAGEREF _Toc203596142 \h </w:instrText>
          </w:r>
          <w:r>
            <w:fldChar w:fldCharType="separate"/>
          </w:r>
          <w:r>
            <w:t>10</w:t>
          </w:r>
          <w:r>
            <w:fldChar w:fldCharType="end"/>
          </w:r>
          <w:r>
            <w:fldChar w:fldCharType="end"/>
          </w:r>
        </w:p>
        <w:p w14:paraId="216255AB">
          <w:pPr>
            <w:pStyle w:val="23"/>
            <w:tabs>
              <w:tab w:val="right" w:leader="dot" w:pos="9350"/>
            </w:tabs>
            <w:rPr>
              <w:kern w:val="2"/>
              <w:sz w:val="24"/>
              <w:szCs w:val="24"/>
              <w14:ligatures w14:val="standardContextual"/>
            </w:rPr>
          </w:pPr>
          <w:r>
            <w:fldChar w:fldCharType="begin"/>
          </w:r>
          <w:r>
            <w:instrText xml:space="preserve"> HYPERLINK \l "_Toc203596143" </w:instrText>
          </w:r>
          <w:r>
            <w:fldChar w:fldCharType="separate"/>
          </w:r>
          <w:r>
            <w:rPr>
              <w:rStyle w:val="17"/>
              <w:b/>
              <w:bCs/>
            </w:rPr>
            <w:t>1.3 Research Questions</w:t>
          </w:r>
          <w:r>
            <w:tab/>
          </w:r>
          <w:r>
            <w:fldChar w:fldCharType="begin"/>
          </w:r>
          <w:r>
            <w:instrText xml:space="preserve"> PAGEREF _Toc203596143 \h </w:instrText>
          </w:r>
          <w:r>
            <w:fldChar w:fldCharType="separate"/>
          </w:r>
          <w:r>
            <w:t>11</w:t>
          </w:r>
          <w:r>
            <w:fldChar w:fldCharType="end"/>
          </w:r>
          <w:r>
            <w:fldChar w:fldCharType="end"/>
          </w:r>
        </w:p>
        <w:p w14:paraId="547D3D96">
          <w:pPr>
            <w:pStyle w:val="23"/>
            <w:tabs>
              <w:tab w:val="right" w:leader="dot" w:pos="9350"/>
            </w:tabs>
            <w:rPr>
              <w:kern w:val="2"/>
              <w:sz w:val="24"/>
              <w:szCs w:val="24"/>
              <w14:ligatures w14:val="standardContextual"/>
            </w:rPr>
          </w:pPr>
          <w:r>
            <w:fldChar w:fldCharType="begin"/>
          </w:r>
          <w:r>
            <w:instrText xml:space="preserve"> HYPERLINK \l "_Toc203596144" </w:instrText>
          </w:r>
          <w:r>
            <w:fldChar w:fldCharType="separate"/>
          </w:r>
          <w:r>
            <w:rPr>
              <w:rStyle w:val="17"/>
              <w:b/>
              <w:bCs/>
            </w:rPr>
            <w:t>1.4 Aim and Objectives</w:t>
          </w:r>
          <w:r>
            <w:tab/>
          </w:r>
          <w:r>
            <w:fldChar w:fldCharType="begin"/>
          </w:r>
          <w:r>
            <w:instrText xml:space="preserve"> PAGEREF _Toc203596144 \h </w:instrText>
          </w:r>
          <w:r>
            <w:fldChar w:fldCharType="separate"/>
          </w:r>
          <w:r>
            <w:t>11</w:t>
          </w:r>
          <w:r>
            <w:fldChar w:fldCharType="end"/>
          </w:r>
          <w:r>
            <w:fldChar w:fldCharType="end"/>
          </w:r>
        </w:p>
        <w:p w14:paraId="63B093BC">
          <w:pPr>
            <w:pStyle w:val="24"/>
            <w:tabs>
              <w:tab w:val="right" w:leader="dot" w:pos="9350"/>
            </w:tabs>
            <w:rPr>
              <w:kern w:val="2"/>
              <w:sz w:val="24"/>
              <w:szCs w:val="24"/>
              <w14:ligatures w14:val="standardContextual"/>
            </w:rPr>
          </w:pPr>
          <w:r>
            <w:fldChar w:fldCharType="begin"/>
          </w:r>
          <w:r>
            <w:instrText xml:space="preserve"> HYPERLINK \l "_Toc203596145" </w:instrText>
          </w:r>
          <w:r>
            <w:fldChar w:fldCharType="separate"/>
          </w:r>
          <w:r>
            <w:rPr>
              <w:rStyle w:val="17"/>
            </w:rPr>
            <w:t>1.4.1 Aim</w:t>
          </w:r>
          <w:r>
            <w:tab/>
          </w:r>
          <w:r>
            <w:fldChar w:fldCharType="begin"/>
          </w:r>
          <w:r>
            <w:instrText xml:space="preserve"> PAGEREF _Toc203596145 \h </w:instrText>
          </w:r>
          <w:r>
            <w:fldChar w:fldCharType="separate"/>
          </w:r>
          <w:r>
            <w:t>11</w:t>
          </w:r>
          <w:r>
            <w:fldChar w:fldCharType="end"/>
          </w:r>
          <w:r>
            <w:fldChar w:fldCharType="end"/>
          </w:r>
        </w:p>
        <w:p w14:paraId="082070E3">
          <w:pPr>
            <w:pStyle w:val="24"/>
            <w:tabs>
              <w:tab w:val="right" w:leader="dot" w:pos="9350"/>
            </w:tabs>
            <w:rPr>
              <w:kern w:val="2"/>
              <w:sz w:val="24"/>
              <w:szCs w:val="24"/>
              <w14:ligatures w14:val="standardContextual"/>
            </w:rPr>
          </w:pPr>
          <w:r>
            <w:fldChar w:fldCharType="begin"/>
          </w:r>
          <w:r>
            <w:instrText xml:space="preserve"> HYPERLINK \l "_Toc203596146" </w:instrText>
          </w:r>
          <w:r>
            <w:fldChar w:fldCharType="separate"/>
          </w:r>
          <w:r>
            <w:rPr>
              <w:rStyle w:val="17"/>
            </w:rPr>
            <w:t>1.4.2 Objectives of the Study</w:t>
          </w:r>
          <w:r>
            <w:tab/>
          </w:r>
          <w:r>
            <w:fldChar w:fldCharType="begin"/>
          </w:r>
          <w:r>
            <w:instrText xml:space="preserve"> PAGEREF _Toc203596146 \h </w:instrText>
          </w:r>
          <w:r>
            <w:fldChar w:fldCharType="separate"/>
          </w:r>
          <w:r>
            <w:t>11</w:t>
          </w:r>
          <w:r>
            <w:fldChar w:fldCharType="end"/>
          </w:r>
          <w:r>
            <w:fldChar w:fldCharType="end"/>
          </w:r>
        </w:p>
        <w:p w14:paraId="5F9762EB">
          <w:pPr>
            <w:pStyle w:val="24"/>
            <w:tabs>
              <w:tab w:val="right" w:leader="dot" w:pos="9350"/>
            </w:tabs>
            <w:rPr>
              <w:kern w:val="2"/>
              <w:sz w:val="24"/>
              <w:szCs w:val="24"/>
              <w14:ligatures w14:val="standardContextual"/>
            </w:rPr>
          </w:pPr>
          <w:r>
            <w:fldChar w:fldCharType="begin"/>
          </w:r>
          <w:r>
            <w:instrText xml:space="preserve"> HYPERLINK \l "_Toc203596147" </w:instrText>
          </w:r>
          <w:r>
            <w:fldChar w:fldCharType="separate"/>
          </w:r>
          <w:r>
            <w:rPr>
              <w:rStyle w:val="17"/>
            </w:rPr>
            <w:t>To achieve the aim of this study, the following objectives have been outlined:</w:t>
          </w:r>
          <w:r>
            <w:tab/>
          </w:r>
          <w:r>
            <w:fldChar w:fldCharType="begin"/>
          </w:r>
          <w:r>
            <w:instrText xml:space="preserve"> PAGEREF _Toc203596147 \h </w:instrText>
          </w:r>
          <w:r>
            <w:fldChar w:fldCharType="separate"/>
          </w:r>
          <w:r>
            <w:t>11</w:t>
          </w:r>
          <w:r>
            <w:fldChar w:fldCharType="end"/>
          </w:r>
          <w:r>
            <w:fldChar w:fldCharType="end"/>
          </w:r>
        </w:p>
        <w:p w14:paraId="4DBAC2E3">
          <w:pPr>
            <w:pStyle w:val="23"/>
            <w:tabs>
              <w:tab w:val="right" w:leader="dot" w:pos="9350"/>
            </w:tabs>
            <w:rPr>
              <w:kern w:val="2"/>
              <w:sz w:val="24"/>
              <w:szCs w:val="24"/>
              <w14:ligatures w14:val="standardContextual"/>
            </w:rPr>
          </w:pPr>
          <w:r>
            <w:fldChar w:fldCharType="begin"/>
          </w:r>
          <w:r>
            <w:instrText xml:space="preserve"> HYPERLINK \l "_Toc203596148" </w:instrText>
          </w:r>
          <w:r>
            <w:fldChar w:fldCharType="separate"/>
          </w:r>
          <w:r>
            <w:rPr>
              <w:rStyle w:val="17"/>
            </w:rPr>
            <w:t>1.5 Scope and Limitation</w:t>
          </w:r>
          <w:r>
            <w:tab/>
          </w:r>
          <w:r>
            <w:fldChar w:fldCharType="begin"/>
          </w:r>
          <w:r>
            <w:instrText xml:space="preserve"> PAGEREF _Toc203596148 \h </w:instrText>
          </w:r>
          <w:r>
            <w:fldChar w:fldCharType="separate"/>
          </w:r>
          <w:r>
            <w:t>12</w:t>
          </w:r>
          <w:r>
            <w:fldChar w:fldCharType="end"/>
          </w:r>
          <w:r>
            <w:fldChar w:fldCharType="end"/>
          </w:r>
        </w:p>
        <w:p w14:paraId="10D35F6D">
          <w:pPr>
            <w:pStyle w:val="23"/>
            <w:tabs>
              <w:tab w:val="right" w:leader="dot" w:pos="9350"/>
            </w:tabs>
            <w:rPr>
              <w:kern w:val="2"/>
              <w:sz w:val="24"/>
              <w:szCs w:val="24"/>
              <w14:ligatures w14:val="standardContextual"/>
            </w:rPr>
          </w:pPr>
          <w:r>
            <w:fldChar w:fldCharType="begin"/>
          </w:r>
          <w:r>
            <w:instrText xml:space="preserve"> HYPERLINK \l "_Toc203596149" </w:instrText>
          </w:r>
          <w:r>
            <w:fldChar w:fldCharType="separate"/>
          </w:r>
          <w:r>
            <w:rPr>
              <w:rStyle w:val="17"/>
              <w:b/>
              <w:bCs/>
            </w:rPr>
            <w:t>1.5 Justification for the Study</w:t>
          </w:r>
          <w:r>
            <w:tab/>
          </w:r>
          <w:r>
            <w:fldChar w:fldCharType="begin"/>
          </w:r>
          <w:r>
            <w:instrText xml:space="preserve"> PAGEREF _Toc203596149 \h </w:instrText>
          </w:r>
          <w:r>
            <w:fldChar w:fldCharType="separate"/>
          </w:r>
          <w:r>
            <w:t>13</w:t>
          </w:r>
          <w:r>
            <w:fldChar w:fldCharType="end"/>
          </w:r>
          <w:r>
            <w:fldChar w:fldCharType="end"/>
          </w:r>
        </w:p>
        <w:p w14:paraId="18008DB9">
          <w:pPr>
            <w:pStyle w:val="23"/>
            <w:tabs>
              <w:tab w:val="right" w:leader="dot" w:pos="9350"/>
            </w:tabs>
            <w:rPr>
              <w:kern w:val="2"/>
              <w:sz w:val="24"/>
              <w:szCs w:val="24"/>
              <w14:ligatures w14:val="standardContextual"/>
            </w:rPr>
          </w:pPr>
          <w:r>
            <w:fldChar w:fldCharType="begin"/>
          </w:r>
          <w:r>
            <w:instrText xml:space="preserve"> HYPERLINK \l "_Toc203596150" </w:instrText>
          </w:r>
          <w:r>
            <w:fldChar w:fldCharType="separate"/>
          </w:r>
          <w:r>
            <w:rPr>
              <w:rStyle w:val="17"/>
              <w:b/>
              <w:bCs/>
            </w:rPr>
            <w:t>1.6 Definition of Terms</w:t>
          </w:r>
          <w:r>
            <w:tab/>
          </w:r>
          <w:r>
            <w:fldChar w:fldCharType="begin"/>
          </w:r>
          <w:r>
            <w:instrText xml:space="preserve"> PAGEREF _Toc203596150 \h </w:instrText>
          </w:r>
          <w:r>
            <w:fldChar w:fldCharType="separate"/>
          </w:r>
          <w:r>
            <w:t>14</w:t>
          </w:r>
          <w:r>
            <w:fldChar w:fldCharType="end"/>
          </w:r>
          <w:r>
            <w:fldChar w:fldCharType="end"/>
          </w:r>
        </w:p>
        <w:p w14:paraId="6849C3BA">
          <w:pPr>
            <w:pStyle w:val="24"/>
            <w:tabs>
              <w:tab w:val="right" w:leader="dot" w:pos="9350"/>
            </w:tabs>
            <w:rPr>
              <w:kern w:val="2"/>
              <w:sz w:val="24"/>
              <w:szCs w:val="24"/>
              <w14:ligatures w14:val="standardContextual"/>
            </w:rPr>
          </w:pPr>
          <w:r>
            <w:fldChar w:fldCharType="begin"/>
          </w:r>
          <w:r>
            <w:instrText xml:space="preserve"> HYPERLINK \l "_Toc203596151" </w:instrText>
          </w:r>
          <w:r>
            <w:fldChar w:fldCharType="separate"/>
          </w:r>
          <w:r>
            <w:rPr>
              <w:rStyle w:val="17"/>
              <w:b/>
              <w:bCs/>
            </w:rPr>
            <w:t>1.6.1 Quantity Surveyor</w:t>
          </w:r>
          <w:r>
            <w:tab/>
          </w:r>
          <w:r>
            <w:fldChar w:fldCharType="begin"/>
          </w:r>
          <w:r>
            <w:instrText xml:space="preserve"> PAGEREF _Toc203596151 \h </w:instrText>
          </w:r>
          <w:r>
            <w:fldChar w:fldCharType="separate"/>
          </w:r>
          <w:r>
            <w:t>14</w:t>
          </w:r>
          <w:r>
            <w:fldChar w:fldCharType="end"/>
          </w:r>
          <w:r>
            <w:fldChar w:fldCharType="end"/>
          </w:r>
        </w:p>
        <w:p w14:paraId="70E6A862">
          <w:pPr>
            <w:pStyle w:val="24"/>
            <w:tabs>
              <w:tab w:val="right" w:leader="dot" w:pos="9350"/>
            </w:tabs>
            <w:rPr>
              <w:kern w:val="2"/>
              <w:sz w:val="24"/>
              <w:szCs w:val="24"/>
              <w14:ligatures w14:val="standardContextual"/>
            </w:rPr>
          </w:pPr>
          <w:r>
            <w:fldChar w:fldCharType="begin"/>
          </w:r>
          <w:r>
            <w:instrText xml:space="preserve"> HYPERLINK \l "_Toc203596152" </w:instrText>
          </w:r>
          <w:r>
            <w:fldChar w:fldCharType="separate"/>
          </w:r>
          <w:r>
            <w:rPr>
              <w:rStyle w:val="17"/>
              <w:b/>
              <w:bCs/>
            </w:rPr>
            <w:t>1.6.2 Economic Viability</w:t>
          </w:r>
          <w:r>
            <w:tab/>
          </w:r>
          <w:r>
            <w:fldChar w:fldCharType="begin"/>
          </w:r>
          <w:r>
            <w:instrText xml:space="preserve"> PAGEREF _Toc203596152 \h </w:instrText>
          </w:r>
          <w:r>
            <w:fldChar w:fldCharType="separate"/>
          </w:r>
          <w:r>
            <w:t>14</w:t>
          </w:r>
          <w:r>
            <w:fldChar w:fldCharType="end"/>
          </w:r>
          <w:r>
            <w:fldChar w:fldCharType="end"/>
          </w:r>
        </w:p>
        <w:p w14:paraId="5BD6B46E">
          <w:pPr>
            <w:pStyle w:val="24"/>
            <w:tabs>
              <w:tab w:val="right" w:leader="dot" w:pos="9350"/>
            </w:tabs>
            <w:rPr>
              <w:kern w:val="2"/>
              <w:sz w:val="24"/>
              <w:szCs w:val="24"/>
              <w14:ligatures w14:val="standardContextual"/>
            </w:rPr>
          </w:pPr>
          <w:r>
            <w:fldChar w:fldCharType="begin"/>
          </w:r>
          <w:r>
            <w:instrText xml:space="preserve"> HYPERLINK \l "_Toc203596153" </w:instrText>
          </w:r>
          <w:r>
            <w:fldChar w:fldCharType="separate"/>
          </w:r>
          <w:r>
            <w:rPr>
              <w:rStyle w:val="17"/>
              <w:b/>
              <w:bCs/>
            </w:rPr>
            <w:t>1.6.3 Agricultural Processing Plant</w:t>
          </w:r>
          <w:r>
            <w:tab/>
          </w:r>
          <w:r>
            <w:fldChar w:fldCharType="begin"/>
          </w:r>
          <w:r>
            <w:instrText xml:space="preserve"> PAGEREF _Toc203596153 \h </w:instrText>
          </w:r>
          <w:r>
            <w:fldChar w:fldCharType="separate"/>
          </w:r>
          <w:r>
            <w:t>15</w:t>
          </w:r>
          <w:r>
            <w:fldChar w:fldCharType="end"/>
          </w:r>
          <w:r>
            <w:fldChar w:fldCharType="end"/>
          </w:r>
        </w:p>
        <w:p w14:paraId="56D4D17A">
          <w:pPr>
            <w:pStyle w:val="24"/>
            <w:tabs>
              <w:tab w:val="right" w:leader="dot" w:pos="9350"/>
            </w:tabs>
            <w:rPr>
              <w:kern w:val="2"/>
              <w:sz w:val="24"/>
              <w:szCs w:val="24"/>
              <w14:ligatures w14:val="standardContextual"/>
            </w:rPr>
          </w:pPr>
          <w:r>
            <w:fldChar w:fldCharType="begin"/>
          </w:r>
          <w:r>
            <w:instrText xml:space="preserve"> HYPERLINK \l "_Toc203596154" </w:instrText>
          </w:r>
          <w:r>
            <w:fldChar w:fldCharType="separate"/>
          </w:r>
          <w:r>
            <w:rPr>
              <w:rStyle w:val="17"/>
              <w:b/>
              <w:bCs/>
            </w:rPr>
            <w:t>1.6.4 Cost Estimation</w:t>
          </w:r>
          <w:r>
            <w:tab/>
          </w:r>
          <w:r>
            <w:fldChar w:fldCharType="begin"/>
          </w:r>
          <w:r>
            <w:instrText xml:space="preserve"> PAGEREF _Toc203596154 \h </w:instrText>
          </w:r>
          <w:r>
            <w:fldChar w:fldCharType="separate"/>
          </w:r>
          <w:r>
            <w:t>15</w:t>
          </w:r>
          <w:r>
            <w:fldChar w:fldCharType="end"/>
          </w:r>
          <w:r>
            <w:fldChar w:fldCharType="end"/>
          </w:r>
        </w:p>
        <w:p w14:paraId="3D751647">
          <w:pPr>
            <w:pStyle w:val="24"/>
            <w:tabs>
              <w:tab w:val="right" w:leader="dot" w:pos="9350"/>
            </w:tabs>
            <w:rPr>
              <w:kern w:val="2"/>
              <w:sz w:val="24"/>
              <w:szCs w:val="24"/>
              <w14:ligatures w14:val="standardContextual"/>
            </w:rPr>
          </w:pPr>
          <w:r>
            <w:fldChar w:fldCharType="begin"/>
          </w:r>
          <w:r>
            <w:instrText xml:space="preserve"> HYPERLINK \l "_Toc203596155" </w:instrText>
          </w:r>
          <w:r>
            <w:fldChar w:fldCharType="separate"/>
          </w:r>
          <w:r>
            <w:rPr>
              <w:rStyle w:val="17"/>
              <w:b/>
              <w:bCs/>
            </w:rPr>
            <w:t>1.6.5 Financial Planning</w:t>
          </w:r>
          <w:r>
            <w:tab/>
          </w:r>
          <w:r>
            <w:fldChar w:fldCharType="begin"/>
          </w:r>
          <w:r>
            <w:instrText xml:space="preserve"> PAGEREF _Toc203596155 \h </w:instrText>
          </w:r>
          <w:r>
            <w:fldChar w:fldCharType="separate"/>
          </w:r>
          <w:r>
            <w:t>15</w:t>
          </w:r>
          <w:r>
            <w:fldChar w:fldCharType="end"/>
          </w:r>
          <w:r>
            <w:fldChar w:fldCharType="end"/>
          </w:r>
        </w:p>
        <w:p w14:paraId="4FE47D48">
          <w:pPr>
            <w:pStyle w:val="24"/>
            <w:tabs>
              <w:tab w:val="right" w:leader="dot" w:pos="9350"/>
            </w:tabs>
            <w:rPr>
              <w:kern w:val="2"/>
              <w:sz w:val="24"/>
              <w:szCs w:val="24"/>
              <w14:ligatures w14:val="standardContextual"/>
            </w:rPr>
          </w:pPr>
          <w:r>
            <w:fldChar w:fldCharType="begin"/>
          </w:r>
          <w:r>
            <w:instrText xml:space="preserve"> HYPERLINK \l "_Toc203596156" </w:instrText>
          </w:r>
          <w:r>
            <w:fldChar w:fldCharType="separate"/>
          </w:r>
          <w:r>
            <w:rPr>
              <w:rStyle w:val="17"/>
              <w:b/>
              <w:bCs/>
            </w:rPr>
            <w:t>1.6.6 Risk Assessment</w:t>
          </w:r>
          <w:r>
            <w:tab/>
          </w:r>
          <w:r>
            <w:fldChar w:fldCharType="begin"/>
          </w:r>
          <w:r>
            <w:instrText xml:space="preserve"> PAGEREF _Toc203596156 \h </w:instrText>
          </w:r>
          <w:r>
            <w:fldChar w:fldCharType="separate"/>
          </w:r>
          <w:r>
            <w:t>15</w:t>
          </w:r>
          <w:r>
            <w:fldChar w:fldCharType="end"/>
          </w:r>
          <w:r>
            <w:fldChar w:fldCharType="end"/>
          </w:r>
        </w:p>
        <w:p w14:paraId="0BA704AF">
          <w:pPr>
            <w:pStyle w:val="24"/>
            <w:tabs>
              <w:tab w:val="right" w:leader="dot" w:pos="9350"/>
            </w:tabs>
            <w:rPr>
              <w:kern w:val="2"/>
              <w:sz w:val="24"/>
              <w:szCs w:val="24"/>
              <w14:ligatures w14:val="standardContextual"/>
            </w:rPr>
          </w:pPr>
          <w:r>
            <w:fldChar w:fldCharType="begin"/>
          </w:r>
          <w:r>
            <w:instrText xml:space="preserve"> HYPERLINK \l "_Toc203596157" </w:instrText>
          </w:r>
          <w:r>
            <w:fldChar w:fldCharType="separate"/>
          </w:r>
          <w:r>
            <w:rPr>
              <w:rStyle w:val="17"/>
              <w:b/>
              <w:bCs/>
            </w:rPr>
            <w:t>1.6.7 Feasibility Study</w:t>
          </w:r>
          <w:r>
            <w:tab/>
          </w:r>
          <w:r>
            <w:fldChar w:fldCharType="begin"/>
          </w:r>
          <w:r>
            <w:instrText xml:space="preserve"> PAGEREF _Toc203596157 \h </w:instrText>
          </w:r>
          <w:r>
            <w:fldChar w:fldCharType="separate"/>
          </w:r>
          <w:r>
            <w:t>15</w:t>
          </w:r>
          <w:r>
            <w:fldChar w:fldCharType="end"/>
          </w:r>
          <w:r>
            <w:fldChar w:fldCharType="end"/>
          </w:r>
        </w:p>
        <w:p w14:paraId="216B52AA">
          <w:pPr>
            <w:pStyle w:val="24"/>
            <w:tabs>
              <w:tab w:val="right" w:leader="dot" w:pos="9350"/>
            </w:tabs>
            <w:rPr>
              <w:kern w:val="2"/>
              <w:sz w:val="24"/>
              <w:szCs w:val="24"/>
              <w14:ligatures w14:val="standardContextual"/>
            </w:rPr>
          </w:pPr>
          <w:r>
            <w:fldChar w:fldCharType="begin"/>
          </w:r>
          <w:r>
            <w:instrText xml:space="preserve"> HYPERLINK \l "_Toc203596158" </w:instrText>
          </w:r>
          <w:r>
            <w:fldChar w:fldCharType="separate"/>
          </w:r>
          <w:r>
            <w:rPr>
              <w:rStyle w:val="17"/>
              <w:b/>
              <w:bCs/>
            </w:rPr>
            <w:t>1.6.8 Budget Overrun</w:t>
          </w:r>
          <w:r>
            <w:tab/>
          </w:r>
          <w:r>
            <w:fldChar w:fldCharType="begin"/>
          </w:r>
          <w:r>
            <w:instrText xml:space="preserve"> PAGEREF _Toc203596158 \h </w:instrText>
          </w:r>
          <w:r>
            <w:fldChar w:fldCharType="separate"/>
          </w:r>
          <w:r>
            <w:t>15</w:t>
          </w:r>
          <w:r>
            <w:fldChar w:fldCharType="end"/>
          </w:r>
          <w:r>
            <w:fldChar w:fldCharType="end"/>
          </w:r>
        </w:p>
        <w:p w14:paraId="2D4F1A3A">
          <w:pPr>
            <w:pStyle w:val="24"/>
            <w:tabs>
              <w:tab w:val="right" w:leader="dot" w:pos="9350"/>
            </w:tabs>
            <w:rPr>
              <w:kern w:val="2"/>
              <w:sz w:val="24"/>
              <w:szCs w:val="24"/>
              <w14:ligatures w14:val="standardContextual"/>
            </w:rPr>
          </w:pPr>
          <w:r>
            <w:fldChar w:fldCharType="begin"/>
          </w:r>
          <w:r>
            <w:instrText xml:space="preserve"> HYPERLINK \l "_Toc203596159" </w:instrText>
          </w:r>
          <w:r>
            <w:fldChar w:fldCharType="separate"/>
          </w:r>
          <w:r>
            <w:rPr>
              <w:rStyle w:val="17"/>
              <w:b/>
              <w:bCs/>
            </w:rPr>
            <w:t>1.6.9 Lifecycle Cost Analysis</w:t>
          </w:r>
          <w:r>
            <w:tab/>
          </w:r>
          <w:r>
            <w:fldChar w:fldCharType="begin"/>
          </w:r>
          <w:r>
            <w:instrText xml:space="preserve"> PAGEREF _Toc203596159 \h </w:instrText>
          </w:r>
          <w:r>
            <w:fldChar w:fldCharType="separate"/>
          </w:r>
          <w:r>
            <w:t>16</w:t>
          </w:r>
          <w:r>
            <w:fldChar w:fldCharType="end"/>
          </w:r>
          <w:r>
            <w:fldChar w:fldCharType="end"/>
          </w:r>
        </w:p>
        <w:p w14:paraId="4EADEE13">
          <w:pPr>
            <w:pStyle w:val="24"/>
            <w:tabs>
              <w:tab w:val="right" w:leader="dot" w:pos="9350"/>
            </w:tabs>
            <w:rPr>
              <w:kern w:val="2"/>
              <w:sz w:val="24"/>
              <w:szCs w:val="24"/>
              <w14:ligatures w14:val="standardContextual"/>
            </w:rPr>
          </w:pPr>
          <w:r>
            <w:fldChar w:fldCharType="begin"/>
          </w:r>
          <w:r>
            <w:instrText xml:space="preserve"> HYPERLINK \l "_Toc203596160" </w:instrText>
          </w:r>
          <w:r>
            <w:fldChar w:fldCharType="separate"/>
          </w:r>
          <w:r>
            <w:rPr>
              <w:rStyle w:val="17"/>
              <w:b/>
              <w:bCs/>
            </w:rPr>
            <w:t>1.6.10 Procurement Strategy</w:t>
          </w:r>
          <w:r>
            <w:tab/>
          </w:r>
          <w:r>
            <w:fldChar w:fldCharType="begin"/>
          </w:r>
          <w:r>
            <w:instrText xml:space="preserve"> PAGEREF _Toc203596160 \h </w:instrText>
          </w:r>
          <w:r>
            <w:fldChar w:fldCharType="separate"/>
          </w:r>
          <w:r>
            <w:t>16</w:t>
          </w:r>
          <w:r>
            <w:fldChar w:fldCharType="end"/>
          </w:r>
          <w:r>
            <w:fldChar w:fldCharType="end"/>
          </w:r>
        </w:p>
        <w:p w14:paraId="019321ED">
          <w:pPr>
            <w:pStyle w:val="24"/>
            <w:tabs>
              <w:tab w:val="right" w:leader="dot" w:pos="9350"/>
            </w:tabs>
            <w:rPr>
              <w:kern w:val="2"/>
              <w:sz w:val="24"/>
              <w:szCs w:val="24"/>
              <w14:ligatures w14:val="standardContextual"/>
            </w:rPr>
          </w:pPr>
          <w:r>
            <w:fldChar w:fldCharType="begin"/>
          </w:r>
          <w:r>
            <w:instrText xml:space="preserve"> HYPERLINK \l "_Toc203596161" </w:instrText>
          </w:r>
          <w:r>
            <w:fldChar w:fldCharType="separate"/>
          </w:r>
          <w:r>
            <w:rPr>
              <w:rStyle w:val="17"/>
              <w:b/>
              <w:bCs/>
            </w:rPr>
            <w:t>1.6.11 Sustainability</w:t>
          </w:r>
          <w:r>
            <w:tab/>
          </w:r>
          <w:r>
            <w:fldChar w:fldCharType="begin"/>
          </w:r>
          <w:r>
            <w:instrText xml:space="preserve"> PAGEREF _Toc203596161 \h </w:instrText>
          </w:r>
          <w:r>
            <w:fldChar w:fldCharType="separate"/>
          </w:r>
          <w:r>
            <w:t>16</w:t>
          </w:r>
          <w:r>
            <w:fldChar w:fldCharType="end"/>
          </w:r>
          <w:r>
            <w:fldChar w:fldCharType="end"/>
          </w:r>
        </w:p>
        <w:p w14:paraId="04893E78">
          <w:pPr>
            <w:pStyle w:val="24"/>
            <w:tabs>
              <w:tab w:val="right" w:leader="dot" w:pos="9350"/>
            </w:tabs>
            <w:rPr>
              <w:kern w:val="2"/>
              <w:sz w:val="24"/>
              <w:szCs w:val="24"/>
              <w14:ligatures w14:val="standardContextual"/>
            </w:rPr>
          </w:pPr>
          <w:r>
            <w:fldChar w:fldCharType="begin"/>
          </w:r>
          <w:r>
            <w:instrText xml:space="preserve"> HYPERLINK \l "_Toc203596162" </w:instrText>
          </w:r>
          <w:r>
            <w:fldChar w:fldCharType="separate"/>
          </w:r>
          <w:r>
            <w:rPr>
              <w:rStyle w:val="17"/>
              <w:b/>
              <w:bCs/>
            </w:rPr>
            <w:t>1.6.12 Investment Risk</w:t>
          </w:r>
          <w:r>
            <w:tab/>
          </w:r>
          <w:r>
            <w:fldChar w:fldCharType="begin"/>
          </w:r>
          <w:r>
            <w:instrText xml:space="preserve"> PAGEREF _Toc203596162 \h </w:instrText>
          </w:r>
          <w:r>
            <w:fldChar w:fldCharType="separate"/>
          </w:r>
          <w:r>
            <w:t>16</w:t>
          </w:r>
          <w:r>
            <w:fldChar w:fldCharType="end"/>
          </w:r>
          <w:r>
            <w:fldChar w:fldCharType="end"/>
          </w:r>
        </w:p>
        <w:p w14:paraId="202E2C02">
          <w:pPr>
            <w:pStyle w:val="24"/>
            <w:tabs>
              <w:tab w:val="right" w:leader="dot" w:pos="9350"/>
            </w:tabs>
            <w:rPr>
              <w:kern w:val="2"/>
              <w:sz w:val="24"/>
              <w:szCs w:val="24"/>
              <w14:ligatures w14:val="standardContextual"/>
            </w:rPr>
          </w:pPr>
          <w:r>
            <w:fldChar w:fldCharType="begin"/>
          </w:r>
          <w:r>
            <w:instrText xml:space="preserve"> HYPERLINK \l "_Toc203596163" </w:instrText>
          </w:r>
          <w:r>
            <w:fldChar w:fldCharType="separate"/>
          </w:r>
          <w:r>
            <w:rPr>
              <w:rStyle w:val="17"/>
              <w:b/>
              <w:bCs/>
            </w:rPr>
            <w:t>1.6.13 Value Engineering</w:t>
          </w:r>
          <w:r>
            <w:tab/>
          </w:r>
          <w:r>
            <w:fldChar w:fldCharType="begin"/>
          </w:r>
          <w:r>
            <w:instrText xml:space="preserve"> PAGEREF _Toc203596163 \h </w:instrText>
          </w:r>
          <w:r>
            <w:fldChar w:fldCharType="separate"/>
          </w:r>
          <w:r>
            <w:t>16</w:t>
          </w:r>
          <w:r>
            <w:fldChar w:fldCharType="end"/>
          </w:r>
          <w:r>
            <w:fldChar w:fldCharType="end"/>
          </w:r>
        </w:p>
        <w:p w14:paraId="265B005C">
          <w:pPr>
            <w:pStyle w:val="24"/>
            <w:tabs>
              <w:tab w:val="right" w:leader="dot" w:pos="9350"/>
            </w:tabs>
            <w:rPr>
              <w:kern w:val="2"/>
              <w:sz w:val="24"/>
              <w:szCs w:val="24"/>
              <w14:ligatures w14:val="standardContextual"/>
            </w:rPr>
          </w:pPr>
          <w:r>
            <w:fldChar w:fldCharType="begin"/>
          </w:r>
          <w:r>
            <w:instrText xml:space="preserve"> HYPERLINK \l "_Toc203596164" </w:instrText>
          </w:r>
          <w:r>
            <w:fldChar w:fldCharType="separate"/>
          </w:r>
          <w:r>
            <w:rPr>
              <w:rStyle w:val="17"/>
              <w:b/>
              <w:bCs/>
            </w:rPr>
            <w:t>1.6.14 Inflation Impact</w:t>
          </w:r>
          <w:r>
            <w:tab/>
          </w:r>
          <w:r>
            <w:fldChar w:fldCharType="begin"/>
          </w:r>
          <w:r>
            <w:instrText xml:space="preserve"> PAGEREF _Toc203596164 \h </w:instrText>
          </w:r>
          <w:r>
            <w:fldChar w:fldCharType="separate"/>
          </w:r>
          <w:r>
            <w:t>16</w:t>
          </w:r>
          <w:r>
            <w:fldChar w:fldCharType="end"/>
          </w:r>
          <w:r>
            <w:fldChar w:fldCharType="end"/>
          </w:r>
        </w:p>
        <w:p w14:paraId="0C298362">
          <w:pPr>
            <w:pStyle w:val="24"/>
            <w:tabs>
              <w:tab w:val="right" w:leader="dot" w:pos="9350"/>
            </w:tabs>
            <w:rPr>
              <w:kern w:val="2"/>
              <w:sz w:val="24"/>
              <w:szCs w:val="24"/>
              <w14:ligatures w14:val="standardContextual"/>
            </w:rPr>
          </w:pPr>
          <w:r>
            <w:fldChar w:fldCharType="begin"/>
          </w:r>
          <w:r>
            <w:instrText xml:space="preserve"> HYPERLINK \l "_Toc203596165" </w:instrText>
          </w:r>
          <w:r>
            <w:fldChar w:fldCharType="separate"/>
          </w:r>
          <w:r>
            <w:rPr>
              <w:rStyle w:val="17"/>
              <w:b/>
              <w:bCs/>
            </w:rPr>
            <w:t>1.6.15 Public-Private Partnership (PPP)</w:t>
          </w:r>
          <w:r>
            <w:tab/>
          </w:r>
          <w:r>
            <w:fldChar w:fldCharType="begin"/>
          </w:r>
          <w:r>
            <w:instrText xml:space="preserve"> PAGEREF _Toc203596165 \h </w:instrText>
          </w:r>
          <w:r>
            <w:fldChar w:fldCharType="separate"/>
          </w:r>
          <w:r>
            <w:t>16</w:t>
          </w:r>
          <w:r>
            <w:fldChar w:fldCharType="end"/>
          </w:r>
          <w:r>
            <w:fldChar w:fldCharType="end"/>
          </w:r>
        </w:p>
        <w:p w14:paraId="2FA1FA0B">
          <w:pPr>
            <w:pStyle w:val="22"/>
            <w:tabs>
              <w:tab w:val="right" w:leader="dot" w:pos="9350"/>
            </w:tabs>
            <w:rPr>
              <w:kern w:val="2"/>
              <w:sz w:val="24"/>
              <w:szCs w:val="24"/>
              <w14:ligatures w14:val="standardContextual"/>
            </w:rPr>
          </w:pPr>
          <w:r>
            <w:fldChar w:fldCharType="begin"/>
          </w:r>
          <w:r>
            <w:instrText xml:space="preserve"> HYPERLINK \l "_Toc203596166" </w:instrText>
          </w:r>
          <w:r>
            <w:fldChar w:fldCharType="separate"/>
          </w:r>
          <w:r>
            <w:rPr>
              <w:rStyle w:val="17"/>
            </w:rPr>
            <w:t>CHAPTER TWO</w:t>
          </w:r>
          <w:r>
            <w:tab/>
          </w:r>
          <w:r>
            <w:fldChar w:fldCharType="begin"/>
          </w:r>
          <w:r>
            <w:instrText xml:space="preserve"> PAGEREF _Toc203596166 \h </w:instrText>
          </w:r>
          <w:r>
            <w:fldChar w:fldCharType="separate"/>
          </w:r>
          <w:r>
            <w:t>17</w:t>
          </w:r>
          <w:r>
            <w:fldChar w:fldCharType="end"/>
          </w:r>
          <w:r>
            <w:fldChar w:fldCharType="end"/>
          </w:r>
        </w:p>
        <w:p w14:paraId="74023300">
          <w:pPr>
            <w:pStyle w:val="22"/>
            <w:tabs>
              <w:tab w:val="right" w:leader="dot" w:pos="9350"/>
            </w:tabs>
            <w:rPr>
              <w:kern w:val="2"/>
              <w:sz w:val="24"/>
              <w:szCs w:val="24"/>
              <w14:ligatures w14:val="standardContextual"/>
            </w:rPr>
          </w:pPr>
          <w:r>
            <w:fldChar w:fldCharType="begin"/>
          </w:r>
          <w:r>
            <w:instrText xml:space="preserve"> HYPERLINK \l "_Toc203596167" </w:instrText>
          </w:r>
          <w:r>
            <w:fldChar w:fldCharType="separate"/>
          </w:r>
          <w:r>
            <w:rPr>
              <w:rStyle w:val="17"/>
            </w:rPr>
            <w:t>LITERATURE REVIEW</w:t>
          </w:r>
          <w:r>
            <w:tab/>
          </w:r>
          <w:r>
            <w:fldChar w:fldCharType="begin"/>
          </w:r>
          <w:r>
            <w:instrText xml:space="preserve"> PAGEREF _Toc203596167 \h </w:instrText>
          </w:r>
          <w:r>
            <w:fldChar w:fldCharType="separate"/>
          </w:r>
          <w:r>
            <w:t>17</w:t>
          </w:r>
          <w:r>
            <w:fldChar w:fldCharType="end"/>
          </w:r>
          <w:r>
            <w:fldChar w:fldCharType="end"/>
          </w:r>
        </w:p>
        <w:p w14:paraId="136B75A2">
          <w:pPr>
            <w:pStyle w:val="23"/>
            <w:tabs>
              <w:tab w:val="right" w:leader="dot" w:pos="9350"/>
            </w:tabs>
            <w:rPr>
              <w:kern w:val="2"/>
              <w:sz w:val="24"/>
              <w:szCs w:val="24"/>
              <w14:ligatures w14:val="standardContextual"/>
            </w:rPr>
          </w:pPr>
          <w:r>
            <w:fldChar w:fldCharType="begin"/>
          </w:r>
          <w:r>
            <w:instrText xml:space="preserve"> HYPERLINK \l "_Toc203596168" </w:instrText>
          </w:r>
          <w:r>
            <w:fldChar w:fldCharType="separate"/>
          </w:r>
          <w:r>
            <w:rPr>
              <w:rStyle w:val="17"/>
            </w:rPr>
            <w:t>2.1 Introduction</w:t>
          </w:r>
          <w:r>
            <w:tab/>
          </w:r>
          <w:r>
            <w:fldChar w:fldCharType="begin"/>
          </w:r>
          <w:r>
            <w:instrText xml:space="preserve"> PAGEREF _Toc203596168 \h </w:instrText>
          </w:r>
          <w:r>
            <w:fldChar w:fldCharType="separate"/>
          </w:r>
          <w:r>
            <w:t>17</w:t>
          </w:r>
          <w:r>
            <w:fldChar w:fldCharType="end"/>
          </w:r>
          <w:r>
            <w:fldChar w:fldCharType="end"/>
          </w:r>
        </w:p>
        <w:p w14:paraId="1C8C9601">
          <w:pPr>
            <w:pStyle w:val="23"/>
            <w:tabs>
              <w:tab w:val="right" w:leader="dot" w:pos="9350"/>
            </w:tabs>
            <w:rPr>
              <w:kern w:val="2"/>
              <w:sz w:val="24"/>
              <w:szCs w:val="24"/>
              <w14:ligatures w14:val="standardContextual"/>
            </w:rPr>
          </w:pPr>
          <w:r>
            <w:fldChar w:fldCharType="begin"/>
          </w:r>
          <w:r>
            <w:instrText xml:space="preserve"> HYPERLINK \l "_Toc203596169" </w:instrText>
          </w:r>
          <w:r>
            <w:fldChar w:fldCharType="separate"/>
          </w:r>
          <w:r>
            <w:rPr>
              <w:rStyle w:val="17"/>
              <w:bCs/>
            </w:rPr>
            <w:t>2.2 Concept of Economic Viability in Agricultural Processing Plants</w:t>
          </w:r>
          <w:r>
            <w:tab/>
          </w:r>
          <w:r>
            <w:fldChar w:fldCharType="begin"/>
          </w:r>
          <w:r>
            <w:instrText xml:space="preserve"> PAGEREF _Toc203596169 \h </w:instrText>
          </w:r>
          <w:r>
            <w:fldChar w:fldCharType="separate"/>
          </w:r>
          <w:r>
            <w:t>17</w:t>
          </w:r>
          <w:r>
            <w:fldChar w:fldCharType="end"/>
          </w:r>
          <w:r>
            <w:fldChar w:fldCharType="end"/>
          </w:r>
        </w:p>
        <w:p w14:paraId="58636925">
          <w:pPr>
            <w:pStyle w:val="23"/>
            <w:tabs>
              <w:tab w:val="right" w:leader="dot" w:pos="9350"/>
            </w:tabs>
            <w:rPr>
              <w:kern w:val="2"/>
              <w:sz w:val="24"/>
              <w:szCs w:val="24"/>
              <w14:ligatures w14:val="standardContextual"/>
            </w:rPr>
          </w:pPr>
          <w:r>
            <w:fldChar w:fldCharType="begin"/>
          </w:r>
          <w:r>
            <w:instrText xml:space="preserve"> HYPERLINK \l "_Toc203596170" </w:instrText>
          </w:r>
          <w:r>
            <w:fldChar w:fldCharType="separate"/>
          </w:r>
          <w:r>
            <w:rPr>
              <w:rStyle w:val="17"/>
              <w:bCs/>
            </w:rPr>
            <w:t>2.3 Role of Quantity Surveyors in Cost Estimation and Financial Planning</w:t>
          </w:r>
          <w:r>
            <w:tab/>
          </w:r>
          <w:r>
            <w:fldChar w:fldCharType="begin"/>
          </w:r>
          <w:r>
            <w:instrText xml:space="preserve"> PAGEREF _Toc203596170 \h </w:instrText>
          </w:r>
          <w:r>
            <w:fldChar w:fldCharType="separate"/>
          </w:r>
          <w:r>
            <w:t>18</w:t>
          </w:r>
          <w:r>
            <w:fldChar w:fldCharType="end"/>
          </w:r>
          <w:r>
            <w:fldChar w:fldCharType="end"/>
          </w:r>
        </w:p>
        <w:p w14:paraId="78C5A6E6">
          <w:pPr>
            <w:pStyle w:val="23"/>
            <w:tabs>
              <w:tab w:val="right" w:leader="dot" w:pos="9350"/>
            </w:tabs>
            <w:rPr>
              <w:kern w:val="2"/>
              <w:sz w:val="24"/>
              <w:szCs w:val="24"/>
              <w14:ligatures w14:val="standardContextual"/>
            </w:rPr>
          </w:pPr>
          <w:r>
            <w:fldChar w:fldCharType="begin"/>
          </w:r>
          <w:r>
            <w:instrText xml:space="preserve"> HYPERLINK \l "_Toc203596171" </w:instrText>
          </w:r>
          <w:r>
            <w:fldChar w:fldCharType="separate"/>
          </w:r>
          <w:r>
            <w:rPr>
              <w:rStyle w:val="17"/>
              <w:bCs/>
            </w:rPr>
            <w:t xml:space="preserve">2.4 </w:t>
          </w:r>
          <w:r>
            <w:rPr>
              <w:rStyle w:val="17"/>
            </w:rPr>
            <w:t>Cost Estimation Techniques Used by Quantity Surveyors in Agricultural Processing Plant Projects</w:t>
          </w:r>
          <w:r>
            <w:tab/>
          </w:r>
          <w:r>
            <w:fldChar w:fldCharType="begin"/>
          </w:r>
          <w:r>
            <w:instrText xml:space="preserve"> PAGEREF _Toc203596171 \h </w:instrText>
          </w:r>
          <w:r>
            <w:fldChar w:fldCharType="separate"/>
          </w:r>
          <w:r>
            <w:t>20</w:t>
          </w:r>
          <w:r>
            <w:fldChar w:fldCharType="end"/>
          </w:r>
          <w:r>
            <w:fldChar w:fldCharType="end"/>
          </w:r>
        </w:p>
        <w:p w14:paraId="51A0CC6D">
          <w:pPr>
            <w:pStyle w:val="24"/>
            <w:tabs>
              <w:tab w:val="right" w:leader="dot" w:pos="9350"/>
            </w:tabs>
            <w:rPr>
              <w:kern w:val="2"/>
              <w:sz w:val="24"/>
              <w:szCs w:val="24"/>
              <w14:ligatures w14:val="standardContextual"/>
            </w:rPr>
          </w:pPr>
          <w:r>
            <w:fldChar w:fldCharType="begin"/>
          </w:r>
          <w:r>
            <w:instrText xml:space="preserve"> HYPERLINK \l "_Toc203596172" </w:instrText>
          </w:r>
          <w:r>
            <w:fldChar w:fldCharType="separate"/>
          </w:r>
          <w:r>
            <w:rPr>
              <w:rStyle w:val="17"/>
            </w:rPr>
            <w:t>2.4.1 Value Engineering</w:t>
          </w:r>
          <w:r>
            <w:tab/>
          </w:r>
          <w:r>
            <w:fldChar w:fldCharType="begin"/>
          </w:r>
          <w:r>
            <w:instrText xml:space="preserve"> PAGEREF _Toc203596172 \h </w:instrText>
          </w:r>
          <w:r>
            <w:fldChar w:fldCharType="separate"/>
          </w:r>
          <w:r>
            <w:t>21</w:t>
          </w:r>
          <w:r>
            <w:fldChar w:fldCharType="end"/>
          </w:r>
          <w:r>
            <w:fldChar w:fldCharType="end"/>
          </w:r>
        </w:p>
        <w:p w14:paraId="20CF49A4">
          <w:pPr>
            <w:pStyle w:val="24"/>
            <w:tabs>
              <w:tab w:val="right" w:leader="dot" w:pos="9350"/>
            </w:tabs>
            <w:rPr>
              <w:kern w:val="2"/>
              <w:sz w:val="24"/>
              <w:szCs w:val="24"/>
              <w14:ligatures w14:val="standardContextual"/>
            </w:rPr>
          </w:pPr>
          <w:r>
            <w:fldChar w:fldCharType="begin"/>
          </w:r>
          <w:r>
            <w:instrText xml:space="preserve"> HYPERLINK \l "_Toc203596173" </w:instrText>
          </w:r>
          <w:r>
            <w:fldChar w:fldCharType="separate"/>
          </w:r>
          <w:r>
            <w:rPr>
              <w:rStyle w:val="17"/>
            </w:rPr>
            <w:t>2.4.2 Budget Monitoring</w:t>
          </w:r>
          <w:r>
            <w:tab/>
          </w:r>
          <w:r>
            <w:fldChar w:fldCharType="begin"/>
          </w:r>
          <w:r>
            <w:instrText xml:space="preserve"> PAGEREF _Toc203596173 \h </w:instrText>
          </w:r>
          <w:r>
            <w:fldChar w:fldCharType="separate"/>
          </w:r>
          <w:r>
            <w:t>22</w:t>
          </w:r>
          <w:r>
            <w:fldChar w:fldCharType="end"/>
          </w:r>
          <w:r>
            <w:fldChar w:fldCharType="end"/>
          </w:r>
        </w:p>
        <w:p w14:paraId="4B48DC76">
          <w:pPr>
            <w:pStyle w:val="24"/>
            <w:tabs>
              <w:tab w:val="right" w:leader="dot" w:pos="9350"/>
            </w:tabs>
            <w:rPr>
              <w:kern w:val="2"/>
              <w:sz w:val="24"/>
              <w:szCs w:val="24"/>
              <w14:ligatures w14:val="standardContextual"/>
            </w:rPr>
          </w:pPr>
          <w:r>
            <w:fldChar w:fldCharType="begin"/>
          </w:r>
          <w:r>
            <w:instrText xml:space="preserve"> HYPERLINK \l "_Toc203596174" </w:instrText>
          </w:r>
          <w:r>
            <w:fldChar w:fldCharType="separate"/>
          </w:r>
          <w:r>
            <w:rPr>
              <w:rStyle w:val="17"/>
            </w:rPr>
            <w:t>2.4.3 Cost-Benefit Analysis</w:t>
          </w:r>
          <w:r>
            <w:tab/>
          </w:r>
          <w:r>
            <w:fldChar w:fldCharType="begin"/>
          </w:r>
          <w:r>
            <w:instrText xml:space="preserve"> PAGEREF _Toc203596174 \h </w:instrText>
          </w:r>
          <w:r>
            <w:fldChar w:fldCharType="separate"/>
          </w:r>
          <w:r>
            <w:t>22</w:t>
          </w:r>
          <w:r>
            <w:fldChar w:fldCharType="end"/>
          </w:r>
          <w:r>
            <w:fldChar w:fldCharType="end"/>
          </w:r>
        </w:p>
        <w:p w14:paraId="453E8A6F">
          <w:pPr>
            <w:pStyle w:val="24"/>
            <w:tabs>
              <w:tab w:val="right" w:leader="dot" w:pos="9350"/>
            </w:tabs>
            <w:rPr>
              <w:kern w:val="2"/>
              <w:sz w:val="24"/>
              <w:szCs w:val="24"/>
              <w14:ligatures w14:val="standardContextual"/>
            </w:rPr>
          </w:pPr>
          <w:r>
            <w:fldChar w:fldCharType="begin"/>
          </w:r>
          <w:r>
            <w:instrText xml:space="preserve"> HYPERLINK \l "_Toc203596175" </w:instrText>
          </w:r>
          <w:r>
            <w:fldChar w:fldCharType="separate"/>
          </w:r>
          <w:r>
            <w:rPr>
              <w:rStyle w:val="17"/>
            </w:rPr>
            <w:t>2.4.4 Life Cycle Costing (LCC)</w:t>
          </w:r>
          <w:r>
            <w:tab/>
          </w:r>
          <w:r>
            <w:fldChar w:fldCharType="begin"/>
          </w:r>
          <w:r>
            <w:instrText xml:space="preserve"> PAGEREF _Toc203596175 \h </w:instrText>
          </w:r>
          <w:r>
            <w:fldChar w:fldCharType="separate"/>
          </w:r>
          <w:r>
            <w:t>22</w:t>
          </w:r>
          <w:r>
            <w:fldChar w:fldCharType="end"/>
          </w:r>
          <w:r>
            <w:fldChar w:fldCharType="end"/>
          </w:r>
        </w:p>
        <w:p w14:paraId="0B51AFED">
          <w:pPr>
            <w:pStyle w:val="24"/>
            <w:tabs>
              <w:tab w:val="right" w:leader="dot" w:pos="9350"/>
            </w:tabs>
            <w:rPr>
              <w:kern w:val="2"/>
              <w:sz w:val="24"/>
              <w:szCs w:val="24"/>
              <w14:ligatures w14:val="standardContextual"/>
            </w:rPr>
          </w:pPr>
          <w:r>
            <w:fldChar w:fldCharType="begin"/>
          </w:r>
          <w:r>
            <w:instrText xml:space="preserve"> HYPERLINK \l "_Toc203596176" </w:instrText>
          </w:r>
          <w:r>
            <w:fldChar w:fldCharType="separate"/>
          </w:r>
          <w:r>
            <w:rPr>
              <w:rStyle w:val="17"/>
            </w:rPr>
            <w:t>2.4.5 Earned Value Management (EVM)</w:t>
          </w:r>
          <w:r>
            <w:tab/>
          </w:r>
          <w:r>
            <w:fldChar w:fldCharType="begin"/>
          </w:r>
          <w:r>
            <w:instrText xml:space="preserve"> PAGEREF _Toc203596176 \h </w:instrText>
          </w:r>
          <w:r>
            <w:fldChar w:fldCharType="separate"/>
          </w:r>
          <w:r>
            <w:t>23</w:t>
          </w:r>
          <w:r>
            <w:fldChar w:fldCharType="end"/>
          </w:r>
          <w:r>
            <w:fldChar w:fldCharType="end"/>
          </w:r>
        </w:p>
        <w:p w14:paraId="57D6C447">
          <w:pPr>
            <w:pStyle w:val="24"/>
            <w:tabs>
              <w:tab w:val="right" w:leader="dot" w:pos="9350"/>
            </w:tabs>
            <w:rPr>
              <w:kern w:val="2"/>
              <w:sz w:val="24"/>
              <w:szCs w:val="24"/>
              <w14:ligatures w14:val="standardContextual"/>
            </w:rPr>
          </w:pPr>
          <w:r>
            <w:fldChar w:fldCharType="begin"/>
          </w:r>
          <w:r>
            <w:instrText xml:space="preserve"> HYPERLINK \l "_Toc203596177" </w:instrText>
          </w:r>
          <w:r>
            <w:fldChar w:fldCharType="separate"/>
          </w:r>
          <w:r>
            <w:rPr>
              <w:rStyle w:val="17"/>
            </w:rPr>
            <w:t>2.4.6 Risk Management in Cost Control</w:t>
          </w:r>
          <w:r>
            <w:tab/>
          </w:r>
          <w:r>
            <w:fldChar w:fldCharType="begin"/>
          </w:r>
          <w:r>
            <w:instrText xml:space="preserve"> PAGEREF _Toc203596177 \h </w:instrText>
          </w:r>
          <w:r>
            <w:fldChar w:fldCharType="separate"/>
          </w:r>
          <w:r>
            <w:t>23</w:t>
          </w:r>
          <w:r>
            <w:fldChar w:fldCharType="end"/>
          </w:r>
          <w:r>
            <w:fldChar w:fldCharType="end"/>
          </w:r>
        </w:p>
        <w:p w14:paraId="6534C5F0">
          <w:pPr>
            <w:pStyle w:val="23"/>
            <w:tabs>
              <w:tab w:val="right" w:leader="dot" w:pos="9350"/>
            </w:tabs>
            <w:rPr>
              <w:kern w:val="2"/>
              <w:sz w:val="24"/>
              <w:szCs w:val="24"/>
              <w14:ligatures w14:val="standardContextual"/>
            </w:rPr>
          </w:pPr>
          <w:r>
            <w:fldChar w:fldCharType="begin"/>
          </w:r>
          <w:r>
            <w:instrText xml:space="preserve"> HYPERLINK \l "_Toc203596178" </w:instrText>
          </w:r>
          <w:r>
            <w:fldChar w:fldCharType="separate"/>
          </w:r>
          <w:r>
            <w:rPr>
              <w:rStyle w:val="17"/>
              <w:bCs/>
            </w:rPr>
            <w:t xml:space="preserve">2.5 </w:t>
          </w:r>
          <w:r>
            <w:rPr>
              <w:rStyle w:val="17"/>
            </w:rPr>
            <w:t>Factors Limiting the Involvement of Quantity Surveyors in The Agricultural Sector.</w:t>
          </w:r>
          <w:r>
            <w:tab/>
          </w:r>
          <w:r>
            <w:fldChar w:fldCharType="begin"/>
          </w:r>
          <w:r>
            <w:instrText xml:space="preserve"> PAGEREF _Toc203596178 \h </w:instrText>
          </w:r>
          <w:r>
            <w:fldChar w:fldCharType="separate"/>
          </w:r>
          <w:r>
            <w:t>23</w:t>
          </w:r>
          <w:r>
            <w:fldChar w:fldCharType="end"/>
          </w:r>
          <w:r>
            <w:fldChar w:fldCharType="end"/>
          </w:r>
        </w:p>
        <w:p w14:paraId="349A627A">
          <w:pPr>
            <w:pStyle w:val="24"/>
            <w:tabs>
              <w:tab w:val="right" w:leader="dot" w:pos="9350"/>
            </w:tabs>
            <w:rPr>
              <w:kern w:val="2"/>
              <w:sz w:val="24"/>
              <w:szCs w:val="24"/>
              <w14:ligatures w14:val="standardContextual"/>
            </w:rPr>
          </w:pPr>
          <w:r>
            <w:fldChar w:fldCharType="begin"/>
          </w:r>
          <w:r>
            <w:instrText xml:space="preserve"> HYPERLINK \l "_Toc203596179" </w:instrText>
          </w:r>
          <w:r>
            <w:fldChar w:fldCharType="separate"/>
          </w:r>
          <w:r>
            <w:rPr>
              <w:rStyle w:val="17"/>
            </w:rPr>
            <w:t>2.5.1 Limited Awareness and Underutilization of QS Services</w:t>
          </w:r>
          <w:r>
            <w:tab/>
          </w:r>
          <w:r>
            <w:fldChar w:fldCharType="begin"/>
          </w:r>
          <w:r>
            <w:instrText xml:space="preserve"> PAGEREF _Toc203596179 \h </w:instrText>
          </w:r>
          <w:r>
            <w:fldChar w:fldCharType="separate"/>
          </w:r>
          <w:r>
            <w:t>24</w:t>
          </w:r>
          <w:r>
            <w:fldChar w:fldCharType="end"/>
          </w:r>
          <w:r>
            <w:fldChar w:fldCharType="end"/>
          </w:r>
        </w:p>
        <w:p w14:paraId="21C0B771">
          <w:pPr>
            <w:pStyle w:val="24"/>
            <w:tabs>
              <w:tab w:val="right" w:leader="dot" w:pos="9350"/>
            </w:tabs>
            <w:rPr>
              <w:kern w:val="2"/>
              <w:sz w:val="24"/>
              <w:szCs w:val="24"/>
              <w14:ligatures w14:val="standardContextual"/>
            </w:rPr>
          </w:pPr>
          <w:r>
            <w:fldChar w:fldCharType="begin"/>
          </w:r>
          <w:r>
            <w:instrText xml:space="preserve"> HYPERLINK \l "_Toc203596180" </w:instrText>
          </w:r>
          <w:r>
            <w:fldChar w:fldCharType="separate"/>
          </w:r>
          <w:r>
            <w:rPr>
              <w:rStyle w:val="17"/>
            </w:rPr>
            <w:t>2.5.2 Regulatory and Institutional Challenges</w:t>
          </w:r>
          <w:r>
            <w:tab/>
          </w:r>
          <w:r>
            <w:fldChar w:fldCharType="begin"/>
          </w:r>
          <w:r>
            <w:instrText xml:space="preserve"> PAGEREF _Toc203596180 \h </w:instrText>
          </w:r>
          <w:r>
            <w:fldChar w:fldCharType="separate"/>
          </w:r>
          <w:r>
            <w:t>24</w:t>
          </w:r>
          <w:r>
            <w:fldChar w:fldCharType="end"/>
          </w:r>
          <w:r>
            <w:fldChar w:fldCharType="end"/>
          </w:r>
        </w:p>
        <w:p w14:paraId="794A2AB6">
          <w:pPr>
            <w:pStyle w:val="24"/>
            <w:tabs>
              <w:tab w:val="right" w:leader="dot" w:pos="9350"/>
            </w:tabs>
            <w:rPr>
              <w:kern w:val="2"/>
              <w:sz w:val="24"/>
              <w:szCs w:val="24"/>
              <w14:ligatures w14:val="standardContextual"/>
            </w:rPr>
          </w:pPr>
          <w:r>
            <w:fldChar w:fldCharType="begin"/>
          </w:r>
          <w:r>
            <w:instrText xml:space="preserve"> HYPERLINK \l "_Toc203596181" </w:instrText>
          </w:r>
          <w:r>
            <w:fldChar w:fldCharType="separate"/>
          </w:r>
          <w:r>
            <w:rPr>
              <w:rStyle w:val="17"/>
            </w:rPr>
            <w:t>2.5.3 Lack of Reliable and Comprehensive Financial Data</w:t>
          </w:r>
          <w:r>
            <w:tab/>
          </w:r>
          <w:r>
            <w:fldChar w:fldCharType="begin"/>
          </w:r>
          <w:r>
            <w:instrText xml:space="preserve"> PAGEREF _Toc203596181 \h </w:instrText>
          </w:r>
          <w:r>
            <w:fldChar w:fldCharType="separate"/>
          </w:r>
          <w:r>
            <w:t>24</w:t>
          </w:r>
          <w:r>
            <w:fldChar w:fldCharType="end"/>
          </w:r>
          <w:r>
            <w:fldChar w:fldCharType="end"/>
          </w:r>
        </w:p>
        <w:p w14:paraId="2D557EF4">
          <w:pPr>
            <w:pStyle w:val="24"/>
            <w:tabs>
              <w:tab w:val="right" w:leader="dot" w:pos="9350"/>
            </w:tabs>
            <w:rPr>
              <w:kern w:val="2"/>
              <w:sz w:val="24"/>
              <w:szCs w:val="24"/>
              <w14:ligatures w14:val="standardContextual"/>
            </w:rPr>
          </w:pPr>
          <w:r>
            <w:fldChar w:fldCharType="begin"/>
          </w:r>
          <w:r>
            <w:instrText xml:space="preserve"> HYPERLINK \l "_Toc203596182" </w:instrText>
          </w:r>
          <w:r>
            <w:fldChar w:fldCharType="separate"/>
          </w:r>
          <w:r>
            <w:rPr>
              <w:rStyle w:val="17"/>
            </w:rPr>
            <w:t>2.5.4 Absence of Interdisciplinary Collaboration</w:t>
          </w:r>
          <w:r>
            <w:tab/>
          </w:r>
          <w:r>
            <w:fldChar w:fldCharType="begin"/>
          </w:r>
          <w:r>
            <w:instrText xml:space="preserve"> PAGEREF _Toc203596182 \h </w:instrText>
          </w:r>
          <w:r>
            <w:fldChar w:fldCharType="separate"/>
          </w:r>
          <w:r>
            <w:t>25</w:t>
          </w:r>
          <w:r>
            <w:fldChar w:fldCharType="end"/>
          </w:r>
          <w:r>
            <w:fldChar w:fldCharType="end"/>
          </w:r>
        </w:p>
        <w:p w14:paraId="43F433C7">
          <w:pPr>
            <w:pStyle w:val="24"/>
            <w:tabs>
              <w:tab w:val="right" w:leader="dot" w:pos="9350"/>
            </w:tabs>
            <w:rPr>
              <w:kern w:val="2"/>
              <w:sz w:val="24"/>
              <w:szCs w:val="24"/>
              <w14:ligatures w14:val="standardContextual"/>
            </w:rPr>
          </w:pPr>
          <w:r>
            <w:fldChar w:fldCharType="begin"/>
          </w:r>
          <w:r>
            <w:instrText xml:space="preserve"> HYPERLINK \l "_Toc203596183" </w:instrText>
          </w:r>
          <w:r>
            <w:fldChar w:fldCharType="separate"/>
          </w:r>
          <w:r>
            <w:rPr>
              <w:rStyle w:val="17"/>
            </w:rPr>
            <w:t>2.5.5 Limited Access to Sector-Specific Training and Professional Development</w:t>
          </w:r>
          <w:r>
            <w:tab/>
          </w:r>
          <w:r>
            <w:fldChar w:fldCharType="begin"/>
          </w:r>
          <w:r>
            <w:instrText xml:space="preserve"> PAGEREF _Toc203596183 \h </w:instrText>
          </w:r>
          <w:r>
            <w:fldChar w:fldCharType="separate"/>
          </w:r>
          <w:r>
            <w:t>25</w:t>
          </w:r>
          <w:r>
            <w:fldChar w:fldCharType="end"/>
          </w:r>
          <w:r>
            <w:fldChar w:fldCharType="end"/>
          </w:r>
        </w:p>
        <w:p w14:paraId="0A732AAB">
          <w:pPr>
            <w:pStyle w:val="24"/>
            <w:tabs>
              <w:tab w:val="right" w:leader="dot" w:pos="9350"/>
            </w:tabs>
            <w:rPr>
              <w:kern w:val="2"/>
              <w:sz w:val="24"/>
              <w:szCs w:val="24"/>
              <w14:ligatures w14:val="standardContextual"/>
            </w:rPr>
          </w:pPr>
          <w:r>
            <w:fldChar w:fldCharType="begin"/>
          </w:r>
          <w:r>
            <w:instrText xml:space="preserve"> HYPERLINK \l "_Toc203596184" </w:instrText>
          </w:r>
          <w:r>
            <w:fldChar w:fldCharType="separate"/>
          </w:r>
          <w:r>
            <w:rPr>
              <w:rStyle w:val="17"/>
            </w:rPr>
            <w:t>2.5.6 Technological and Data Management Limitations</w:t>
          </w:r>
          <w:r>
            <w:tab/>
          </w:r>
          <w:r>
            <w:fldChar w:fldCharType="begin"/>
          </w:r>
          <w:r>
            <w:instrText xml:space="preserve"> PAGEREF _Toc203596184 \h </w:instrText>
          </w:r>
          <w:r>
            <w:fldChar w:fldCharType="separate"/>
          </w:r>
          <w:r>
            <w:t>25</w:t>
          </w:r>
          <w:r>
            <w:fldChar w:fldCharType="end"/>
          </w:r>
          <w:r>
            <w:fldChar w:fldCharType="end"/>
          </w:r>
        </w:p>
        <w:p w14:paraId="7F389FA2">
          <w:pPr>
            <w:pStyle w:val="23"/>
            <w:tabs>
              <w:tab w:val="right" w:leader="dot" w:pos="9350"/>
            </w:tabs>
            <w:rPr>
              <w:kern w:val="2"/>
              <w:sz w:val="24"/>
              <w:szCs w:val="24"/>
              <w14:ligatures w14:val="standardContextual"/>
            </w:rPr>
          </w:pPr>
          <w:r>
            <w:fldChar w:fldCharType="begin"/>
          </w:r>
          <w:r>
            <w:instrText xml:space="preserve"> HYPERLINK \l "_Toc203596185" </w:instrText>
          </w:r>
          <w:r>
            <w:fldChar w:fldCharType="separate"/>
          </w:r>
          <w:r>
            <w:rPr>
              <w:rStyle w:val="17"/>
              <w:bCs/>
            </w:rPr>
            <w:t xml:space="preserve">2.6 </w:t>
          </w:r>
          <w:r>
            <w:rPr>
              <w:rStyle w:val="17"/>
            </w:rPr>
            <w:t>Financial Challenges Faced in The Development and Operation of Agricultural Processing Plants.</w:t>
          </w:r>
          <w:r>
            <w:tab/>
          </w:r>
          <w:r>
            <w:fldChar w:fldCharType="begin"/>
          </w:r>
          <w:r>
            <w:instrText xml:space="preserve"> PAGEREF _Toc203596185 \h </w:instrText>
          </w:r>
          <w:r>
            <w:fldChar w:fldCharType="separate"/>
          </w:r>
          <w:r>
            <w:t>26</w:t>
          </w:r>
          <w:r>
            <w:fldChar w:fldCharType="end"/>
          </w:r>
          <w:r>
            <w:fldChar w:fldCharType="end"/>
          </w:r>
        </w:p>
        <w:p w14:paraId="3A510EED">
          <w:pPr>
            <w:pStyle w:val="24"/>
            <w:tabs>
              <w:tab w:val="right" w:leader="dot" w:pos="9350"/>
            </w:tabs>
            <w:rPr>
              <w:kern w:val="2"/>
              <w:sz w:val="24"/>
              <w:szCs w:val="24"/>
              <w14:ligatures w14:val="standardContextual"/>
            </w:rPr>
          </w:pPr>
          <w:r>
            <w:fldChar w:fldCharType="begin"/>
          </w:r>
          <w:r>
            <w:instrText xml:space="preserve"> HYPERLINK \l "_Toc203596186" </w:instrText>
          </w:r>
          <w:r>
            <w:fldChar w:fldCharType="separate"/>
          </w:r>
          <w:r>
            <w:rPr>
              <w:rStyle w:val="17"/>
            </w:rPr>
            <w:t>2.6.1 Feasibility Analysis of Agro-Industrial Investments</w:t>
          </w:r>
          <w:r>
            <w:tab/>
          </w:r>
          <w:r>
            <w:fldChar w:fldCharType="begin"/>
          </w:r>
          <w:r>
            <w:instrText xml:space="preserve"> PAGEREF _Toc203596186 \h </w:instrText>
          </w:r>
          <w:r>
            <w:fldChar w:fldCharType="separate"/>
          </w:r>
          <w:r>
            <w:t>26</w:t>
          </w:r>
          <w:r>
            <w:fldChar w:fldCharType="end"/>
          </w:r>
          <w:r>
            <w:fldChar w:fldCharType="end"/>
          </w:r>
        </w:p>
        <w:p w14:paraId="52B6645A">
          <w:pPr>
            <w:pStyle w:val="24"/>
            <w:tabs>
              <w:tab w:val="right" w:leader="dot" w:pos="9350"/>
            </w:tabs>
            <w:rPr>
              <w:kern w:val="2"/>
              <w:sz w:val="24"/>
              <w:szCs w:val="24"/>
              <w14:ligatures w14:val="standardContextual"/>
            </w:rPr>
          </w:pPr>
          <w:r>
            <w:fldChar w:fldCharType="begin"/>
          </w:r>
          <w:r>
            <w:instrText xml:space="preserve"> HYPERLINK \l "_Toc203596187" </w:instrText>
          </w:r>
          <w:r>
            <w:fldChar w:fldCharType="separate"/>
          </w:r>
          <w:r>
            <w:rPr>
              <w:rStyle w:val="17"/>
            </w:rPr>
            <w:t>2.6.2 Increasing Demand for Food Security and Agro-Export Competitiveness</w:t>
          </w:r>
          <w:r>
            <w:tab/>
          </w:r>
          <w:r>
            <w:fldChar w:fldCharType="begin"/>
          </w:r>
          <w:r>
            <w:instrText xml:space="preserve"> PAGEREF _Toc203596187 \h </w:instrText>
          </w:r>
          <w:r>
            <w:fldChar w:fldCharType="separate"/>
          </w:r>
          <w:r>
            <w:t>26</w:t>
          </w:r>
          <w:r>
            <w:fldChar w:fldCharType="end"/>
          </w:r>
          <w:r>
            <w:fldChar w:fldCharType="end"/>
          </w:r>
        </w:p>
        <w:p w14:paraId="3A34AAC3">
          <w:pPr>
            <w:pStyle w:val="24"/>
            <w:tabs>
              <w:tab w:val="right" w:leader="dot" w:pos="9350"/>
            </w:tabs>
            <w:rPr>
              <w:kern w:val="2"/>
              <w:sz w:val="24"/>
              <w:szCs w:val="24"/>
              <w14:ligatures w14:val="standardContextual"/>
            </w:rPr>
          </w:pPr>
          <w:r>
            <w:fldChar w:fldCharType="begin"/>
          </w:r>
          <w:r>
            <w:instrText xml:space="preserve"> HYPERLINK \l "_Toc203596188" </w:instrText>
          </w:r>
          <w:r>
            <w:fldChar w:fldCharType="separate"/>
          </w:r>
          <w:r>
            <w:rPr>
              <w:rStyle w:val="17"/>
            </w:rPr>
            <w:t>2.6.3 Consideration in economic viability assessments</w:t>
          </w:r>
          <w:r>
            <w:tab/>
          </w:r>
          <w:r>
            <w:fldChar w:fldCharType="begin"/>
          </w:r>
          <w:r>
            <w:instrText xml:space="preserve"> PAGEREF _Toc203596188 \h </w:instrText>
          </w:r>
          <w:r>
            <w:fldChar w:fldCharType="separate"/>
          </w:r>
          <w:r>
            <w:t>26</w:t>
          </w:r>
          <w:r>
            <w:fldChar w:fldCharType="end"/>
          </w:r>
          <w:r>
            <w:fldChar w:fldCharType="end"/>
          </w:r>
        </w:p>
        <w:p w14:paraId="1187BB0E">
          <w:pPr>
            <w:pStyle w:val="24"/>
            <w:tabs>
              <w:tab w:val="right" w:leader="dot" w:pos="9350"/>
            </w:tabs>
            <w:rPr>
              <w:kern w:val="2"/>
              <w:sz w:val="24"/>
              <w:szCs w:val="24"/>
              <w14:ligatures w14:val="standardContextual"/>
            </w:rPr>
          </w:pPr>
          <w:r>
            <w:fldChar w:fldCharType="begin"/>
          </w:r>
          <w:r>
            <w:instrText xml:space="preserve"> HYPERLINK \l "_Toc203596189" </w:instrText>
          </w:r>
          <w:r>
            <w:fldChar w:fldCharType="separate"/>
          </w:r>
          <w:r>
            <w:rPr>
              <w:rStyle w:val="17"/>
            </w:rPr>
            <w:t>2.6.4 Limited Access to Finance</w:t>
          </w:r>
          <w:r>
            <w:tab/>
          </w:r>
          <w:r>
            <w:fldChar w:fldCharType="begin"/>
          </w:r>
          <w:r>
            <w:instrText xml:space="preserve"> PAGEREF _Toc203596189 \h </w:instrText>
          </w:r>
          <w:r>
            <w:fldChar w:fldCharType="separate"/>
          </w:r>
          <w:r>
            <w:t>27</w:t>
          </w:r>
          <w:r>
            <w:fldChar w:fldCharType="end"/>
          </w:r>
          <w:r>
            <w:fldChar w:fldCharType="end"/>
          </w:r>
        </w:p>
        <w:p w14:paraId="1F1FD51D">
          <w:pPr>
            <w:pStyle w:val="24"/>
            <w:tabs>
              <w:tab w:val="right" w:leader="dot" w:pos="9350"/>
            </w:tabs>
            <w:rPr>
              <w:kern w:val="2"/>
              <w:sz w:val="24"/>
              <w:szCs w:val="24"/>
              <w14:ligatures w14:val="standardContextual"/>
            </w:rPr>
          </w:pPr>
          <w:r>
            <w:fldChar w:fldCharType="begin"/>
          </w:r>
          <w:r>
            <w:instrText xml:space="preserve"> HYPERLINK \l "_Toc203596190" </w:instrText>
          </w:r>
          <w:r>
            <w:fldChar w:fldCharType="separate"/>
          </w:r>
          <w:r>
            <w:rPr>
              <w:rStyle w:val="17"/>
            </w:rPr>
            <w:t>2.6.5 Infrastructure &amp; Power Deficits</w:t>
          </w:r>
          <w:r>
            <w:tab/>
          </w:r>
          <w:r>
            <w:fldChar w:fldCharType="begin"/>
          </w:r>
          <w:r>
            <w:instrText xml:space="preserve"> PAGEREF _Toc203596190 \h </w:instrText>
          </w:r>
          <w:r>
            <w:fldChar w:fldCharType="separate"/>
          </w:r>
          <w:r>
            <w:t>27</w:t>
          </w:r>
          <w:r>
            <w:fldChar w:fldCharType="end"/>
          </w:r>
          <w:r>
            <w:fldChar w:fldCharType="end"/>
          </w:r>
        </w:p>
        <w:p w14:paraId="233F88E3">
          <w:pPr>
            <w:pStyle w:val="24"/>
            <w:tabs>
              <w:tab w:val="right" w:leader="dot" w:pos="9350"/>
            </w:tabs>
            <w:rPr>
              <w:kern w:val="2"/>
              <w:sz w:val="24"/>
              <w:szCs w:val="24"/>
              <w14:ligatures w14:val="standardContextual"/>
            </w:rPr>
          </w:pPr>
          <w:r>
            <w:fldChar w:fldCharType="begin"/>
          </w:r>
          <w:r>
            <w:instrText xml:space="preserve"> HYPERLINK \l "_Toc203596191" </w:instrText>
          </w:r>
          <w:r>
            <w:fldChar w:fldCharType="separate"/>
          </w:r>
          <w:r>
            <w:rPr>
              <w:rStyle w:val="17"/>
            </w:rPr>
            <w:t>2.6.6 High Equipment &amp; CAPEX Costs</w:t>
          </w:r>
          <w:r>
            <w:tab/>
          </w:r>
          <w:r>
            <w:fldChar w:fldCharType="begin"/>
          </w:r>
          <w:r>
            <w:instrText xml:space="preserve"> PAGEREF _Toc203596191 \h </w:instrText>
          </w:r>
          <w:r>
            <w:fldChar w:fldCharType="separate"/>
          </w:r>
          <w:r>
            <w:t>28</w:t>
          </w:r>
          <w:r>
            <w:fldChar w:fldCharType="end"/>
          </w:r>
          <w:r>
            <w:fldChar w:fldCharType="end"/>
          </w:r>
        </w:p>
        <w:p w14:paraId="57732DA7">
          <w:pPr>
            <w:pStyle w:val="24"/>
            <w:tabs>
              <w:tab w:val="right" w:leader="dot" w:pos="9350"/>
            </w:tabs>
            <w:rPr>
              <w:kern w:val="2"/>
              <w:sz w:val="24"/>
              <w:szCs w:val="24"/>
              <w14:ligatures w14:val="standardContextual"/>
            </w:rPr>
          </w:pPr>
          <w:r>
            <w:fldChar w:fldCharType="begin"/>
          </w:r>
          <w:r>
            <w:instrText xml:space="preserve"> HYPERLINK \l "_Toc203596192" </w:instrText>
          </w:r>
          <w:r>
            <w:fldChar w:fldCharType="separate"/>
          </w:r>
          <w:r>
            <w:rPr>
              <w:rStyle w:val="17"/>
            </w:rPr>
            <w:t>2.6.7 Regulatory &amp; Bureaucratic Risks</w:t>
          </w:r>
          <w:r>
            <w:tab/>
          </w:r>
          <w:r>
            <w:fldChar w:fldCharType="begin"/>
          </w:r>
          <w:r>
            <w:instrText xml:space="preserve"> PAGEREF _Toc203596192 \h </w:instrText>
          </w:r>
          <w:r>
            <w:fldChar w:fldCharType="separate"/>
          </w:r>
          <w:r>
            <w:t>28</w:t>
          </w:r>
          <w:r>
            <w:fldChar w:fldCharType="end"/>
          </w:r>
          <w:r>
            <w:fldChar w:fldCharType="end"/>
          </w:r>
        </w:p>
        <w:p w14:paraId="78AB3A8E">
          <w:pPr>
            <w:pStyle w:val="24"/>
            <w:tabs>
              <w:tab w:val="right" w:leader="dot" w:pos="9350"/>
            </w:tabs>
            <w:rPr>
              <w:kern w:val="2"/>
              <w:sz w:val="24"/>
              <w:szCs w:val="24"/>
              <w14:ligatures w14:val="standardContextual"/>
            </w:rPr>
          </w:pPr>
          <w:r>
            <w:fldChar w:fldCharType="begin"/>
          </w:r>
          <w:r>
            <w:instrText xml:space="preserve"> HYPERLINK \l "_Toc203596193" </w:instrText>
          </w:r>
          <w:r>
            <w:fldChar w:fldCharType="separate"/>
          </w:r>
          <w:r>
            <w:rPr>
              <w:rStyle w:val="17"/>
            </w:rPr>
            <w:t>2.6.8 Market Volatility &amp; Post-harvest Losses</w:t>
          </w:r>
          <w:r>
            <w:tab/>
          </w:r>
          <w:r>
            <w:fldChar w:fldCharType="begin"/>
          </w:r>
          <w:r>
            <w:instrText xml:space="preserve"> PAGEREF _Toc203596193 \h </w:instrText>
          </w:r>
          <w:r>
            <w:fldChar w:fldCharType="separate"/>
          </w:r>
          <w:r>
            <w:t>28</w:t>
          </w:r>
          <w:r>
            <w:fldChar w:fldCharType="end"/>
          </w:r>
          <w:r>
            <w:fldChar w:fldCharType="end"/>
          </w:r>
        </w:p>
        <w:p w14:paraId="5BF24016">
          <w:pPr>
            <w:pStyle w:val="24"/>
            <w:tabs>
              <w:tab w:val="right" w:leader="dot" w:pos="9350"/>
            </w:tabs>
            <w:rPr>
              <w:kern w:val="2"/>
              <w:sz w:val="24"/>
              <w:szCs w:val="24"/>
              <w14:ligatures w14:val="standardContextual"/>
            </w:rPr>
          </w:pPr>
          <w:r>
            <w:fldChar w:fldCharType="begin"/>
          </w:r>
          <w:r>
            <w:instrText xml:space="preserve"> HYPERLINK \l "_Toc203596194" </w:instrText>
          </w:r>
          <w:r>
            <w:fldChar w:fldCharType="separate"/>
          </w:r>
          <w:r>
            <w:rPr>
              <w:rStyle w:val="17"/>
            </w:rPr>
            <w:t>2.6.9 Working Capital &amp; Financial Resilience</w:t>
          </w:r>
          <w:r>
            <w:tab/>
          </w:r>
          <w:r>
            <w:fldChar w:fldCharType="begin"/>
          </w:r>
          <w:r>
            <w:instrText xml:space="preserve"> PAGEREF _Toc203596194 \h </w:instrText>
          </w:r>
          <w:r>
            <w:fldChar w:fldCharType="separate"/>
          </w:r>
          <w:r>
            <w:t>28</w:t>
          </w:r>
          <w:r>
            <w:fldChar w:fldCharType="end"/>
          </w:r>
          <w:r>
            <w:fldChar w:fldCharType="end"/>
          </w:r>
        </w:p>
        <w:p w14:paraId="77917869">
          <w:pPr>
            <w:pStyle w:val="24"/>
            <w:tabs>
              <w:tab w:val="right" w:leader="dot" w:pos="9350"/>
            </w:tabs>
            <w:rPr>
              <w:kern w:val="2"/>
              <w:sz w:val="24"/>
              <w:szCs w:val="24"/>
              <w14:ligatures w14:val="standardContextual"/>
            </w:rPr>
          </w:pPr>
          <w:r>
            <w:fldChar w:fldCharType="begin"/>
          </w:r>
          <w:r>
            <w:instrText xml:space="preserve"> HYPERLINK \l "_Toc203596195" </w:instrText>
          </w:r>
          <w:r>
            <w:fldChar w:fldCharType="separate"/>
          </w:r>
          <w:r>
            <w:rPr>
              <w:rStyle w:val="17"/>
            </w:rPr>
            <w:t>2.6.10 Skills &amp; Organizational Capacity</w:t>
          </w:r>
          <w:r>
            <w:tab/>
          </w:r>
          <w:r>
            <w:fldChar w:fldCharType="begin"/>
          </w:r>
          <w:r>
            <w:instrText xml:space="preserve"> PAGEREF _Toc203596195 \h </w:instrText>
          </w:r>
          <w:r>
            <w:fldChar w:fldCharType="separate"/>
          </w:r>
          <w:r>
            <w:t>28</w:t>
          </w:r>
          <w:r>
            <w:fldChar w:fldCharType="end"/>
          </w:r>
          <w:r>
            <w:fldChar w:fldCharType="end"/>
          </w:r>
        </w:p>
        <w:p w14:paraId="22C54DFB">
          <w:pPr>
            <w:pStyle w:val="23"/>
            <w:tabs>
              <w:tab w:val="left" w:pos="720"/>
              <w:tab w:val="right" w:leader="dot" w:pos="9350"/>
            </w:tabs>
            <w:rPr>
              <w:kern w:val="2"/>
              <w:sz w:val="24"/>
              <w:szCs w:val="24"/>
              <w14:ligatures w14:val="standardContextual"/>
            </w:rPr>
          </w:pPr>
          <w:r>
            <w:fldChar w:fldCharType="begin"/>
          </w:r>
          <w:r>
            <w:instrText xml:space="preserve"> HYPERLINK \l "_Toc203596196" </w:instrText>
          </w:r>
          <w:r>
            <w:fldChar w:fldCharType="separate"/>
          </w:r>
          <w:r>
            <w:rPr>
              <w:rStyle w:val="17"/>
            </w:rPr>
            <w:t>2.8</w:t>
          </w:r>
          <w:r>
            <w:rPr>
              <w:kern w:val="2"/>
              <w:sz w:val="24"/>
              <w:szCs w:val="24"/>
              <w14:ligatures w14:val="standardContextual"/>
            </w:rPr>
            <w:tab/>
          </w:r>
          <w:r>
            <w:rPr>
              <w:rStyle w:val="17"/>
            </w:rPr>
            <w:t>Role of Quantity surveyors’ in assessing the economic viability of agro-processing projects.</w:t>
          </w:r>
          <w:r>
            <w:tab/>
          </w:r>
          <w:r>
            <w:fldChar w:fldCharType="begin"/>
          </w:r>
          <w:r>
            <w:instrText xml:space="preserve"> PAGEREF _Toc203596196 \h </w:instrText>
          </w:r>
          <w:r>
            <w:fldChar w:fldCharType="separate"/>
          </w:r>
          <w:r>
            <w:t>29</w:t>
          </w:r>
          <w:r>
            <w:fldChar w:fldCharType="end"/>
          </w:r>
          <w:r>
            <w:fldChar w:fldCharType="end"/>
          </w:r>
        </w:p>
        <w:p w14:paraId="064D5726">
          <w:pPr>
            <w:pStyle w:val="24"/>
            <w:tabs>
              <w:tab w:val="right" w:leader="dot" w:pos="9350"/>
            </w:tabs>
            <w:rPr>
              <w:kern w:val="2"/>
              <w:sz w:val="24"/>
              <w:szCs w:val="24"/>
              <w14:ligatures w14:val="standardContextual"/>
            </w:rPr>
          </w:pPr>
          <w:r>
            <w:fldChar w:fldCharType="begin"/>
          </w:r>
          <w:r>
            <w:instrText xml:space="preserve"> HYPERLINK \l "_Toc203596197" </w:instrText>
          </w:r>
          <w:r>
            <w:fldChar w:fldCharType="separate"/>
          </w:r>
          <w:r>
            <w:rPr>
              <w:rStyle w:val="17"/>
            </w:rPr>
            <w:t>2.8.1 Feasibility &amp; Viability Analysis</w:t>
          </w:r>
          <w:r>
            <w:tab/>
          </w:r>
          <w:r>
            <w:fldChar w:fldCharType="begin"/>
          </w:r>
          <w:r>
            <w:instrText xml:space="preserve"> PAGEREF _Toc203596197 \h </w:instrText>
          </w:r>
          <w:r>
            <w:fldChar w:fldCharType="separate"/>
          </w:r>
          <w:r>
            <w:t>29</w:t>
          </w:r>
          <w:r>
            <w:fldChar w:fldCharType="end"/>
          </w:r>
          <w:r>
            <w:fldChar w:fldCharType="end"/>
          </w:r>
        </w:p>
        <w:p w14:paraId="601512C9">
          <w:pPr>
            <w:pStyle w:val="24"/>
            <w:tabs>
              <w:tab w:val="right" w:leader="dot" w:pos="9350"/>
            </w:tabs>
            <w:rPr>
              <w:kern w:val="2"/>
              <w:sz w:val="24"/>
              <w:szCs w:val="24"/>
              <w14:ligatures w14:val="standardContextual"/>
            </w:rPr>
          </w:pPr>
          <w:r>
            <w:fldChar w:fldCharType="begin"/>
          </w:r>
          <w:r>
            <w:instrText xml:space="preserve"> HYPERLINK \l "_Toc203596198" </w:instrText>
          </w:r>
          <w:r>
            <w:fldChar w:fldCharType="separate"/>
          </w:r>
          <w:r>
            <w:rPr>
              <w:rStyle w:val="17"/>
            </w:rPr>
            <w:t>2.8.2. Cost Estimation, Budgeting &amp; Life-Cycle Costing</w:t>
          </w:r>
          <w:r>
            <w:tab/>
          </w:r>
          <w:r>
            <w:fldChar w:fldCharType="begin"/>
          </w:r>
          <w:r>
            <w:instrText xml:space="preserve"> PAGEREF _Toc203596198 \h </w:instrText>
          </w:r>
          <w:r>
            <w:fldChar w:fldCharType="separate"/>
          </w:r>
          <w:r>
            <w:t>30</w:t>
          </w:r>
          <w:r>
            <w:fldChar w:fldCharType="end"/>
          </w:r>
          <w:r>
            <w:fldChar w:fldCharType="end"/>
          </w:r>
        </w:p>
        <w:p w14:paraId="237E9BE3">
          <w:pPr>
            <w:pStyle w:val="24"/>
            <w:tabs>
              <w:tab w:val="right" w:leader="dot" w:pos="9350"/>
            </w:tabs>
            <w:rPr>
              <w:kern w:val="2"/>
              <w:sz w:val="24"/>
              <w:szCs w:val="24"/>
              <w14:ligatures w14:val="standardContextual"/>
            </w:rPr>
          </w:pPr>
          <w:r>
            <w:fldChar w:fldCharType="begin"/>
          </w:r>
          <w:r>
            <w:instrText xml:space="preserve"> HYPERLINK \l "_Toc203596199" </w:instrText>
          </w:r>
          <w:r>
            <w:fldChar w:fldCharType="separate"/>
          </w:r>
          <w:r>
            <w:rPr>
              <w:rStyle w:val="17"/>
            </w:rPr>
            <w:t>2.8.3. Value Management &amp; Alternative Options</w:t>
          </w:r>
          <w:r>
            <w:tab/>
          </w:r>
          <w:r>
            <w:fldChar w:fldCharType="begin"/>
          </w:r>
          <w:r>
            <w:instrText xml:space="preserve"> PAGEREF _Toc203596199 \h </w:instrText>
          </w:r>
          <w:r>
            <w:fldChar w:fldCharType="separate"/>
          </w:r>
          <w:r>
            <w:t>31</w:t>
          </w:r>
          <w:r>
            <w:fldChar w:fldCharType="end"/>
          </w:r>
          <w:r>
            <w:fldChar w:fldCharType="end"/>
          </w:r>
        </w:p>
        <w:p w14:paraId="4B2F1866">
          <w:pPr>
            <w:pStyle w:val="23"/>
            <w:tabs>
              <w:tab w:val="left" w:pos="960"/>
              <w:tab w:val="right" w:leader="dot" w:pos="9350"/>
            </w:tabs>
            <w:rPr>
              <w:kern w:val="2"/>
              <w:sz w:val="24"/>
              <w:szCs w:val="24"/>
              <w14:ligatures w14:val="standardContextual"/>
            </w:rPr>
          </w:pPr>
          <w:r>
            <w:fldChar w:fldCharType="begin"/>
          </w:r>
          <w:r>
            <w:instrText xml:space="preserve"> HYPERLINK \l "_Toc203596200" </w:instrText>
          </w:r>
          <w:r>
            <w:fldChar w:fldCharType="separate"/>
          </w:r>
          <w:r>
            <w:rPr>
              <w:rStyle w:val="17"/>
            </w:rPr>
            <w:t>2.8.4</w:t>
          </w:r>
          <w:r>
            <w:rPr>
              <w:kern w:val="2"/>
              <w:sz w:val="24"/>
              <w:szCs w:val="24"/>
              <w14:ligatures w14:val="standardContextual"/>
            </w:rPr>
            <w:tab/>
          </w:r>
          <w:r>
            <w:rPr>
              <w:rStyle w:val="17"/>
            </w:rPr>
            <w:t>Risk Identification and Contingency Planning</w:t>
          </w:r>
          <w:r>
            <w:tab/>
          </w:r>
          <w:r>
            <w:fldChar w:fldCharType="begin"/>
          </w:r>
          <w:r>
            <w:instrText xml:space="preserve"> PAGEREF _Toc203596200 \h </w:instrText>
          </w:r>
          <w:r>
            <w:fldChar w:fldCharType="separate"/>
          </w:r>
          <w:r>
            <w:t>32</w:t>
          </w:r>
          <w:r>
            <w:fldChar w:fldCharType="end"/>
          </w:r>
          <w:r>
            <w:fldChar w:fldCharType="end"/>
          </w:r>
        </w:p>
        <w:p w14:paraId="68C7DF16">
          <w:pPr>
            <w:pStyle w:val="24"/>
            <w:tabs>
              <w:tab w:val="right" w:leader="dot" w:pos="9350"/>
            </w:tabs>
            <w:rPr>
              <w:kern w:val="2"/>
              <w:sz w:val="24"/>
              <w:szCs w:val="24"/>
              <w14:ligatures w14:val="standardContextual"/>
            </w:rPr>
          </w:pPr>
          <w:r>
            <w:fldChar w:fldCharType="begin"/>
          </w:r>
          <w:r>
            <w:instrText xml:space="preserve"> HYPERLINK \l "_Toc203596201" </w:instrText>
          </w:r>
          <w:r>
            <w:fldChar w:fldCharType="separate"/>
          </w:r>
          <w:r>
            <w:rPr>
              <w:rStyle w:val="17"/>
            </w:rPr>
            <w:t>2.8.5. Tendering, Procurement &amp; Contract Strategy</w:t>
          </w:r>
          <w:r>
            <w:tab/>
          </w:r>
          <w:r>
            <w:fldChar w:fldCharType="begin"/>
          </w:r>
          <w:r>
            <w:instrText xml:space="preserve"> PAGEREF _Toc203596201 \h </w:instrText>
          </w:r>
          <w:r>
            <w:fldChar w:fldCharType="separate"/>
          </w:r>
          <w:r>
            <w:t>34</w:t>
          </w:r>
          <w:r>
            <w:fldChar w:fldCharType="end"/>
          </w:r>
          <w:r>
            <w:fldChar w:fldCharType="end"/>
          </w:r>
        </w:p>
        <w:p w14:paraId="56C64D9F">
          <w:pPr>
            <w:pStyle w:val="24"/>
            <w:tabs>
              <w:tab w:val="right" w:leader="dot" w:pos="9350"/>
            </w:tabs>
            <w:rPr>
              <w:kern w:val="2"/>
              <w:sz w:val="24"/>
              <w:szCs w:val="24"/>
              <w14:ligatures w14:val="standardContextual"/>
            </w:rPr>
          </w:pPr>
          <w:r>
            <w:fldChar w:fldCharType="begin"/>
          </w:r>
          <w:r>
            <w:instrText xml:space="preserve"> HYPERLINK \l "_Toc203596202" </w:instrText>
          </w:r>
          <w:r>
            <w:fldChar w:fldCharType="separate"/>
          </w:r>
          <w:r>
            <w:rPr>
              <w:rStyle w:val="17"/>
            </w:rPr>
            <w:t>2.8.6. Financial Viability Modeling &amp; Cash Flow Sensitivity</w:t>
          </w:r>
          <w:r>
            <w:tab/>
          </w:r>
          <w:r>
            <w:fldChar w:fldCharType="begin"/>
          </w:r>
          <w:r>
            <w:instrText xml:space="preserve"> PAGEREF _Toc203596202 \h </w:instrText>
          </w:r>
          <w:r>
            <w:fldChar w:fldCharType="separate"/>
          </w:r>
          <w:r>
            <w:t>35</w:t>
          </w:r>
          <w:r>
            <w:fldChar w:fldCharType="end"/>
          </w:r>
          <w:r>
            <w:fldChar w:fldCharType="end"/>
          </w:r>
        </w:p>
        <w:p w14:paraId="109CA58E">
          <w:pPr>
            <w:pStyle w:val="24"/>
            <w:tabs>
              <w:tab w:val="right" w:leader="dot" w:pos="9350"/>
            </w:tabs>
            <w:rPr>
              <w:kern w:val="2"/>
              <w:sz w:val="24"/>
              <w:szCs w:val="24"/>
              <w14:ligatures w14:val="standardContextual"/>
            </w:rPr>
          </w:pPr>
          <w:r>
            <w:fldChar w:fldCharType="begin"/>
          </w:r>
          <w:r>
            <w:instrText xml:space="preserve"> HYPERLINK \l "_Toc203596203" </w:instrText>
          </w:r>
          <w:r>
            <w:fldChar w:fldCharType="separate"/>
          </w:r>
          <w:r>
            <w:rPr>
              <w:rStyle w:val="17"/>
            </w:rPr>
            <w:t>2.8.7. Sustainability &amp; Tech Integration</w:t>
          </w:r>
          <w:r>
            <w:tab/>
          </w:r>
          <w:r>
            <w:fldChar w:fldCharType="begin"/>
          </w:r>
          <w:r>
            <w:instrText xml:space="preserve"> PAGEREF _Toc203596203 \h </w:instrText>
          </w:r>
          <w:r>
            <w:fldChar w:fldCharType="separate"/>
          </w:r>
          <w:r>
            <w:t>36</w:t>
          </w:r>
          <w:r>
            <w:fldChar w:fldCharType="end"/>
          </w:r>
          <w:r>
            <w:fldChar w:fldCharType="end"/>
          </w:r>
        </w:p>
        <w:p w14:paraId="6487F56D">
          <w:pPr>
            <w:pStyle w:val="23"/>
            <w:tabs>
              <w:tab w:val="right" w:leader="dot" w:pos="9350"/>
            </w:tabs>
            <w:rPr>
              <w:kern w:val="2"/>
              <w:sz w:val="24"/>
              <w:szCs w:val="24"/>
              <w14:ligatures w14:val="standardContextual"/>
            </w:rPr>
          </w:pPr>
          <w:r>
            <w:fldChar w:fldCharType="begin"/>
          </w:r>
          <w:r>
            <w:instrText xml:space="preserve"> HYPERLINK \l "_Toc203596204" </w:instrText>
          </w:r>
          <w:r>
            <w:fldChar w:fldCharType="separate"/>
          </w:r>
          <w:r>
            <w:rPr>
              <w:rStyle w:val="17"/>
            </w:rPr>
            <w:t>2.9 Summary</w:t>
          </w:r>
          <w:r>
            <w:tab/>
          </w:r>
          <w:r>
            <w:fldChar w:fldCharType="begin"/>
          </w:r>
          <w:r>
            <w:instrText xml:space="preserve"> PAGEREF _Toc203596204 \h </w:instrText>
          </w:r>
          <w:r>
            <w:fldChar w:fldCharType="separate"/>
          </w:r>
          <w:r>
            <w:t>37</w:t>
          </w:r>
          <w:r>
            <w:fldChar w:fldCharType="end"/>
          </w:r>
          <w:r>
            <w:fldChar w:fldCharType="end"/>
          </w:r>
        </w:p>
        <w:p w14:paraId="4EDF4351">
          <w:pPr>
            <w:pStyle w:val="22"/>
            <w:tabs>
              <w:tab w:val="right" w:leader="dot" w:pos="9350"/>
            </w:tabs>
            <w:rPr>
              <w:kern w:val="2"/>
              <w:sz w:val="24"/>
              <w:szCs w:val="24"/>
              <w14:ligatures w14:val="standardContextual"/>
            </w:rPr>
          </w:pPr>
          <w:r>
            <w:fldChar w:fldCharType="begin"/>
          </w:r>
          <w:r>
            <w:instrText xml:space="preserve"> HYPERLINK \l "_Toc203596205" </w:instrText>
          </w:r>
          <w:r>
            <w:fldChar w:fldCharType="separate"/>
          </w:r>
          <w:r>
            <w:rPr>
              <w:rStyle w:val="17"/>
            </w:rPr>
            <w:t>CHAPTER THREE</w:t>
          </w:r>
          <w:r>
            <w:tab/>
          </w:r>
          <w:r>
            <w:fldChar w:fldCharType="begin"/>
          </w:r>
          <w:r>
            <w:instrText xml:space="preserve"> PAGEREF _Toc203596205 \h </w:instrText>
          </w:r>
          <w:r>
            <w:fldChar w:fldCharType="separate"/>
          </w:r>
          <w:r>
            <w:t>38</w:t>
          </w:r>
          <w:r>
            <w:fldChar w:fldCharType="end"/>
          </w:r>
          <w:r>
            <w:fldChar w:fldCharType="end"/>
          </w:r>
        </w:p>
        <w:p w14:paraId="662669C4">
          <w:pPr>
            <w:pStyle w:val="22"/>
            <w:tabs>
              <w:tab w:val="right" w:leader="dot" w:pos="9350"/>
            </w:tabs>
            <w:rPr>
              <w:kern w:val="2"/>
              <w:sz w:val="24"/>
              <w:szCs w:val="24"/>
              <w14:ligatures w14:val="standardContextual"/>
            </w:rPr>
          </w:pPr>
          <w:r>
            <w:fldChar w:fldCharType="begin"/>
          </w:r>
          <w:r>
            <w:instrText xml:space="preserve"> HYPERLINK \l "_Toc203596206" </w:instrText>
          </w:r>
          <w:r>
            <w:fldChar w:fldCharType="separate"/>
          </w:r>
          <w:r>
            <w:rPr>
              <w:rStyle w:val="17"/>
            </w:rPr>
            <w:t>RESEARCH METHODOLOGY</w:t>
          </w:r>
          <w:r>
            <w:tab/>
          </w:r>
          <w:r>
            <w:fldChar w:fldCharType="begin"/>
          </w:r>
          <w:r>
            <w:instrText xml:space="preserve"> PAGEREF _Toc203596206 \h </w:instrText>
          </w:r>
          <w:r>
            <w:fldChar w:fldCharType="separate"/>
          </w:r>
          <w:r>
            <w:t>38</w:t>
          </w:r>
          <w:r>
            <w:fldChar w:fldCharType="end"/>
          </w:r>
          <w:r>
            <w:fldChar w:fldCharType="end"/>
          </w:r>
        </w:p>
        <w:p w14:paraId="6AB48142">
          <w:pPr>
            <w:pStyle w:val="23"/>
            <w:tabs>
              <w:tab w:val="right" w:leader="dot" w:pos="9350"/>
            </w:tabs>
            <w:rPr>
              <w:kern w:val="2"/>
              <w:sz w:val="24"/>
              <w:szCs w:val="24"/>
              <w14:ligatures w14:val="standardContextual"/>
            </w:rPr>
          </w:pPr>
          <w:r>
            <w:fldChar w:fldCharType="begin"/>
          </w:r>
          <w:r>
            <w:instrText xml:space="preserve"> HYPERLINK \l "_Toc203596207" </w:instrText>
          </w:r>
          <w:r>
            <w:fldChar w:fldCharType="separate"/>
          </w:r>
          <w:r>
            <w:rPr>
              <w:rStyle w:val="17"/>
            </w:rPr>
            <w:t>3.1 Introduction</w:t>
          </w:r>
          <w:r>
            <w:tab/>
          </w:r>
          <w:r>
            <w:fldChar w:fldCharType="begin"/>
          </w:r>
          <w:r>
            <w:instrText xml:space="preserve"> PAGEREF _Toc203596207 \h </w:instrText>
          </w:r>
          <w:r>
            <w:fldChar w:fldCharType="separate"/>
          </w:r>
          <w:r>
            <w:t>38</w:t>
          </w:r>
          <w:r>
            <w:fldChar w:fldCharType="end"/>
          </w:r>
          <w:r>
            <w:fldChar w:fldCharType="end"/>
          </w:r>
        </w:p>
        <w:p w14:paraId="29CFA0E3">
          <w:pPr>
            <w:pStyle w:val="23"/>
            <w:tabs>
              <w:tab w:val="right" w:leader="dot" w:pos="9350"/>
            </w:tabs>
            <w:rPr>
              <w:kern w:val="2"/>
              <w:sz w:val="24"/>
              <w:szCs w:val="24"/>
              <w14:ligatures w14:val="standardContextual"/>
            </w:rPr>
          </w:pPr>
          <w:r>
            <w:fldChar w:fldCharType="begin"/>
          </w:r>
          <w:r>
            <w:instrText xml:space="preserve"> HYPERLINK \l "_Toc203596208" </w:instrText>
          </w:r>
          <w:r>
            <w:fldChar w:fldCharType="separate"/>
          </w:r>
          <w:r>
            <w:rPr>
              <w:rStyle w:val="17"/>
            </w:rPr>
            <w:t>3.2 Research Design</w:t>
          </w:r>
          <w:r>
            <w:tab/>
          </w:r>
          <w:r>
            <w:fldChar w:fldCharType="begin"/>
          </w:r>
          <w:r>
            <w:instrText xml:space="preserve"> PAGEREF _Toc203596208 \h </w:instrText>
          </w:r>
          <w:r>
            <w:fldChar w:fldCharType="separate"/>
          </w:r>
          <w:r>
            <w:t>38</w:t>
          </w:r>
          <w:r>
            <w:fldChar w:fldCharType="end"/>
          </w:r>
          <w:r>
            <w:fldChar w:fldCharType="end"/>
          </w:r>
        </w:p>
        <w:p w14:paraId="1D5BEB20">
          <w:pPr>
            <w:pStyle w:val="23"/>
            <w:tabs>
              <w:tab w:val="right" w:leader="dot" w:pos="9350"/>
            </w:tabs>
            <w:rPr>
              <w:kern w:val="2"/>
              <w:sz w:val="24"/>
              <w:szCs w:val="24"/>
              <w14:ligatures w14:val="standardContextual"/>
            </w:rPr>
          </w:pPr>
          <w:r>
            <w:fldChar w:fldCharType="begin"/>
          </w:r>
          <w:r>
            <w:instrText xml:space="preserve"> HYPERLINK \l "_Toc203596209" </w:instrText>
          </w:r>
          <w:r>
            <w:fldChar w:fldCharType="separate"/>
          </w:r>
          <w:r>
            <w:rPr>
              <w:rStyle w:val="17"/>
            </w:rPr>
            <w:t>3.3 Research Population</w:t>
          </w:r>
          <w:r>
            <w:tab/>
          </w:r>
          <w:r>
            <w:fldChar w:fldCharType="begin"/>
          </w:r>
          <w:r>
            <w:instrText xml:space="preserve"> PAGEREF _Toc203596209 \h </w:instrText>
          </w:r>
          <w:r>
            <w:fldChar w:fldCharType="separate"/>
          </w:r>
          <w:r>
            <w:t>38</w:t>
          </w:r>
          <w:r>
            <w:fldChar w:fldCharType="end"/>
          </w:r>
          <w:r>
            <w:fldChar w:fldCharType="end"/>
          </w:r>
        </w:p>
        <w:p w14:paraId="6A57E91D">
          <w:pPr>
            <w:pStyle w:val="23"/>
            <w:tabs>
              <w:tab w:val="right" w:leader="dot" w:pos="9350"/>
            </w:tabs>
            <w:rPr>
              <w:kern w:val="2"/>
              <w:sz w:val="24"/>
              <w:szCs w:val="24"/>
              <w14:ligatures w14:val="standardContextual"/>
            </w:rPr>
          </w:pPr>
          <w:r>
            <w:fldChar w:fldCharType="begin"/>
          </w:r>
          <w:r>
            <w:instrText xml:space="preserve"> HYPERLINK \l "_Toc203596210" </w:instrText>
          </w:r>
          <w:r>
            <w:fldChar w:fldCharType="separate"/>
          </w:r>
          <w:r>
            <w:rPr>
              <w:rStyle w:val="17"/>
            </w:rPr>
            <w:t>3.4 Sample Size</w:t>
          </w:r>
          <w:r>
            <w:tab/>
          </w:r>
          <w:r>
            <w:fldChar w:fldCharType="begin"/>
          </w:r>
          <w:r>
            <w:instrText xml:space="preserve"> PAGEREF _Toc203596210 \h </w:instrText>
          </w:r>
          <w:r>
            <w:fldChar w:fldCharType="separate"/>
          </w:r>
          <w:r>
            <w:t>39</w:t>
          </w:r>
          <w:r>
            <w:fldChar w:fldCharType="end"/>
          </w:r>
          <w:r>
            <w:fldChar w:fldCharType="end"/>
          </w:r>
        </w:p>
        <w:p w14:paraId="4996EA1B">
          <w:pPr>
            <w:pStyle w:val="23"/>
            <w:tabs>
              <w:tab w:val="right" w:leader="dot" w:pos="9350"/>
            </w:tabs>
            <w:rPr>
              <w:kern w:val="2"/>
              <w:sz w:val="24"/>
              <w:szCs w:val="24"/>
              <w14:ligatures w14:val="standardContextual"/>
            </w:rPr>
          </w:pPr>
          <w:r>
            <w:fldChar w:fldCharType="begin"/>
          </w:r>
          <w:r>
            <w:instrText xml:space="preserve"> HYPERLINK \l "_Toc203596211" </w:instrText>
          </w:r>
          <w:r>
            <w:fldChar w:fldCharType="separate"/>
          </w:r>
          <w:r>
            <w:rPr>
              <w:rStyle w:val="17"/>
            </w:rPr>
            <w:t>3.5 Sampling Technique</w:t>
          </w:r>
          <w:r>
            <w:tab/>
          </w:r>
          <w:r>
            <w:fldChar w:fldCharType="begin"/>
          </w:r>
          <w:r>
            <w:instrText xml:space="preserve"> PAGEREF _Toc203596211 \h </w:instrText>
          </w:r>
          <w:r>
            <w:fldChar w:fldCharType="separate"/>
          </w:r>
          <w:r>
            <w:t>40</w:t>
          </w:r>
          <w:r>
            <w:fldChar w:fldCharType="end"/>
          </w:r>
          <w:r>
            <w:fldChar w:fldCharType="end"/>
          </w:r>
        </w:p>
        <w:p w14:paraId="3D9FEF37">
          <w:pPr>
            <w:pStyle w:val="23"/>
            <w:tabs>
              <w:tab w:val="right" w:leader="dot" w:pos="9350"/>
            </w:tabs>
            <w:rPr>
              <w:kern w:val="2"/>
              <w:sz w:val="24"/>
              <w:szCs w:val="24"/>
              <w14:ligatures w14:val="standardContextual"/>
            </w:rPr>
          </w:pPr>
          <w:r>
            <w:fldChar w:fldCharType="begin"/>
          </w:r>
          <w:r>
            <w:instrText xml:space="preserve"> HYPERLINK \l "_Toc203596212" </w:instrText>
          </w:r>
          <w:r>
            <w:fldChar w:fldCharType="separate"/>
          </w:r>
          <w:r>
            <w:rPr>
              <w:rStyle w:val="17"/>
            </w:rPr>
            <w:t>3.6 Method of Data Collection</w:t>
          </w:r>
          <w:r>
            <w:tab/>
          </w:r>
          <w:r>
            <w:fldChar w:fldCharType="begin"/>
          </w:r>
          <w:r>
            <w:instrText xml:space="preserve"> PAGEREF _Toc203596212 \h </w:instrText>
          </w:r>
          <w:r>
            <w:fldChar w:fldCharType="separate"/>
          </w:r>
          <w:r>
            <w:t>40</w:t>
          </w:r>
          <w:r>
            <w:fldChar w:fldCharType="end"/>
          </w:r>
          <w:r>
            <w:fldChar w:fldCharType="end"/>
          </w:r>
        </w:p>
        <w:p w14:paraId="3BA8EFEA">
          <w:pPr>
            <w:pStyle w:val="23"/>
            <w:tabs>
              <w:tab w:val="right" w:leader="dot" w:pos="9350"/>
            </w:tabs>
            <w:rPr>
              <w:kern w:val="2"/>
              <w:sz w:val="24"/>
              <w:szCs w:val="24"/>
              <w14:ligatures w14:val="standardContextual"/>
            </w:rPr>
          </w:pPr>
          <w:r>
            <w:fldChar w:fldCharType="begin"/>
          </w:r>
          <w:r>
            <w:instrText xml:space="preserve"> HYPERLINK \l "_Toc203596213" </w:instrText>
          </w:r>
          <w:r>
            <w:fldChar w:fldCharType="separate"/>
          </w:r>
          <w:r>
            <w:rPr>
              <w:rStyle w:val="17"/>
            </w:rPr>
            <w:t>3.7 Method of Administering data</w:t>
          </w:r>
          <w:r>
            <w:tab/>
          </w:r>
          <w:r>
            <w:fldChar w:fldCharType="begin"/>
          </w:r>
          <w:r>
            <w:instrText xml:space="preserve"> PAGEREF _Toc203596213 \h </w:instrText>
          </w:r>
          <w:r>
            <w:fldChar w:fldCharType="separate"/>
          </w:r>
          <w:r>
            <w:t>41</w:t>
          </w:r>
          <w:r>
            <w:fldChar w:fldCharType="end"/>
          </w:r>
          <w:r>
            <w:fldChar w:fldCharType="end"/>
          </w:r>
        </w:p>
        <w:p w14:paraId="5B08C32A">
          <w:pPr>
            <w:pStyle w:val="23"/>
            <w:tabs>
              <w:tab w:val="right" w:leader="dot" w:pos="9350"/>
            </w:tabs>
            <w:rPr>
              <w:kern w:val="2"/>
              <w:sz w:val="24"/>
              <w:szCs w:val="24"/>
              <w14:ligatures w14:val="standardContextual"/>
            </w:rPr>
          </w:pPr>
          <w:r>
            <w:fldChar w:fldCharType="begin"/>
          </w:r>
          <w:r>
            <w:instrText xml:space="preserve"> HYPERLINK \l "_Toc203596214" </w:instrText>
          </w:r>
          <w:r>
            <w:fldChar w:fldCharType="separate"/>
          </w:r>
          <w:r>
            <w:rPr>
              <w:rStyle w:val="17"/>
            </w:rPr>
            <w:t>3.8 Test of Validity and Reliability of data</w:t>
          </w:r>
          <w:r>
            <w:tab/>
          </w:r>
          <w:r>
            <w:fldChar w:fldCharType="begin"/>
          </w:r>
          <w:r>
            <w:instrText xml:space="preserve"> PAGEREF _Toc203596214 \h </w:instrText>
          </w:r>
          <w:r>
            <w:fldChar w:fldCharType="separate"/>
          </w:r>
          <w:r>
            <w:t>41</w:t>
          </w:r>
          <w:r>
            <w:fldChar w:fldCharType="end"/>
          </w:r>
          <w:r>
            <w:fldChar w:fldCharType="end"/>
          </w:r>
        </w:p>
        <w:p w14:paraId="7A341652">
          <w:pPr>
            <w:pStyle w:val="23"/>
            <w:tabs>
              <w:tab w:val="right" w:leader="dot" w:pos="9350"/>
            </w:tabs>
            <w:rPr>
              <w:kern w:val="2"/>
              <w:sz w:val="24"/>
              <w:szCs w:val="24"/>
              <w14:ligatures w14:val="standardContextual"/>
            </w:rPr>
          </w:pPr>
          <w:r>
            <w:fldChar w:fldCharType="begin"/>
          </w:r>
          <w:r>
            <w:instrText xml:space="preserve"> HYPERLINK \l "_Toc203596215" </w:instrText>
          </w:r>
          <w:r>
            <w:fldChar w:fldCharType="separate"/>
          </w:r>
          <w:r>
            <w:rPr>
              <w:rStyle w:val="17"/>
            </w:rPr>
            <w:t>3.9 Method of data presentation and Analysis</w:t>
          </w:r>
          <w:r>
            <w:tab/>
          </w:r>
          <w:r>
            <w:fldChar w:fldCharType="begin"/>
          </w:r>
          <w:r>
            <w:instrText xml:space="preserve"> PAGEREF _Toc203596215 \h </w:instrText>
          </w:r>
          <w:r>
            <w:fldChar w:fldCharType="separate"/>
          </w:r>
          <w:r>
            <w:t>42</w:t>
          </w:r>
          <w:r>
            <w:fldChar w:fldCharType="end"/>
          </w:r>
          <w:r>
            <w:fldChar w:fldCharType="end"/>
          </w:r>
        </w:p>
        <w:p w14:paraId="3B492F7E">
          <w:pPr>
            <w:pStyle w:val="22"/>
            <w:tabs>
              <w:tab w:val="right" w:leader="dot" w:pos="9350"/>
            </w:tabs>
            <w:rPr>
              <w:kern w:val="2"/>
              <w:sz w:val="24"/>
              <w:szCs w:val="24"/>
              <w14:ligatures w14:val="standardContextual"/>
            </w:rPr>
          </w:pPr>
          <w:r>
            <w:fldChar w:fldCharType="begin"/>
          </w:r>
          <w:r>
            <w:instrText xml:space="preserve"> HYPERLINK \l "_Toc203596216" </w:instrText>
          </w:r>
          <w:r>
            <w:fldChar w:fldCharType="separate"/>
          </w:r>
          <w:r>
            <w:rPr>
              <w:rStyle w:val="17"/>
            </w:rPr>
            <w:t>CHAPTER FOUR</w:t>
          </w:r>
          <w:r>
            <w:tab/>
          </w:r>
          <w:r>
            <w:fldChar w:fldCharType="begin"/>
          </w:r>
          <w:r>
            <w:instrText xml:space="preserve"> PAGEREF _Toc203596216 \h </w:instrText>
          </w:r>
          <w:r>
            <w:fldChar w:fldCharType="separate"/>
          </w:r>
          <w:r>
            <w:t>43</w:t>
          </w:r>
          <w:r>
            <w:fldChar w:fldCharType="end"/>
          </w:r>
          <w:r>
            <w:fldChar w:fldCharType="end"/>
          </w:r>
        </w:p>
        <w:p w14:paraId="01AFB73D">
          <w:pPr>
            <w:pStyle w:val="22"/>
            <w:tabs>
              <w:tab w:val="right" w:leader="dot" w:pos="9350"/>
            </w:tabs>
            <w:rPr>
              <w:kern w:val="2"/>
              <w:sz w:val="24"/>
              <w:szCs w:val="24"/>
              <w14:ligatures w14:val="standardContextual"/>
            </w:rPr>
          </w:pPr>
          <w:r>
            <w:fldChar w:fldCharType="begin"/>
          </w:r>
          <w:r>
            <w:instrText xml:space="preserve"> HYPERLINK \l "_Toc203596217" </w:instrText>
          </w:r>
          <w:r>
            <w:fldChar w:fldCharType="separate"/>
          </w:r>
          <w:r>
            <w:rPr>
              <w:rStyle w:val="17"/>
            </w:rPr>
            <w:t>DATA ANALYSIS, RESULTS AND DISCUSSIONS</w:t>
          </w:r>
          <w:r>
            <w:tab/>
          </w:r>
          <w:r>
            <w:fldChar w:fldCharType="begin"/>
          </w:r>
          <w:r>
            <w:instrText xml:space="preserve"> PAGEREF _Toc203596217 \h </w:instrText>
          </w:r>
          <w:r>
            <w:fldChar w:fldCharType="separate"/>
          </w:r>
          <w:r>
            <w:t>43</w:t>
          </w:r>
          <w:r>
            <w:fldChar w:fldCharType="end"/>
          </w:r>
          <w:r>
            <w:fldChar w:fldCharType="end"/>
          </w:r>
        </w:p>
        <w:p w14:paraId="4D15570E">
          <w:pPr>
            <w:pStyle w:val="23"/>
            <w:tabs>
              <w:tab w:val="right" w:leader="dot" w:pos="9350"/>
            </w:tabs>
            <w:rPr>
              <w:kern w:val="2"/>
              <w:sz w:val="24"/>
              <w:szCs w:val="24"/>
              <w14:ligatures w14:val="standardContextual"/>
            </w:rPr>
          </w:pPr>
          <w:r>
            <w:fldChar w:fldCharType="begin"/>
          </w:r>
          <w:r>
            <w:instrText xml:space="preserve"> HYPERLINK \l "_Toc203596218" </w:instrText>
          </w:r>
          <w:r>
            <w:fldChar w:fldCharType="separate"/>
          </w:r>
          <w:r>
            <w:rPr>
              <w:rStyle w:val="17"/>
            </w:rPr>
            <w:t>4.1 A brief introduction to the chapter</w:t>
          </w:r>
          <w:r>
            <w:tab/>
          </w:r>
          <w:r>
            <w:fldChar w:fldCharType="begin"/>
          </w:r>
          <w:r>
            <w:instrText xml:space="preserve"> PAGEREF _Toc203596218 \h </w:instrText>
          </w:r>
          <w:r>
            <w:fldChar w:fldCharType="separate"/>
          </w:r>
          <w:r>
            <w:t>43</w:t>
          </w:r>
          <w:r>
            <w:fldChar w:fldCharType="end"/>
          </w:r>
          <w:r>
            <w:fldChar w:fldCharType="end"/>
          </w:r>
        </w:p>
        <w:p w14:paraId="46B9A142">
          <w:pPr>
            <w:pStyle w:val="23"/>
            <w:tabs>
              <w:tab w:val="right" w:leader="dot" w:pos="9350"/>
            </w:tabs>
            <w:rPr>
              <w:kern w:val="2"/>
              <w:sz w:val="24"/>
              <w:szCs w:val="24"/>
              <w14:ligatures w14:val="standardContextual"/>
            </w:rPr>
          </w:pPr>
          <w:r>
            <w:fldChar w:fldCharType="begin"/>
          </w:r>
          <w:r>
            <w:instrText xml:space="preserve"> HYPERLINK \l "_Toc203596219" </w:instrText>
          </w:r>
          <w:r>
            <w:fldChar w:fldCharType="separate"/>
          </w:r>
          <w:r>
            <w:rPr>
              <w:rStyle w:val="17"/>
            </w:rPr>
            <w:t>4.2 Response Rate</w:t>
          </w:r>
          <w:r>
            <w:tab/>
          </w:r>
          <w:r>
            <w:fldChar w:fldCharType="begin"/>
          </w:r>
          <w:r>
            <w:instrText xml:space="preserve"> PAGEREF _Toc203596219 \h </w:instrText>
          </w:r>
          <w:r>
            <w:fldChar w:fldCharType="separate"/>
          </w:r>
          <w:r>
            <w:t>43</w:t>
          </w:r>
          <w:r>
            <w:fldChar w:fldCharType="end"/>
          </w:r>
          <w:r>
            <w:fldChar w:fldCharType="end"/>
          </w:r>
        </w:p>
        <w:p w14:paraId="5A6C4468">
          <w:pPr>
            <w:pStyle w:val="23"/>
            <w:tabs>
              <w:tab w:val="right" w:leader="dot" w:pos="9350"/>
            </w:tabs>
            <w:rPr>
              <w:kern w:val="2"/>
              <w:sz w:val="24"/>
              <w:szCs w:val="24"/>
              <w14:ligatures w14:val="standardContextual"/>
            </w:rPr>
          </w:pPr>
          <w:r>
            <w:fldChar w:fldCharType="begin"/>
          </w:r>
          <w:r>
            <w:instrText xml:space="preserve"> HYPERLINK \l "_Toc203596220" </w:instrText>
          </w:r>
          <w:r>
            <w:fldChar w:fldCharType="separate"/>
          </w:r>
          <w:r>
            <w:rPr>
              <w:rStyle w:val="17"/>
            </w:rPr>
            <w:t>4.3 Characteristics of Respondents</w:t>
          </w:r>
          <w:r>
            <w:tab/>
          </w:r>
          <w:r>
            <w:fldChar w:fldCharType="begin"/>
          </w:r>
          <w:r>
            <w:instrText xml:space="preserve"> PAGEREF _Toc203596220 \h </w:instrText>
          </w:r>
          <w:r>
            <w:fldChar w:fldCharType="separate"/>
          </w:r>
          <w:r>
            <w:t>43</w:t>
          </w:r>
          <w:r>
            <w:fldChar w:fldCharType="end"/>
          </w:r>
          <w:r>
            <w:fldChar w:fldCharType="end"/>
          </w:r>
        </w:p>
        <w:p w14:paraId="0689250C">
          <w:pPr>
            <w:pStyle w:val="24"/>
            <w:tabs>
              <w:tab w:val="right" w:leader="dot" w:pos="9350"/>
            </w:tabs>
            <w:rPr>
              <w:kern w:val="2"/>
              <w:sz w:val="24"/>
              <w:szCs w:val="24"/>
              <w14:ligatures w14:val="standardContextual"/>
            </w:rPr>
          </w:pPr>
          <w:r>
            <w:fldChar w:fldCharType="begin"/>
          </w:r>
          <w:r>
            <w:instrText xml:space="preserve"> HYPERLINK \l "_Toc203596221" </w:instrText>
          </w:r>
          <w:r>
            <w:fldChar w:fldCharType="separate"/>
          </w:r>
          <w:r>
            <w:rPr>
              <w:rStyle w:val="17"/>
            </w:rPr>
            <w:t>4.3.1 Gender Distribution of Respondents</w:t>
          </w:r>
          <w:r>
            <w:tab/>
          </w:r>
          <w:r>
            <w:fldChar w:fldCharType="begin"/>
          </w:r>
          <w:r>
            <w:instrText xml:space="preserve"> PAGEREF _Toc203596221 \h </w:instrText>
          </w:r>
          <w:r>
            <w:fldChar w:fldCharType="separate"/>
          </w:r>
          <w:r>
            <w:t>43</w:t>
          </w:r>
          <w:r>
            <w:fldChar w:fldCharType="end"/>
          </w:r>
          <w:r>
            <w:fldChar w:fldCharType="end"/>
          </w:r>
        </w:p>
        <w:p w14:paraId="565EF9FA">
          <w:pPr>
            <w:pStyle w:val="24"/>
            <w:tabs>
              <w:tab w:val="right" w:leader="dot" w:pos="9350"/>
            </w:tabs>
            <w:rPr>
              <w:kern w:val="2"/>
              <w:sz w:val="24"/>
              <w:szCs w:val="24"/>
              <w14:ligatures w14:val="standardContextual"/>
            </w:rPr>
          </w:pPr>
          <w:r>
            <w:fldChar w:fldCharType="begin"/>
          </w:r>
          <w:r>
            <w:instrText xml:space="preserve"> HYPERLINK \l "_Toc203596222" </w:instrText>
          </w:r>
          <w:r>
            <w:fldChar w:fldCharType="separate"/>
          </w:r>
          <w:r>
            <w:rPr>
              <w:rStyle w:val="17"/>
            </w:rPr>
            <w:t>4.3.2 Age Distribution of Respondents</w:t>
          </w:r>
          <w:r>
            <w:tab/>
          </w:r>
          <w:r>
            <w:fldChar w:fldCharType="begin"/>
          </w:r>
          <w:r>
            <w:instrText xml:space="preserve"> PAGEREF _Toc203596222 \h </w:instrText>
          </w:r>
          <w:r>
            <w:fldChar w:fldCharType="separate"/>
          </w:r>
          <w:r>
            <w:t>44</w:t>
          </w:r>
          <w:r>
            <w:fldChar w:fldCharType="end"/>
          </w:r>
          <w:r>
            <w:fldChar w:fldCharType="end"/>
          </w:r>
        </w:p>
        <w:p w14:paraId="14A8C3A4">
          <w:pPr>
            <w:pStyle w:val="24"/>
            <w:tabs>
              <w:tab w:val="right" w:leader="dot" w:pos="9350"/>
            </w:tabs>
            <w:rPr>
              <w:kern w:val="2"/>
              <w:sz w:val="24"/>
              <w:szCs w:val="24"/>
              <w14:ligatures w14:val="standardContextual"/>
            </w:rPr>
          </w:pPr>
          <w:r>
            <w:fldChar w:fldCharType="begin"/>
          </w:r>
          <w:r>
            <w:instrText xml:space="preserve"> HYPERLINK \l "_Toc203596223" </w:instrText>
          </w:r>
          <w:r>
            <w:fldChar w:fldCharType="separate"/>
          </w:r>
          <w:r>
            <w:rPr>
              <w:rStyle w:val="17"/>
            </w:rPr>
            <w:t>4.3.3 Years of Professional Experience</w:t>
          </w:r>
          <w:r>
            <w:tab/>
          </w:r>
          <w:r>
            <w:fldChar w:fldCharType="begin"/>
          </w:r>
          <w:r>
            <w:instrText xml:space="preserve"> PAGEREF _Toc203596223 \h </w:instrText>
          </w:r>
          <w:r>
            <w:fldChar w:fldCharType="separate"/>
          </w:r>
          <w:r>
            <w:t>45</w:t>
          </w:r>
          <w:r>
            <w:fldChar w:fldCharType="end"/>
          </w:r>
          <w:r>
            <w:fldChar w:fldCharType="end"/>
          </w:r>
        </w:p>
        <w:p w14:paraId="2966198F">
          <w:pPr>
            <w:pStyle w:val="24"/>
            <w:tabs>
              <w:tab w:val="right" w:leader="dot" w:pos="9350"/>
            </w:tabs>
            <w:rPr>
              <w:kern w:val="2"/>
              <w:sz w:val="24"/>
              <w:szCs w:val="24"/>
              <w14:ligatures w14:val="standardContextual"/>
            </w:rPr>
          </w:pPr>
          <w:r>
            <w:fldChar w:fldCharType="begin"/>
          </w:r>
          <w:r>
            <w:instrText xml:space="preserve"> HYPERLINK \l "_Toc203596224" </w:instrText>
          </w:r>
          <w:r>
            <w:fldChar w:fldCharType="separate"/>
          </w:r>
          <w:r>
            <w:rPr>
              <w:rStyle w:val="17"/>
            </w:rPr>
            <w:t>4.3.4 Professional Background of Respondents</w:t>
          </w:r>
          <w:r>
            <w:tab/>
          </w:r>
          <w:r>
            <w:fldChar w:fldCharType="begin"/>
          </w:r>
          <w:r>
            <w:instrText xml:space="preserve"> PAGEREF _Toc203596224 \h </w:instrText>
          </w:r>
          <w:r>
            <w:fldChar w:fldCharType="separate"/>
          </w:r>
          <w:r>
            <w:t>46</w:t>
          </w:r>
          <w:r>
            <w:fldChar w:fldCharType="end"/>
          </w:r>
          <w:r>
            <w:fldChar w:fldCharType="end"/>
          </w:r>
        </w:p>
        <w:p w14:paraId="4CEF5884">
          <w:pPr>
            <w:pStyle w:val="24"/>
            <w:tabs>
              <w:tab w:val="right" w:leader="dot" w:pos="9350"/>
            </w:tabs>
            <w:rPr>
              <w:kern w:val="2"/>
              <w:sz w:val="24"/>
              <w:szCs w:val="24"/>
              <w14:ligatures w14:val="standardContextual"/>
            </w:rPr>
          </w:pPr>
          <w:r>
            <w:fldChar w:fldCharType="begin"/>
          </w:r>
          <w:r>
            <w:instrText xml:space="preserve"> HYPERLINK \l "_Toc203596225" </w:instrText>
          </w:r>
          <w:r>
            <w:fldChar w:fldCharType="separate"/>
          </w:r>
          <w:r>
            <w:rPr>
              <w:rStyle w:val="17"/>
            </w:rPr>
            <w:t>4.3.5 Involvement in Agro-Processing Projects</w:t>
          </w:r>
          <w:r>
            <w:tab/>
          </w:r>
          <w:r>
            <w:fldChar w:fldCharType="begin"/>
          </w:r>
          <w:r>
            <w:instrText xml:space="preserve"> PAGEREF _Toc203596225 \h </w:instrText>
          </w:r>
          <w:r>
            <w:fldChar w:fldCharType="separate"/>
          </w:r>
          <w:r>
            <w:t>47</w:t>
          </w:r>
          <w:r>
            <w:fldChar w:fldCharType="end"/>
          </w:r>
          <w:r>
            <w:fldChar w:fldCharType="end"/>
          </w:r>
        </w:p>
        <w:p w14:paraId="1523AA6E">
          <w:pPr>
            <w:pStyle w:val="22"/>
            <w:tabs>
              <w:tab w:val="right" w:leader="dot" w:pos="9350"/>
            </w:tabs>
            <w:rPr>
              <w:kern w:val="2"/>
              <w:sz w:val="24"/>
              <w:szCs w:val="24"/>
              <w14:ligatures w14:val="standardContextual"/>
            </w:rPr>
          </w:pPr>
          <w:r>
            <w:fldChar w:fldCharType="begin"/>
          </w:r>
          <w:r>
            <w:instrText xml:space="preserve"> HYPERLINK \l "_Toc203596226" </w:instrText>
          </w:r>
          <w:r>
            <w:fldChar w:fldCharType="separate"/>
          </w:r>
          <w:r>
            <w:rPr>
              <w:rStyle w:val="17"/>
            </w:rPr>
            <w:t xml:space="preserve">4.4 </w:t>
          </w:r>
          <w:r>
            <w:rPr>
              <w:rStyle w:val="17"/>
              <w:rFonts w:cs="Times New Roman"/>
              <w:bCs/>
            </w:rPr>
            <w:t>Presentation and analysis of data according to research questions</w:t>
          </w:r>
          <w:r>
            <w:tab/>
          </w:r>
          <w:r>
            <w:fldChar w:fldCharType="begin"/>
          </w:r>
          <w:r>
            <w:instrText xml:space="preserve"> PAGEREF _Toc203596226 \h </w:instrText>
          </w:r>
          <w:r>
            <w:fldChar w:fldCharType="separate"/>
          </w:r>
          <w:r>
            <w:t>48</w:t>
          </w:r>
          <w:r>
            <w:fldChar w:fldCharType="end"/>
          </w:r>
          <w:r>
            <w:fldChar w:fldCharType="end"/>
          </w:r>
        </w:p>
        <w:p w14:paraId="144DF5B6">
          <w:pPr>
            <w:pStyle w:val="24"/>
            <w:tabs>
              <w:tab w:val="right" w:leader="dot" w:pos="9350"/>
            </w:tabs>
            <w:rPr>
              <w:kern w:val="2"/>
              <w:sz w:val="24"/>
              <w:szCs w:val="24"/>
              <w14:ligatures w14:val="standardContextual"/>
            </w:rPr>
          </w:pPr>
          <w:r>
            <w:fldChar w:fldCharType="begin"/>
          </w:r>
          <w:r>
            <w:instrText xml:space="preserve"> HYPERLINK \l "_Toc203596227" </w:instrText>
          </w:r>
          <w:r>
            <w:fldChar w:fldCharType="separate"/>
          </w:r>
          <w:r>
            <w:rPr>
              <w:rStyle w:val="17"/>
            </w:rPr>
            <w:t>4.4.1 Common Financial Challenges in the Development of Agro-Processing Plants</w:t>
          </w:r>
          <w:r>
            <w:tab/>
          </w:r>
          <w:r>
            <w:fldChar w:fldCharType="begin"/>
          </w:r>
          <w:r>
            <w:instrText xml:space="preserve"> PAGEREF _Toc203596227 \h </w:instrText>
          </w:r>
          <w:r>
            <w:fldChar w:fldCharType="separate"/>
          </w:r>
          <w:r>
            <w:t>48</w:t>
          </w:r>
          <w:r>
            <w:fldChar w:fldCharType="end"/>
          </w:r>
          <w:r>
            <w:fldChar w:fldCharType="end"/>
          </w:r>
        </w:p>
        <w:p w14:paraId="0DD7FFFE">
          <w:pPr>
            <w:pStyle w:val="24"/>
            <w:tabs>
              <w:tab w:val="right" w:leader="dot" w:pos="9350"/>
            </w:tabs>
            <w:rPr>
              <w:kern w:val="2"/>
              <w:sz w:val="24"/>
              <w:szCs w:val="24"/>
              <w14:ligatures w14:val="standardContextual"/>
            </w:rPr>
          </w:pPr>
          <w:r>
            <w:fldChar w:fldCharType="begin"/>
          </w:r>
          <w:r>
            <w:instrText xml:space="preserve"> HYPERLINK \l "_Toc203596228" </w:instrText>
          </w:r>
          <w:r>
            <w:fldChar w:fldCharType="separate"/>
          </w:r>
          <w:r>
            <w:rPr>
              <w:rStyle w:val="17"/>
            </w:rPr>
            <w:t>4.4.2 Perceived Severity of Financial Challenges on Agro-Processing Project Success</w:t>
          </w:r>
          <w:r>
            <w:tab/>
          </w:r>
          <w:r>
            <w:fldChar w:fldCharType="begin"/>
          </w:r>
          <w:r>
            <w:instrText xml:space="preserve"> PAGEREF _Toc203596228 \h </w:instrText>
          </w:r>
          <w:r>
            <w:fldChar w:fldCharType="separate"/>
          </w:r>
          <w:r>
            <w:t>49</w:t>
          </w:r>
          <w:r>
            <w:fldChar w:fldCharType="end"/>
          </w:r>
          <w:r>
            <w:fldChar w:fldCharType="end"/>
          </w:r>
        </w:p>
        <w:p w14:paraId="32846195">
          <w:pPr>
            <w:pStyle w:val="24"/>
            <w:tabs>
              <w:tab w:val="right" w:leader="dot" w:pos="9350"/>
            </w:tabs>
            <w:rPr>
              <w:kern w:val="2"/>
              <w:sz w:val="24"/>
              <w:szCs w:val="24"/>
              <w14:ligatures w14:val="standardContextual"/>
            </w:rPr>
          </w:pPr>
          <w:r>
            <w:fldChar w:fldCharType="begin"/>
          </w:r>
          <w:r>
            <w:instrText xml:space="preserve"> HYPERLINK \l "_Toc203596229" </w:instrText>
          </w:r>
          <w:r>
            <w:fldChar w:fldCharType="separate"/>
          </w:r>
          <w:r>
            <w:rPr>
              <w:rStyle w:val="17"/>
            </w:rPr>
            <w:t>4.4.3 Perceived Importance of Quantity Surveyors in Agro-Processing Project Development</w:t>
          </w:r>
          <w:r>
            <w:tab/>
          </w:r>
          <w:r>
            <w:fldChar w:fldCharType="begin"/>
          </w:r>
          <w:r>
            <w:instrText xml:space="preserve"> PAGEREF _Toc203596229 \h </w:instrText>
          </w:r>
          <w:r>
            <w:fldChar w:fldCharType="separate"/>
          </w:r>
          <w:r>
            <w:t>51</w:t>
          </w:r>
          <w:r>
            <w:fldChar w:fldCharType="end"/>
          </w:r>
          <w:r>
            <w:fldChar w:fldCharType="end"/>
          </w:r>
        </w:p>
        <w:p w14:paraId="1BA04E59">
          <w:pPr>
            <w:pStyle w:val="24"/>
            <w:tabs>
              <w:tab w:val="right" w:leader="dot" w:pos="9350"/>
            </w:tabs>
            <w:rPr>
              <w:kern w:val="2"/>
              <w:sz w:val="24"/>
              <w:szCs w:val="24"/>
              <w14:ligatures w14:val="standardContextual"/>
            </w:rPr>
          </w:pPr>
          <w:r>
            <w:fldChar w:fldCharType="begin"/>
          </w:r>
          <w:r>
            <w:instrText xml:space="preserve"> HYPERLINK \l "_Toc203596230" </w:instrText>
          </w:r>
          <w:r>
            <w:fldChar w:fldCharType="separate"/>
          </w:r>
          <w:r>
            <w:rPr>
              <w:rStyle w:val="17"/>
            </w:rPr>
            <w:t>4.4.4 Specific Roles of Quantity Surveyors in Agro-Processing Projects</w:t>
          </w:r>
          <w:r>
            <w:tab/>
          </w:r>
          <w:r>
            <w:fldChar w:fldCharType="begin"/>
          </w:r>
          <w:r>
            <w:instrText xml:space="preserve"> PAGEREF _Toc203596230 \h </w:instrText>
          </w:r>
          <w:r>
            <w:fldChar w:fldCharType="separate"/>
          </w:r>
          <w:r>
            <w:t>52</w:t>
          </w:r>
          <w:r>
            <w:fldChar w:fldCharType="end"/>
          </w:r>
          <w:r>
            <w:fldChar w:fldCharType="end"/>
          </w:r>
        </w:p>
        <w:p w14:paraId="6FEA6F2A">
          <w:pPr>
            <w:pStyle w:val="24"/>
            <w:tabs>
              <w:tab w:val="right" w:leader="dot" w:pos="9350"/>
            </w:tabs>
            <w:rPr>
              <w:kern w:val="2"/>
              <w:sz w:val="24"/>
              <w:szCs w:val="24"/>
              <w14:ligatures w14:val="standardContextual"/>
            </w:rPr>
          </w:pPr>
          <w:r>
            <w:fldChar w:fldCharType="begin"/>
          </w:r>
          <w:r>
            <w:instrText xml:space="preserve"> HYPERLINK \l "_Toc203596231" </w:instrText>
          </w:r>
          <w:r>
            <w:fldChar w:fldCharType="separate"/>
          </w:r>
          <w:r>
            <w:rPr>
              <w:rStyle w:val="17"/>
            </w:rPr>
            <w:t>4.4.5 Experience with QS-Led Viability Assessments in Agro-Processing Projects</w:t>
          </w:r>
          <w:r>
            <w:tab/>
          </w:r>
          <w:r>
            <w:fldChar w:fldCharType="begin"/>
          </w:r>
          <w:r>
            <w:instrText xml:space="preserve"> PAGEREF _Toc203596231 \h </w:instrText>
          </w:r>
          <w:r>
            <w:fldChar w:fldCharType="separate"/>
          </w:r>
          <w:r>
            <w:t>53</w:t>
          </w:r>
          <w:r>
            <w:fldChar w:fldCharType="end"/>
          </w:r>
          <w:r>
            <w:fldChar w:fldCharType="end"/>
          </w:r>
        </w:p>
        <w:p w14:paraId="0FB79F5D">
          <w:pPr>
            <w:pStyle w:val="24"/>
            <w:tabs>
              <w:tab w:val="right" w:leader="dot" w:pos="9350"/>
            </w:tabs>
            <w:rPr>
              <w:kern w:val="2"/>
              <w:sz w:val="24"/>
              <w:szCs w:val="24"/>
              <w14:ligatures w14:val="standardContextual"/>
            </w:rPr>
          </w:pPr>
          <w:r>
            <w:fldChar w:fldCharType="begin"/>
          </w:r>
          <w:r>
            <w:instrText xml:space="preserve"> HYPERLINK \l "_Toc203596232" </w:instrText>
          </w:r>
          <w:r>
            <w:fldChar w:fldCharType="separate"/>
          </w:r>
          <w:r>
            <w:rPr>
              <w:rStyle w:val="17"/>
            </w:rPr>
            <w:t>4.4.6 Cost Estimation Techniques Commonly Used by Quantity Surveyors in Agro-Processing Projects</w:t>
          </w:r>
          <w:r>
            <w:tab/>
          </w:r>
          <w:r>
            <w:fldChar w:fldCharType="begin"/>
          </w:r>
          <w:r>
            <w:instrText xml:space="preserve"> PAGEREF _Toc203596232 \h </w:instrText>
          </w:r>
          <w:r>
            <w:fldChar w:fldCharType="separate"/>
          </w:r>
          <w:r>
            <w:t>55</w:t>
          </w:r>
          <w:r>
            <w:fldChar w:fldCharType="end"/>
          </w:r>
          <w:r>
            <w:fldChar w:fldCharType="end"/>
          </w:r>
        </w:p>
        <w:p w14:paraId="12696511">
          <w:pPr>
            <w:pStyle w:val="24"/>
            <w:tabs>
              <w:tab w:val="right" w:leader="dot" w:pos="9350"/>
            </w:tabs>
            <w:rPr>
              <w:kern w:val="2"/>
              <w:sz w:val="24"/>
              <w:szCs w:val="24"/>
              <w14:ligatures w14:val="standardContextual"/>
            </w:rPr>
          </w:pPr>
          <w:r>
            <w:fldChar w:fldCharType="begin"/>
          </w:r>
          <w:r>
            <w:instrText xml:space="preserve"> HYPERLINK \l "_Toc203596233" </w:instrText>
          </w:r>
          <w:r>
            <w:fldChar w:fldCharType="separate"/>
          </w:r>
          <w:r>
            <w:rPr>
              <w:rStyle w:val="17"/>
            </w:rPr>
            <w:t>4.4.7 Perceived Accuracy of Cost Estimation Techniques in Predicting Actual Project Costs</w:t>
          </w:r>
          <w:r>
            <w:tab/>
          </w:r>
          <w:r>
            <w:fldChar w:fldCharType="begin"/>
          </w:r>
          <w:r>
            <w:instrText xml:space="preserve"> PAGEREF _Toc203596233 \h </w:instrText>
          </w:r>
          <w:r>
            <w:fldChar w:fldCharType="separate"/>
          </w:r>
          <w:r>
            <w:t>56</w:t>
          </w:r>
          <w:r>
            <w:fldChar w:fldCharType="end"/>
          </w:r>
          <w:r>
            <w:fldChar w:fldCharType="end"/>
          </w:r>
        </w:p>
        <w:p w14:paraId="7056EC14">
          <w:pPr>
            <w:pStyle w:val="24"/>
            <w:tabs>
              <w:tab w:val="right" w:leader="dot" w:pos="9350"/>
            </w:tabs>
            <w:rPr>
              <w:kern w:val="2"/>
              <w:sz w:val="24"/>
              <w:szCs w:val="24"/>
              <w14:ligatures w14:val="standardContextual"/>
            </w:rPr>
          </w:pPr>
          <w:r>
            <w:fldChar w:fldCharType="begin"/>
          </w:r>
          <w:r>
            <w:instrText xml:space="preserve"> HYPERLINK \l "_Toc203596234" </w:instrText>
          </w:r>
          <w:r>
            <w:fldChar w:fldCharType="separate"/>
          </w:r>
          <w:r>
            <w:rPr>
              <w:rStyle w:val="17"/>
            </w:rPr>
            <w:t>4.4.8 Impact of Cost Estimation Errors on Agro-Processing Project Success</w:t>
          </w:r>
          <w:r>
            <w:tab/>
          </w:r>
          <w:r>
            <w:fldChar w:fldCharType="begin"/>
          </w:r>
          <w:r>
            <w:instrText xml:space="preserve"> PAGEREF _Toc203596234 \h </w:instrText>
          </w:r>
          <w:r>
            <w:fldChar w:fldCharType="separate"/>
          </w:r>
          <w:r>
            <w:t>57</w:t>
          </w:r>
          <w:r>
            <w:fldChar w:fldCharType="end"/>
          </w:r>
          <w:r>
            <w:fldChar w:fldCharType="end"/>
          </w:r>
        </w:p>
        <w:p w14:paraId="51ABB03A">
          <w:pPr>
            <w:pStyle w:val="24"/>
            <w:tabs>
              <w:tab w:val="right" w:leader="dot" w:pos="9350"/>
            </w:tabs>
            <w:rPr>
              <w:kern w:val="2"/>
              <w:sz w:val="24"/>
              <w:szCs w:val="24"/>
              <w14:ligatures w14:val="standardContextual"/>
            </w:rPr>
          </w:pPr>
          <w:r>
            <w:fldChar w:fldCharType="begin"/>
          </w:r>
          <w:r>
            <w:instrText xml:space="preserve"> HYPERLINK \l "_Toc203596235" </w:instrText>
          </w:r>
          <w:r>
            <w:fldChar w:fldCharType="separate"/>
          </w:r>
          <w:r>
            <w:rPr>
              <w:rStyle w:val="17"/>
              <w:lang w:val="en-GB"/>
            </w:rPr>
            <w:t xml:space="preserve">4.4.9 </w:t>
          </w:r>
          <w:r>
            <w:rPr>
              <w:rStyle w:val="17"/>
            </w:rPr>
            <w:t>Factors Limiting the Involvement of Quantity Surveyors in Agricultural Processing Plant Projects</w:t>
          </w:r>
          <w:r>
            <w:tab/>
          </w:r>
          <w:r>
            <w:fldChar w:fldCharType="begin"/>
          </w:r>
          <w:r>
            <w:instrText xml:space="preserve"> PAGEREF _Toc203596235 \h </w:instrText>
          </w:r>
          <w:r>
            <w:fldChar w:fldCharType="separate"/>
          </w:r>
          <w:r>
            <w:t>59</w:t>
          </w:r>
          <w:r>
            <w:fldChar w:fldCharType="end"/>
          </w:r>
          <w:r>
            <w:fldChar w:fldCharType="end"/>
          </w:r>
        </w:p>
        <w:p w14:paraId="42948FBD">
          <w:pPr>
            <w:pStyle w:val="23"/>
            <w:tabs>
              <w:tab w:val="right" w:leader="dot" w:pos="9350"/>
            </w:tabs>
            <w:rPr>
              <w:kern w:val="2"/>
              <w:sz w:val="24"/>
              <w:szCs w:val="24"/>
              <w14:ligatures w14:val="standardContextual"/>
            </w:rPr>
          </w:pPr>
          <w:r>
            <w:fldChar w:fldCharType="begin"/>
          </w:r>
          <w:r>
            <w:instrText xml:space="preserve"> HYPERLINK \l "_Toc203596236" </w:instrText>
          </w:r>
          <w:r>
            <w:fldChar w:fldCharType="separate"/>
          </w:r>
          <w:r>
            <w:rPr>
              <w:rStyle w:val="17"/>
            </w:rPr>
            <w:t>4.5 Discussion of Findings</w:t>
          </w:r>
          <w:r>
            <w:tab/>
          </w:r>
          <w:r>
            <w:fldChar w:fldCharType="begin"/>
          </w:r>
          <w:r>
            <w:instrText xml:space="preserve"> PAGEREF _Toc203596236 \h </w:instrText>
          </w:r>
          <w:r>
            <w:fldChar w:fldCharType="separate"/>
          </w:r>
          <w:r>
            <w:t>60</w:t>
          </w:r>
          <w:r>
            <w:fldChar w:fldCharType="end"/>
          </w:r>
          <w:r>
            <w:fldChar w:fldCharType="end"/>
          </w:r>
        </w:p>
        <w:p w14:paraId="585B2A5D">
          <w:pPr>
            <w:pStyle w:val="22"/>
            <w:tabs>
              <w:tab w:val="right" w:leader="dot" w:pos="9350"/>
            </w:tabs>
            <w:rPr>
              <w:kern w:val="2"/>
              <w:sz w:val="24"/>
              <w:szCs w:val="24"/>
              <w14:ligatures w14:val="standardContextual"/>
            </w:rPr>
          </w:pPr>
          <w:r>
            <w:fldChar w:fldCharType="begin"/>
          </w:r>
          <w:r>
            <w:instrText xml:space="preserve"> HYPERLINK \l "_Toc203596237" </w:instrText>
          </w:r>
          <w:r>
            <w:fldChar w:fldCharType="separate"/>
          </w:r>
          <w:r>
            <w:rPr>
              <w:rStyle w:val="17"/>
            </w:rPr>
            <w:t>CHAPTER FIVE</w:t>
          </w:r>
          <w:r>
            <w:tab/>
          </w:r>
          <w:r>
            <w:fldChar w:fldCharType="begin"/>
          </w:r>
          <w:r>
            <w:instrText xml:space="preserve"> PAGEREF _Toc203596237 \h </w:instrText>
          </w:r>
          <w:r>
            <w:fldChar w:fldCharType="separate"/>
          </w:r>
          <w:r>
            <w:t>63</w:t>
          </w:r>
          <w:r>
            <w:fldChar w:fldCharType="end"/>
          </w:r>
          <w:r>
            <w:fldChar w:fldCharType="end"/>
          </w:r>
        </w:p>
        <w:p w14:paraId="3C75106C">
          <w:pPr>
            <w:pStyle w:val="22"/>
            <w:tabs>
              <w:tab w:val="right" w:leader="dot" w:pos="9350"/>
            </w:tabs>
            <w:rPr>
              <w:kern w:val="2"/>
              <w:sz w:val="24"/>
              <w:szCs w:val="24"/>
              <w14:ligatures w14:val="standardContextual"/>
            </w:rPr>
          </w:pPr>
          <w:r>
            <w:fldChar w:fldCharType="begin"/>
          </w:r>
          <w:r>
            <w:instrText xml:space="preserve"> HYPERLINK \l "_Toc203596238" </w:instrText>
          </w:r>
          <w:r>
            <w:fldChar w:fldCharType="separate"/>
          </w:r>
          <w:r>
            <w:rPr>
              <w:rStyle w:val="17"/>
            </w:rPr>
            <w:t>SUMMARY, CONCLUSION, AND RECOMMENDATIONS</w:t>
          </w:r>
          <w:r>
            <w:tab/>
          </w:r>
          <w:r>
            <w:fldChar w:fldCharType="begin"/>
          </w:r>
          <w:r>
            <w:instrText xml:space="preserve"> PAGEREF _Toc203596238 \h </w:instrText>
          </w:r>
          <w:r>
            <w:fldChar w:fldCharType="separate"/>
          </w:r>
          <w:r>
            <w:t>63</w:t>
          </w:r>
          <w:r>
            <w:fldChar w:fldCharType="end"/>
          </w:r>
          <w:r>
            <w:fldChar w:fldCharType="end"/>
          </w:r>
        </w:p>
        <w:p w14:paraId="7203C284">
          <w:pPr>
            <w:pStyle w:val="23"/>
            <w:tabs>
              <w:tab w:val="right" w:leader="dot" w:pos="9350"/>
            </w:tabs>
            <w:rPr>
              <w:kern w:val="2"/>
              <w:sz w:val="24"/>
              <w:szCs w:val="24"/>
              <w14:ligatures w14:val="standardContextual"/>
            </w:rPr>
          </w:pPr>
          <w:r>
            <w:fldChar w:fldCharType="begin"/>
          </w:r>
          <w:r>
            <w:instrText xml:space="preserve"> HYPERLINK \l "_Toc203596239" </w:instrText>
          </w:r>
          <w:r>
            <w:fldChar w:fldCharType="separate"/>
          </w:r>
          <w:r>
            <w:rPr>
              <w:rStyle w:val="17"/>
            </w:rPr>
            <w:t>5.1 Summary of Findings</w:t>
          </w:r>
          <w:r>
            <w:tab/>
          </w:r>
          <w:r>
            <w:fldChar w:fldCharType="begin"/>
          </w:r>
          <w:r>
            <w:instrText xml:space="preserve"> PAGEREF _Toc203596239 \h </w:instrText>
          </w:r>
          <w:r>
            <w:fldChar w:fldCharType="separate"/>
          </w:r>
          <w:r>
            <w:rPr>
              <w:b/>
              <w:bCs/>
            </w:rPr>
            <w:t>Error! Bookmark not defined.</w:t>
          </w:r>
          <w:r>
            <w:fldChar w:fldCharType="end"/>
          </w:r>
          <w:r>
            <w:fldChar w:fldCharType="end"/>
          </w:r>
        </w:p>
        <w:p w14:paraId="154A4681">
          <w:pPr>
            <w:pStyle w:val="23"/>
            <w:tabs>
              <w:tab w:val="right" w:leader="dot" w:pos="9350"/>
            </w:tabs>
            <w:rPr>
              <w:kern w:val="2"/>
              <w:sz w:val="24"/>
              <w:szCs w:val="24"/>
              <w14:ligatures w14:val="standardContextual"/>
            </w:rPr>
          </w:pPr>
          <w:r>
            <w:fldChar w:fldCharType="begin"/>
          </w:r>
          <w:r>
            <w:instrText xml:space="preserve"> HYPERLINK \l "_Toc203596240" </w:instrText>
          </w:r>
          <w:r>
            <w:fldChar w:fldCharType="separate"/>
          </w:r>
          <w:r>
            <w:rPr>
              <w:rStyle w:val="17"/>
            </w:rPr>
            <w:t>5.2 Conclusion</w:t>
          </w:r>
          <w:r>
            <w:tab/>
          </w:r>
          <w:r>
            <w:fldChar w:fldCharType="begin"/>
          </w:r>
          <w:r>
            <w:instrText xml:space="preserve"> PAGEREF _Toc203596240 \h </w:instrText>
          </w:r>
          <w:r>
            <w:fldChar w:fldCharType="separate"/>
          </w:r>
          <w:r>
            <w:t>63</w:t>
          </w:r>
          <w:r>
            <w:fldChar w:fldCharType="end"/>
          </w:r>
          <w:r>
            <w:fldChar w:fldCharType="end"/>
          </w:r>
        </w:p>
        <w:p w14:paraId="5D7F82C7">
          <w:pPr>
            <w:pStyle w:val="23"/>
            <w:tabs>
              <w:tab w:val="right" w:leader="dot" w:pos="9350"/>
            </w:tabs>
            <w:rPr>
              <w:kern w:val="2"/>
              <w:sz w:val="24"/>
              <w:szCs w:val="24"/>
              <w14:ligatures w14:val="standardContextual"/>
            </w:rPr>
          </w:pPr>
          <w:r>
            <w:fldChar w:fldCharType="begin"/>
          </w:r>
          <w:r>
            <w:instrText xml:space="preserve"> HYPERLINK \l "_Toc203596241" </w:instrText>
          </w:r>
          <w:r>
            <w:fldChar w:fldCharType="separate"/>
          </w:r>
          <w:r>
            <w:rPr>
              <w:rStyle w:val="17"/>
            </w:rPr>
            <w:t>5.3 Recommendations</w:t>
          </w:r>
          <w:r>
            <w:tab/>
          </w:r>
          <w:r>
            <w:fldChar w:fldCharType="begin"/>
          </w:r>
          <w:r>
            <w:instrText xml:space="preserve"> PAGEREF _Toc203596241 \h </w:instrText>
          </w:r>
          <w:r>
            <w:fldChar w:fldCharType="separate"/>
          </w:r>
          <w:r>
            <w:t>63</w:t>
          </w:r>
          <w:r>
            <w:fldChar w:fldCharType="end"/>
          </w:r>
          <w:r>
            <w:fldChar w:fldCharType="end"/>
          </w:r>
        </w:p>
        <w:p w14:paraId="7FC8E3CE">
          <w:pPr>
            <w:pStyle w:val="23"/>
            <w:tabs>
              <w:tab w:val="right" w:leader="dot" w:pos="9350"/>
            </w:tabs>
            <w:rPr>
              <w:kern w:val="2"/>
              <w:sz w:val="24"/>
              <w:szCs w:val="24"/>
              <w14:ligatures w14:val="standardContextual"/>
            </w:rPr>
          </w:pPr>
          <w:r>
            <w:fldChar w:fldCharType="begin"/>
          </w:r>
          <w:r>
            <w:instrText xml:space="preserve"> HYPERLINK \l "_Toc203596242" </w:instrText>
          </w:r>
          <w:r>
            <w:fldChar w:fldCharType="separate"/>
          </w:r>
          <w:r>
            <w:rPr>
              <w:rStyle w:val="17"/>
            </w:rPr>
            <w:t>5.4 Suggestions for Further Studies</w:t>
          </w:r>
          <w:r>
            <w:tab/>
          </w:r>
          <w:r>
            <w:fldChar w:fldCharType="begin"/>
          </w:r>
          <w:r>
            <w:instrText xml:space="preserve"> PAGEREF _Toc203596242 \h </w:instrText>
          </w:r>
          <w:r>
            <w:fldChar w:fldCharType="separate"/>
          </w:r>
          <w:r>
            <w:t>64</w:t>
          </w:r>
          <w:r>
            <w:fldChar w:fldCharType="end"/>
          </w:r>
          <w:r>
            <w:fldChar w:fldCharType="end"/>
          </w:r>
        </w:p>
        <w:p w14:paraId="58D85C08">
          <w:pPr>
            <w:pStyle w:val="22"/>
            <w:tabs>
              <w:tab w:val="right" w:leader="dot" w:pos="9350"/>
            </w:tabs>
            <w:rPr>
              <w:kern w:val="2"/>
              <w:sz w:val="24"/>
              <w:szCs w:val="24"/>
              <w14:ligatures w14:val="standardContextual"/>
            </w:rPr>
          </w:pPr>
          <w:r>
            <w:fldChar w:fldCharType="begin"/>
          </w:r>
          <w:r>
            <w:instrText xml:space="preserve"> HYPERLINK \l "_Toc203596243" </w:instrText>
          </w:r>
          <w:r>
            <w:fldChar w:fldCharType="separate"/>
          </w:r>
          <w:r>
            <w:rPr>
              <w:rStyle w:val="17"/>
            </w:rPr>
            <w:t>References</w:t>
          </w:r>
          <w:r>
            <w:tab/>
          </w:r>
          <w:r>
            <w:fldChar w:fldCharType="begin"/>
          </w:r>
          <w:r>
            <w:instrText xml:space="preserve"> PAGEREF _Toc203596243 \h </w:instrText>
          </w:r>
          <w:r>
            <w:fldChar w:fldCharType="separate"/>
          </w:r>
          <w:r>
            <w:t>65</w:t>
          </w:r>
          <w:r>
            <w:fldChar w:fldCharType="end"/>
          </w:r>
          <w:r>
            <w:fldChar w:fldCharType="end"/>
          </w:r>
        </w:p>
        <w:p w14:paraId="7F4F8508">
          <w:pPr>
            <w:pStyle w:val="22"/>
            <w:tabs>
              <w:tab w:val="right" w:leader="dot" w:pos="9350"/>
            </w:tabs>
            <w:rPr>
              <w:kern w:val="2"/>
              <w:sz w:val="24"/>
              <w:szCs w:val="24"/>
              <w14:ligatures w14:val="standardContextual"/>
            </w:rPr>
          </w:pPr>
          <w:r>
            <w:fldChar w:fldCharType="begin"/>
          </w:r>
          <w:r>
            <w:instrText xml:space="preserve"> HYPERLINK \l "_Toc203596244" </w:instrText>
          </w:r>
          <w:r>
            <w:fldChar w:fldCharType="separate"/>
          </w:r>
          <w:r>
            <w:rPr>
              <w:rStyle w:val="17"/>
            </w:rPr>
            <w:t>Appendix</w:t>
          </w:r>
          <w:r>
            <w:tab/>
          </w:r>
          <w:r>
            <w:fldChar w:fldCharType="begin"/>
          </w:r>
          <w:r>
            <w:instrText xml:space="preserve"> PAGEREF _Toc203596244 \h </w:instrText>
          </w:r>
          <w:r>
            <w:fldChar w:fldCharType="separate"/>
          </w:r>
          <w:r>
            <w:t>68</w:t>
          </w:r>
          <w:r>
            <w:fldChar w:fldCharType="end"/>
          </w:r>
          <w:r>
            <w:fldChar w:fldCharType="end"/>
          </w:r>
        </w:p>
        <w:p w14:paraId="6E9536FB">
          <w:pPr>
            <w:spacing w:line="360" w:lineRule="auto"/>
            <w:rPr>
              <w:bCs/>
            </w:rPr>
          </w:pPr>
          <w:r>
            <w:rPr>
              <w:b/>
              <w:bCs/>
            </w:rPr>
            <w:fldChar w:fldCharType="end"/>
          </w:r>
        </w:p>
      </w:sdtContent>
    </w:sdt>
    <w:p w14:paraId="286978BA">
      <w:pPr>
        <w:pStyle w:val="2"/>
        <w:rPr>
          <w:bCs/>
          <w:i/>
          <w:iCs/>
          <w:sz w:val="32"/>
        </w:rPr>
      </w:pPr>
      <w:bookmarkStart w:id="14" w:name="_Toc203596139"/>
      <w:r>
        <w:t>CHAPTER ONE</w:t>
      </w:r>
      <w:bookmarkEnd w:id="14"/>
    </w:p>
    <w:p w14:paraId="53783295">
      <w:pPr>
        <w:pStyle w:val="2"/>
      </w:pPr>
      <w:bookmarkStart w:id="15" w:name="_Toc203596140"/>
      <w:r>
        <w:t>INTRODUCTION</w:t>
      </w:r>
      <w:bookmarkEnd w:id="15"/>
    </w:p>
    <w:p w14:paraId="453961C9">
      <w:pPr>
        <w:pStyle w:val="34"/>
        <w:spacing w:line="360" w:lineRule="auto"/>
        <w:ind w:left="0"/>
        <w:rPr>
          <w:rFonts w:ascii="Times New Roman" w:hAnsi="Times New Roman" w:cs="Times New Roman"/>
          <w:b/>
          <w:sz w:val="24"/>
          <w:szCs w:val="24"/>
        </w:rPr>
      </w:pPr>
    </w:p>
    <w:p w14:paraId="456925D3">
      <w:pPr>
        <w:pStyle w:val="3"/>
      </w:pPr>
      <w:bookmarkStart w:id="16" w:name="_Toc203596141"/>
      <w:r>
        <w:rPr>
          <w:rStyle w:val="19"/>
          <w:b w:val="0"/>
          <w:bCs w:val="0"/>
        </w:rPr>
        <w:t>1.1 Background to the Study</w:t>
      </w:r>
      <w:bookmarkEnd w:id="16"/>
    </w:p>
    <w:p w14:paraId="6DDCE644">
      <w:pPr>
        <w:pStyle w:val="18"/>
        <w:spacing w:line="360" w:lineRule="auto"/>
        <w:ind w:firstLine="720"/>
        <w:jc w:val="both"/>
      </w:pPr>
      <w:r>
        <w:t>Agriculture remains a key driver of economic growth in many nations, particularly in developing economies where it contributes significantly to employment, food security, and industrial raw materials (FAO, 2021). However, the sector faces challenges related to post-harvest losses, low productivity, and limited value addition. Agricultural processing plants serve as a crucial intervention by transforming raw agricultural products into finished goods, thereby increasing their market value and reducing waste (Ogunlana et al., 2018). These plants require substantial financial investment in infrastructure, machinery, and operational costs, making economic viability a major concern for stakeholders.</w:t>
      </w:r>
    </w:p>
    <w:p w14:paraId="4E7ABE01">
      <w:pPr>
        <w:pStyle w:val="18"/>
        <w:spacing w:line="360" w:lineRule="auto"/>
        <w:ind w:firstLine="720"/>
        <w:jc w:val="both"/>
      </w:pPr>
      <w:r>
        <w:t>The successful establishment and operation of agricultural processing plants depend on several factors, including cost management, risk assessment, and return on investment analysis. Quantity surveyors, traditionally associated with cost control in the construction industry, possess specialized skills in financial planning, cost estimation, and economic evaluation, which are crucial for determining the feasibility of such projects (Shehu, 2023). Their role extends beyond budgeting for infrastructure to include lifecycle costing, procurement strategies, and investment risk assessment, ensuring that agricultural processing plants remain financially sustainable (Smith &amp; Brown, 2020).</w:t>
      </w:r>
    </w:p>
    <w:p w14:paraId="55D81D94">
      <w:pPr>
        <w:pStyle w:val="18"/>
        <w:spacing w:line="360" w:lineRule="auto"/>
        <w:ind w:firstLine="720"/>
        <w:jc w:val="both"/>
      </w:pPr>
      <w:r>
        <w:t>Globally, agricultural processing plants have contributed significantly to economic growth in countries like China, Brazil, and the Netherlands, where structured financial planning and cost control mechanisms have played a key role in their success (Chen &amp; Zhang, 2021). In contrast, in many African nations, the lack of proper cost estimation and financial oversight has led to failed agro-processing initiatives, resulting in wasted investments and abandoned projects (Johnson &amp; Evans, 2018). This further highlights the need for expert involvement in economic feasibility assessments, particularly from quantity surveyors.</w:t>
      </w:r>
    </w:p>
    <w:p w14:paraId="5EF3A236">
      <w:pPr>
        <w:pStyle w:val="18"/>
        <w:spacing w:line="360" w:lineRule="auto"/>
        <w:ind w:firstLine="720"/>
        <w:jc w:val="both"/>
      </w:pPr>
      <w:r>
        <w:t xml:space="preserve">In Nigeria, the agricultural sector has received increasing government and private sector support, with initiatives such as the Agricultural Transformation Agenda (ATA) and the Anchor Borrowers' Program aimed at boosting productivity and value addition (NBS, 2022). However, many agricultural processing plants still struggle with financial mismanagement, high operational costs, and inadequate risk assessment, leading to premature closure </w:t>
      </w:r>
      <w:bookmarkStart w:id="17" w:name="_Hlk201938744"/>
      <w:r>
        <w:t>(Mwangi &amp; Otieno, 2019).</w:t>
      </w:r>
      <w:bookmarkEnd w:id="17"/>
      <w:r>
        <w:t xml:space="preserve"> The involvement of quantity surveyors in assessing project viability can bridge this gap by ensuring that financial projections align with real-world economic conditions.</w:t>
      </w:r>
    </w:p>
    <w:p w14:paraId="74B6C646">
      <w:pPr>
        <w:pStyle w:val="18"/>
        <w:spacing w:line="360" w:lineRule="auto"/>
        <w:ind w:firstLine="720"/>
        <w:jc w:val="both"/>
      </w:pPr>
      <w:r>
        <w:t>This study seeks to explore the role of quantity surveyors in assessing the economic viability of agricultural processing plants, focusing on cost estimation, risk assessment, and financial planning. By highlighting their contributions, this research aims to provide valuable insights into improving the success rate of agro</w:t>
      </w:r>
      <w:r>
        <w:tab/>
      </w:r>
      <w:r>
        <w:t>-processing investments, ensuring sustainable agricultural development and economic growth.</w:t>
      </w:r>
    </w:p>
    <w:p w14:paraId="22E16DF5">
      <w:pPr>
        <w:pStyle w:val="3"/>
      </w:pPr>
      <w:bookmarkStart w:id="18" w:name="_Toc203596142"/>
      <w:r>
        <w:rPr>
          <w:rStyle w:val="19"/>
          <w:b w:val="0"/>
          <w:bCs w:val="0"/>
        </w:rPr>
        <w:t>1.2 Statement of Research Problems</w:t>
      </w:r>
      <w:bookmarkEnd w:id="18"/>
    </w:p>
    <w:p w14:paraId="3D4413AA">
      <w:pPr>
        <w:pStyle w:val="18"/>
        <w:spacing w:line="360" w:lineRule="auto"/>
        <w:ind w:firstLine="720"/>
        <w:jc w:val="both"/>
      </w:pPr>
      <w:r>
        <w:t>Agricultural processing plants are vital for enhancing food security, reducing post-harvest losses, and stimulating economic growth, particularly in developing economies where agriculture contributes significantly to GDP (FAO, 2021). However, despite their potential benefits, many agro-processing projects fail due to poor financial planning, inaccurate cost estimation, and ineffective risk assessment (Johnson &amp; Evans, 2018). The high capital investment required for infrastructure, machinery, and operations further complicates the viability of such projects, making it necessary to conduct a thorough economic evaluation before investment (Mwangi &amp; Otieno, 2019).</w:t>
      </w:r>
    </w:p>
    <w:p w14:paraId="77B33B6B">
      <w:pPr>
        <w:pStyle w:val="18"/>
        <w:spacing w:line="360" w:lineRule="auto"/>
        <w:ind w:firstLine="720"/>
        <w:jc w:val="both"/>
      </w:pPr>
      <w:r>
        <w:t>Quantity surveyors, as experts in cost estimation, budgeting, and financial control, play a critical role in ensuring the success of large-scale projects (Shehu, 2023). However, their expertise is predominantly applied in the construction sector, leaving their contributions to agricultural processing plants largely underutilized (Smith &amp; Brown, 2020). In Nigeria and many other developing nations, numerous agro-processing projects have been abandoned due to budget overruns, improper financial feasibility studies, and inefficient resource allocation (Ogunlana et al., 2018). The lack of professional cost management in these projects often results in unsustainable investments, leading to financial losses and wasted resources.</w:t>
      </w:r>
    </w:p>
    <w:p w14:paraId="31FB6FD5">
      <w:pPr>
        <w:pStyle w:val="18"/>
        <w:spacing w:line="360" w:lineRule="auto"/>
        <w:ind w:left="720" w:firstLine="720"/>
        <w:jc w:val="both"/>
      </w:pPr>
      <w:r>
        <w:t>Given these challenges, it is imperative to explore how the involvement of quantity surveyors can enhance the financial sustainability of agricultural processing plants. This study aims to bridge this gap by investigating the role of quantity surveyors in assessing economic viability, with a particular focus on cost estimation, financial planning, and risk management. By understanding their potential contributions, stakeholders can adopt more effective financial strategies to ensure the long-term success of agro-processing projects.</w:t>
      </w:r>
    </w:p>
    <w:p w14:paraId="15FE10E1">
      <w:pPr>
        <w:pStyle w:val="3"/>
      </w:pPr>
      <w:bookmarkStart w:id="19" w:name="_Toc203596143"/>
      <w:r>
        <w:rPr>
          <w:rStyle w:val="19"/>
          <w:b w:val="0"/>
          <w:bCs w:val="0"/>
        </w:rPr>
        <w:t>1.3 Research Questions</w:t>
      </w:r>
      <w:bookmarkEnd w:id="19"/>
    </w:p>
    <w:p w14:paraId="4EDA3AB0">
      <w:pPr>
        <w:pStyle w:val="18"/>
        <w:spacing w:line="360" w:lineRule="auto"/>
        <w:jc w:val="both"/>
      </w:pPr>
      <w:r>
        <w:t>To achieve the objectives of this study, the following research questions were formulated:</w:t>
      </w:r>
    </w:p>
    <w:p w14:paraId="250A5F8F">
      <w:pPr>
        <w:pStyle w:val="34"/>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key financial challenges faced in the development of agricultural processing plants?</w:t>
      </w:r>
    </w:p>
    <w:p w14:paraId="1A00C0D3">
      <w:pPr>
        <w:pStyle w:val="34"/>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How can quantity surveyors contribute to assessing the economic viability of agro-processing projects?</w:t>
      </w:r>
    </w:p>
    <w:p w14:paraId="29F22A42">
      <w:pPr>
        <w:pStyle w:val="34"/>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What cost estimation techniques do quantity surveyors apply in evaluating agricultural processing plants?</w:t>
      </w:r>
    </w:p>
    <w:p w14:paraId="6509A612">
      <w:pPr>
        <w:pStyle w:val="34"/>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factors limiting the involvement of quantity surveyors in the agricultural sector?</w:t>
      </w:r>
    </w:p>
    <w:p w14:paraId="6DECBE9C">
      <w:pPr>
        <w:pStyle w:val="3"/>
        <w:rPr>
          <w:rStyle w:val="19"/>
          <w:b w:val="0"/>
          <w:bCs w:val="0"/>
        </w:rPr>
      </w:pPr>
      <w:bookmarkStart w:id="20" w:name="_Toc203596144"/>
      <w:r>
        <w:rPr>
          <w:rStyle w:val="19"/>
          <w:b w:val="0"/>
          <w:bCs w:val="0"/>
        </w:rPr>
        <w:t>1.4 Aim and Objectives</w:t>
      </w:r>
      <w:bookmarkEnd w:id="20"/>
      <w:r>
        <w:rPr>
          <w:rStyle w:val="19"/>
          <w:b w:val="0"/>
          <w:bCs w:val="0"/>
        </w:rPr>
        <w:t xml:space="preserve"> </w:t>
      </w:r>
    </w:p>
    <w:p w14:paraId="0A14AD48">
      <w:pPr>
        <w:pStyle w:val="4"/>
        <w:rPr>
          <w:rStyle w:val="19"/>
          <w:b w:val="0"/>
          <w:bCs w:val="0"/>
        </w:rPr>
      </w:pPr>
      <w:bookmarkStart w:id="21" w:name="_Toc203596145"/>
      <w:r>
        <w:rPr>
          <w:rStyle w:val="19"/>
          <w:b w:val="0"/>
          <w:bCs w:val="0"/>
        </w:rPr>
        <w:t>1.4.1 Aim</w:t>
      </w:r>
      <w:bookmarkEnd w:id="21"/>
    </w:p>
    <w:p w14:paraId="652D73C5">
      <w:pPr>
        <w:pStyle w:val="31"/>
        <w:spacing w:line="360" w:lineRule="auto"/>
        <w:jc w:val="both"/>
        <w:rPr>
          <w:rStyle w:val="19"/>
          <w:rFonts w:ascii="Times New Roman" w:hAnsi="Times New Roman" w:cs="Times New Roman"/>
          <w:b w:val="0"/>
          <w:bCs w:val="0"/>
          <w:sz w:val="24"/>
          <w:szCs w:val="24"/>
        </w:rPr>
      </w:pPr>
      <w:r>
        <w:rPr>
          <w:rFonts w:ascii="Times New Roman" w:hAnsi="Times New Roman" w:cs="Times New Roman"/>
          <w:sz w:val="24"/>
          <w:szCs w:val="24"/>
        </w:rPr>
        <w:t>The aim of this study is to investigate the role of quantity surveyors in assessing the economic ability of agricultural processing plants to ensure long term success of processing plants</w:t>
      </w:r>
    </w:p>
    <w:p w14:paraId="2CD7B7DF">
      <w:pPr>
        <w:pStyle w:val="4"/>
        <w:rPr>
          <w:rStyle w:val="19"/>
          <w:b w:val="0"/>
          <w:bCs w:val="0"/>
        </w:rPr>
      </w:pPr>
      <w:bookmarkStart w:id="22" w:name="_Toc203596146"/>
      <w:r>
        <w:rPr>
          <w:rStyle w:val="19"/>
          <w:b w:val="0"/>
          <w:bCs w:val="0"/>
        </w:rPr>
        <w:t>1.4.2 Objectives of the Study</w:t>
      </w:r>
      <w:bookmarkEnd w:id="22"/>
    </w:p>
    <w:p w14:paraId="6019BEFA">
      <w:pPr>
        <w:pStyle w:val="4"/>
      </w:pPr>
      <w:bookmarkStart w:id="23" w:name="_Toc203596147"/>
      <w:r>
        <w:t>To achieve the aim of this study, the following objectives have been outlined:</w:t>
      </w:r>
      <w:bookmarkEnd w:id="23"/>
    </w:p>
    <w:p w14:paraId="56C060EC">
      <w:pPr>
        <w:numPr>
          <w:ilvl w:val="0"/>
          <w:numId w:val="2"/>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To identify the key financial challenges faced in the development and operation of agricultural processing plants.</w:t>
      </w:r>
    </w:p>
    <w:p w14:paraId="2D53315A">
      <w:pPr>
        <w:numPr>
          <w:ilvl w:val="0"/>
          <w:numId w:val="2"/>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To examine the role of quantity surveyors in assessing the economic viability of agro-processing projects.</w:t>
      </w:r>
    </w:p>
    <w:p w14:paraId="6B990795">
      <w:pPr>
        <w:numPr>
          <w:ilvl w:val="0"/>
          <w:numId w:val="2"/>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To evaluate the cost estimation techniques used by quantity surveyors in agricultural processing plant projects.</w:t>
      </w:r>
    </w:p>
    <w:p w14:paraId="3FFCF36D">
      <w:pPr>
        <w:numPr>
          <w:ilvl w:val="0"/>
          <w:numId w:val="2"/>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To investigate the factors limiting the involvement of quantity surveyors in the agricultural sector.</w:t>
      </w:r>
    </w:p>
    <w:p w14:paraId="66137D7A">
      <w:pPr>
        <w:pStyle w:val="3"/>
      </w:pPr>
      <w:bookmarkStart w:id="24" w:name="_Toc203596148"/>
      <w:r>
        <w:rPr>
          <w:rStyle w:val="19"/>
          <w:b w:val="0"/>
          <w:bCs w:val="0"/>
        </w:rPr>
        <w:t>1.5 Scope and Limitation</w:t>
      </w:r>
      <w:bookmarkEnd w:id="24"/>
    </w:p>
    <w:p w14:paraId="64F81C88">
      <w:pPr>
        <w:pStyle w:val="18"/>
        <w:spacing w:line="360" w:lineRule="auto"/>
        <w:ind w:firstLine="720"/>
        <w:jc w:val="both"/>
      </w:pPr>
      <w:r>
        <w:t>This study focuses on investigating the role of quantity surveyors in assessing the economic viability of agricultural processing plants. It examines the contributions of quantity surveying professionals in financial planning, cost estimation, and risk management within the agro-processing sector. The research will explore various aspects of economic viability, including budgeting, lifecycle cost analysis, feasibility studies, and investment sustainability, with a particular emphasis on how quantity surveyors apply their expertise to mitigate financial risks and optimize resource allocation.</w:t>
      </w:r>
    </w:p>
    <w:p w14:paraId="1D6B7EDA">
      <w:pPr>
        <w:pStyle w:val="18"/>
        <w:spacing w:line="360" w:lineRule="auto"/>
        <w:ind w:firstLine="720"/>
        <w:jc w:val="both"/>
      </w:pPr>
      <w:r>
        <w:t>The study will cover agricultural processing plants of different scales, including small, medium, and large-scale facilities, to determine how financial assessment techniques vary across different project sizes. It will investigate case studies of successful and unsuccessful agro-processing projects to understand the financial pitfalls that lead to project abandonment or inefficiencies. Additionally, the study will examine the cost control measures, procurement strategies, and financial risk mitigation techniques used in the development of agro-processing plants.</w:t>
      </w:r>
    </w:p>
    <w:p w14:paraId="3FEE24D2">
      <w:pPr>
        <w:pStyle w:val="18"/>
        <w:spacing w:line="360" w:lineRule="auto"/>
        <w:ind w:firstLine="720"/>
        <w:jc w:val="both"/>
      </w:pPr>
      <w:r>
        <w:t>Geographically, the study will focus primarily on Kaduna state, given the state strong agricultural base and growing need for agro-processing infrastructure. However, references will be made to international best practices to provide a broader perspective on the role of quantity surveyors in agricultural projects. The research will include insights from industry professionals, including quantity surveyors, agricultural economists, project managers, and investors, to develop a well-rounded analysis of the subject matter.</w:t>
      </w:r>
    </w:p>
    <w:p w14:paraId="2E076BE6">
      <w:pPr>
        <w:pStyle w:val="18"/>
        <w:spacing w:line="360" w:lineRule="auto"/>
        <w:ind w:firstLine="720"/>
        <w:jc w:val="both"/>
      </w:pPr>
      <w:r>
        <w:t>Furthermore, the study will explore the impact of government policies and regulatory frameworks on the financial planning of agricultural processing plants. It will assess how policy decisions, such as subsidies, tariffs, and incentives, influence project viability and determine whether government intervention plays a significant role in the success of agro-processing ventures.</w:t>
      </w:r>
    </w:p>
    <w:p w14:paraId="6DC327B3">
      <w:pPr>
        <w:pStyle w:val="18"/>
        <w:spacing w:line="360" w:lineRule="auto"/>
        <w:ind w:firstLine="720"/>
        <w:jc w:val="both"/>
      </w:pPr>
      <w:r>
        <w:t>The study will also investigate the technological advancements affecting financial planning in agro-processing projects, including the use of modern software tools for cost estimation and risk assessment. It will analyze how digital solutions, such as Building Information Modeling (BIM) and cost management software, can improve the accuracy of financial projections and optimize cost control strategies in the agricultural sector.</w:t>
      </w:r>
    </w:p>
    <w:p w14:paraId="0E902381">
      <w:pPr>
        <w:pStyle w:val="18"/>
        <w:spacing w:line="360" w:lineRule="auto"/>
        <w:jc w:val="both"/>
      </w:pPr>
      <w:r>
        <w:t>By the end of this research, practical recommendations will be provided on how to enhance the integration of quantity surveying expertise into agro-processing projects to improve financial sustainability and investment success.</w:t>
      </w:r>
    </w:p>
    <w:p w14:paraId="4AAED525">
      <w:pPr>
        <w:pStyle w:val="3"/>
      </w:pPr>
      <w:bookmarkStart w:id="25" w:name="_Toc203596149"/>
      <w:r>
        <w:rPr>
          <w:rStyle w:val="19"/>
          <w:b w:val="0"/>
          <w:bCs w:val="0"/>
        </w:rPr>
        <w:t>1.5 Justification for the Study</w:t>
      </w:r>
      <w:bookmarkEnd w:id="25"/>
    </w:p>
    <w:p w14:paraId="3033B8A5">
      <w:pPr>
        <w:pStyle w:val="18"/>
        <w:spacing w:line="360" w:lineRule="auto"/>
        <w:ind w:firstLine="720"/>
        <w:jc w:val="both"/>
      </w:pPr>
      <w:r>
        <w:t>Agricultural processing plants play a critical role in food production, preservation, and value addition, contributing significantly to economic growth, food security, and job creation. However, many of these projects fail due to poor financial planning, budget overruns, and inefficient resource management. This study is justified by the need to examine how quantity surveyors, as experts in cost estimation, financial planning, and risk assessment, can contribute to the economic viability and sustainability of agro-processing plants.</w:t>
      </w:r>
    </w:p>
    <w:p w14:paraId="4B3F615D">
      <w:pPr>
        <w:pStyle w:val="18"/>
        <w:spacing w:line="360" w:lineRule="auto"/>
        <w:ind w:firstLine="720"/>
        <w:jc w:val="both"/>
      </w:pPr>
      <w:r>
        <w:t>One major reason for this study is the increasing global emphasis on agro-business as a means of economic diversification, particularly in developing countries like Nigeria, where agriculture remains a dominant sector. Despite government efforts to encourage agricultural industrialization, many processing plants suffer from financial mismanagement and eventual project abandonment. This raises concerns about the effectiveness of current financial assessment methods and highlights the need for quantity surveyors to play a more active role in cost planning and project feasibility analysis.</w:t>
      </w:r>
    </w:p>
    <w:p w14:paraId="59871B4E">
      <w:pPr>
        <w:pStyle w:val="18"/>
        <w:spacing w:line="360" w:lineRule="auto"/>
        <w:ind w:firstLine="720"/>
        <w:jc w:val="both"/>
      </w:pPr>
      <w:r>
        <w:t>Furthermore, there is limited research on the application of quantity surveying principles in agricultural projects, with most studies focusing on the construction and infrastructure sectors. By exploring the contributions of quantity surveyors in agro-processing, this study fills an important knowledge gap and expands the understanding of their role beyond traditional construction projects. It aims to demonstrate how their expertise can optimize cost efficiency, enhance investment decision-making, and ensure the long-term financial sustainability of agro-processing plants.</w:t>
      </w:r>
    </w:p>
    <w:p w14:paraId="2F2F561B">
      <w:pPr>
        <w:pStyle w:val="18"/>
        <w:spacing w:line="360" w:lineRule="auto"/>
        <w:ind w:firstLine="720"/>
        <w:jc w:val="both"/>
      </w:pPr>
      <w:r>
        <w:t>The study is also justified by the increasing demand for cost-effective solutions in the agro-processing sector. With rising construction costs, inflation, and fluctuating commodity prices, there is an urgent need for precise financial forecasting and cost control mechanisms. This research will provide valuable insights into the techniques and tools used by quantity surveyors to mitigate financial risks and improve the economic feasibility of agricultural processing investments.</w:t>
      </w:r>
    </w:p>
    <w:p w14:paraId="46070A52">
      <w:pPr>
        <w:pStyle w:val="18"/>
        <w:spacing w:line="360" w:lineRule="auto"/>
        <w:ind w:firstLine="720"/>
        <w:jc w:val="both"/>
      </w:pPr>
      <w:r>
        <w:t>Moreover, the findings of this study will be beneficial to multiple stakeholders, including government agencies, investors, policymakers, and industry professionals. By highlighting the role of quantity surveyors in agro-processing, the study will offer practical recommendations for integrating financial planning expertise into agricultural project development. These insights can guide policymakers in formulating strategies to enhance project viability and encourage private sector participation in agribusiness.</w:t>
      </w:r>
    </w:p>
    <w:p w14:paraId="54B937C4">
      <w:pPr>
        <w:pStyle w:val="18"/>
        <w:spacing w:line="360" w:lineRule="auto"/>
        <w:ind w:firstLine="720"/>
        <w:jc w:val="both"/>
        <w:rPr>
          <w:rStyle w:val="19"/>
          <w:b w:val="0"/>
          <w:bCs w:val="0"/>
        </w:rPr>
      </w:pPr>
      <w:r>
        <w:t>Lastly, this research will serve as a reference point for future studies, offering a foundation for further exploration of cost management in agricultural projects. It will encourage greater collaboration between quantity surveyors, agricultural economists, and project managers, fostering interdisciplinary approaches to improving financial sustainability in agro-processing.</w:t>
      </w:r>
    </w:p>
    <w:p w14:paraId="4E888FF6">
      <w:pPr>
        <w:pStyle w:val="4"/>
        <w:rPr>
          <w:rStyle w:val="19"/>
        </w:rPr>
      </w:pPr>
    </w:p>
    <w:p w14:paraId="173AB94F">
      <w:pPr>
        <w:pStyle w:val="3"/>
      </w:pPr>
      <w:bookmarkStart w:id="26" w:name="_Toc203596150"/>
      <w:r>
        <w:rPr>
          <w:rStyle w:val="19"/>
          <w:b w:val="0"/>
          <w:bCs w:val="0"/>
        </w:rPr>
        <w:t>1.6 Definition of Terms</w:t>
      </w:r>
      <w:bookmarkEnd w:id="26"/>
    </w:p>
    <w:p w14:paraId="42E3D880">
      <w:pPr>
        <w:pStyle w:val="18"/>
        <w:spacing w:line="360" w:lineRule="auto"/>
      </w:pPr>
      <w:r>
        <w:t>To ensure clarity and a comprehensive understanding of this study, key terms are defined as follows:</w:t>
      </w:r>
    </w:p>
    <w:p w14:paraId="754EACFE">
      <w:pPr>
        <w:pStyle w:val="4"/>
      </w:pPr>
      <w:bookmarkStart w:id="27" w:name="_Toc203596151"/>
      <w:r>
        <w:rPr>
          <w:rStyle w:val="19"/>
        </w:rPr>
        <w:t>1.6.1 Quantity Surveyor</w:t>
      </w:r>
      <w:bookmarkEnd w:id="27"/>
      <w:r>
        <w:t xml:space="preserve"> </w:t>
      </w:r>
    </w:p>
    <w:p w14:paraId="37E3B2DE">
      <w:pPr>
        <w:pStyle w:val="18"/>
        <w:spacing w:line="360" w:lineRule="auto"/>
      </w:pPr>
      <w:r>
        <w:t>A construction and project management professional responsible for cost estimation, financial planning, and risk assessment to ensure cost-effective project execution.</w:t>
      </w:r>
    </w:p>
    <w:p w14:paraId="66CC0EBD">
      <w:pPr>
        <w:pStyle w:val="4"/>
      </w:pPr>
      <w:bookmarkStart w:id="28" w:name="_Toc203596152"/>
      <w:r>
        <w:rPr>
          <w:rStyle w:val="19"/>
        </w:rPr>
        <w:t>1.6.2 Economic Viability</w:t>
      </w:r>
      <w:bookmarkEnd w:id="28"/>
      <w:r>
        <w:t xml:space="preserve"> </w:t>
      </w:r>
    </w:p>
    <w:p w14:paraId="1B54AF41">
      <w:pPr>
        <w:pStyle w:val="18"/>
        <w:spacing w:line="360" w:lineRule="auto"/>
      </w:pPr>
      <w:r>
        <w:t>The ability of a project to generate sufficient financial returns to cover costs and sustain long-term operations without excessive financial risks.</w:t>
      </w:r>
    </w:p>
    <w:p w14:paraId="07F3493A">
      <w:pPr>
        <w:pStyle w:val="4"/>
      </w:pPr>
      <w:bookmarkStart w:id="29" w:name="_Toc203596153"/>
      <w:r>
        <w:rPr>
          <w:rStyle w:val="19"/>
        </w:rPr>
        <w:t>1.6.3 Agricultural Processing Plant</w:t>
      </w:r>
      <w:bookmarkEnd w:id="29"/>
      <w:r>
        <w:t xml:space="preserve"> </w:t>
      </w:r>
    </w:p>
    <w:p w14:paraId="1AD40404">
      <w:pPr>
        <w:pStyle w:val="18"/>
        <w:spacing w:line="360" w:lineRule="auto"/>
      </w:pPr>
      <w:r>
        <w:t>A facility where raw agricultural products are processed, refined, or transformed into finished or semi-finished goods for distribution and consumption.</w:t>
      </w:r>
    </w:p>
    <w:p w14:paraId="49D20E79">
      <w:pPr>
        <w:pStyle w:val="4"/>
      </w:pPr>
      <w:bookmarkStart w:id="30" w:name="_Toc203596154"/>
      <w:r>
        <w:rPr>
          <w:rStyle w:val="19"/>
        </w:rPr>
        <w:t>1.6.4 Cost Estimation</w:t>
      </w:r>
      <w:bookmarkEnd w:id="30"/>
      <w:r>
        <w:t xml:space="preserve"> </w:t>
      </w:r>
    </w:p>
    <w:p w14:paraId="52AAD828">
      <w:pPr>
        <w:pStyle w:val="18"/>
        <w:spacing w:line="360" w:lineRule="auto"/>
      </w:pPr>
      <w:r>
        <w:t>The process of predicting the total costs associated with a project, including materials, labor, equipment, and operational expenses.</w:t>
      </w:r>
    </w:p>
    <w:p w14:paraId="7847B9E4">
      <w:pPr>
        <w:pStyle w:val="4"/>
      </w:pPr>
      <w:bookmarkStart w:id="31" w:name="_Toc203596155"/>
      <w:r>
        <w:rPr>
          <w:rStyle w:val="19"/>
        </w:rPr>
        <w:t>1.6.5 Financial Planning</w:t>
      </w:r>
      <w:bookmarkEnd w:id="31"/>
      <w:r>
        <w:t xml:space="preserve"> </w:t>
      </w:r>
    </w:p>
    <w:p w14:paraId="7F33540A">
      <w:pPr>
        <w:pStyle w:val="18"/>
        <w:spacing w:line="360" w:lineRule="auto"/>
      </w:pPr>
      <w:r>
        <w:t>The process of allocating financial resources, forecasting costs, and developing strategies to ensure project success and sustainability.</w:t>
      </w:r>
    </w:p>
    <w:p w14:paraId="6ED80EB0">
      <w:pPr>
        <w:pStyle w:val="4"/>
      </w:pPr>
      <w:bookmarkStart w:id="32" w:name="_Toc203596156"/>
      <w:r>
        <w:rPr>
          <w:rStyle w:val="19"/>
        </w:rPr>
        <w:t>1.6.6 Risk Assessment</w:t>
      </w:r>
      <w:bookmarkEnd w:id="32"/>
      <w:r>
        <w:t xml:space="preserve"> </w:t>
      </w:r>
    </w:p>
    <w:p w14:paraId="6F2BF7D8">
      <w:pPr>
        <w:pStyle w:val="18"/>
        <w:spacing w:line="360" w:lineRule="auto"/>
      </w:pPr>
      <w:r>
        <w:t>The systematic evaluation of potential financial, operational, and environmental risks that may affect the success of a project.</w:t>
      </w:r>
    </w:p>
    <w:p w14:paraId="3D528075">
      <w:pPr>
        <w:pStyle w:val="18"/>
        <w:spacing w:line="360" w:lineRule="auto"/>
        <w:rPr>
          <w:rStyle w:val="19"/>
        </w:rPr>
      </w:pPr>
    </w:p>
    <w:p w14:paraId="441A36BF">
      <w:pPr>
        <w:pStyle w:val="4"/>
      </w:pPr>
      <w:bookmarkStart w:id="33" w:name="_Toc203596157"/>
      <w:r>
        <w:rPr>
          <w:rStyle w:val="19"/>
        </w:rPr>
        <w:t>1.6.7 Feasibility Study</w:t>
      </w:r>
      <w:bookmarkEnd w:id="33"/>
      <w:r>
        <w:t xml:space="preserve"> </w:t>
      </w:r>
    </w:p>
    <w:p w14:paraId="04D00F2F">
      <w:pPr>
        <w:pStyle w:val="18"/>
        <w:spacing w:line="360" w:lineRule="auto"/>
      </w:pPr>
      <w:r>
        <w:t>An analysis conducted to determine the practicality and financial sustainability of a proposed project before investment.</w:t>
      </w:r>
    </w:p>
    <w:p w14:paraId="02C9F113">
      <w:pPr>
        <w:pStyle w:val="4"/>
      </w:pPr>
      <w:bookmarkStart w:id="34" w:name="_Toc203596158"/>
      <w:r>
        <w:rPr>
          <w:rStyle w:val="19"/>
        </w:rPr>
        <w:t>1.6.8 Budget Overrun</w:t>
      </w:r>
      <w:bookmarkEnd w:id="34"/>
    </w:p>
    <w:p w14:paraId="3CE33F56">
      <w:pPr>
        <w:pStyle w:val="18"/>
        <w:spacing w:line="360" w:lineRule="auto"/>
      </w:pPr>
      <w:r>
        <w:t>A situation where actual project costs exceed the initially estimated or allocated budget, leading to financial inefficiencies.</w:t>
      </w:r>
    </w:p>
    <w:p w14:paraId="59D05A31">
      <w:pPr>
        <w:pStyle w:val="4"/>
      </w:pPr>
      <w:bookmarkStart w:id="35" w:name="_Toc203596159"/>
      <w:r>
        <w:rPr>
          <w:rStyle w:val="19"/>
        </w:rPr>
        <w:t>1.6.9 Lifecycle Cost Analysis</w:t>
      </w:r>
      <w:bookmarkEnd w:id="35"/>
      <w:r>
        <w:t xml:space="preserve"> </w:t>
      </w:r>
    </w:p>
    <w:p w14:paraId="7501A818">
      <w:pPr>
        <w:pStyle w:val="18"/>
        <w:spacing w:line="360" w:lineRule="auto"/>
      </w:pPr>
      <w:r>
        <w:t>A financial assessment method used to evaluate the total cost of a project over its entire lifespan, including initial investment, maintenance, and operational expenses.</w:t>
      </w:r>
    </w:p>
    <w:p w14:paraId="5D6F0C0A">
      <w:pPr>
        <w:pStyle w:val="4"/>
      </w:pPr>
      <w:bookmarkStart w:id="36" w:name="_Toc203596160"/>
      <w:r>
        <w:rPr>
          <w:rStyle w:val="19"/>
        </w:rPr>
        <w:t>1.6.10 Procurement Strategy</w:t>
      </w:r>
      <w:bookmarkEnd w:id="36"/>
      <w:r>
        <w:t xml:space="preserve"> </w:t>
      </w:r>
    </w:p>
    <w:p w14:paraId="5B9AA976">
      <w:pPr>
        <w:pStyle w:val="18"/>
        <w:spacing w:line="360" w:lineRule="auto"/>
      </w:pPr>
      <w:r>
        <w:t>A structured approach to acquiring goods and services needed for a project, ensuring cost efficiency and quality control.</w:t>
      </w:r>
    </w:p>
    <w:p w14:paraId="04BF5ADE">
      <w:pPr>
        <w:pStyle w:val="4"/>
      </w:pPr>
      <w:bookmarkStart w:id="37" w:name="_Toc203596161"/>
      <w:r>
        <w:rPr>
          <w:rStyle w:val="19"/>
        </w:rPr>
        <w:t>1.6.11 Sustainability</w:t>
      </w:r>
      <w:bookmarkEnd w:id="37"/>
    </w:p>
    <w:p w14:paraId="576400BD">
      <w:pPr>
        <w:pStyle w:val="18"/>
        <w:spacing w:line="360" w:lineRule="auto"/>
      </w:pPr>
      <w:r>
        <w:t xml:space="preserve"> The ability of a project to operate efficiently over the long term while minimizing environmental, financial, and operational risks.</w:t>
      </w:r>
    </w:p>
    <w:p w14:paraId="50D52612">
      <w:pPr>
        <w:pStyle w:val="4"/>
      </w:pPr>
      <w:bookmarkStart w:id="38" w:name="_Toc203596162"/>
      <w:r>
        <w:rPr>
          <w:rStyle w:val="19"/>
        </w:rPr>
        <w:t>1.6.12 Investment Risk</w:t>
      </w:r>
      <w:bookmarkEnd w:id="38"/>
      <w:r>
        <w:t xml:space="preserve"> </w:t>
      </w:r>
    </w:p>
    <w:p w14:paraId="327D2994">
      <w:pPr>
        <w:pStyle w:val="18"/>
        <w:spacing w:line="360" w:lineRule="auto"/>
      </w:pPr>
      <w:r>
        <w:t>The probability of financial losses or uncertainties affecting the profitability and success of an agricultural processing project.</w:t>
      </w:r>
    </w:p>
    <w:p w14:paraId="30609E5A">
      <w:pPr>
        <w:pStyle w:val="4"/>
      </w:pPr>
      <w:bookmarkStart w:id="39" w:name="_Toc203596163"/>
      <w:r>
        <w:rPr>
          <w:rStyle w:val="19"/>
        </w:rPr>
        <w:t>1.6.13 Value Engineering</w:t>
      </w:r>
      <w:bookmarkEnd w:id="39"/>
      <w:r>
        <w:t xml:space="preserve"> </w:t>
      </w:r>
    </w:p>
    <w:p w14:paraId="4332022E">
      <w:pPr>
        <w:pStyle w:val="18"/>
        <w:spacing w:line="360" w:lineRule="auto"/>
        <w:rPr>
          <w:rStyle w:val="19"/>
          <w:b w:val="0"/>
          <w:bCs w:val="0"/>
        </w:rPr>
      </w:pPr>
      <w:r>
        <w:t>A systematic approach used by quantity surveyors to improve project value by optimizing costs without compromising quality or functionality.</w:t>
      </w:r>
    </w:p>
    <w:p w14:paraId="1F109211">
      <w:pPr>
        <w:pStyle w:val="4"/>
      </w:pPr>
      <w:bookmarkStart w:id="40" w:name="_Toc203596164"/>
      <w:r>
        <w:rPr>
          <w:rStyle w:val="19"/>
        </w:rPr>
        <w:t>1.6.14 Inflation Impact</w:t>
      </w:r>
      <w:bookmarkEnd w:id="40"/>
      <w:r>
        <w:t xml:space="preserve"> </w:t>
      </w:r>
    </w:p>
    <w:p w14:paraId="4ABCDBA3">
      <w:pPr>
        <w:pStyle w:val="18"/>
        <w:spacing w:line="360" w:lineRule="auto"/>
      </w:pPr>
      <w:r>
        <w:t>The effect of rising prices on the cost of materials, labor, and equipment, influencing project financial planning.</w:t>
      </w:r>
    </w:p>
    <w:p w14:paraId="152CD599">
      <w:pPr>
        <w:pStyle w:val="4"/>
      </w:pPr>
      <w:bookmarkStart w:id="41" w:name="_Toc203596165"/>
      <w:r>
        <w:rPr>
          <w:rStyle w:val="19"/>
        </w:rPr>
        <w:t>1.6.15 Public-Private Partnership (PPP)</w:t>
      </w:r>
      <w:bookmarkEnd w:id="41"/>
      <w:r>
        <w:t xml:space="preserve"> </w:t>
      </w:r>
    </w:p>
    <w:p w14:paraId="1EEB54E7">
      <w:pPr>
        <w:pStyle w:val="18"/>
        <w:spacing w:line="360" w:lineRule="auto"/>
      </w:pPr>
      <w:r>
        <w:t>A collaboration between government agencies and private sector investors to finance, develop, and manage large-scale projects, including agricultural processing plants</w:t>
      </w:r>
      <w:bookmarkEnd w:id="0"/>
      <w:r>
        <w:t>.</w:t>
      </w:r>
    </w:p>
    <w:p w14:paraId="0BB2AB3E">
      <w:pPr>
        <w:pStyle w:val="2"/>
        <w:rPr>
          <w:rStyle w:val="19"/>
          <w:b/>
          <w:bCs w:val="0"/>
        </w:rPr>
      </w:pPr>
      <w:bookmarkStart w:id="42" w:name="_Toc203596166"/>
      <w:r>
        <w:rPr>
          <w:rStyle w:val="19"/>
          <w:b/>
          <w:bCs w:val="0"/>
        </w:rPr>
        <w:t>CHAPTER TWO</w:t>
      </w:r>
      <w:bookmarkEnd w:id="42"/>
    </w:p>
    <w:p w14:paraId="606011E8">
      <w:pPr>
        <w:pStyle w:val="2"/>
      </w:pPr>
      <w:bookmarkStart w:id="43" w:name="_Toc203596167"/>
      <w:r>
        <w:rPr>
          <w:rStyle w:val="19"/>
          <w:b/>
          <w:bCs w:val="0"/>
        </w:rPr>
        <w:t>LITERATURE REVIEW</w:t>
      </w:r>
      <w:bookmarkEnd w:id="43"/>
    </w:p>
    <w:p w14:paraId="609BEDCF">
      <w:pPr>
        <w:pStyle w:val="3"/>
      </w:pPr>
      <w:bookmarkStart w:id="44" w:name="_Toc203596168"/>
      <w:r>
        <w:t>2.1 Introduction</w:t>
      </w:r>
      <w:bookmarkEnd w:id="44"/>
    </w:p>
    <w:p w14:paraId="58FF1A0E">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This chapter provides a comprehensive review of existing literature on the role of quantity surveyors in assessing the economic viability of agricultural processing plants. It explores various aspects such as cost estimation, financial planning, risk assessment, and procurement strategies in agro-processing projects. The review is structured to highlight key themes related to the financial sustainability of agricultural processing plants and the contributions of quantity surveyors to project feasibility.</w:t>
      </w:r>
    </w:p>
    <w:p w14:paraId="4D976E97">
      <w:pPr>
        <w:pStyle w:val="3"/>
      </w:pPr>
      <w:bookmarkStart w:id="45" w:name="_Toc203596169"/>
      <w:r>
        <w:t>2.2 Concept of Economic Viability in Agricultural Processing Plants</w:t>
      </w:r>
      <w:bookmarkEnd w:id="45"/>
    </w:p>
    <w:p w14:paraId="457A791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Economic viability refers to the ability of a project or enterprise to sustain its operations and generate adequate financial returns over the long term (Smith &amp; Brown, 2020). In the context of agricultural processing plants, economic viability encompasses a range of financial, operational, and market-based factors that determine whether the investment will be profitable and sustainable. These plants typically require significant capital inputs for infrastructure, land acquisition, specialized machinery, storage facilities, labor, and energy costs. Therefore, ensuring economic viability is essential not only for recovering the initial investment but also for achieving long-term operational sustainability.</w:t>
      </w:r>
    </w:p>
    <w:p w14:paraId="06841F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Agricultural processing plants are often located in rural or semi-urban areas, where infrastructure challenges and limited access to finance can further complicate their economic prospects. According to Mwangi and Otieno (2019), a lack of detailed financial planning, inaccurate cost estimation, and poor market analysis are leading causes of failure in agro-processing ventures. These issues often result in cost overruns, cash flow problems, and underperformance of the plants. Furthermore, the inability to secure consistent raw material supply, coupled with volatile market prices for agricultural produce, can threaten the economic stability of processing operations (Adekunle &amp; Okonkwo, 2018).</w:t>
      </w:r>
    </w:p>
    <w:p w14:paraId="15C6C6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Economic viability also involves an assessment of market demand, product pricing, and value addition. For example, value-added processing such as converting raw cassava into flour or ethanol increases the market value of the product, but also requires higher operational costs, quality control measures, and access to efficient distribution channels. These components must be evaluated to determine whether the revenue generated can adequately cover both fixed and variable costs, while also yielding a reasonable profit margin (Adebayo, 2021).</w:t>
      </w:r>
    </w:p>
    <w:p w14:paraId="05B595C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addition, access to financing options and government incentives plays a significant role in influencing the economic viability of agricultural processing projects. Initiatives that provide subsidized loans, tax breaks, and infrastructure support can reduce financial burdens and enhance project feasibility (Obi &amp; Ndungu, 2020). However, without sound business models and risk management strategies, even subsidized projects may fail to meet economic expectations.</w:t>
      </w:r>
    </w:p>
    <w:p w14:paraId="2240275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Thus, a comprehensive evaluation of economic viability must integrate both quantitative financial metrics such as Net Present Value (NPV), Internal Rate of Return (IRR), and Payback Period and qualitative factors including managerial capacity, market stability, and policy support. When these elements are strategically aligned, agricultural processing plants are more likely to succeed and contribute to rural economic development and food value chain enhancement.</w:t>
      </w:r>
    </w:p>
    <w:p w14:paraId="12324751">
      <w:pPr>
        <w:pStyle w:val="3"/>
      </w:pPr>
      <w:bookmarkStart w:id="46" w:name="_Toc203596170"/>
      <w:r>
        <w:t>2.3 Role of Quantity Surveyors in Cost Estimation and Financial Planning</w:t>
      </w:r>
      <w:bookmarkEnd w:id="46"/>
    </w:p>
    <w:p w14:paraId="2DE6BAEE">
      <w:pPr>
        <w:pStyle w:val="18"/>
        <w:spacing w:line="360" w:lineRule="auto"/>
        <w:ind w:firstLine="720"/>
        <w:jc w:val="both"/>
      </w:pPr>
      <w:r>
        <w:t>Quantity Surveyors (QSs) are trained professionals who specialize in the management of construction and development costs, offering critical expertise in cost estimation, financial planning, budgeting, and value assessment across all phases of a project. Their role extends beyond traditional building construction and is increasingly relevant in non-conventional sectors such as agricultural processing, where significant capital investment and operational planning are required to ensure project viability (Shehu, 2023).</w:t>
      </w:r>
    </w:p>
    <w:p w14:paraId="079E0166">
      <w:pPr>
        <w:pStyle w:val="18"/>
        <w:spacing w:line="360" w:lineRule="auto"/>
        <w:ind w:firstLine="720"/>
        <w:jc w:val="both"/>
      </w:pPr>
      <w:r>
        <w:t>In the context of agricultural processing plants, the role of QSs is particularly crucial due to the high costs associated with land acquisition, infrastructure development, procurement of machinery, utilities, labor, and compliance with environmental and health regulations. Adeyemi and Bello (2019) underscore the importance of QSs in developing accurate cost estimates, aligning project budgets with available financial resources, and applying cost control measures throughout the project lifecycle. By preparing Bill of Quantities (BoQs), QSs ensure transparency and facilitate efficient allocation of financial resources, thereby reducing the risk of budget overruns.</w:t>
      </w:r>
    </w:p>
    <w:p w14:paraId="53A85DBA">
      <w:pPr>
        <w:pStyle w:val="18"/>
        <w:spacing w:line="360" w:lineRule="auto"/>
        <w:ind w:firstLine="720"/>
        <w:jc w:val="both"/>
      </w:pPr>
      <w:r>
        <w:t>Feasibility studies conducted by Quantity Surveyors provide a robust foundation for investment decisions. According to Olatunji and Bashorun (2018), QS-led feasibility analyses include market evaluations, construction cost forecasts, and return-on-investment assessments, all of which are essential for guiding stakeholders on the economic practicability of proposed agro-processing facilities. These studies help investors avoid poorly scoped projects that may result in financial loss or abandonment.</w:t>
      </w:r>
    </w:p>
    <w:p w14:paraId="7D2080D5">
      <w:pPr>
        <w:pStyle w:val="18"/>
        <w:spacing w:line="360" w:lineRule="auto"/>
        <w:ind w:firstLine="720"/>
        <w:jc w:val="both"/>
      </w:pPr>
      <w:r>
        <w:t>Moreover, QSs play a vital role in lifecycle cost analysis (LCCA), which evaluates not only the initial capital outlay but also the long-term operational and maintenance costs associated with a facility. Patel and Desai (2022) explain that LCCA is a strategic tool used by QSs to promote financial sustainability by identifying the most cost-effective materials, technologies, and designs. In agro-processing, where profit margins can be affected by fluctuating commodity prices and operational inefficiencies, this analysis is vital to ensure sustained profitability over time.</w:t>
      </w:r>
    </w:p>
    <w:p w14:paraId="62FB6A88">
      <w:pPr>
        <w:pStyle w:val="18"/>
        <w:spacing w:line="360" w:lineRule="auto"/>
        <w:ind w:firstLine="720"/>
        <w:jc w:val="both"/>
      </w:pPr>
      <w:r>
        <w:t>The risk management function of QSs is also notable. They assess and mitigate financial risks such as inflation, delays, exchange rate fluctuations, and changes in regulatory policies that may affect project cost or delivery timelines (Akintoye &amp; Fitzgerald, 2017). Their ability to produce cash flow forecasts, conduct value engineering, and recommend cost-saving alternatives strengthens the financial resilience of agro-processing ventures.</w:t>
      </w:r>
    </w:p>
    <w:p w14:paraId="6232C6AF">
      <w:pPr>
        <w:pStyle w:val="18"/>
        <w:spacing w:line="360" w:lineRule="auto"/>
        <w:ind w:firstLine="720"/>
        <w:jc w:val="both"/>
      </w:pPr>
      <w:r>
        <w:t>Furthermore, QSs facilitate contract administration, ensuring that financial obligations, payments, and procurement procedures are clearly defined and properly managed. This helps to avoid disputes, delays, and litigation, which are common in capital-intensive projects (Onwualu, 2021). Their involvement contributes to improved financial discipline and fosters investor confidence in agricultural industrialization efforts.</w:t>
      </w:r>
    </w:p>
    <w:p w14:paraId="50FD1B43">
      <w:pPr>
        <w:pStyle w:val="18"/>
        <w:spacing w:line="360" w:lineRule="auto"/>
        <w:ind w:firstLine="720"/>
        <w:jc w:val="both"/>
      </w:pPr>
      <w:r>
        <w:t>In summary, the inclusion of Quantity Surveyors in the planning and implementation of agricultural processing plants provides a strategic advantage by enhancing cost efficiency, financial accountability, and overall project sustainability.</w:t>
      </w:r>
    </w:p>
    <w:p w14:paraId="190BC491">
      <w:pPr>
        <w:pStyle w:val="18"/>
        <w:spacing w:line="360" w:lineRule="auto"/>
        <w:ind w:firstLine="720"/>
        <w:jc w:val="both"/>
      </w:pPr>
      <w:r>
        <w:t>Risk assessment is a fundamental aspect of economic viability analysis. According to Johnson and Evans (2018), agricultural processing plants face various risks, including fluctuating raw material prices, market demand uncertainties, and operational inefficiencies. QSs play a crucial role in identifying, evaluating, and mitigating these risks through cost control mechanisms and contingency planning (Mwangi &amp; Otieno, 2019).</w:t>
      </w:r>
    </w:p>
    <w:p w14:paraId="73809F60">
      <w:pPr>
        <w:pStyle w:val="18"/>
        <w:spacing w:line="360" w:lineRule="auto"/>
        <w:ind w:firstLine="720"/>
        <w:jc w:val="both"/>
      </w:pPr>
      <w:r>
        <w:t>Li and Wang (2017) suggest that accurate cost estimation by QSs reduces financial risks associated with budget overruns and misallocation of resources. Similarly, Nguyen and Tran (2021) highlight that QSs employ financial modeling techniques to predict potential economic fluctuations and their impact on project feasibility.</w:t>
      </w:r>
    </w:p>
    <w:p w14:paraId="286F28A0">
      <w:pPr>
        <w:pStyle w:val="3"/>
      </w:pPr>
      <w:bookmarkStart w:id="47" w:name="_Toc203596171"/>
      <w:r>
        <w:t>2.4 Cost Estimation Techniques Used by Quantity Surveyors in Agricultural Processing Plant Projects</w:t>
      </w:r>
      <w:bookmarkEnd w:id="47"/>
    </w:p>
    <w:p w14:paraId="4B765A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Effective procurement strategies are central to cost optimization and financial sustainability in both traditional and specialized construction projects, including agricultural processing plants. Procurement involves the acquisition of goods, services, and works necessary for project execution and has a direct impact on cost, time, and quality outcomes. According to Smith and Brown (2020), different procurement models such as traditional contracting, design and build, construction management, and public-private partnerships (PPPs) offer varying levels of risk allocation, time efficiency, and cost control. The choice of an appropriate procurement strategy significantly influences the financial performance and overall success of a project.</w:t>
      </w:r>
    </w:p>
    <w:p w14:paraId="167F26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agricultural processing projects, where budgetary discipline and efficient resource use are crucial, the role of Quantity Surveyors (QSs) in procurement planning becomes indispensable. QSs assess the nature and scope of each project to recommend procurement models that best align with the client’s financial capacity, risk tolerance, and desired project outcomes (Lawal &amp; Ogunsemi, 2018). For instance, design and build procurement can streamline project delivery and reduce costs by integrating design and construction under a single contract. However, traditional procurement may offer greater cost transparency and control, particularly in projects with complex operational requirements.</w:t>
      </w:r>
    </w:p>
    <w:p w14:paraId="26FDAAC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Chukwu and Okoye (2019) emphasize the QS's role in managing contract costs, evaluating tender submissions, negotiating with suppliers, and ensuring the selection of cost-effective yet reliable materials. Their expertise helps mitigate procurement-related risks such as inflated prices, delivery delays, and substandard supplies. By preparing detailed Bills of Quantities (BoQs), QSs provide a structured framework for tendering, enabling fair competition and promoting accountability among contractors and suppliers.</w:t>
      </w:r>
    </w:p>
    <w:p w14:paraId="6C8D5B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cost control mechanisms such as value engineering, budget monitoring, and cost-benefit analysis are central to the QS’s responsibilities. Kumar and Singh (2020) assert that value engineering enables QSs to identify alternative materials, construction methods, or design modifications that reduce costs without compromising the functionality or quality of the project. This proactive approach can be especially valuable in agro-processing projects, where long-term operational efficiency must be balanced with initial capital investment.</w:t>
      </w:r>
    </w:p>
    <w:p w14:paraId="06069FB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QSs play a vital role in contract administration, monitoring progress claims, evaluating variations, and ensuring that financial disbursements are justified and within budget. They also utilize cost management tools such as Earned Value Management (EVM) and cash flow forecasting to track financial performance and make timely adjustments to prevent cost overruns (Ameh &amp; Odusami, 2017).</w:t>
      </w:r>
    </w:p>
    <w:p w14:paraId="4729C86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Modern procurement practices are increasingly integrating technology, including e-procurement and Building Information Modelling (BIM), to improve cost accuracy and streamline communication among stakeholders. As Akpan and Oladapo (2021) note, QSs who leverage these technologies enhance transparency, improve decision-making, and foster greater financial discipline throughout the project lifecycle.</w:t>
      </w:r>
    </w:p>
    <w:p w14:paraId="28FB107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procurement strategies and cost control mechanisms are foundational elements of successful project delivery. The involvement of Quantity Surveyors ensures that procurement decisions are economically sound, risk-aware, and aligned with long-term sustainability objectives, particularly in capital-intensive sectors such as agricultural processing.</w:t>
      </w:r>
    </w:p>
    <w:p w14:paraId="42B332F1">
      <w:pPr>
        <w:pStyle w:val="4"/>
      </w:pPr>
      <w:bookmarkStart w:id="48" w:name="_Toc203596172"/>
      <w:r>
        <w:t>2.4.1 Value Engineering</w:t>
      </w:r>
      <w:bookmarkEnd w:id="48"/>
    </w:p>
    <w:p w14:paraId="6FB62A9A">
      <w:pPr>
        <w:spacing w:line="360" w:lineRule="auto"/>
        <w:ind w:firstLine="720"/>
        <w:rPr>
          <w:rFonts w:ascii="Times New Roman" w:hAnsi="Times New Roman" w:cs="Times New Roman"/>
          <w:sz w:val="24"/>
          <w:szCs w:val="24"/>
        </w:rPr>
      </w:pPr>
      <w:r>
        <w:rPr>
          <w:rFonts w:ascii="Times New Roman" w:hAnsi="Times New Roman" w:cs="Times New Roman"/>
          <w:sz w:val="24"/>
          <w:szCs w:val="24"/>
        </w:rPr>
        <w:t>Value Engineering is a systematic and organized approach aimed at optimizing the value of a project by examining functions, costs, and performance. It involves analyzing design elements and construction methods to identify cost-saving opportunities without compromising essential project functions or quality.</w:t>
      </w:r>
      <w:r>
        <w:rPr>
          <w:rFonts w:ascii="Times New Roman" w:hAnsi="Times New Roman" w:cs="Times New Roman"/>
          <w:sz w:val="24"/>
          <w:szCs w:val="24"/>
        </w:rPr>
        <w:br w:type="textWrapping"/>
      </w:r>
      <w:r>
        <w:rPr>
          <w:rFonts w:ascii="Times New Roman" w:hAnsi="Times New Roman" w:cs="Times New Roman"/>
          <w:sz w:val="24"/>
          <w:szCs w:val="24"/>
        </w:rPr>
        <w:t>For Quantity Surveyors (QSs), VE is crucial in identifying alternative construction materials, building methods, and design strategies that provide the same function at a reduced cost. In the context of agro-processing projects, VE can help streamline operations by selecting energy-efficient equipment, sustainable materials, or modular designs that reduce long-term operational costs.</w:t>
      </w:r>
      <w:r>
        <w:rPr>
          <w:rFonts w:ascii="Times New Roman" w:hAnsi="Times New Roman" w:cs="Times New Roman"/>
          <w:sz w:val="24"/>
          <w:szCs w:val="24"/>
        </w:rPr>
        <w:br w:type="textWrapping"/>
      </w:r>
      <w:r>
        <w:rPr>
          <w:rFonts w:ascii="Times New Roman" w:hAnsi="Times New Roman" w:cs="Times New Roman"/>
          <w:sz w:val="24"/>
          <w:szCs w:val="24"/>
        </w:rPr>
        <w:t>Kumar and Singh (2020) emphasize that QSs play a key role in applying VE to suggest design modifications or material substitutions, particularly in projects with strict capital constraints. For example, replacing conventional steel roofing with locally-sourced lightweight materials can reduce both material and labor costs without affecting durability (Kumar &amp; Singh 2020).</w:t>
      </w:r>
    </w:p>
    <w:p w14:paraId="3A8D5B18">
      <w:pPr>
        <w:pStyle w:val="4"/>
      </w:pPr>
      <w:bookmarkStart w:id="49" w:name="_Toc203596173"/>
      <w:r>
        <w:t>2.4.2 Budget Monitoring</w:t>
      </w:r>
      <w:bookmarkEnd w:id="49"/>
    </w:p>
    <w:p w14:paraId="5BEC790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Budget Monitoring refers to the continuous oversight of project finances to ensure that expenditures remain within approved limits. It involves tracking actual costs against budgeted costs at every stage of the project lifecycle Brook, M. (2016).</w:t>
      </w:r>
    </w:p>
    <w:p w14:paraId="19EB6B5E">
      <w:pPr>
        <w:spacing w:line="360" w:lineRule="auto"/>
        <w:jc w:val="both"/>
        <w:rPr>
          <w:rFonts w:ascii="Times New Roman" w:hAnsi="Times New Roman" w:cs="Times New Roman"/>
          <w:sz w:val="24"/>
          <w:szCs w:val="24"/>
        </w:rPr>
      </w:pPr>
      <w:r>
        <w:rPr>
          <w:rFonts w:ascii="Times New Roman" w:hAnsi="Times New Roman" w:cs="Times New Roman"/>
          <w:sz w:val="24"/>
          <w:szCs w:val="24"/>
        </w:rPr>
        <w:t>QSs utilize tools such as cost plans, cash flow forecasts, and financial reports to monitor budgets. Regular reporting allows early detection of budget deviations and implementation of corrective measures. In agro-processing projects, where financial margins can be narrow, effective budget monitoring ensures that cost overruns do not jeopardize project viability.</w:t>
      </w:r>
    </w:p>
    <w:p w14:paraId="7782B19D">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Brook (2016), rigorous budget monitoring helps QSs manage financial risk, especially when dealing with fluctuating material costs or unforeseen site conditions. This is particularly vital in agro-processing facilities, where delays or cost overruns can affect production timelines and profitability Brook, M. (2016).</w:t>
      </w:r>
    </w:p>
    <w:p w14:paraId="6BE4C447">
      <w:pPr>
        <w:pStyle w:val="4"/>
      </w:pPr>
      <w:bookmarkStart w:id="50" w:name="_Toc203596174"/>
      <w:r>
        <w:t>2.4.3 Cost-Benefit Analysis</w:t>
      </w:r>
      <w:bookmarkEnd w:id="50"/>
      <w:r>
        <w:t xml:space="preserve">  </w:t>
      </w:r>
    </w:p>
    <w:p w14:paraId="424AB58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Cost-Benefit Analysis is a decision-making tool used to compare the costs and anticipated benefits of a project or investment to determine its economic feasibility. The goal is to assess whether the benefits outweigh the costs and by how much Boardman et al. (2018).</w:t>
      </w:r>
      <w:r>
        <w:rPr>
          <w:rFonts w:ascii="Times New Roman" w:hAnsi="Times New Roman" w:cs="Times New Roman"/>
          <w:sz w:val="24"/>
          <w:szCs w:val="24"/>
        </w:rPr>
        <w:br w:type="textWrapping"/>
      </w:r>
      <w:r>
        <w:rPr>
          <w:rFonts w:ascii="Times New Roman" w:hAnsi="Times New Roman" w:cs="Times New Roman"/>
          <w:sz w:val="24"/>
          <w:szCs w:val="24"/>
        </w:rPr>
        <w:t>QSs employ CBA in feasibility studies, investment appraisals, and procurement strategy decisions. In agro-processing, CBA helps stakeholders evaluate options such as in-house processing versus outsourcing, or manual labor versus automation.</w:t>
      </w:r>
      <w:r>
        <w:rPr>
          <w:rFonts w:ascii="Times New Roman" w:hAnsi="Times New Roman" w:cs="Times New Roman"/>
          <w:sz w:val="24"/>
          <w:szCs w:val="24"/>
        </w:rPr>
        <w:br w:type="textWrapping"/>
      </w:r>
      <w:r>
        <w:rPr>
          <w:rFonts w:ascii="Times New Roman" w:hAnsi="Times New Roman" w:cs="Times New Roman"/>
          <w:sz w:val="24"/>
          <w:szCs w:val="24"/>
        </w:rPr>
        <w:t>Boardman et al. (2018) explain that QSs use quantitative and qualitative data to assess tangible and intangible benefits. For instance, an agro-processing plant might consider installing solar panels. While the initial cost is high, the long-term savings in energy bills and environmental benefits may justify the investment Boardman et al. (2018).</w:t>
      </w:r>
    </w:p>
    <w:p w14:paraId="4722DEE0">
      <w:pPr>
        <w:spacing w:line="360" w:lineRule="auto"/>
        <w:ind w:firstLine="720"/>
        <w:jc w:val="both"/>
        <w:rPr>
          <w:rFonts w:ascii="Times New Roman" w:hAnsi="Times New Roman" w:cs="Times New Roman"/>
          <w:sz w:val="24"/>
          <w:szCs w:val="24"/>
        </w:rPr>
      </w:pPr>
      <w:bookmarkStart w:id="51" w:name="_Toc203596175"/>
      <w:r>
        <w:rPr>
          <w:rStyle w:val="35"/>
          <w:rFonts w:ascii="Times New Roman" w:hAnsi="Times New Roman" w:cs="Times New Roman"/>
        </w:rPr>
        <w:t>2.4.4 Life Cycle Costing (LCC)</w:t>
      </w:r>
      <w:bookmarkEnd w:id="51"/>
      <w:r>
        <w:rPr>
          <w:rFonts w:ascii="Times New Roman" w:hAnsi="Times New Roman" w:cs="Times New Roman"/>
        </w:rPr>
        <w:br w:type="textWrapping"/>
      </w:r>
      <w:r>
        <w:rPr>
          <w:rFonts w:ascii="Times New Roman" w:hAnsi="Times New Roman" w:cs="Times New Roman"/>
          <w:sz w:val="24"/>
          <w:szCs w:val="24"/>
        </w:rPr>
        <w:t>Life Cycle Costing is a technique used to evaluate the total economic worth of a project by assessing all associated costs from inception to disposal. It focuses not just on initial capital expenditure but also on long-term operating, maintenance, and end-of-life costs.</w:t>
      </w:r>
    </w:p>
    <w:p w14:paraId="1FCD01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Ashworth and Perera (2015), QSs use LCC to advise clients on materials and systems that may be more expensive initially but offer cost savings over time through reduced energy usage, maintenance, or replacement. In agro-processing projects, LCC can guide decisions such as choosing stainless steel processing equipment, which, although costly upfront, has a longer lifespan and lower maintenance requirements compared to cheaper alternatives. This approach ensures that projects are not only affordable at the start but remain economically sustainable over time.</w:t>
      </w:r>
    </w:p>
    <w:p w14:paraId="16B5F834">
      <w:pPr>
        <w:spacing w:line="360" w:lineRule="auto"/>
        <w:ind w:firstLine="720"/>
        <w:jc w:val="both"/>
        <w:rPr>
          <w:rFonts w:ascii="Times New Roman" w:hAnsi="Times New Roman" w:cs="Times New Roman"/>
          <w:sz w:val="24"/>
          <w:szCs w:val="24"/>
        </w:rPr>
      </w:pPr>
      <w:bookmarkStart w:id="52" w:name="_Toc203596176"/>
      <w:r>
        <w:rPr>
          <w:rStyle w:val="35"/>
          <w:rFonts w:ascii="Times New Roman" w:hAnsi="Times New Roman" w:cs="Times New Roman"/>
        </w:rPr>
        <w:t>2.4.5 Earned Value Management (EVM)</w:t>
      </w:r>
      <w:bookmarkEnd w:id="52"/>
      <w:r>
        <w:rPr>
          <w:rFonts w:ascii="Times New Roman" w:hAnsi="Times New Roman" w:cs="Times New Roman"/>
        </w:rPr>
        <w:br w:type="textWrapping"/>
      </w:r>
      <w:r>
        <w:rPr>
          <w:rFonts w:ascii="Times New Roman" w:hAnsi="Times New Roman" w:cs="Times New Roman"/>
          <w:sz w:val="24"/>
          <w:szCs w:val="24"/>
        </w:rPr>
        <w:t>Earned Value Management is a project control technique that integrates cost, time, and scope to assess project performance and progress. It enables QSs and project managers to measure the value of work performed against the actual costs and the planned schedule.</w:t>
      </w:r>
    </w:p>
    <w:p w14:paraId="5DFF915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Fleming and Koppelman (2016) highlight that EVM allows early detection of variances and trends, making it easier to implement corrective actions. For agro-processing projects, where timelines are often critical due to agricultural cycles, EVM ensures timely delivery within budget by continuously assessing performance indicators like Cost Performance Index (CPI) and Schedule Performance Index (SPI). This method helps maintain alignment between financial expenditure and project progress.</w:t>
      </w:r>
    </w:p>
    <w:p w14:paraId="3077CE7D">
      <w:pPr>
        <w:spacing w:line="360" w:lineRule="auto"/>
        <w:ind w:firstLine="720"/>
        <w:jc w:val="both"/>
        <w:rPr>
          <w:rFonts w:ascii="Times New Roman" w:hAnsi="Times New Roman" w:cs="Times New Roman"/>
          <w:sz w:val="24"/>
          <w:szCs w:val="24"/>
        </w:rPr>
      </w:pPr>
      <w:bookmarkStart w:id="53" w:name="_Toc203596177"/>
      <w:r>
        <w:rPr>
          <w:rStyle w:val="35"/>
        </w:rPr>
        <w:t>2.4.6 Risk Management in Cost Control</w:t>
      </w:r>
      <w:bookmarkEnd w:id="53"/>
      <w:r>
        <w:rPr>
          <w:rStyle w:val="35"/>
        </w:rPr>
        <w:br w:type="textWrapping"/>
      </w:r>
      <w:r>
        <w:rPr>
          <w:rFonts w:ascii="Times New Roman" w:hAnsi="Times New Roman" w:cs="Times New Roman"/>
          <w:sz w:val="24"/>
          <w:szCs w:val="24"/>
        </w:rPr>
        <w:t>Risk Management in cost control involves the identification, assessment, and mitigation of potential financial risks that could impact a project. QSs develop risk registers and perform sensitivity analysis to anticipate and prepare for uncertainties in cost elements.</w:t>
      </w:r>
    </w:p>
    <w:p w14:paraId="7F394C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Smith, Merna, and Jobling (2014) state that by proactively managing risks—such as inflation, supply chain disruptions, or regulatory changes QSs can establish contingency allowances and flexible procurement strategies. In agro-processing projects, where external factors like seasonal availability or climate conditions can influence construction and operations, robust risk management minimizes exposure to unexpected costs and ensures financial resilience.</w:t>
      </w:r>
    </w:p>
    <w:p w14:paraId="54259DDA">
      <w:pPr>
        <w:pStyle w:val="3"/>
      </w:pPr>
      <w:bookmarkStart w:id="54" w:name="_Toc203596178"/>
      <w:r>
        <w:t>2.5 Factors Limiting the Involvement of Quantity Surveyors in The Agricultural Sector.</w:t>
      </w:r>
      <w:bookmarkEnd w:id="54"/>
    </w:p>
    <w:p w14:paraId="422585CB">
      <w:pPr>
        <w:pStyle w:val="18"/>
        <w:spacing w:line="360" w:lineRule="auto"/>
        <w:ind w:firstLine="720"/>
        <w:jc w:val="both"/>
      </w:pPr>
      <w:r>
        <w:t>Despite the significant value Quantity Surveyors (QSs) offer through cost control, financial forecasting, and risk management, their integration into agricultural processing projects remains limited due to several interrelated challenges.</w:t>
      </w:r>
    </w:p>
    <w:p w14:paraId="0176D566">
      <w:pPr>
        <w:pStyle w:val="18"/>
        <w:spacing w:line="360" w:lineRule="auto"/>
        <w:ind w:firstLine="720"/>
        <w:jc w:val="both"/>
      </w:pPr>
    </w:p>
    <w:p w14:paraId="67E8E016">
      <w:pPr>
        <w:pStyle w:val="18"/>
        <w:spacing w:line="360" w:lineRule="auto"/>
        <w:ind w:firstLine="720"/>
        <w:jc w:val="both"/>
      </w:pPr>
    </w:p>
    <w:p w14:paraId="348A8F2B">
      <w:pPr>
        <w:pStyle w:val="4"/>
      </w:pPr>
      <w:bookmarkStart w:id="55" w:name="_Toc203596179"/>
      <w:r>
        <w:t>2.5.1 Limited Awareness and Underutilization of QS Services</w:t>
      </w:r>
      <w:bookmarkEnd w:id="55"/>
      <w:r>
        <w:t xml:space="preserve"> </w:t>
      </w:r>
    </w:p>
    <w:p w14:paraId="42A336F8">
      <w:pPr>
        <w:pStyle w:val="18"/>
        <w:spacing w:line="360" w:lineRule="auto"/>
        <w:ind w:firstLine="720"/>
        <w:jc w:val="both"/>
      </w:pPr>
      <w:r>
        <w:t>One of the most pressing issues is the limited awareness and underutilization of QS services within the agricultural sector. Patel and Desai (2022) assert that many agricultural project stakeholders particularly in rural and semi-urban areas lack awareness of the professional scope and value that QSs bring to capital-intensive projects. Consequently, QSs are often excluded from early-stage project development, resulting in poor financial planning and cost inefficiencies during implementation. This gap in awareness is compounded by a tendency among agro-entrepreneurs to rely on informal project costing methods rather than structured feasibility and investment appraisals (Olaleye et, al 2021).</w:t>
      </w:r>
    </w:p>
    <w:p w14:paraId="0A80937A">
      <w:pPr>
        <w:pStyle w:val="4"/>
      </w:pPr>
      <w:bookmarkStart w:id="56" w:name="_Toc203596180"/>
      <w:r>
        <w:t>2.5.2 Regulatory and Institutional Challenges</w:t>
      </w:r>
      <w:bookmarkEnd w:id="56"/>
      <w:r>
        <w:t xml:space="preserve"> </w:t>
      </w:r>
    </w:p>
    <w:p w14:paraId="01A65876">
      <w:pPr>
        <w:pStyle w:val="18"/>
        <w:spacing w:line="360" w:lineRule="auto"/>
        <w:ind w:firstLine="720"/>
        <w:jc w:val="both"/>
      </w:pPr>
      <w:r>
        <w:t>Regulatory and institutional challenges further hinder the involvement of QSs in agro-processing investments. Ochieng and Awiti (2022) explain that complex approval processes, inconsistent government policies, and overlapping mandates among regulatory bodies create administrative bottlenecks that deter private sector professionals from actively participating in agricultural infrastructure planning. For example, bureaucratic delays in tender approvals and funding disbursements can limit the QS’s ability to perform timely financial evaluations and monitor cost compliance effectively. In many developing economies, these structural constraints also discourage collaboration between construction professionals and agricultural stakeholders (Ochieng &amp; Awiti 2022).</w:t>
      </w:r>
    </w:p>
    <w:p w14:paraId="659C4FA0">
      <w:pPr>
        <w:pStyle w:val="4"/>
      </w:pPr>
      <w:bookmarkStart w:id="57" w:name="_Toc203596181"/>
      <w:r>
        <w:t>2.5.3 Lack of Reliable and Comprehensive Financial Data</w:t>
      </w:r>
      <w:bookmarkEnd w:id="57"/>
      <w:r>
        <w:t xml:space="preserve"> </w:t>
      </w:r>
    </w:p>
    <w:p w14:paraId="38A7A623">
      <w:pPr>
        <w:pStyle w:val="18"/>
        <w:spacing w:line="360" w:lineRule="auto"/>
        <w:ind w:firstLine="720"/>
        <w:jc w:val="both"/>
      </w:pPr>
      <w:r>
        <w:t>Another major challenge is the lack of reliable and comprehensive financial data on agricultural processing projects. Hassan and Ali (2019) emphasize that due to the fragmented nature of agro-processing ventures often operated by small- to medium-scale enterprises project documentation and cost records are frequently inadequate or unavailable (Shehu, 2023). This poses a significant barrier to the QS’s ability to conduct accurate cost estimations, life-cycle costing, and risk assessments. Without historical cost data or standard benchmarks for agro-infrastructure elements, QSs face difficulties in preparing realistic budgets or advising on cost-saving alternatives (Shehu, 2023).</w:t>
      </w:r>
    </w:p>
    <w:p w14:paraId="129D5912">
      <w:pPr>
        <w:pStyle w:val="4"/>
      </w:pPr>
      <w:bookmarkStart w:id="58" w:name="_Toc203596182"/>
      <w:r>
        <w:t>2.5.4 Absence of Interdisciplinary Collaboration</w:t>
      </w:r>
      <w:bookmarkEnd w:id="58"/>
      <w:r>
        <w:t xml:space="preserve">  </w:t>
      </w:r>
    </w:p>
    <w:p w14:paraId="396EBE8A">
      <w:pPr>
        <w:pStyle w:val="18"/>
        <w:spacing w:line="360" w:lineRule="auto"/>
        <w:ind w:firstLine="720"/>
        <w:jc w:val="both"/>
      </w:pPr>
      <w:r>
        <w:t>In addition, the absence of interdisciplinary collaboration between QSs and experts from agriculture-related fields such as agricultural economists, engineers, and rural planners limits the holistic financial planning of agro-projects. Hassan and Ali (2019) recommend enhanced collaboration to bridge the knowledge gap and integrate cost management into agricultural business planning. Inter-professional partnerships can foster innovative procurement approaches, improve financial forecasting accuracy, and ensure that agro-processing projects are economically viable and scalable (Hassan &amp; Ali 2019).</w:t>
      </w:r>
    </w:p>
    <w:p w14:paraId="6890740B">
      <w:pPr>
        <w:pStyle w:val="4"/>
      </w:pPr>
      <w:bookmarkStart w:id="59" w:name="_Toc203596183"/>
      <w:r>
        <w:t>2.5.5 Limited Access to Sector-Specific Training and Professional Development</w:t>
      </w:r>
      <w:bookmarkEnd w:id="59"/>
      <w:r>
        <w:t xml:space="preserve"> </w:t>
      </w:r>
    </w:p>
    <w:p w14:paraId="08C0C7E1">
      <w:pPr>
        <w:pStyle w:val="18"/>
        <w:spacing w:line="360" w:lineRule="auto"/>
        <w:ind w:firstLine="720"/>
        <w:jc w:val="both"/>
      </w:pPr>
      <w:r>
        <w:t>Furthermore, limited access to sector-specific training and professional development presents a challenge. According to Adegbite and Okonkwo (2020), most QSs are trained in traditional construction and infrastructure sectors, with little exposure to the specific demands of agro-industrial projects. The absence of targeted continuing professional development (CPD) opportunities in agricultural economics, agribusiness modeling, and rural infrastructure design restricts their adaptability to emerging roles in food processing and agri-logistics projects (Adegbite &amp; Okonkwo 2020).</w:t>
      </w:r>
    </w:p>
    <w:p w14:paraId="66C0BC35">
      <w:pPr>
        <w:pStyle w:val="4"/>
      </w:pPr>
      <w:bookmarkStart w:id="60" w:name="_Toc203596184"/>
      <w:r>
        <w:t>2.5.6 Technological and Data Management Limitations</w:t>
      </w:r>
      <w:bookmarkEnd w:id="60"/>
      <w:r>
        <w:t xml:space="preserve"> </w:t>
      </w:r>
    </w:p>
    <w:p w14:paraId="0B01234F">
      <w:pPr>
        <w:pStyle w:val="18"/>
        <w:spacing w:line="360" w:lineRule="auto"/>
        <w:ind w:firstLine="720"/>
        <w:jc w:val="both"/>
      </w:pPr>
      <w:r>
        <w:t>Lastly, technological and data management limitations including the underutilization of digital cost management tools and Building Information Modelling (BIM) in agro-projects reduce the efficiency of QS interventions. While these tools are increasingly adopted in commercial construction, their application in the agricultural sector remains low due to cost constraints and technical capacity gaps among stakeholders (Olaleye &amp; Ibrahim, 2021).</w:t>
      </w:r>
    </w:p>
    <w:p w14:paraId="45B4504F">
      <w:pPr>
        <w:pStyle w:val="18"/>
        <w:spacing w:line="360" w:lineRule="auto"/>
        <w:ind w:firstLine="720"/>
        <w:jc w:val="both"/>
      </w:pPr>
      <w:r>
        <w:t>In summary, addressing these challenges requires a multi-pronged approach involving awareness creation, regulatory reform, enhanced data availability, inter-professional collaboration, and tailored training programs. Only through these measures can the full potential of Quantity Surveyors be harnessed to drive cost-efficient and sustainable agro-processing developments.</w:t>
      </w:r>
    </w:p>
    <w:p w14:paraId="3179D2E6">
      <w:pPr>
        <w:pStyle w:val="3"/>
      </w:pPr>
      <w:bookmarkStart w:id="61" w:name="_Toc203596185"/>
      <w:r>
        <w:t>2.6 Financial Challenges Faced in The Development and Operation of Agricultural Processing Plants.</w:t>
      </w:r>
      <w:bookmarkEnd w:id="61"/>
    </w:p>
    <w:p w14:paraId="299C80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integration of Quantity Surveyors (QSs) into agro-processing projects has proven to enhance economic viability and sustainability across various international contexts. By applying structured cost planning, value engineering, and lifecycle cost analysis, QSs contribute significantly to the financial and operational success of agricultural processing ventures.</w:t>
      </w:r>
    </w:p>
    <w:p w14:paraId="73EBF26F">
      <w:pPr>
        <w:pStyle w:val="4"/>
      </w:pPr>
      <w:bookmarkStart w:id="62" w:name="_Toc203596186"/>
      <w:r>
        <w:t>2.6.1 Feasibility Analysis of Agro-Industrial Investments</w:t>
      </w:r>
      <w:bookmarkEnd w:id="62"/>
      <w:r>
        <w:t xml:space="preserve"> </w:t>
      </w:r>
    </w:p>
    <w:p w14:paraId="3DC08FF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China, for example, QSs are actively involved in the feasibility analysis of agro-industrial investments. Chen and Zhang (2021) explain that Chinese agro-projects routinely incorporate QS-led economic appraisals to determine capital requirements, project risks, and cost optimization strategies before project commencement. This approach ensures better resource allocation, reduced wastage, and enhanced budget control (Chen &amp; Zhang 2021). The government’s emphasis on rural revitalization and food security has created a framework in which cost management professionals are essential contributors to infrastructure planning in the agricultural sector.</w:t>
      </w:r>
    </w:p>
    <w:p w14:paraId="1F6022D8">
      <w:pPr>
        <w:pStyle w:val="4"/>
      </w:pPr>
      <w:bookmarkStart w:id="63" w:name="_Toc203596187"/>
      <w:r>
        <w:t>2.6.2 Increasing Demand for Food Security and Agro-Export Competitiveness</w:t>
      </w:r>
      <w:bookmarkEnd w:id="63"/>
      <w:r>
        <w:t xml:space="preserve"> </w:t>
      </w:r>
    </w:p>
    <w:p w14:paraId="462574B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Latin America, QS involvement in agro-processing has grown steadily due to the increasing demand for food security and agro-export competitiveness. Garcia and Martinez (2020) analyzed case studies from Brazil, Colombia, and Argentina, revealing that QSs were instrumental in preparing detailed Bills of Quantities, conducting investment appraisals, and advising on cost-benefit trade-offs. Their input helped align agro-processing investments with available financing, improving access to development funding from both public and private sources. In many instances, QSs partnered with agricultural economists and development planners to ensure the projects’ commercial viability and socio-economic impact (Garcia &amp; Martinez 2020).</w:t>
      </w:r>
    </w:p>
    <w:p w14:paraId="25FB4575">
      <w:pPr>
        <w:pStyle w:val="4"/>
      </w:pPr>
      <w:bookmarkStart w:id="64" w:name="_Toc203596188"/>
      <w:r>
        <w:t>2.6.3 Consideration in economic viability assessments</w:t>
      </w:r>
      <w:bookmarkEnd w:id="64"/>
      <w:r>
        <w:t xml:space="preserve">  </w:t>
      </w:r>
    </w:p>
    <w:p w14:paraId="33A45D1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Sustainability is now a core consideration in economic viability assessments globally. According to Singh and Sharma (2021), modern agro-processing projects increasingly adopt sustainable design principles, where QSs help balance cost efficiency with environmental stewardship. This includes advising on energy-efficient layouts, solar integration, waste management systems, and water conservation technologies. By applying green cost planning tools such as Whole Life Costing (WLC) and Sustainability Appraisal Metrics, QSs ensure that projects not only meet immediate economic goals but also maintain long-term environmental and operational sustainability (Singh &amp; Sharma (2021).</w:t>
      </w:r>
    </w:p>
    <w:p w14:paraId="43940F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in the European Union, particularly in countries like the Netherlands and Germany, QSs are part of multidisciplinary teams managing agro-industrial hubs. According to van der Meer and Jansen (2019), QSs in these regions play key roles in infrastructure finance planning, procurement strategy development, and compliance with EU green procurement policies. Their involvement ensures that agro-processing facilities meet both profitability standards and environmental targets (van der Meer &amp; Jansen 2019).</w:t>
      </w:r>
    </w:p>
    <w:p w14:paraId="22123B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notable international best practice is the use of digital tools such as Building Information Modelling (BIM), cost databases, and project management software to enhance cost estimation accuracy. As highlighted by Kim and Lee (2020), South Korean agro-industrial projects leverage these technologies with QS expertise to simulate construction costs, assess multiple design scenarios, and generate more transparent financial documentation for investors and regulators (Kim &amp; Lee 2020).</w:t>
      </w:r>
    </w:p>
    <w:p w14:paraId="307F3019">
      <w:pPr>
        <w:pStyle w:val="4"/>
      </w:pPr>
      <w:bookmarkStart w:id="65" w:name="_Toc203596189"/>
      <w:r>
        <w:t>2.6.4 Limited Access to Finance</w:t>
      </w:r>
      <w:bookmarkEnd w:id="65"/>
    </w:p>
    <w:p w14:paraId="1A6504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Agricultural enterprises are often considered risky due to unpredictable harvests, price volatility, and pest/disease exposure. In Nigeria, agribusinesses receive less than 5% of national credit, with a financing gap of ₦76 trillion (~USD 183 billion) due to collateral shortages, poor bookkeeping, and high interest rates. Long asset lifecycles: Many processing projects involve large upfront capital that is recouped over long periods, making traditional repayment schedules unsuitable. Lenders often require longer maturities and risk buffers, raising financing costs (Olaleye &amp; Ibrahim, 2021).</w:t>
      </w:r>
    </w:p>
    <w:p w14:paraId="307BBE43">
      <w:pPr>
        <w:pStyle w:val="4"/>
      </w:pPr>
      <w:bookmarkStart w:id="66" w:name="_Toc203596190"/>
      <w:r>
        <w:t>2.6.5 Infrastructure &amp; Power Deficits</w:t>
      </w:r>
      <w:bookmarkEnd w:id="66"/>
    </w:p>
    <w:p w14:paraId="665EFE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Logistics bottlenecks: Poor Road networks and storage facilities inflate costs and increase post-harvest losses. In Nigeria, over 50% of fruits and vegetables spoil annually due to inadequate cold storage. Erratic electricity supply: Frequent power outages force processing plants to rely on costly diesel generators or idle downtime, eroding operating margins Garcia &amp; Martinez (2020).</w:t>
      </w:r>
    </w:p>
    <w:p w14:paraId="04D62D78">
      <w:pPr>
        <w:pStyle w:val="4"/>
      </w:pPr>
      <w:bookmarkStart w:id="67" w:name="_Toc203596191"/>
      <w:r>
        <w:t>2.6.6 High Equipment &amp; CAPEX Costs</w:t>
      </w:r>
      <w:bookmarkEnd w:id="67"/>
    </w:p>
    <w:p w14:paraId="279AF4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Expensive machinery with long lead times: Acquiring and installing industrial-grade processing and packaging equipment is capital-intensive. Procurement delays (6–12 months) further extend project timelines. Specific-sector challenges: Cassava processing in Nigeria suffers from prohibitive equipment costs, inadequate infrastructure, and weak government support (Adegbite &amp; Okonkwo 2020).</w:t>
      </w:r>
    </w:p>
    <w:p w14:paraId="7EAEAD72">
      <w:pPr>
        <w:pStyle w:val="4"/>
      </w:pPr>
      <w:bookmarkStart w:id="68" w:name="_Toc203596192"/>
      <w:r>
        <w:t>2.6.7 Regulatory &amp; Bureaucratic Risks</w:t>
      </w:r>
      <w:bookmarkEnd w:id="68"/>
    </w:p>
    <w:p w14:paraId="0E40DF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Lengthy and inconsistent approval processes: Processing facilities face multiple agency clearances such as food safety, environmental, and zoning which inflate indirect costs and can delay operations by months or even years. Policy volatility: Programs like Nigeria’s border closure policies or incentives like the CBN Anchor Borrowers’ Programmed often change unexpectedly, disrupting cost and revenue projections (Chen &amp; Zhang 2021)</w:t>
      </w:r>
    </w:p>
    <w:p w14:paraId="69BBEFD7">
      <w:pPr>
        <w:pStyle w:val="4"/>
      </w:pPr>
      <w:bookmarkStart w:id="69" w:name="_Toc203596193"/>
      <w:r>
        <w:t>2.6.8 Market Volatility &amp; Post-harvest Losses</w:t>
      </w:r>
      <w:bookmarkEnd w:id="69"/>
    </w:p>
    <w:p w14:paraId="69ECED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Commodity price fluctuation: Large agribusinesses in the global market face boom</w:t>
      </w:r>
      <w:r>
        <w:rPr>
          <w:rFonts w:ascii="Times New Roman" w:hAnsi="Times New Roman" w:cs="Times New Roman"/>
          <w:sz w:val="24"/>
          <w:szCs w:val="24"/>
        </w:rPr>
        <w:noBreakHyphen/>
      </w:r>
      <w:r>
        <w:rPr>
          <w:rFonts w:ascii="Times New Roman" w:hAnsi="Times New Roman" w:cs="Times New Roman"/>
          <w:sz w:val="24"/>
          <w:szCs w:val="24"/>
        </w:rPr>
        <w:t>bust cycles that directly affect margin stability. High spoilage rates: Losses exceeding 40–50% for perishables such as tomatoes and yams significantly impact revenue and liquidity. Currency mismatch in export-oriented operations introduces additional FX volatility (Chen &amp; Zhang 2021)</w:t>
      </w:r>
    </w:p>
    <w:p w14:paraId="41627AB7">
      <w:pPr>
        <w:pStyle w:val="4"/>
      </w:pPr>
      <w:bookmarkStart w:id="70" w:name="_Toc203596194"/>
      <w:r>
        <w:t>2.6.9 Working Capital &amp; Financial Resilience</w:t>
      </w:r>
      <w:bookmarkEnd w:id="70"/>
    </w:p>
    <w:p w14:paraId="7A0A8A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Poor liquidity buffer: Many agricultural processors exhaust equity and long-term loans on CAPEX, neglecting working capital needs. This overleverage makes them vulnerable to short-term shocks commodity dips or supply disruptions often leading to default </w:t>
      </w:r>
    </w:p>
    <w:p w14:paraId="0168CBA6">
      <w:pPr>
        <w:spacing w:line="360" w:lineRule="auto"/>
        <w:jc w:val="both"/>
        <w:rPr>
          <w:rFonts w:ascii="Times New Roman" w:hAnsi="Times New Roman" w:cs="Times New Roman"/>
          <w:sz w:val="24"/>
          <w:szCs w:val="24"/>
        </w:rPr>
      </w:pPr>
      <w:r>
        <w:rPr>
          <w:rFonts w:ascii="Times New Roman" w:hAnsi="Times New Roman" w:cs="Times New Roman"/>
          <w:sz w:val="24"/>
          <w:szCs w:val="24"/>
        </w:rPr>
        <w:t>FinTech and risk mitigation: Innovative finance solutions like blockchain-based credit assessment and indexed insurance are increasingly critical to buffer SMEs (Adegbite &amp; Okonkwo 2020).</w:t>
      </w:r>
    </w:p>
    <w:p w14:paraId="2C5955C7">
      <w:pPr>
        <w:pStyle w:val="4"/>
      </w:pPr>
      <w:bookmarkStart w:id="71" w:name="_Toc203596195"/>
      <w:r>
        <w:t>2.6.10 Skills &amp; Organizational Capacity</w:t>
      </w:r>
      <w:bookmarkEnd w:id="71"/>
    </w:p>
    <w:p w14:paraId="7A3C8F2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Lack of skilled personnel and training: Many SMEs lack training in management, financial planning, and technical operations, which impairs execution quality. Single-role staffing risks: Reliance on one specialist (e.g., IT or food safety) can halt operations if that person leaves.</w:t>
      </w:r>
    </w:p>
    <w:p w14:paraId="2D74D895">
      <w:pPr>
        <w:spacing w:line="360" w:lineRule="auto"/>
        <w:jc w:val="both"/>
        <w:rPr>
          <w:rFonts w:ascii="Times New Roman" w:hAnsi="Times New Roman" w:cs="Times New Roman"/>
          <w:b/>
          <w:bCs/>
        </w:rPr>
      </w:pPr>
    </w:p>
    <w:p w14:paraId="6627DC69">
      <w:pPr>
        <w:pStyle w:val="31"/>
      </w:pPr>
    </w:p>
    <w:p w14:paraId="7BDFF5E5">
      <w:pPr>
        <w:pStyle w:val="31"/>
      </w:pPr>
    </w:p>
    <w:p w14:paraId="63F441ED">
      <w:pPr>
        <w:pStyle w:val="31"/>
      </w:pPr>
    </w:p>
    <w:p w14:paraId="76A5A31E">
      <w:pPr>
        <w:pStyle w:val="31"/>
        <w:rPr>
          <w:i/>
          <w:iCs/>
        </w:rPr>
      </w:pPr>
      <w:r>
        <w:rPr>
          <w:i/>
          <w:iCs/>
        </w:rPr>
        <w:t>Table 2.1: Financial Challenges &amp; QS Responses</w:t>
      </w:r>
    </w:p>
    <w:tbl>
      <w:tblPr>
        <w:tblStyle w:val="12"/>
        <w:tblW w:w="0" w:type="auto"/>
        <w:tblCellSpacing w:w="15" w:type="dxa"/>
        <w:tblInd w:w="0" w:type="dxa"/>
        <w:tblLayout w:type="autofit"/>
        <w:tblCellMar>
          <w:top w:w="15" w:type="dxa"/>
          <w:left w:w="15" w:type="dxa"/>
          <w:bottom w:w="15" w:type="dxa"/>
          <w:right w:w="15" w:type="dxa"/>
        </w:tblCellMar>
      </w:tblPr>
      <w:tblGrid>
        <w:gridCol w:w="2934"/>
        <w:gridCol w:w="6516"/>
      </w:tblGrid>
      <w:tr w14:paraId="7F2751BC">
        <w:tblPrEx>
          <w:tblCellMar>
            <w:top w:w="15" w:type="dxa"/>
            <w:left w:w="15" w:type="dxa"/>
            <w:bottom w:w="15" w:type="dxa"/>
            <w:right w:w="15" w:type="dxa"/>
          </w:tblCellMar>
        </w:tblPrEx>
        <w:trPr>
          <w:tblHeader/>
          <w:tblCellSpacing w:w="15" w:type="dxa"/>
        </w:trPr>
        <w:tc>
          <w:tcPr>
            <w:tcW w:w="0" w:type="auto"/>
            <w:tcBorders>
              <w:top w:val="single" w:color="auto" w:sz="4" w:space="0"/>
              <w:bottom w:val="single" w:color="auto" w:sz="4" w:space="0"/>
            </w:tcBorders>
            <w:vAlign w:val="center"/>
          </w:tcPr>
          <w:p w14:paraId="4B6FB1AE">
            <w:pPr>
              <w:spacing w:line="360" w:lineRule="auto"/>
              <w:jc w:val="both"/>
              <w:rPr>
                <w:rFonts w:ascii="Times New Roman" w:hAnsi="Times New Roman" w:cs="Times New Roman"/>
                <w:b/>
                <w:bCs/>
              </w:rPr>
            </w:pPr>
            <w:r>
              <w:rPr>
                <w:rFonts w:ascii="Times New Roman" w:hAnsi="Times New Roman" w:cs="Times New Roman"/>
                <w:b/>
                <w:bCs/>
              </w:rPr>
              <w:t>Financial Challenge</w:t>
            </w:r>
          </w:p>
        </w:tc>
        <w:tc>
          <w:tcPr>
            <w:tcW w:w="0" w:type="auto"/>
            <w:tcBorders>
              <w:top w:val="single" w:color="auto" w:sz="4" w:space="0"/>
              <w:bottom w:val="single" w:color="auto" w:sz="4" w:space="0"/>
            </w:tcBorders>
            <w:vAlign w:val="center"/>
          </w:tcPr>
          <w:p w14:paraId="17003CC0">
            <w:pPr>
              <w:spacing w:line="360" w:lineRule="auto"/>
              <w:jc w:val="both"/>
              <w:rPr>
                <w:rFonts w:ascii="Times New Roman" w:hAnsi="Times New Roman" w:cs="Times New Roman"/>
                <w:b/>
                <w:bCs/>
              </w:rPr>
            </w:pPr>
            <w:r>
              <w:rPr>
                <w:rFonts w:ascii="Times New Roman" w:hAnsi="Times New Roman" w:cs="Times New Roman"/>
                <w:b/>
                <w:bCs/>
              </w:rPr>
              <w:t>Quantity Surveyor Response</w:t>
            </w:r>
          </w:p>
        </w:tc>
      </w:tr>
      <w:tr w14:paraId="6DA01777">
        <w:tblPrEx>
          <w:tblCellMar>
            <w:top w:w="15" w:type="dxa"/>
            <w:left w:w="15" w:type="dxa"/>
            <w:bottom w:w="15" w:type="dxa"/>
            <w:right w:w="15" w:type="dxa"/>
          </w:tblCellMar>
        </w:tblPrEx>
        <w:trPr>
          <w:tblCellSpacing w:w="15" w:type="dxa"/>
        </w:trPr>
        <w:tc>
          <w:tcPr>
            <w:tcW w:w="0" w:type="auto"/>
            <w:vAlign w:val="center"/>
          </w:tcPr>
          <w:p w14:paraId="22779E26">
            <w:pPr>
              <w:spacing w:line="360" w:lineRule="auto"/>
              <w:jc w:val="both"/>
              <w:rPr>
                <w:rFonts w:ascii="Times New Roman" w:hAnsi="Times New Roman" w:cs="Times New Roman"/>
              </w:rPr>
            </w:pPr>
            <w:r>
              <w:rPr>
                <w:rFonts w:ascii="Times New Roman" w:hAnsi="Times New Roman" w:cs="Times New Roman"/>
              </w:rPr>
              <w:t>Limited Access to Finance</w:t>
            </w:r>
          </w:p>
        </w:tc>
        <w:tc>
          <w:tcPr>
            <w:tcW w:w="0" w:type="auto"/>
            <w:vAlign w:val="center"/>
          </w:tcPr>
          <w:p w14:paraId="61FACD3A">
            <w:pPr>
              <w:spacing w:line="360" w:lineRule="auto"/>
              <w:jc w:val="both"/>
              <w:rPr>
                <w:rFonts w:ascii="Times New Roman" w:hAnsi="Times New Roman" w:cs="Times New Roman"/>
              </w:rPr>
            </w:pPr>
            <w:r>
              <w:rPr>
                <w:rFonts w:ascii="Times New Roman" w:hAnsi="Times New Roman" w:cs="Times New Roman"/>
              </w:rPr>
              <w:t>Model long-term repayment plans, include contingency, explore blended finance</w:t>
            </w:r>
          </w:p>
        </w:tc>
      </w:tr>
      <w:tr w14:paraId="7F36FBF1">
        <w:tblPrEx>
          <w:tblCellMar>
            <w:top w:w="15" w:type="dxa"/>
            <w:left w:w="15" w:type="dxa"/>
            <w:bottom w:w="15" w:type="dxa"/>
            <w:right w:w="15" w:type="dxa"/>
          </w:tblCellMar>
        </w:tblPrEx>
        <w:trPr>
          <w:tblCellSpacing w:w="15" w:type="dxa"/>
        </w:trPr>
        <w:tc>
          <w:tcPr>
            <w:tcW w:w="0" w:type="auto"/>
            <w:vAlign w:val="center"/>
          </w:tcPr>
          <w:p w14:paraId="31B11190">
            <w:pPr>
              <w:spacing w:line="360" w:lineRule="auto"/>
              <w:jc w:val="both"/>
              <w:rPr>
                <w:rFonts w:ascii="Times New Roman" w:hAnsi="Times New Roman" w:cs="Times New Roman"/>
              </w:rPr>
            </w:pPr>
            <w:r>
              <w:rPr>
                <w:rFonts w:ascii="Times New Roman" w:hAnsi="Times New Roman" w:cs="Times New Roman"/>
              </w:rPr>
              <w:t>Infrastructure &amp; Power Deficits</w:t>
            </w:r>
          </w:p>
        </w:tc>
        <w:tc>
          <w:tcPr>
            <w:tcW w:w="0" w:type="auto"/>
            <w:vAlign w:val="center"/>
          </w:tcPr>
          <w:p w14:paraId="70FB995A">
            <w:pPr>
              <w:spacing w:line="360" w:lineRule="auto"/>
              <w:jc w:val="both"/>
              <w:rPr>
                <w:rFonts w:ascii="Times New Roman" w:hAnsi="Times New Roman" w:cs="Times New Roman"/>
              </w:rPr>
            </w:pPr>
            <w:r>
              <w:rPr>
                <w:rFonts w:ascii="Times New Roman" w:hAnsi="Times New Roman" w:cs="Times New Roman"/>
              </w:rPr>
              <w:t>Add CAPEX and contingency for roads, storage, backup power</w:t>
            </w:r>
          </w:p>
        </w:tc>
      </w:tr>
      <w:tr w14:paraId="77062D68">
        <w:tblPrEx>
          <w:tblCellMar>
            <w:top w:w="15" w:type="dxa"/>
            <w:left w:w="15" w:type="dxa"/>
            <w:bottom w:w="15" w:type="dxa"/>
            <w:right w:w="15" w:type="dxa"/>
          </w:tblCellMar>
        </w:tblPrEx>
        <w:trPr>
          <w:tblCellSpacing w:w="15" w:type="dxa"/>
        </w:trPr>
        <w:tc>
          <w:tcPr>
            <w:tcW w:w="0" w:type="auto"/>
            <w:vAlign w:val="center"/>
          </w:tcPr>
          <w:p w14:paraId="7B6C3C44">
            <w:pPr>
              <w:spacing w:line="360" w:lineRule="auto"/>
              <w:jc w:val="both"/>
              <w:rPr>
                <w:rFonts w:ascii="Times New Roman" w:hAnsi="Times New Roman" w:cs="Times New Roman"/>
              </w:rPr>
            </w:pPr>
            <w:r>
              <w:rPr>
                <w:rFonts w:ascii="Times New Roman" w:hAnsi="Times New Roman" w:cs="Times New Roman"/>
              </w:rPr>
              <w:t>High Equipment and CAPEX Costs</w:t>
            </w:r>
          </w:p>
        </w:tc>
        <w:tc>
          <w:tcPr>
            <w:tcW w:w="0" w:type="auto"/>
            <w:vAlign w:val="center"/>
          </w:tcPr>
          <w:p w14:paraId="0250F651">
            <w:pPr>
              <w:spacing w:line="360" w:lineRule="auto"/>
              <w:jc w:val="both"/>
              <w:rPr>
                <w:rFonts w:ascii="Times New Roman" w:hAnsi="Times New Roman" w:cs="Times New Roman"/>
              </w:rPr>
            </w:pPr>
            <w:r>
              <w:rPr>
                <w:rFonts w:ascii="Times New Roman" w:hAnsi="Times New Roman" w:cs="Times New Roman"/>
              </w:rPr>
              <w:t>Prepare life-cycle costing, time CAPEX across delivery schedules</w:t>
            </w:r>
          </w:p>
        </w:tc>
      </w:tr>
      <w:tr w14:paraId="2AABC001">
        <w:tblPrEx>
          <w:tblCellMar>
            <w:top w:w="15" w:type="dxa"/>
            <w:left w:w="15" w:type="dxa"/>
            <w:bottom w:w="15" w:type="dxa"/>
            <w:right w:w="15" w:type="dxa"/>
          </w:tblCellMar>
        </w:tblPrEx>
        <w:trPr>
          <w:tblCellSpacing w:w="15" w:type="dxa"/>
        </w:trPr>
        <w:tc>
          <w:tcPr>
            <w:tcW w:w="0" w:type="auto"/>
            <w:vAlign w:val="center"/>
          </w:tcPr>
          <w:p w14:paraId="4308E086">
            <w:pPr>
              <w:spacing w:line="360" w:lineRule="auto"/>
              <w:jc w:val="both"/>
              <w:rPr>
                <w:rFonts w:ascii="Times New Roman" w:hAnsi="Times New Roman" w:cs="Times New Roman"/>
              </w:rPr>
            </w:pPr>
            <w:r>
              <w:rPr>
                <w:rFonts w:ascii="Times New Roman" w:hAnsi="Times New Roman" w:cs="Times New Roman"/>
              </w:rPr>
              <w:t>Regulatory &amp; Bureaucratic Risks</w:t>
            </w:r>
          </w:p>
        </w:tc>
        <w:tc>
          <w:tcPr>
            <w:tcW w:w="0" w:type="auto"/>
            <w:vAlign w:val="center"/>
          </w:tcPr>
          <w:p w14:paraId="469A5B42">
            <w:pPr>
              <w:spacing w:line="360" w:lineRule="auto"/>
              <w:jc w:val="both"/>
              <w:rPr>
                <w:rFonts w:ascii="Times New Roman" w:hAnsi="Times New Roman" w:cs="Times New Roman"/>
              </w:rPr>
            </w:pPr>
            <w:r>
              <w:rPr>
                <w:rFonts w:ascii="Times New Roman" w:hAnsi="Times New Roman" w:cs="Times New Roman"/>
              </w:rPr>
              <w:t>Allocate delay buffers, track policy shifts</w:t>
            </w:r>
          </w:p>
        </w:tc>
      </w:tr>
      <w:tr w14:paraId="4BD4F102">
        <w:tblPrEx>
          <w:tblCellMar>
            <w:top w:w="15" w:type="dxa"/>
            <w:left w:w="15" w:type="dxa"/>
            <w:bottom w:w="15" w:type="dxa"/>
            <w:right w:w="15" w:type="dxa"/>
          </w:tblCellMar>
        </w:tblPrEx>
        <w:trPr>
          <w:tblCellSpacing w:w="15" w:type="dxa"/>
        </w:trPr>
        <w:tc>
          <w:tcPr>
            <w:tcW w:w="0" w:type="auto"/>
            <w:vAlign w:val="center"/>
          </w:tcPr>
          <w:p w14:paraId="19F1B5B7">
            <w:pPr>
              <w:spacing w:line="360" w:lineRule="auto"/>
              <w:jc w:val="both"/>
              <w:rPr>
                <w:rFonts w:ascii="Times New Roman" w:hAnsi="Times New Roman" w:cs="Times New Roman"/>
              </w:rPr>
            </w:pPr>
            <w:r>
              <w:rPr>
                <w:rFonts w:ascii="Times New Roman" w:hAnsi="Times New Roman" w:cs="Times New Roman"/>
              </w:rPr>
              <w:t>Market Volatility &amp; Losses</w:t>
            </w:r>
          </w:p>
        </w:tc>
        <w:tc>
          <w:tcPr>
            <w:tcW w:w="0" w:type="auto"/>
            <w:vAlign w:val="center"/>
          </w:tcPr>
          <w:p w14:paraId="68D4EEAA">
            <w:pPr>
              <w:spacing w:line="360" w:lineRule="auto"/>
              <w:jc w:val="both"/>
              <w:rPr>
                <w:rFonts w:ascii="Times New Roman" w:hAnsi="Times New Roman" w:cs="Times New Roman"/>
              </w:rPr>
            </w:pPr>
            <w:r>
              <w:rPr>
                <w:rFonts w:ascii="Times New Roman" w:hAnsi="Times New Roman" w:cs="Times New Roman"/>
              </w:rPr>
              <w:t>Sensitivity analysis, hedging, FX strategies</w:t>
            </w:r>
          </w:p>
        </w:tc>
      </w:tr>
      <w:tr w14:paraId="2ABC7E3F">
        <w:tblPrEx>
          <w:tblCellMar>
            <w:top w:w="15" w:type="dxa"/>
            <w:left w:w="15" w:type="dxa"/>
            <w:bottom w:w="15" w:type="dxa"/>
            <w:right w:w="15" w:type="dxa"/>
          </w:tblCellMar>
        </w:tblPrEx>
        <w:trPr>
          <w:tblCellSpacing w:w="15" w:type="dxa"/>
        </w:trPr>
        <w:tc>
          <w:tcPr>
            <w:tcW w:w="0" w:type="auto"/>
            <w:vAlign w:val="center"/>
          </w:tcPr>
          <w:p w14:paraId="432EC03B">
            <w:pPr>
              <w:spacing w:line="360" w:lineRule="auto"/>
              <w:jc w:val="both"/>
              <w:rPr>
                <w:rFonts w:ascii="Times New Roman" w:hAnsi="Times New Roman" w:cs="Times New Roman"/>
              </w:rPr>
            </w:pPr>
            <w:r>
              <w:rPr>
                <w:rFonts w:ascii="Times New Roman" w:hAnsi="Times New Roman" w:cs="Times New Roman"/>
              </w:rPr>
              <w:t>Working Capital &amp; Liquidity Risks</w:t>
            </w:r>
          </w:p>
        </w:tc>
        <w:tc>
          <w:tcPr>
            <w:tcW w:w="0" w:type="auto"/>
            <w:vAlign w:val="center"/>
          </w:tcPr>
          <w:p w14:paraId="73915D7D">
            <w:pPr>
              <w:spacing w:line="360" w:lineRule="auto"/>
              <w:jc w:val="both"/>
              <w:rPr>
                <w:rFonts w:ascii="Times New Roman" w:hAnsi="Times New Roman" w:cs="Times New Roman"/>
              </w:rPr>
            </w:pPr>
            <w:r>
              <w:rPr>
                <w:rFonts w:ascii="Times New Roman" w:hAnsi="Times New Roman" w:cs="Times New Roman"/>
              </w:rPr>
              <w:t>Stress-test cashflows, budget for working capital, consider FinTech tools</w:t>
            </w:r>
          </w:p>
        </w:tc>
      </w:tr>
      <w:tr w14:paraId="6113AD36">
        <w:tblPrEx>
          <w:tblCellMar>
            <w:top w:w="15" w:type="dxa"/>
            <w:left w:w="15" w:type="dxa"/>
            <w:bottom w:w="15" w:type="dxa"/>
            <w:right w:w="15" w:type="dxa"/>
          </w:tblCellMar>
        </w:tblPrEx>
        <w:trPr>
          <w:tblCellSpacing w:w="15" w:type="dxa"/>
        </w:trPr>
        <w:tc>
          <w:tcPr>
            <w:tcW w:w="0" w:type="auto"/>
            <w:tcBorders>
              <w:bottom w:val="single" w:color="auto" w:sz="4" w:space="0"/>
            </w:tcBorders>
            <w:vAlign w:val="center"/>
          </w:tcPr>
          <w:p w14:paraId="1C43F7DA">
            <w:pPr>
              <w:spacing w:line="360" w:lineRule="auto"/>
              <w:jc w:val="both"/>
              <w:rPr>
                <w:rFonts w:ascii="Times New Roman" w:hAnsi="Times New Roman" w:cs="Times New Roman"/>
              </w:rPr>
            </w:pPr>
            <w:r>
              <w:rPr>
                <w:rFonts w:ascii="Times New Roman" w:hAnsi="Times New Roman" w:cs="Times New Roman"/>
              </w:rPr>
              <w:t>Skills &amp; Capacity Gaps</w:t>
            </w:r>
          </w:p>
        </w:tc>
        <w:tc>
          <w:tcPr>
            <w:tcW w:w="0" w:type="auto"/>
            <w:tcBorders>
              <w:bottom w:val="single" w:color="auto" w:sz="4" w:space="0"/>
            </w:tcBorders>
            <w:vAlign w:val="center"/>
          </w:tcPr>
          <w:p w14:paraId="76882C2D">
            <w:pPr>
              <w:spacing w:line="360" w:lineRule="auto"/>
              <w:jc w:val="both"/>
              <w:rPr>
                <w:rFonts w:ascii="Times New Roman" w:hAnsi="Times New Roman" w:cs="Times New Roman"/>
              </w:rPr>
            </w:pPr>
            <w:r>
              <w:rPr>
                <w:rFonts w:ascii="Times New Roman" w:hAnsi="Times New Roman" w:cs="Times New Roman"/>
              </w:rPr>
              <w:t>Include training budgets, redundancy planning</w:t>
            </w:r>
          </w:p>
        </w:tc>
      </w:tr>
    </w:tbl>
    <w:p w14:paraId="4AE8DBFD">
      <w:pPr>
        <w:spacing w:line="360" w:lineRule="auto"/>
        <w:jc w:val="both"/>
        <w:rPr>
          <w:rFonts w:ascii="Times New Roman" w:hAnsi="Times New Roman" w:cs="Times New Roman"/>
        </w:rPr>
      </w:pPr>
    </w:p>
    <w:p w14:paraId="624C5DE9">
      <w:pPr>
        <w:pStyle w:val="3"/>
        <w:numPr>
          <w:ilvl w:val="1"/>
          <w:numId w:val="3"/>
        </w:numPr>
      </w:pPr>
      <w:bookmarkStart w:id="72" w:name="_Toc203596196"/>
      <w:r>
        <w:t>Role of Quantity surveyors’ in assessing the economic viability of agro-processing projects.</w:t>
      </w:r>
      <w:bookmarkEnd w:id="72"/>
    </w:p>
    <w:p w14:paraId="0914E756">
      <w:pPr>
        <w:pStyle w:val="4"/>
      </w:pPr>
      <w:bookmarkStart w:id="73" w:name="_Toc203596197"/>
      <w:r>
        <w:t>2.8.1 Feasibility &amp; Viability Analysis</w:t>
      </w:r>
      <w:bookmarkEnd w:id="73"/>
    </w:p>
    <w:p w14:paraId="01FB8791">
      <w:pPr>
        <w:pStyle w:val="18"/>
        <w:spacing w:line="360" w:lineRule="auto"/>
        <w:ind w:firstLine="720"/>
        <w:jc w:val="both"/>
      </w:pPr>
      <w:r>
        <w:t>Quantity Surveyors (QSs) play a fundamental role in the early stages of any construction project, particularly during feasibility and viability analysis. This phase is crucial, as it helps clients determine whether a proposed project is financially, technically, and operationally viable before making any major investment decisions (Shehu, 2023).</w:t>
      </w:r>
    </w:p>
    <w:p w14:paraId="298C776E">
      <w:pPr>
        <w:pStyle w:val="18"/>
        <w:spacing w:line="360" w:lineRule="auto"/>
        <w:jc w:val="both"/>
      </w:pPr>
      <w:r>
        <w:t xml:space="preserve">At this stage, QS professionals are responsible for preparing </w:t>
      </w:r>
      <w:r>
        <w:rPr>
          <w:rStyle w:val="19"/>
          <w:rFonts w:eastAsiaTheme="majorEastAsia"/>
          <w:b w:val="0"/>
          <w:bCs w:val="0"/>
        </w:rPr>
        <w:t>preliminary cost estimates</w:t>
      </w:r>
      <w:r>
        <w:rPr>
          <w:b/>
          <w:bCs/>
        </w:rPr>
        <w:t>,</w:t>
      </w:r>
      <w:r>
        <w:t xml:space="preserve"> which give clients an early indication of how much the project might cost based on conceptual designs, similar past projects, and current market rates. These estimates are essential for deciding whether the project falls within the available budget or if adjustments are needed to align costs with financial resources.</w:t>
      </w:r>
    </w:p>
    <w:p w14:paraId="0CCE81D2">
      <w:pPr>
        <w:pStyle w:val="18"/>
        <w:spacing w:line="360" w:lineRule="auto"/>
        <w:ind w:firstLine="600"/>
        <w:jc w:val="both"/>
      </w:pPr>
      <w:r>
        <w:t xml:space="preserve">In addition to estimating costs, QSs conduct </w:t>
      </w:r>
      <w:r>
        <w:rPr>
          <w:rStyle w:val="19"/>
          <w:rFonts w:eastAsiaTheme="majorEastAsia"/>
          <w:b w:val="0"/>
          <w:bCs w:val="0"/>
        </w:rPr>
        <w:t>cost benefit appraisals</w:t>
      </w:r>
      <w:r>
        <w:t xml:space="preserve"> to evaluate the economic justification for the project. This involves comparing the expected benefits such as income, cost savings, or social impact against the total costs of construction and future operation. The outcome of this analysis provides the client with a clearer picture of the project's return on investment and long-term financial sustainability.</w:t>
      </w:r>
    </w:p>
    <w:p w14:paraId="69570B03">
      <w:pPr>
        <w:pStyle w:val="18"/>
        <w:spacing w:line="360" w:lineRule="auto"/>
        <w:ind w:firstLine="600"/>
        <w:jc w:val="both"/>
      </w:pPr>
      <w:r>
        <w:t xml:space="preserve">Another key function of the QS during this stage is to carry out </w:t>
      </w:r>
      <w:r>
        <w:rPr>
          <w:rStyle w:val="19"/>
          <w:rFonts w:eastAsiaTheme="majorEastAsia"/>
          <w:b w:val="0"/>
          <w:bCs w:val="0"/>
        </w:rPr>
        <w:t>early value engineering</w:t>
      </w:r>
      <w:r>
        <w:rPr>
          <w:b/>
          <w:bCs/>
        </w:rPr>
        <w:t>.</w:t>
      </w:r>
      <w:r>
        <w:t xml:space="preserve"> This is a proactive process where QSs explore alternative construction materials, design options, and methods that can reduce project costs without compromising quality, safety, or performance. For example, they might suggest using locally sourced materials, adopting prefabrication techniques, or recommending design changes that enhance efficiency (Shehu, 2023).</w:t>
      </w:r>
    </w:p>
    <w:p w14:paraId="4B4E54FF">
      <w:pPr>
        <w:pStyle w:val="18"/>
        <w:spacing w:line="360" w:lineRule="auto"/>
        <w:ind w:firstLine="600"/>
        <w:jc w:val="both"/>
      </w:pPr>
      <w:r>
        <w:t xml:space="preserve">QSs also help evaluate various </w:t>
      </w:r>
      <w:r>
        <w:rPr>
          <w:rStyle w:val="19"/>
          <w:rFonts w:eastAsiaTheme="majorEastAsia"/>
          <w:b w:val="0"/>
          <w:bCs w:val="0"/>
        </w:rPr>
        <w:t>construction methods</w:t>
      </w:r>
      <w:r>
        <w:rPr>
          <w:b/>
          <w:bCs/>
        </w:rPr>
        <w:t>,</w:t>
      </w:r>
      <w:r>
        <w:t xml:space="preserve"> advising on which approaches are most suitable for the project in terms of cost, time, and technical feasibility. They assess whether traditional, modular, or advanced construction techniques would offer the best value depending on the project's nature and location.</w:t>
      </w:r>
    </w:p>
    <w:p w14:paraId="171F8B7D">
      <w:pPr>
        <w:pStyle w:val="18"/>
        <w:spacing w:line="360" w:lineRule="auto"/>
        <w:ind w:firstLine="600"/>
        <w:jc w:val="both"/>
      </w:pPr>
      <w:r>
        <w:t xml:space="preserve">Furthermore, they analyze both </w:t>
      </w:r>
      <w:r>
        <w:rPr>
          <w:rStyle w:val="19"/>
          <w:rFonts w:eastAsiaTheme="majorEastAsia"/>
          <w:b w:val="0"/>
          <w:bCs w:val="0"/>
        </w:rPr>
        <w:t>capital expenditure (CAPEX)</w:t>
      </w:r>
      <w:r>
        <w:t xml:space="preserve"> such as the cost of land, buildings, and equipment and </w:t>
      </w:r>
      <w:r>
        <w:rPr>
          <w:rStyle w:val="19"/>
          <w:rFonts w:eastAsiaTheme="majorEastAsia"/>
          <w:b w:val="0"/>
          <w:bCs w:val="0"/>
        </w:rPr>
        <w:t>operating expenditure (OPEX)</w:t>
      </w:r>
      <w:r>
        <w:rPr>
          <w:b/>
          <w:bCs/>
        </w:rPr>
        <w:t>,</w:t>
      </w:r>
      <w:r>
        <w:t xml:space="preserve"> which includes ongoing costs like maintenance, utilities, staffing, and materials. This dual analysis ensures that clients are fully aware of both the upfront and long-term financial implications of the project.</w:t>
      </w:r>
    </w:p>
    <w:p w14:paraId="3036ED83">
      <w:pPr>
        <w:pStyle w:val="18"/>
        <w:spacing w:line="360" w:lineRule="auto"/>
        <w:ind w:firstLine="600"/>
        <w:jc w:val="both"/>
      </w:pPr>
      <w:r>
        <w:t xml:space="preserve">By combining all these services, QSs provide clients with a </w:t>
      </w:r>
      <w:r>
        <w:rPr>
          <w:rStyle w:val="19"/>
          <w:rFonts w:eastAsiaTheme="majorEastAsia"/>
          <w:b w:val="0"/>
          <w:bCs w:val="0"/>
        </w:rPr>
        <w:t>comprehensive feasibility report</w:t>
      </w:r>
      <w:r>
        <w:t xml:space="preserve"> that outlines potential risks, opportunities, and recommendations. This helps clients make informed decisions about whether to proceed, adjust the project scope, or seek alternative investment strategies (Shehu, 2023).</w:t>
      </w:r>
    </w:p>
    <w:p w14:paraId="46428FC9">
      <w:pPr>
        <w:pStyle w:val="18"/>
        <w:spacing w:line="360" w:lineRule="auto"/>
        <w:ind w:firstLine="600"/>
        <w:jc w:val="both"/>
      </w:pPr>
      <w:r>
        <w:t>In summary, Quantity Surveyors contribute significantly to the success of construction projects by offering expert guidance during the feasibility and viability analysis phase. Their ability to forecast costs, evaluate financial risks, and identify value-enhancing options ensures that projects are not only affordable but also sustainable and aligned with the client’s objectives (Shehu, 2023).</w:t>
      </w:r>
    </w:p>
    <w:p w14:paraId="0292D9A8">
      <w:pPr>
        <w:pStyle w:val="4"/>
      </w:pPr>
      <w:bookmarkStart w:id="74" w:name="_Toc203596198"/>
      <w:r>
        <w:t>2.8.2. Cost Estimation, Budgeting &amp; Life-Cycle Costing</w:t>
      </w:r>
      <w:bookmarkEnd w:id="74"/>
    </w:p>
    <w:p w14:paraId="56B4A80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Quantity Surveyors (QSs) play a vital role in ensuring effective financial planning and cost management throughout the life of a construction project. One of their primary responsibilities is the preparation of detailed cost estimates and budget plans, which are developed using structured documents such as the Bill of Quantities (BoQ). The BoQ provides a comprehensive breakdown of all project components, including materials, labor, equipment, and other associated costs. This level of detail ensures that the project has a realistic and reliable cost baseline, which serves as a reference point for managing finances during the construction phase (Mwangi &amp; Otieno, 2019).</w:t>
      </w:r>
    </w:p>
    <w:p w14:paraId="6B9EA52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Beyond initial estimates, QSs also prepare elemental cost forecasts, which involve breaking down the overall costs into key functional elements of the building or facility such as substructure, superstructure, services, and finishes. This approach not only supports more accurate cost planning but also allows stakeholders to identify cost drivers and explore alternatives in specific areas without affecting the entire budget. In the context of agro-processing facilities, where capital resources must be carefully allocated, such forecasting enables efficient financial control (Mwangi &amp; Otieno, 2019).</w:t>
      </w:r>
    </w:p>
    <w:p w14:paraId="4033ACA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significant part of the QS’s expertise also lies in the application of life-cycle costing (LCC). This technique goes beyond the initial capital costs by considering the total cost of ownership over the entire lifespan of the asset. Life-cycle costing enables QSs to compare various technical and design options, such as different types of equipment or materials, based on both upfront expenses and long-term operational and maintenance costs. For instance, a QS may recommend investing in higher-efficiency processing equipment that, while more expensive initially, offers substantial savings in energy consumption and maintenance over time (Mwangi &amp; Otieno, 2019).</w:t>
      </w:r>
    </w:p>
    <w:p w14:paraId="19726AF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By integrating life-cycle costing into decision-making, QSs support sustainable and cost-effective choices that align with both the client’s budget and the long-term performance objectives of the project. This is particularly important in agro-processing projects, where operating costs such as energy, water, and equipment maintenance can significantly impact profitability.</w:t>
      </w:r>
    </w:p>
    <w:p w14:paraId="557D59D8">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the QS’s role in cost estimation, budget planning, and life-cycle analysis is central to achieving financial discipline, value for money, and long-term sustainability in construction projects. Their contributions help ensure that clients make informed, economically sound decisions from project inception to facility operation (Mwangi &amp; Otieno, 2019).</w:t>
      </w:r>
    </w:p>
    <w:p w14:paraId="44EC9972">
      <w:pPr>
        <w:jc w:val="both"/>
      </w:pPr>
    </w:p>
    <w:p w14:paraId="43C78C6C">
      <w:pPr>
        <w:pStyle w:val="4"/>
      </w:pPr>
      <w:bookmarkStart w:id="75" w:name="_Toc203596199"/>
      <w:r>
        <w:t>2.8.3. Value Management &amp; Alternative Options</w:t>
      </w:r>
      <w:bookmarkEnd w:id="75"/>
    </w:p>
    <w:p w14:paraId="5962D5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One of the most impactful tools used by Quantity Surveyors (QSs) in cost management is value engineering (VE). This is a structured, systematic process aimed at improving the value of a project by analyzing its functions, and identifying alternative materials, construction methods, or designs that can achieve the same objectives at a lower cost. Through value engineering, QSs provide clients with cost-effective alternatives that maintain or even enhance the quality, functionality, and performance of a project (Smith &amp; Brown, 2020).</w:t>
      </w:r>
    </w:p>
    <w:p w14:paraId="3F9976FE">
      <w:pPr>
        <w:spacing w:line="360" w:lineRule="auto"/>
        <w:jc w:val="both"/>
        <w:rPr>
          <w:rFonts w:ascii="Times New Roman" w:hAnsi="Times New Roman" w:cs="Times New Roman"/>
          <w:sz w:val="24"/>
          <w:szCs w:val="24"/>
        </w:rPr>
      </w:pPr>
      <w:r>
        <w:rPr>
          <w:rFonts w:ascii="Times New Roman" w:hAnsi="Times New Roman" w:cs="Times New Roman"/>
          <w:sz w:val="24"/>
          <w:szCs w:val="24"/>
        </w:rPr>
        <w:t>Rather than focusing solely on cost reduction, QSs apply VE with a broader aim of maximizing value for money. They critically evaluate every component of a project, exploring whether there are less expensive options that deliver the same or better results. This could involve recommending the use of locally sourced materials instead of imported ones, suggesting modular or prefabricated systems to reduce construction time and labor costs, or selecting alternative design layouts that minimize space and resource use (Smith &amp; Brown, 2020).</w:t>
      </w:r>
    </w:p>
    <w:p w14:paraId="7D76B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key strength of QSs in value engineering lies in their ability to weigh trade-offs between initial capital cost and long-term operational expenditure (OPEX). For example, when choosing between two types of equipment, the QS may advise the client to consider not just the purchase price, but also the energy efficiency, maintenance requirements, and lifespan of each option. A cheaper machine might reduce the capital cost, but if it consumes more power or breaks down frequently, it could lead to higher operational costs over time. On the other hand, a more expensive but energy-efficient and durable machine could lead to significant savings in the long run (Smith &amp; Brown, 2020).</w:t>
      </w:r>
    </w:p>
    <w:p w14:paraId="4F89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balanced, informed decision-making process ensures that clients are not misled by short-term savings that may result in higher total expenditures. Instead, QSs help them make strategic investment decisions that optimize overall value taking both cost and performance into account.</w:t>
      </w:r>
    </w:p>
    <w:p w14:paraId="5AE99DF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context of agro-processing projects, where margins can be tight and operational efficiency is crucial, value engineering becomes even more important. By proposing innovative and efficient alternatives, QSs support project outcomes that are cost-efficient, functionally sound, and aligned with the long-term goals of the client (Smith &amp; Brown, 2020).</w:t>
      </w:r>
    </w:p>
    <w:p w14:paraId="4F5E936E">
      <w:pPr>
        <w:pStyle w:val="3"/>
        <w:numPr>
          <w:ilvl w:val="2"/>
          <w:numId w:val="4"/>
        </w:numPr>
      </w:pPr>
      <w:bookmarkStart w:id="76" w:name="_Toc203596200"/>
      <w:r>
        <w:t>Risk Identification and Contingency Planning</w:t>
      </w:r>
      <w:bookmarkEnd w:id="76"/>
    </w:p>
    <w:p w14:paraId="7A4AB65A">
      <w:pPr>
        <w:pStyle w:val="18"/>
        <w:spacing w:line="360" w:lineRule="auto"/>
        <w:ind w:firstLine="600"/>
        <w:jc w:val="both"/>
      </w:pPr>
      <w:r>
        <w:t xml:space="preserve">In the dynamic and often unpredictable environment of construction projects particularly those in developing contexts such as agro-processing </w:t>
      </w:r>
      <w:r>
        <w:rPr>
          <w:rStyle w:val="19"/>
          <w:rFonts w:eastAsiaTheme="majorEastAsia"/>
          <w:b w:val="0"/>
          <w:bCs w:val="0"/>
        </w:rPr>
        <w:t>risk management</w:t>
      </w:r>
      <w:r>
        <w:t xml:space="preserve"> is a critical component of financial planning. Quantity Surveyors (QSs) play a central role in identifying, analyzing, and mitigating </w:t>
      </w:r>
      <w:r>
        <w:rPr>
          <w:rStyle w:val="19"/>
          <w:rFonts w:eastAsiaTheme="majorEastAsia"/>
          <w:b w:val="0"/>
          <w:bCs w:val="0"/>
        </w:rPr>
        <w:t>cost-related risks</w:t>
      </w:r>
      <w:r>
        <w:t xml:space="preserve"> that may affect the successful delivery of a project. These risks can arise from various sources, including </w:t>
      </w:r>
      <w:r>
        <w:rPr>
          <w:rStyle w:val="19"/>
          <w:rFonts w:eastAsiaTheme="majorEastAsia"/>
          <w:b w:val="0"/>
          <w:bCs w:val="0"/>
        </w:rPr>
        <w:t>supply chain disruptions, regulatory delays, unstable</w:t>
      </w:r>
      <w:r>
        <w:rPr>
          <w:rStyle w:val="19"/>
          <w:rFonts w:eastAsiaTheme="majorEastAsia"/>
        </w:rPr>
        <w:t xml:space="preserve"> </w:t>
      </w:r>
      <w:r>
        <w:rPr>
          <w:rStyle w:val="19"/>
          <w:rFonts w:eastAsiaTheme="majorEastAsia"/>
          <w:b w:val="0"/>
          <w:bCs w:val="0"/>
        </w:rPr>
        <w:t>utility services,</w:t>
      </w:r>
      <w:r>
        <w:rPr>
          <w:rStyle w:val="19"/>
          <w:rFonts w:eastAsiaTheme="majorEastAsia"/>
        </w:rPr>
        <w:t xml:space="preserve"> </w:t>
      </w:r>
      <w:r>
        <w:rPr>
          <w:rStyle w:val="19"/>
          <w:rFonts w:eastAsiaTheme="majorEastAsia"/>
          <w:b w:val="0"/>
          <w:bCs w:val="0"/>
        </w:rPr>
        <w:t>fluctuating market prices, and unforeseen site conditions</w:t>
      </w:r>
      <w:r>
        <w:t xml:space="preserve"> (Johnson &amp; Evans, 2018).</w:t>
      </w:r>
    </w:p>
    <w:p w14:paraId="1F42A145">
      <w:pPr>
        <w:pStyle w:val="18"/>
        <w:spacing w:line="360" w:lineRule="auto"/>
        <w:ind w:firstLine="600"/>
        <w:jc w:val="both"/>
      </w:pPr>
      <w:r>
        <w:t xml:space="preserve">One of the core functions of QSs is </w:t>
      </w:r>
      <w:r>
        <w:rPr>
          <w:b/>
          <w:bCs/>
        </w:rPr>
        <w:t xml:space="preserve">to </w:t>
      </w:r>
      <w:r>
        <w:rPr>
          <w:rStyle w:val="19"/>
          <w:rFonts w:eastAsiaTheme="majorEastAsia"/>
          <w:b w:val="0"/>
          <w:bCs w:val="0"/>
        </w:rPr>
        <w:t>recognize potential risks early</w:t>
      </w:r>
      <w:r>
        <w:t xml:space="preserve"> in the planning and design stages and factor them into the project’s cost model. This proactive approach allows them to </w:t>
      </w:r>
      <w:r>
        <w:rPr>
          <w:rStyle w:val="19"/>
          <w:rFonts w:eastAsiaTheme="majorEastAsia"/>
          <w:b w:val="0"/>
          <w:bCs w:val="0"/>
        </w:rPr>
        <w:t>anticipate possible scenarios</w:t>
      </w:r>
      <w:r>
        <w:t xml:space="preserve"> that could lead to cost overruns or delays. For instance, in agro-processing projects, QSs may assess the risk of delays in the delivery of specialized equipment due to import bottlenecks, or the possibility of increased costs related to obtaining permits or complying with environmental regulations. Additionally, they might consider the impact </w:t>
      </w:r>
      <w:r>
        <w:rPr>
          <w:b/>
          <w:bCs/>
        </w:rPr>
        <w:t xml:space="preserve">of </w:t>
      </w:r>
      <w:r>
        <w:rPr>
          <w:rStyle w:val="19"/>
          <w:rFonts w:eastAsiaTheme="majorEastAsia"/>
          <w:b w:val="0"/>
          <w:bCs w:val="0"/>
        </w:rPr>
        <w:t>power</w:t>
      </w:r>
      <w:r>
        <w:rPr>
          <w:rStyle w:val="19"/>
          <w:rFonts w:eastAsiaTheme="majorEastAsia"/>
        </w:rPr>
        <w:t xml:space="preserve"> </w:t>
      </w:r>
      <w:r>
        <w:rPr>
          <w:rStyle w:val="19"/>
          <w:rFonts w:eastAsiaTheme="majorEastAsia"/>
          <w:b w:val="0"/>
          <w:bCs w:val="0"/>
        </w:rPr>
        <w:t>instability</w:t>
      </w:r>
      <w:r>
        <w:rPr>
          <w:b/>
          <w:bCs/>
        </w:rPr>
        <w:t>,</w:t>
      </w:r>
      <w:r>
        <w:t xml:space="preserve"> which is a common challenge in many regions, leading to additional expenses such as backup power systems or energy efficiency upgrades (Johnson &amp; Evans, 2018).</w:t>
      </w:r>
    </w:p>
    <w:p w14:paraId="5A31903C">
      <w:pPr>
        <w:pStyle w:val="18"/>
        <w:spacing w:line="360" w:lineRule="auto"/>
        <w:ind w:firstLine="600"/>
        <w:jc w:val="both"/>
      </w:pPr>
      <w:r>
        <w:t xml:space="preserve">To account for these uncertainties, QSs incorporate </w:t>
      </w:r>
      <w:r>
        <w:rPr>
          <w:rStyle w:val="19"/>
          <w:rFonts w:eastAsiaTheme="majorEastAsia"/>
          <w:b w:val="0"/>
          <w:bCs w:val="0"/>
        </w:rPr>
        <w:t>contingencies</w:t>
      </w:r>
      <w:r>
        <w:t xml:space="preserve"> into their cost plans. A contingency is a planned allowance for potential risks that have not yet materialized but could affect the project. These are not arbitrary figures they are carefully </w:t>
      </w:r>
      <w:r>
        <w:rPr>
          <w:rStyle w:val="19"/>
          <w:rFonts w:eastAsiaTheme="majorEastAsia"/>
          <w:b w:val="0"/>
          <w:bCs w:val="0"/>
        </w:rPr>
        <w:t>quantified based on risk assessment methodologies</w:t>
      </w:r>
      <w:r>
        <w:t>, including probability-impact analysis, historical data, expert judgment, and simulation models. This ensures that the budget is neither overly inflated nor inadequately prepared for challenges (Johnson &amp; Evans, 2018).</w:t>
      </w:r>
    </w:p>
    <w:p w14:paraId="3A77222B">
      <w:pPr>
        <w:pStyle w:val="18"/>
        <w:spacing w:line="360" w:lineRule="auto"/>
        <w:ind w:firstLine="600"/>
        <w:jc w:val="both"/>
      </w:pPr>
      <w:r>
        <w:t xml:space="preserve">By including such contingencies, QSs help create </w:t>
      </w:r>
      <w:r>
        <w:rPr>
          <w:rStyle w:val="19"/>
          <w:rFonts w:eastAsiaTheme="majorEastAsia"/>
          <w:b w:val="0"/>
          <w:bCs w:val="0"/>
        </w:rPr>
        <w:t>realistic and resilient financial models</w:t>
      </w:r>
      <w:r>
        <w:t xml:space="preserve"> that better reflect the uncertainties of the real world. This gives clients a more accurate picture of the total potential cost and reduces the likelihood of unpleasant surprises during construction. In essence, it is a strategic buffer that enhances the financial stability of the project.</w:t>
      </w:r>
    </w:p>
    <w:p w14:paraId="07669355">
      <w:pPr>
        <w:pStyle w:val="18"/>
        <w:spacing w:line="360" w:lineRule="auto"/>
        <w:ind w:firstLine="600"/>
        <w:jc w:val="both"/>
      </w:pPr>
      <w:r>
        <w:t xml:space="preserve">Furthermore, by continuously </w:t>
      </w:r>
      <w:r>
        <w:rPr>
          <w:rStyle w:val="19"/>
          <w:rFonts w:eastAsiaTheme="majorEastAsia"/>
          <w:b w:val="0"/>
          <w:bCs w:val="0"/>
        </w:rPr>
        <w:t>monitoring and updating risk assessments</w:t>
      </w:r>
      <w:r>
        <w:t xml:space="preserve"> throughout the project lifecycle, QSs can adjust the contingencies as necessary. This flexibility ensures that the project remains financially viable, even as circumstances evolve.</w:t>
      </w:r>
    </w:p>
    <w:p w14:paraId="052ED0D7">
      <w:pPr>
        <w:pStyle w:val="18"/>
        <w:spacing w:line="360" w:lineRule="auto"/>
        <w:ind w:firstLine="600"/>
        <w:jc w:val="both"/>
      </w:pPr>
      <w:r>
        <w:t>Ultimately, the QS’s ability to forecast, quantify, and manage cost risks contributes significantly to</w:t>
      </w:r>
      <w:r>
        <w:rPr>
          <w:b/>
          <w:bCs/>
        </w:rPr>
        <w:t xml:space="preserve"> </w:t>
      </w:r>
      <w:r>
        <w:rPr>
          <w:rStyle w:val="19"/>
          <w:rFonts w:eastAsiaTheme="majorEastAsia"/>
          <w:b w:val="0"/>
          <w:bCs w:val="0"/>
        </w:rPr>
        <w:t>project certainty, client confidence, and financial control</w:t>
      </w:r>
      <w:r>
        <w:t>. Their expertise ensures that stakeholders are well-informed and adequately prepared to handle unexpected developments (Johnson &amp; Evans, 2018).</w:t>
      </w:r>
    </w:p>
    <w:p w14:paraId="700E7AFB"/>
    <w:p w14:paraId="7690D5D5"/>
    <w:p w14:paraId="2D6846E3"/>
    <w:p w14:paraId="4378BCFE"/>
    <w:p w14:paraId="09F72781">
      <w:pPr>
        <w:pStyle w:val="4"/>
      </w:pPr>
      <w:bookmarkStart w:id="77" w:name="_Toc203596201"/>
      <w:r>
        <w:t>2.8.5. Tendering, Procurement &amp; Contract Strategy</w:t>
      </w:r>
      <w:bookmarkEnd w:id="77"/>
    </w:p>
    <w:p w14:paraId="69B3416C">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Quantity Surveyors (QSs) are instrumental in managing the procurement and contractual processes of construction projects. One of their key responsibilities is the preparation of competitive tender documents, which include detailed specifications, bills of quantities, pricing schedules, and conditions of contract. These documents form the foundation upon which contractors submit their bids, and the accuracy and clarity of the information provided by the QS directly impact the quality and competitiveness of the bids received (Johnson &amp; Evans, 2018).</w:t>
      </w:r>
    </w:p>
    <w:p w14:paraId="1CE1C9F7">
      <w:pPr>
        <w:spacing w:line="360" w:lineRule="auto"/>
        <w:jc w:val="both"/>
        <w:rPr>
          <w:rFonts w:ascii="Times New Roman" w:hAnsi="Times New Roman" w:cs="Times New Roman"/>
          <w:b/>
          <w:sz w:val="24"/>
          <w:szCs w:val="24"/>
        </w:rPr>
      </w:pPr>
      <w:r>
        <w:rPr>
          <w:rFonts w:ascii="Times New Roman" w:hAnsi="Times New Roman" w:cs="Times New Roman"/>
          <w:sz w:val="24"/>
          <w:szCs w:val="24"/>
        </w:rPr>
        <w:t>Once tenders are submitted, QSs undertake thorough bidder evaluations. This involves more than just comparing prices; they assess each bidder’s technical capacity, financial stability, past performance, and proposed methodologies. By doing so, QSs ensure that the selected contractor is not only cost-effective but also capable of delivering the project according to the required standards and within the agreed timeframe (Johnson &amp; Evans, 2018).</w:t>
      </w:r>
    </w:p>
    <w:p w14:paraId="1D0DDAA1">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Following the evaluation stage, QSs often lead or support contract negotiations, where they help secure best-value deals for the client. This means striking a balance between cost, quality, and risk. QSs ensure that contractual terms are clearly defined, risks are appropriately allocated, and potential loopholes are closed thereby protecting the client’s interests. For instance, they might negotiate retention clauses, penalty provisions for delays, or warranties for critical equipment (Johnson &amp; Evans, 2018).</w:t>
      </w:r>
    </w:p>
    <w:p w14:paraId="37891A6C">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Effective contract negotiation is closely followed by contract management, another critical area where QSs add value. Throughout the construction phase, QSs monitor contractor performance, track progress against contractual milestones, and ensure compliance with quality and safety standards. They also manage payment certifications, variation orders, and claims, ensuring that any changes to the scope or unforeseen events are dealt with transparently and fairly (Johnson &amp; Evans, 2018).</w:t>
      </w:r>
    </w:p>
    <w:p w14:paraId="21C76319">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One of the most significant contributions of QSs in this process is preventing cost overruns and project delays. By keeping close control over contract terms, timelines, and deliverables, QSs help ensure that the project remains on track and within budget. Moreover, by enforcing contractual obligations, they support a culture of accountability among all stakeholders involved.</w:t>
      </w:r>
    </w:p>
    <w:p w14:paraId="793182F5">
      <w:pPr>
        <w:spacing w:line="360" w:lineRule="auto"/>
        <w:jc w:val="both"/>
        <w:rPr>
          <w:rFonts w:ascii="Times New Roman" w:hAnsi="Times New Roman" w:cs="Times New Roman"/>
          <w:b/>
          <w:sz w:val="24"/>
          <w:szCs w:val="24"/>
        </w:rPr>
      </w:pPr>
      <w:r>
        <w:rPr>
          <w:rFonts w:ascii="Times New Roman" w:hAnsi="Times New Roman" w:cs="Times New Roman"/>
          <w:sz w:val="24"/>
          <w:szCs w:val="24"/>
        </w:rPr>
        <w:t>In summary, Quantity Surveyors provide essential support throughout the tendering and contract administration process. Their expertise in document preparation, bid evaluation, negotiation, and ongoing contract management ensures that projects achieve value for money, maintain quality standards, and are delivered in a timely and efficient manner all while appropriately managing and allocating risks (Johnson &amp; Evans, 2018).</w:t>
      </w:r>
    </w:p>
    <w:p w14:paraId="7B79D8C7">
      <w:pPr>
        <w:pStyle w:val="4"/>
      </w:pPr>
      <w:bookmarkStart w:id="78" w:name="_Toc203596202"/>
      <w:r>
        <w:t>2.8.6. Financial Viability Modeling &amp; Cash Flow Sensitivity</w:t>
      </w:r>
      <w:bookmarkEnd w:id="78"/>
    </w:p>
    <w:p w14:paraId="0C7E3A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Quantity Surveyors (QSs) play an essential role in assessing the financial feasibility of construction and infrastructure projects, particularly in cost-sensitive sectors such as agro-processing. Their involvement goes beyond basic cost estimation; they provide clients with a robust financial evaluation of the project's viability through sophisticated economic modeling and forecasting tools (Smith &amp; Brown, 2020).</w:t>
      </w:r>
    </w:p>
    <w:p w14:paraId="618A18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One of the key functions performed by QSs at this stage is the modeling of projected cash flows. This involves estimating the expected inflows (e.g., revenue from operations, grants, or incentives) and outflows (e.g., capital costs, operational costs, maintenance) over the life of the project. By doing so, QSs help clients visualize when and how the project will generate returns, enabling informed investment decisions (Smith &amp; Brown, 2020).</w:t>
      </w:r>
    </w:p>
    <w:p w14:paraId="09CA814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QSs also calculate critical financial metrics such as Return on Investment (ROI), Payback Period, and Internal Rate of Return (IRR). These indicators provide clear insight into the project’s profitability and financial sustainability. ROI helps assess how much profit will be generated relative to the investment, the payback period shows how quickly the investment will be recovered, and IRR measures the expected rate of return, accounting for the time value of money. These metrics are especially valuable when comparing multiple project options or financing models.</w:t>
      </w:r>
    </w:p>
    <w:p w14:paraId="38CF05C5">
      <w:pPr>
        <w:spacing w:line="360" w:lineRule="auto"/>
        <w:jc w:val="both"/>
        <w:rPr>
          <w:rFonts w:ascii="Times New Roman" w:hAnsi="Times New Roman" w:cs="Times New Roman"/>
          <w:sz w:val="24"/>
          <w:szCs w:val="24"/>
        </w:rPr>
      </w:pPr>
      <w:r>
        <w:rPr>
          <w:rFonts w:ascii="Times New Roman" w:hAnsi="Times New Roman" w:cs="Times New Roman"/>
          <w:sz w:val="24"/>
          <w:szCs w:val="24"/>
        </w:rPr>
        <w:t>To deepen the analysis, QSs conduct sensitivity analyses, which test how the financial performance of the project would be affected by changes in key assumptions. For example, they might explore what happens if commodity prices fall, power costs increase, or production yields fluctuate. These scenarios help stakeholders understand the resilience of the project under different market or operational conditions. Sensitivity testing is particularly important in agro-processing ventures, where factors like raw material availability, weather patterns, and energy supply can significantly affect output and profitability (Smith &amp; Brown, 2020).</w:t>
      </w:r>
    </w:p>
    <w:p w14:paraId="791D23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identifying these variables and modeling their potential impact, QSs effectively </w:t>
      </w:r>
      <w:r>
        <w:rPr>
          <w:rFonts w:ascii="Times New Roman" w:hAnsi="Times New Roman" w:cs="Times New Roman"/>
          <w:b/>
          <w:bCs/>
          <w:sz w:val="24"/>
          <w:szCs w:val="24"/>
        </w:rPr>
        <w:t>stress-</w:t>
      </w:r>
      <w:r>
        <w:rPr>
          <w:rFonts w:ascii="Times New Roman" w:hAnsi="Times New Roman" w:cs="Times New Roman"/>
          <w:sz w:val="24"/>
          <w:szCs w:val="24"/>
        </w:rPr>
        <w:t>test the economic performance of the project. This allows clients to recognize potential risks and plan appropriate mitigation strategies, such as incorporating cost buffers, renegotiating energy contracts, or diversifying supply sources.</w:t>
      </w:r>
    </w:p>
    <w:p w14:paraId="6DDA0E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summary, the financial feasibility modeling performed by Quantity Surveyors offers clients a comprehensive view of the economic outlook of a proposed project. Their analytical skills and financial insight ensure that decisions are grounded in data and aligned with long-term sustainability goals. Through tools like cash flow forecasting, ROI and IRR assessments, and sensitivity analysis, QSs empower clients to move forward with confidence, clarity, and reduced financial risk (Smith &amp; Brown, 2020).</w:t>
      </w:r>
    </w:p>
    <w:p w14:paraId="61651FF5">
      <w:pPr>
        <w:pStyle w:val="4"/>
      </w:pPr>
      <w:bookmarkStart w:id="79" w:name="_Toc203596203"/>
      <w:r>
        <w:t>2.8.7. Sustainability &amp; Tech Integration</w:t>
      </w:r>
      <w:bookmarkEnd w:id="79"/>
    </w:p>
    <w:p w14:paraId="7F87D9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Quantity Surveyors (QSs) are increasingly recognized for their role in promoting sustainability and environmental responsibility in construction and development projects. Their expertise is not limited to cost control and financial planning but also extends to supporting the adoption of sustainable technologies and materials that deliver both economic and environmental benefits over the life of a project (Smith &amp; Brown, 2020).</w:t>
      </w:r>
    </w:p>
    <w:p w14:paraId="19B70D0E">
      <w:pPr>
        <w:spacing w:line="360" w:lineRule="auto"/>
        <w:ind w:firstLine="720"/>
        <w:jc w:val="both"/>
        <w:rPr>
          <w:sz w:val="24"/>
          <w:szCs w:val="24"/>
        </w:rPr>
      </w:pPr>
      <w:r>
        <w:rPr>
          <w:rFonts w:ascii="Times New Roman" w:hAnsi="Times New Roman" w:cs="Times New Roman"/>
          <w:sz w:val="24"/>
          <w:szCs w:val="24"/>
        </w:rPr>
        <w:t>One of the key ways QSs contribute to sustainability is by preparing life-cycle cost (LCC) analyses for various design and material options. Rather than focusing solely on the initial construction cost, QSs evaluate the total cost of ownership, which includes operation, maintenance, energy consumption, and eventual disposal or replacement. This approach allows them to compare conventional solutions with more sustainable alternatives, such as solar-powered energy systems, rainwater harvesting, green roofing, or eco-friendly building materials. These comparisons enable clients to make decisions that are both cost-effective in the long run and environmentally sound (Smith &amp; Brown, 2020).</w:t>
      </w:r>
    </w:p>
    <w:p w14:paraId="1E7C9CF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example, while a solar-powered system may involve higher upfront costs than a diesel generator, a QS can demonstrate how reduced fuel expenses, lower maintenance needs, and government incentives could result in significant savings over time. Similarly, the use of green materials like recycled steel, rammed earth, or low-VOC finishes can improve a building’s environmental footprint while maintaining structural and aesthetic standards.</w:t>
      </w:r>
    </w:p>
    <w:p w14:paraId="2D9D8EA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QSs also provide valuable input in the evaluation and potential adoption of precision agricultural technologies (agri-tech) within agro-processing projects. This might include advising on the integration of automated irrigation systems, smart sensors, or energy-efficient processing equipment. By conducting financial assessments of these technologies considering both capital costs and expected efficiency gains QSs help determine their economic viability. Furthermore, they assess the environmental impact of such systems, supporting clients in achieving sustainability certifications or aligning with environmental regulations and policies (Smith &amp; Brown, 2020).</w:t>
      </w:r>
    </w:p>
    <w:p w14:paraId="1075C8D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Importantly, QSs act as advisors and facilitators in helping clients align their development objectives with broader sustainability goals. They bridge the gap between design innovation and financial feasibility by showing how environmentally friendly choices can lead to long-term operational savings, reduced carbon emissions, and enhanced project value.</w:t>
      </w:r>
    </w:p>
    <w:p w14:paraId="1827ACB7">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through their life-cycle analyses, cost forecasting, and environmental evaluations, Quantity Surveyors play a pivotal role in integrating sustainability into project planning and execution. Their informed recommendations empower clients to invest in sustainable construction practices that are not only environmentally responsible but also economically advantageous over time (Smith &amp; Brown, 2020).</w:t>
      </w:r>
    </w:p>
    <w:p w14:paraId="4519A300">
      <w:pPr>
        <w:spacing w:line="360" w:lineRule="auto"/>
        <w:jc w:val="both"/>
        <w:rPr>
          <w:rFonts w:ascii="Times New Roman" w:hAnsi="Times New Roman" w:cs="Times New Roman"/>
          <w:i/>
          <w:iCs/>
        </w:rPr>
      </w:pPr>
      <w:r>
        <w:rPr>
          <w:rFonts w:ascii="Times New Roman" w:hAnsi="Times New Roman" w:cs="Times New Roman"/>
          <w:i/>
          <w:iCs/>
        </w:rPr>
        <w:t>Table 2.2: QS Contribution vs Economic Viability Needs</w:t>
      </w:r>
    </w:p>
    <w:tbl>
      <w:tblPr>
        <w:tblStyle w:val="12"/>
        <w:tblW w:w="0" w:type="auto"/>
        <w:tblCellSpacing w:w="15" w:type="dxa"/>
        <w:tblInd w:w="0" w:type="dxa"/>
        <w:tblLayout w:type="autofit"/>
        <w:tblCellMar>
          <w:top w:w="15" w:type="dxa"/>
          <w:left w:w="15" w:type="dxa"/>
          <w:bottom w:w="15" w:type="dxa"/>
          <w:right w:w="15" w:type="dxa"/>
        </w:tblCellMar>
      </w:tblPr>
      <w:tblGrid>
        <w:gridCol w:w="3286"/>
        <w:gridCol w:w="6035"/>
      </w:tblGrid>
      <w:tr w14:paraId="6E792271">
        <w:tblPrEx>
          <w:tblCellMar>
            <w:top w:w="15" w:type="dxa"/>
            <w:left w:w="15" w:type="dxa"/>
            <w:bottom w:w="15" w:type="dxa"/>
            <w:right w:w="15" w:type="dxa"/>
          </w:tblCellMar>
        </w:tblPrEx>
        <w:trPr>
          <w:tblHeader/>
          <w:tblCellSpacing w:w="15" w:type="dxa"/>
        </w:trPr>
        <w:tc>
          <w:tcPr>
            <w:tcW w:w="0" w:type="auto"/>
            <w:tcBorders>
              <w:top w:val="single" w:color="auto" w:sz="4" w:space="0"/>
              <w:bottom w:val="single" w:color="auto" w:sz="4" w:space="0"/>
            </w:tcBorders>
            <w:vAlign w:val="center"/>
          </w:tcPr>
          <w:p w14:paraId="038F0B86">
            <w:pPr>
              <w:spacing w:line="360" w:lineRule="auto"/>
              <w:jc w:val="both"/>
              <w:rPr>
                <w:rFonts w:ascii="Times New Roman" w:hAnsi="Times New Roman" w:cs="Times New Roman"/>
                <w:b/>
                <w:bCs/>
              </w:rPr>
            </w:pPr>
            <w:r>
              <w:rPr>
                <w:rFonts w:ascii="Times New Roman" w:hAnsi="Times New Roman" w:cs="Times New Roman"/>
                <w:b/>
                <w:bCs/>
              </w:rPr>
              <w:t>Viability Need</w:t>
            </w:r>
          </w:p>
        </w:tc>
        <w:tc>
          <w:tcPr>
            <w:tcW w:w="0" w:type="auto"/>
            <w:tcBorders>
              <w:top w:val="single" w:color="auto" w:sz="4" w:space="0"/>
              <w:bottom w:val="single" w:color="auto" w:sz="4" w:space="0"/>
            </w:tcBorders>
            <w:vAlign w:val="center"/>
          </w:tcPr>
          <w:p w14:paraId="21B9C2F6">
            <w:pPr>
              <w:spacing w:line="360" w:lineRule="auto"/>
              <w:jc w:val="both"/>
              <w:rPr>
                <w:rFonts w:ascii="Times New Roman" w:hAnsi="Times New Roman" w:cs="Times New Roman"/>
                <w:b/>
                <w:bCs/>
              </w:rPr>
            </w:pPr>
            <w:r>
              <w:rPr>
                <w:rFonts w:ascii="Times New Roman" w:hAnsi="Times New Roman" w:cs="Times New Roman"/>
                <w:b/>
                <w:bCs/>
              </w:rPr>
              <w:t>Quantity Surveyor Contribution</w:t>
            </w:r>
          </w:p>
        </w:tc>
      </w:tr>
      <w:tr w14:paraId="2DF4C190">
        <w:tblPrEx>
          <w:tblCellMar>
            <w:top w:w="15" w:type="dxa"/>
            <w:left w:w="15" w:type="dxa"/>
            <w:bottom w:w="15" w:type="dxa"/>
            <w:right w:w="15" w:type="dxa"/>
          </w:tblCellMar>
        </w:tblPrEx>
        <w:trPr>
          <w:tblCellSpacing w:w="15" w:type="dxa"/>
        </w:trPr>
        <w:tc>
          <w:tcPr>
            <w:tcW w:w="0" w:type="auto"/>
            <w:vAlign w:val="center"/>
          </w:tcPr>
          <w:p w14:paraId="382B4967">
            <w:pPr>
              <w:spacing w:line="360" w:lineRule="auto"/>
              <w:jc w:val="both"/>
              <w:rPr>
                <w:rFonts w:ascii="Times New Roman" w:hAnsi="Times New Roman" w:cs="Times New Roman"/>
              </w:rPr>
            </w:pPr>
            <w:r>
              <w:rPr>
                <w:rFonts w:ascii="Times New Roman" w:hAnsi="Times New Roman" w:cs="Times New Roman"/>
              </w:rPr>
              <w:t>Early-stage decision support</w:t>
            </w:r>
          </w:p>
        </w:tc>
        <w:tc>
          <w:tcPr>
            <w:tcW w:w="0" w:type="auto"/>
            <w:vAlign w:val="center"/>
          </w:tcPr>
          <w:p w14:paraId="6FABD419">
            <w:pPr>
              <w:spacing w:line="360" w:lineRule="auto"/>
              <w:jc w:val="both"/>
              <w:rPr>
                <w:rFonts w:ascii="Times New Roman" w:hAnsi="Times New Roman" w:cs="Times New Roman"/>
              </w:rPr>
            </w:pPr>
            <w:r>
              <w:rPr>
                <w:rFonts w:ascii="Times New Roman" w:hAnsi="Times New Roman" w:cs="Times New Roman"/>
              </w:rPr>
              <w:t>Feasibility studies, elemental cost planning, value engineering</w:t>
            </w:r>
          </w:p>
        </w:tc>
      </w:tr>
      <w:tr w14:paraId="09D5DF5E">
        <w:tblPrEx>
          <w:tblCellMar>
            <w:top w:w="15" w:type="dxa"/>
            <w:left w:w="15" w:type="dxa"/>
            <w:bottom w:w="15" w:type="dxa"/>
            <w:right w:w="15" w:type="dxa"/>
          </w:tblCellMar>
        </w:tblPrEx>
        <w:trPr>
          <w:tblCellSpacing w:w="15" w:type="dxa"/>
        </w:trPr>
        <w:tc>
          <w:tcPr>
            <w:tcW w:w="0" w:type="auto"/>
            <w:vAlign w:val="center"/>
          </w:tcPr>
          <w:p w14:paraId="21B27C2B">
            <w:pPr>
              <w:spacing w:line="360" w:lineRule="auto"/>
              <w:jc w:val="both"/>
              <w:rPr>
                <w:rFonts w:ascii="Times New Roman" w:hAnsi="Times New Roman" w:cs="Times New Roman"/>
              </w:rPr>
            </w:pPr>
            <w:r>
              <w:rPr>
                <w:rFonts w:ascii="Times New Roman" w:hAnsi="Times New Roman" w:cs="Times New Roman"/>
              </w:rPr>
              <w:t>Detailed cost baseline</w:t>
            </w:r>
          </w:p>
        </w:tc>
        <w:tc>
          <w:tcPr>
            <w:tcW w:w="0" w:type="auto"/>
            <w:vAlign w:val="center"/>
          </w:tcPr>
          <w:p w14:paraId="575242B4">
            <w:pPr>
              <w:spacing w:line="360" w:lineRule="auto"/>
              <w:jc w:val="both"/>
              <w:rPr>
                <w:rFonts w:ascii="Times New Roman" w:hAnsi="Times New Roman" w:cs="Times New Roman"/>
              </w:rPr>
            </w:pPr>
            <w:r>
              <w:rPr>
                <w:rFonts w:ascii="Times New Roman" w:hAnsi="Times New Roman" w:cs="Times New Roman"/>
              </w:rPr>
              <w:t>Cost estimation, life cycle costing, budgeting</w:t>
            </w:r>
          </w:p>
        </w:tc>
      </w:tr>
      <w:tr w14:paraId="197526E6">
        <w:tblPrEx>
          <w:tblCellMar>
            <w:top w:w="15" w:type="dxa"/>
            <w:left w:w="15" w:type="dxa"/>
            <w:bottom w:w="15" w:type="dxa"/>
            <w:right w:w="15" w:type="dxa"/>
          </w:tblCellMar>
        </w:tblPrEx>
        <w:trPr>
          <w:tblCellSpacing w:w="15" w:type="dxa"/>
        </w:trPr>
        <w:tc>
          <w:tcPr>
            <w:tcW w:w="0" w:type="auto"/>
            <w:vAlign w:val="center"/>
          </w:tcPr>
          <w:p w14:paraId="6CE6C2CE">
            <w:pPr>
              <w:spacing w:line="360" w:lineRule="auto"/>
              <w:jc w:val="both"/>
              <w:rPr>
                <w:rFonts w:ascii="Times New Roman" w:hAnsi="Times New Roman" w:cs="Times New Roman"/>
              </w:rPr>
            </w:pPr>
            <w:r>
              <w:rPr>
                <w:rFonts w:ascii="Times New Roman" w:hAnsi="Times New Roman" w:cs="Times New Roman"/>
              </w:rPr>
              <w:t>Cost vs quality optimization</w:t>
            </w:r>
          </w:p>
        </w:tc>
        <w:tc>
          <w:tcPr>
            <w:tcW w:w="0" w:type="auto"/>
            <w:vAlign w:val="center"/>
          </w:tcPr>
          <w:p w14:paraId="6BCC58BC">
            <w:pPr>
              <w:spacing w:line="360" w:lineRule="auto"/>
              <w:jc w:val="both"/>
              <w:rPr>
                <w:rFonts w:ascii="Times New Roman" w:hAnsi="Times New Roman" w:cs="Times New Roman"/>
              </w:rPr>
            </w:pPr>
            <w:r>
              <w:rPr>
                <w:rFonts w:ascii="Times New Roman" w:hAnsi="Times New Roman" w:cs="Times New Roman"/>
              </w:rPr>
              <w:t>Value management, alternative materials &amp; equipment studies</w:t>
            </w:r>
          </w:p>
        </w:tc>
      </w:tr>
      <w:tr w14:paraId="474B627B">
        <w:tblPrEx>
          <w:tblCellMar>
            <w:top w:w="15" w:type="dxa"/>
            <w:left w:w="15" w:type="dxa"/>
            <w:bottom w:w="15" w:type="dxa"/>
            <w:right w:w="15" w:type="dxa"/>
          </w:tblCellMar>
        </w:tblPrEx>
        <w:trPr>
          <w:tblCellSpacing w:w="15" w:type="dxa"/>
        </w:trPr>
        <w:tc>
          <w:tcPr>
            <w:tcW w:w="0" w:type="auto"/>
            <w:vAlign w:val="center"/>
          </w:tcPr>
          <w:p w14:paraId="3E62101C">
            <w:pPr>
              <w:spacing w:line="360" w:lineRule="auto"/>
              <w:jc w:val="both"/>
              <w:rPr>
                <w:rFonts w:ascii="Times New Roman" w:hAnsi="Times New Roman" w:cs="Times New Roman"/>
              </w:rPr>
            </w:pPr>
            <w:r>
              <w:rPr>
                <w:rFonts w:ascii="Times New Roman" w:hAnsi="Times New Roman" w:cs="Times New Roman"/>
              </w:rPr>
              <w:t>Risk mitigation</w:t>
            </w:r>
          </w:p>
        </w:tc>
        <w:tc>
          <w:tcPr>
            <w:tcW w:w="0" w:type="auto"/>
            <w:vAlign w:val="center"/>
          </w:tcPr>
          <w:p w14:paraId="5310D1BF">
            <w:pPr>
              <w:spacing w:line="360" w:lineRule="auto"/>
              <w:jc w:val="both"/>
              <w:rPr>
                <w:rFonts w:ascii="Times New Roman" w:hAnsi="Times New Roman" w:cs="Times New Roman"/>
              </w:rPr>
            </w:pPr>
            <w:r>
              <w:rPr>
                <w:rFonts w:ascii="Times New Roman" w:hAnsi="Times New Roman" w:cs="Times New Roman"/>
              </w:rPr>
              <w:t>Identification of cost risks, inclusion of contingency reserves</w:t>
            </w:r>
          </w:p>
        </w:tc>
      </w:tr>
      <w:tr w14:paraId="7769E097">
        <w:tblPrEx>
          <w:tblCellMar>
            <w:top w:w="15" w:type="dxa"/>
            <w:left w:w="15" w:type="dxa"/>
            <w:bottom w:w="15" w:type="dxa"/>
            <w:right w:w="15" w:type="dxa"/>
          </w:tblCellMar>
        </w:tblPrEx>
        <w:trPr>
          <w:tblCellSpacing w:w="15" w:type="dxa"/>
        </w:trPr>
        <w:tc>
          <w:tcPr>
            <w:tcW w:w="0" w:type="auto"/>
            <w:vAlign w:val="center"/>
          </w:tcPr>
          <w:p w14:paraId="320DD736">
            <w:pPr>
              <w:spacing w:line="360" w:lineRule="auto"/>
              <w:jc w:val="both"/>
              <w:rPr>
                <w:rFonts w:ascii="Times New Roman" w:hAnsi="Times New Roman" w:cs="Times New Roman"/>
              </w:rPr>
            </w:pPr>
            <w:r>
              <w:rPr>
                <w:rFonts w:ascii="Times New Roman" w:hAnsi="Times New Roman" w:cs="Times New Roman"/>
              </w:rPr>
              <w:t>Competitive procurement</w:t>
            </w:r>
          </w:p>
        </w:tc>
        <w:tc>
          <w:tcPr>
            <w:tcW w:w="0" w:type="auto"/>
            <w:vAlign w:val="center"/>
          </w:tcPr>
          <w:p w14:paraId="5805F3E1">
            <w:pPr>
              <w:spacing w:line="360" w:lineRule="auto"/>
              <w:jc w:val="both"/>
              <w:rPr>
                <w:rFonts w:ascii="Times New Roman" w:hAnsi="Times New Roman" w:cs="Times New Roman"/>
              </w:rPr>
            </w:pPr>
            <w:r>
              <w:rPr>
                <w:rFonts w:ascii="Times New Roman" w:hAnsi="Times New Roman" w:cs="Times New Roman"/>
              </w:rPr>
              <w:t>Tender documentation, bid analysis, contract negotiation and management</w:t>
            </w:r>
          </w:p>
        </w:tc>
      </w:tr>
      <w:tr w14:paraId="2F567C0F">
        <w:tblPrEx>
          <w:tblCellMar>
            <w:top w:w="15" w:type="dxa"/>
            <w:left w:w="15" w:type="dxa"/>
            <w:bottom w:w="15" w:type="dxa"/>
            <w:right w:w="15" w:type="dxa"/>
          </w:tblCellMar>
        </w:tblPrEx>
        <w:trPr>
          <w:tblCellSpacing w:w="15" w:type="dxa"/>
        </w:trPr>
        <w:tc>
          <w:tcPr>
            <w:tcW w:w="0" w:type="auto"/>
            <w:vAlign w:val="center"/>
          </w:tcPr>
          <w:p w14:paraId="33DA099A">
            <w:pPr>
              <w:spacing w:line="360" w:lineRule="auto"/>
              <w:jc w:val="both"/>
              <w:rPr>
                <w:rFonts w:ascii="Times New Roman" w:hAnsi="Times New Roman" w:cs="Times New Roman"/>
              </w:rPr>
            </w:pPr>
            <w:r>
              <w:rPr>
                <w:rFonts w:ascii="Times New Roman" w:hAnsi="Times New Roman" w:cs="Times New Roman"/>
              </w:rPr>
              <w:t>Financial modeling &amp; sensitivity testing</w:t>
            </w:r>
          </w:p>
        </w:tc>
        <w:tc>
          <w:tcPr>
            <w:tcW w:w="0" w:type="auto"/>
            <w:vAlign w:val="center"/>
          </w:tcPr>
          <w:p w14:paraId="4EAF1F74">
            <w:pPr>
              <w:spacing w:line="360" w:lineRule="auto"/>
              <w:jc w:val="both"/>
              <w:rPr>
                <w:rFonts w:ascii="Times New Roman" w:hAnsi="Times New Roman" w:cs="Times New Roman"/>
              </w:rPr>
            </w:pPr>
            <w:r>
              <w:rPr>
                <w:rFonts w:ascii="Times New Roman" w:hAnsi="Times New Roman" w:cs="Times New Roman"/>
              </w:rPr>
              <w:t>Cash flow forecasting, ROI analysis, scenario stress-testing</w:t>
            </w:r>
          </w:p>
        </w:tc>
      </w:tr>
      <w:tr w14:paraId="42529698">
        <w:tblPrEx>
          <w:tblCellMar>
            <w:top w:w="15" w:type="dxa"/>
            <w:left w:w="15" w:type="dxa"/>
            <w:bottom w:w="15" w:type="dxa"/>
            <w:right w:w="15" w:type="dxa"/>
          </w:tblCellMar>
        </w:tblPrEx>
        <w:trPr>
          <w:tblCellSpacing w:w="15" w:type="dxa"/>
        </w:trPr>
        <w:tc>
          <w:tcPr>
            <w:tcW w:w="0" w:type="auto"/>
            <w:tcBorders>
              <w:bottom w:val="single" w:color="auto" w:sz="4" w:space="0"/>
            </w:tcBorders>
            <w:vAlign w:val="center"/>
          </w:tcPr>
          <w:p w14:paraId="23E219E7">
            <w:pPr>
              <w:spacing w:line="360" w:lineRule="auto"/>
              <w:jc w:val="both"/>
              <w:rPr>
                <w:rFonts w:ascii="Times New Roman" w:hAnsi="Times New Roman" w:cs="Times New Roman"/>
              </w:rPr>
            </w:pPr>
            <w:r>
              <w:rPr>
                <w:rFonts w:ascii="Times New Roman" w:hAnsi="Times New Roman" w:cs="Times New Roman"/>
              </w:rPr>
              <w:t>Sustainability integration</w:t>
            </w:r>
          </w:p>
        </w:tc>
        <w:tc>
          <w:tcPr>
            <w:tcW w:w="0" w:type="auto"/>
            <w:tcBorders>
              <w:bottom w:val="single" w:color="auto" w:sz="4" w:space="0"/>
            </w:tcBorders>
            <w:vAlign w:val="center"/>
          </w:tcPr>
          <w:p w14:paraId="34086D37">
            <w:pPr>
              <w:spacing w:line="360" w:lineRule="auto"/>
              <w:jc w:val="both"/>
              <w:rPr>
                <w:rFonts w:ascii="Times New Roman" w:hAnsi="Times New Roman" w:cs="Times New Roman"/>
              </w:rPr>
            </w:pPr>
            <w:r>
              <w:rPr>
                <w:rFonts w:ascii="Times New Roman" w:hAnsi="Times New Roman" w:cs="Times New Roman"/>
              </w:rPr>
              <w:t>Life-cycle sustainability appraisal &amp; precision-tech economic evaluation</w:t>
            </w:r>
          </w:p>
        </w:tc>
      </w:tr>
    </w:tbl>
    <w:p w14:paraId="75682739">
      <w:pPr>
        <w:pStyle w:val="3"/>
      </w:pPr>
      <w:bookmarkStart w:id="80" w:name="_Toc203596204"/>
      <w:r>
        <w:t>2.9 Summary</w:t>
      </w:r>
      <w:bookmarkEnd w:id="80"/>
    </w:p>
    <w:p w14:paraId="5FB53870">
      <w:pPr>
        <w:pStyle w:val="18"/>
        <w:spacing w:line="360" w:lineRule="auto"/>
        <w:ind w:firstLine="720"/>
        <w:jc w:val="both"/>
      </w:pPr>
      <w:r>
        <w:t>This chapter has reviewed existing literature on the economic viability of agricultural processing plants, highlighting the role of QSs in cost estimation, financial planning, risk assessment, and procurement strategies. While QSs play a critical role in enhancing financial sustainability, challenges such as limited industry awareness, regulatory constraints, and data availability hinder their full participation. By adopting international best practices and increasing collaboration among stakeholders, the contribution of QSs to agro-processing projects can be optimized, ensuring long-term project succes</w:t>
      </w:r>
    </w:p>
    <w:p w14:paraId="281CA601">
      <w:pPr>
        <w:pStyle w:val="2"/>
      </w:pPr>
      <w:bookmarkStart w:id="81" w:name="_Toc203596205"/>
      <w:r>
        <w:t>CHAPTER THREE</w:t>
      </w:r>
      <w:bookmarkEnd w:id="81"/>
    </w:p>
    <w:p w14:paraId="6E1940CA">
      <w:pPr>
        <w:pStyle w:val="2"/>
      </w:pPr>
      <w:bookmarkStart w:id="82" w:name="_Toc203596206"/>
      <w:r>
        <w:t>RESEARCH METHODOLOGY</w:t>
      </w:r>
      <w:bookmarkEnd w:id="82"/>
    </w:p>
    <w:p w14:paraId="59D769B6">
      <w:pPr>
        <w:pStyle w:val="3"/>
      </w:pPr>
      <w:bookmarkStart w:id="83" w:name="_Toc203596207"/>
      <w:r>
        <w:t>3.1 Introduction</w:t>
      </w:r>
      <w:bookmarkEnd w:id="83"/>
    </w:p>
    <w:p w14:paraId="37FF4D59">
      <w:pPr>
        <w:pStyle w:val="18"/>
        <w:spacing w:line="360" w:lineRule="auto"/>
        <w:ind w:firstLine="720"/>
        <w:jc w:val="both"/>
      </w:pPr>
      <w:r>
        <w:t>This chapter outlines the research methodology used to investigate the role of quantity surveyors in assessing the economic viability of agricultural processing plants. It describes the research design, population and sample selection, data collection methods, and data analysis techniques employed in the study. The methodological approach is structured to ensure the reliability and validity of findings, using both qualitative and quantitative research methods.</w:t>
      </w:r>
    </w:p>
    <w:p w14:paraId="58472E31">
      <w:pPr>
        <w:pStyle w:val="3"/>
      </w:pPr>
      <w:bookmarkStart w:id="84" w:name="_Toc203596208"/>
      <w:r>
        <w:t>3.2 Research Design</w:t>
      </w:r>
      <w:bookmarkEnd w:id="84"/>
    </w:p>
    <w:p w14:paraId="3DC3E5F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adopts a descriptive survey research design, which is suitable for systematically collecting and analyzing quantitative data from a specific population to describe existing conditions, practices, or attitudes. This research design is particularly effective when the goal is to gain detailed insights into a phenomenon without manipulating variables, making it ideal for studying real-world issues such as labor-management conflicts in the construction industry (Creswell, 2014; Nworgu, 2015).</w:t>
      </w:r>
    </w:p>
    <w:p w14:paraId="1F5B131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descriptive survey method enables the researcher to gather primary data directly from construction professionals and workers through the use of structured questionnaires, allowing for the collection of standardized responses across a large sample. This standardization enhances the reliability and comparability of the data, enabling the identification of trends and relationships among the causes, frequency, and cost implications of conflicts on construction sites (Orodho, 2003; Asika, 2006).</w:t>
      </w:r>
    </w:p>
    <w:p w14:paraId="03F8670D">
      <w:pPr>
        <w:pStyle w:val="3"/>
      </w:pPr>
      <w:bookmarkStart w:id="85" w:name="_Toc203596209"/>
      <w:r>
        <w:t>3.3 Research Population</w:t>
      </w:r>
      <w:bookmarkEnd w:id="85"/>
    </w:p>
    <w:p w14:paraId="6B95FD5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target population for this study comprises professionals involved in agro-processing projects, including quantity surveyors, agricultural economists, and investors. The study focuses on agro-processing plants across Nigeria, with emphasis on key locations such as Lagos, Abuja, and Port Harcourt, where major agricultural processing activities occur (Mwangi &amp; Otieno, 2019).</w:t>
      </w:r>
    </w:p>
    <w:p w14:paraId="7424E578">
      <w:pPr>
        <w:pStyle w:val="18"/>
        <w:spacing w:line="360" w:lineRule="auto"/>
        <w:jc w:val="both"/>
      </w:pPr>
      <w:r>
        <w:t>A stratified random sampling technique was used to ensure a fair representation of different professional groups within the sector. A total of 150 respondents were selected, consisting of:</w:t>
      </w:r>
    </w:p>
    <w:p w14:paraId="468417F7">
      <w:pPr>
        <w:pStyle w:val="18"/>
        <w:numPr>
          <w:ilvl w:val="0"/>
          <w:numId w:val="5"/>
        </w:numPr>
        <w:spacing w:line="360" w:lineRule="auto"/>
        <w:jc w:val="both"/>
      </w:pPr>
      <w:r>
        <w:t>Quantity Surveyors,40 Agricultural Economists, Project Managers, and 30 Investors and Government Officials</w:t>
      </w:r>
    </w:p>
    <w:p w14:paraId="549843CF">
      <w:pPr>
        <w:pStyle w:val="3"/>
      </w:pPr>
      <w:bookmarkStart w:id="86" w:name="_Toc203596210"/>
      <w:r>
        <w:t>3.4 Sample Size</w:t>
      </w:r>
      <w:bookmarkEnd w:id="86"/>
    </w:p>
    <w:p w14:paraId="706E374F">
      <w:pPr>
        <w:pStyle w:val="31"/>
        <w:spacing w:line="360" w:lineRule="auto"/>
        <w:ind w:firstLine="720"/>
        <w:rPr>
          <w:rFonts w:ascii="Times New Roman" w:hAnsi="Times New Roman" w:cs="Times New Roman"/>
          <w:sz w:val="24"/>
          <w:szCs w:val="24"/>
        </w:rPr>
      </w:pPr>
      <w:r>
        <w:rPr>
          <w:rFonts w:ascii="Times New Roman" w:hAnsi="Times New Roman" w:cs="Times New Roman"/>
          <w:sz w:val="24"/>
          <w:szCs w:val="24"/>
        </w:rPr>
        <w:t>This sample size was determined using Cochran’s formula to ensure statistical significance and adequate representation of stakeholders involved in the economic viability assessment of agro-processing plants (Johnson &amp; Evans, 2018).</w:t>
      </w:r>
    </w:p>
    <w:p w14:paraId="4F4CCD1B">
      <w:pPr>
        <w:pStyle w:val="18"/>
        <w:spacing w:line="360" w:lineRule="auto"/>
        <w:jc w:val="both"/>
      </w:pPr>
      <w:r>
        <w:t>Cochran’s formula is used to determine an appropriate sample size for surveys, especially when dealing with large populations. It is expressed as:</w:t>
      </w:r>
    </w:p>
    <w:p w14:paraId="506564F1">
      <w:pPr>
        <w:pStyle w:val="18"/>
        <w:spacing w:line="360" w:lineRule="auto"/>
        <w:jc w:val="both"/>
      </w:pPr>
      <w:r>
        <w:t xml:space="preserve">n0=Z2p(1−p)e2n_0 = \frac{Z^2 p (1 - p)}{e^2} </w:t>
      </w:r>
    </w:p>
    <w:p w14:paraId="5CDE4D1D">
      <w:pPr>
        <w:pStyle w:val="18"/>
        <w:spacing w:line="360" w:lineRule="auto"/>
        <w:jc w:val="both"/>
      </w:pPr>
      <w:r>
        <w:t>Where:</w:t>
      </w:r>
    </w:p>
    <w:p w14:paraId="57412A06">
      <w:pPr>
        <w:pStyle w:val="18"/>
        <w:numPr>
          <w:ilvl w:val="0"/>
          <w:numId w:val="6"/>
        </w:numPr>
        <w:spacing w:line="360" w:lineRule="auto"/>
        <w:jc w:val="both"/>
      </w:pPr>
      <w:r>
        <w:t>n0n_0 = required sample size</w:t>
      </w:r>
    </w:p>
    <w:p w14:paraId="79F615DF">
      <w:pPr>
        <w:pStyle w:val="18"/>
        <w:numPr>
          <w:ilvl w:val="0"/>
          <w:numId w:val="6"/>
        </w:numPr>
        <w:spacing w:line="360" w:lineRule="auto"/>
        <w:jc w:val="both"/>
      </w:pPr>
      <w:r>
        <w:t>ZZ = Z-score (the number of standard deviations from the mean, usually 1.96 for a 95% confidence level)</w:t>
      </w:r>
    </w:p>
    <w:p w14:paraId="70B20937">
      <w:pPr>
        <w:pStyle w:val="18"/>
        <w:numPr>
          <w:ilvl w:val="0"/>
          <w:numId w:val="6"/>
        </w:numPr>
        <w:spacing w:line="360" w:lineRule="auto"/>
        <w:jc w:val="both"/>
      </w:pPr>
      <w:r>
        <w:t>pp = estimated proportion of the population with the attribute of interest (usually 0.5 when unknown)</w:t>
      </w:r>
    </w:p>
    <w:p w14:paraId="791870E6">
      <w:pPr>
        <w:pStyle w:val="18"/>
        <w:numPr>
          <w:ilvl w:val="0"/>
          <w:numId w:val="6"/>
        </w:numPr>
        <w:spacing w:line="360" w:lineRule="auto"/>
        <w:jc w:val="both"/>
      </w:pPr>
      <w:r>
        <w:t>ee = margin of error (commonly 0.05 for a 95% confidence level)</w:t>
      </w:r>
    </w:p>
    <w:p w14:paraId="39B01361">
      <w:pPr>
        <w:pStyle w:val="18"/>
        <w:spacing w:line="360" w:lineRule="auto"/>
        <w:jc w:val="both"/>
      </w:pPr>
      <w:r>
        <w:t>For finite populations, the formula is adjusted as:</w:t>
      </w:r>
    </w:p>
    <w:p w14:paraId="32E43267">
      <w:pPr>
        <w:pStyle w:val="18"/>
        <w:spacing w:line="360" w:lineRule="auto"/>
        <w:jc w:val="both"/>
      </w:pPr>
      <w:r>
        <w:t xml:space="preserve">n=n01+n0−1Nn = \frac{n_0}{1 + \frac{n_0 - 1}{N}} </w:t>
      </w:r>
    </w:p>
    <w:p w14:paraId="776E5BCD">
      <w:pPr>
        <w:pStyle w:val="18"/>
        <w:spacing w:line="360" w:lineRule="auto"/>
        <w:jc w:val="both"/>
      </w:pPr>
      <w:r>
        <w:t>=150</w:t>
      </w:r>
    </w:p>
    <w:p w14:paraId="5FC4C520">
      <w:pPr>
        <w:pStyle w:val="18"/>
        <w:spacing w:line="360" w:lineRule="auto"/>
        <w:jc w:val="both"/>
      </w:pPr>
      <w:r>
        <w:t>Where:</w:t>
      </w:r>
    </w:p>
    <w:p w14:paraId="1ACB4DFE">
      <w:pPr>
        <w:pStyle w:val="18"/>
        <w:numPr>
          <w:ilvl w:val="0"/>
          <w:numId w:val="7"/>
        </w:numPr>
        <w:spacing w:line="360" w:lineRule="auto"/>
        <w:jc w:val="both"/>
      </w:pPr>
      <w:r>
        <w:t>nn = adjusted sample size</w:t>
      </w:r>
    </w:p>
    <w:p w14:paraId="047BDC4C">
      <w:pPr>
        <w:pStyle w:val="18"/>
        <w:numPr>
          <w:ilvl w:val="0"/>
          <w:numId w:val="7"/>
        </w:numPr>
        <w:spacing w:line="360" w:lineRule="auto"/>
        <w:jc w:val="both"/>
      </w:pPr>
      <w:r>
        <w:t>NN = total population size</w:t>
      </w:r>
    </w:p>
    <w:p w14:paraId="1EBF0CFA">
      <w:pPr>
        <w:pStyle w:val="3"/>
      </w:pPr>
      <w:bookmarkStart w:id="87" w:name="_Toc203596211"/>
      <w:r>
        <w:t>3.5 Sampling Technique</w:t>
      </w:r>
      <w:bookmarkEnd w:id="87"/>
    </w:p>
    <w:p w14:paraId="2261A39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adopted a stratified random sampling technique, which is a probability sampling method used to ensure that distinct subgroups within a population are adequately represented in the final sample. This approach was chosen to enhance the accuracy and representativeness of the data collected, especially considering the diversity of professionals involved in construction activities in Lagos State.</w:t>
      </w:r>
    </w:p>
    <w:p w14:paraId="16CDD0B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applying stratified sampling, the entire study population was divided into strata based on professional categories such as project managers, quantity surveyors, site engineers, investors and skilled site workers. Each of these subgroups plays a unique role in the construction process and may experience or perceive workplace conflicts differently. By categorizing the population in this manner, the study acknowledges the heterogeneous nature of the construction workforce and seeks to capture a broad spectrum of experiences and insights (Kumar, 2011).</w:t>
      </w:r>
    </w:p>
    <w:p w14:paraId="70CCD5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defining the strata, simple random sampling was applied within each group to select respondents. This ensures that each individual within a subgroup had an equal and independent chance of being selected, minimizing selection bias and promoting fairness across all respondent categories (Creswell, 2014). This approach also improves the statistical efficiency of the sampling process by reducing sampling error compared to a purely random or convenience sampling method (Taherdoost, 2016).</w:t>
      </w:r>
    </w:p>
    <w:p w14:paraId="1E24781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stratified random sampling technique was particularly useful in this context because it ensured that professionals from both management and labor categories were adequately represented. This was essential to achieving the study’s aim of assessing the impact of labor-management conflict on construction costs.</w:t>
      </w:r>
    </w:p>
    <w:p w14:paraId="782029BA">
      <w:pPr>
        <w:pStyle w:val="3"/>
      </w:pPr>
      <w:bookmarkStart w:id="88" w:name="_Toc203596212"/>
      <w:r>
        <w:t>3.6 Method of Data Collection</w:t>
      </w:r>
      <w:bookmarkEnd w:id="88"/>
      <w:r>
        <w:t xml:space="preserve"> </w:t>
      </w:r>
    </w:p>
    <w:p w14:paraId="04EDABD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for data collection in this study was a structured questionnaire, specifically designed to gather both quantitative and categorical data relevant to the research objectives. </w:t>
      </w:r>
    </w:p>
    <w:p w14:paraId="2CE57CD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questionnaire employed a five-point Likert scale (ranging from Strongly Disagree to Strongly Agree) for most items in Sections B, C, and D, as it is widely recognized for measuring attitudes and perceptions in social science research (Likert, 1932; Boone &amp; Boone, 2012).</w:t>
      </w:r>
    </w:p>
    <w:p w14:paraId="7AF23C7B">
      <w:pPr>
        <w:pStyle w:val="3"/>
      </w:pPr>
      <w:bookmarkStart w:id="89" w:name="_Toc203596213"/>
      <w:r>
        <w:t>3.7 Method of Administering data</w:t>
      </w:r>
      <w:bookmarkEnd w:id="89"/>
    </w:p>
    <w:p w14:paraId="3A0743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primary method used for administering the research questionnaire was through an online survey created using Google Forms. This digital approach was chosen for its ease of distribution, cost-effectiveness, and ability to reach a wide geographical audience within a short timeframe. The questionnaire link was shared via social media platforms such as WhatsApp and email, particularly targeting professionals, stakeholders, and individuals involved in agro-processing and construction-related fields. Respondents were able to complete the questionnaire at their convenience, ensuring higher response rates and better data quality. Using Google Forms also facilitated real-time data collection and organization, reducing the risk of data loss and manual entry errors. The platform automatically compiled the responses into a structured spreadsheet, allowing for efficient analysis in subsequent stages of the research.</w:t>
      </w:r>
    </w:p>
    <w:p w14:paraId="43BE18F4">
      <w:pPr>
        <w:pStyle w:val="3"/>
      </w:pPr>
      <w:bookmarkStart w:id="90" w:name="_Toc203596214"/>
      <w:r>
        <w:t>3.8 Test of Validity and Reliability of data</w:t>
      </w:r>
      <w:bookmarkEnd w:id="90"/>
    </w:p>
    <w:p w14:paraId="6ED00F1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 ensure content and face validity, the questionnaire was subjected to expert review. Three senior lecturers with specialization in Construction Management and Industrial Relations at a Nigerian university reviewed the instrument for clarity, relevance, and comprehensiveness. Based on their feedback, necessary revisions were made to improve question wording, remove ambiguities, and align the items with the study objectives.</w:t>
      </w:r>
    </w:p>
    <w:p w14:paraId="3EDF1B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expert validation process ensured that the instrument accurately reflected the dimensions of conflict causation, cost implications, and resolution strategies relevant to the Nigerian construction context (Oluwatayo, 2012).</w:t>
      </w:r>
    </w:p>
    <w:p w14:paraId="103C4C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 test the reliability, a pilot study was conducted using 20 respondents from a similar demographic and professional background in Ogun State, which shares characteristics with Lagos in terms of construction activity and workforce diversity. The data from the pilot were analyzed using Cronbach’s Alpha, a statistical measure used to determine the internal consistency of multi-item scales.</w:t>
      </w:r>
    </w:p>
    <w:p w14:paraId="745CBB5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yielded a Cronbach’s Alpha coefficient of 0.82, which, according to Nunnally (1978), indicates high reliability, as values above 0.70 are generally considered acceptable for research instruments.</w:t>
      </w:r>
    </w:p>
    <w:p w14:paraId="248C77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rigorous validation and reliability testing ensured that the final questionnaire was both accurate and dependable for measuring the constructs of interest.</w:t>
      </w:r>
    </w:p>
    <w:p w14:paraId="3BCED46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researcher obtained approval letters from the relevant academic and industry authorities before distributing questionnaires. Questionnaires were distributed both in person and electronically (via email and WhatsApp), with follow-up visits to ensure high response rates.</w:t>
      </w:r>
    </w:p>
    <w:p w14:paraId="08B6A5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collected were coded and entered into Statistical Package for the Social Sciences (SPSS) version 25 for analysis. Descriptive statistics (frequency, mean, standard deviation) were used to analyze responses, while Pearson’s correlation and regression analysis were used to test the hypothesis and assess the relationship between conflicts and construction costs.</w:t>
      </w:r>
    </w:p>
    <w:p w14:paraId="61F7B035">
      <w:pPr>
        <w:pStyle w:val="3"/>
      </w:pPr>
      <w:bookmarkStart w:id="91" w:name="_Toc203596215"/>
      <w:r>
        <w:t>3.9 Method of data presentation and Analysis</w:t>
      </w:r>
      <w:bookmarkEnd w:id="91"/>
      <w:r>
        <w:t xml:space="preserve"> </w:t>
      </w:r>
    </w:p>
    <w:p w14:paraId="762FCE7F">
      <w:pPr>
        <w:pStyle w:val="18"/>
        <w:spacing w:line="360" w:lineRule="auto"/>
        <w:jc w:val="both"/>
      </w:pPr>
      <w:r>
        <w:tab/>
      </w:r>
      <w:r>
        <w:t>The data collected through the administered Google Forms questionnaire were systematically organized and analyzed using descriptive statistical methods. The responses were exported to Microsoft Excel, where data cleaning and coding were performed to ensure accuracy and consistency. The analysis involved the use of frequency distribution, percentages, and mean scores to interpret the data. These techniques were employed to identify patterns, trends, and relationships within the responses. Tables and charts (such as bar charts and pie charts) were used for clear and concise data presentation, making it easier to interpret findings. The use of descriptive statistics allowed for a straightforward understanding of the respondents’ views, which were aligned with the objectives of the study. This approach was appropriate for drawing logical conclusions and making relevant recommendations based on the research findings.</w:t>
      </w:r>
    </w:p>
    <w:p w14:paraId="2311D7E6">
      <w:pPr>
        <w:pStyle w:val="18"/>
        <w:spacing w:line="360" w:lineRule="auto"/>
        <w:jc w:val="both"/>
      </w:pPr>
    </w:p>
    <w:p w14:paraId="14D0C4DA">
      <w:pPr>
        <w:pStyle w:val="18"/>
        <w:spacing w:line="360" w:lineRule="auto"/>
      </w:pPr>
    </w:p>
    <w:p w14:paraId="0DCA60D1">
      <w:pPr>
        <w:pStyle w:val="18"/>
        <w:spacing w:line="360" w:lineRule="auto"/>
      </w:pPr>
    </w:p>
    <w:p w14:paraId="61581E2C">
      <w:pPr>
        <w:pStyle w:val="18"/>
        <w:spacing w:line="360" w:lineRule="auto"/>
      </w:pPr>
    </w:p>
    <w:p w14:paraId="34E76DD7">
      <w:pPr>
        <w:pStyle w:val="18"/>
        <w:spacing w:line="360" w:lineRule="auto"/>
      </w:pPr>
    </w:p>
    <w:p w14:paraId="605E38F3">
      <w:pPr>
        <w:pStyle w:val="18"/>
        <w:spacing w:line="360" w:lineRule="auto"/>
      </w:pPr>
    </w:p>
    <w:p w14:paraId="516BCE03">
      <w:pPr>
        <w:pStyle w:val="18"/>
        <w:spacing w:line="360" w:lineRule="auto"/>
      </w:pPr>
    </w:p>
    <w:p w14:paraId="533DB207">
      <w:pPr>
        <w:pStyle w:val="2"/>
      </w:pPr>
      <w:bookmarkStart w:id="92" w:name="_Toc203596216"/>
      <w:bookmarkStart w:id="93" w:name="_Hlk198471708"/>
      <w:r>
        <w:t>CHAPTER FOUR</w:t>
      </w:r>
      <w:bookmarkEnd w:id="92"/>
    </w:p>
    <w:p w14:paraId="36C1DEC8">
      <w:pPr>
        <w:pStyle w:val="2"/>
      </w:pPr>
      <w:bookmarkStart w:id="94" w:name="_Toc203596217"/>
      <w:r>
        <w:t>DATA PRESENTATION, ANALYSIS AND DISCUSSIONS</w:t>
      </w:r>
      <w:bookmarkEnd w:id="94"/>
    </w:p>
    <w:p w14:paraId="468C6A2F">
      <w:pPr>
        <w:pStyle w:val="3"/>
      </w:pPr>
      <w:bookmarkStart w:id="95" w:name="_Toc203596218"/>
      <w:r>
        <w:t xml:space="preserve">4.1 Introduction </w:t>
      </w:r>
      <w:bookmarkEnd w:id="95"/>
    </w:p>
    <w:p w14:paraId="13D275F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presents the analysis of the data collected from respondents on the role of Quantity Surveyors in assessing the economic viability of agricultural processing plants. The data is analyzed based on the objectives and research questions using descriptive statistics such as frequency tables, percentages, and mean scores. The chapter also discusses the findings in relation to existing literature and the implications for practice.</w:t>
      </w:r>
    </w:p>
    <w:p w14:paraId="0C04B6B0">
      <w:pPr>
        <w:pStyle w:val="3"/>
      </w:pPr>
      <w:bookmarkStart w:id="96" w:name="_Toc203596219"/>
      <w:r>
        <w:t>4.2 Response Rate</w:t>
      </w:r>
      <w:bookmarkEnd w:id="96"/>
    </w:p>
    <w:p w14:paraId="2BE140A0">
      <w:pPr>
        <w:spacing w:line="360" w:lineRule="auto"/>
        <w:jc w:val="both"/>
        <w:rPr>
          <w:rFonts w:ascii="Times New Roman" w:hAnsi="Times New Roman" w:cs="Times New Roman"/>
          <w:sz w:val="24"/>
          <w:szCs w:val="24"/>
        </w:rPr>
      </w:pPr>
      <w:r>
        <w:rPr>
          <w:rFonts w:ascii="Times New Roman" w:hAnsi="Times New Roman" w:cs="Times New Roman"/>
          <w:sz w:val="24"/>
          <w:szCs w:val="24"/>
        </w:rPr>
        <w:t>A total of 150 structured questionnaires were distributed to professionals involved in agro-processing projects, including Quantity Surveyors, Agricultural Economists, Project Managers, Investors, and Government Officials. Out of these, 87 were duly completed and returned, representing a response rate of 58%, which is considered adequate for statistical analysis in social science research.</w:t>
      </w:r>
    </w:p>
    <w:p w14:paraId="7B7906EC">
      <w:pPr>
        <w:jc w:val="both"/>
        <w:rPr>
          <w:rFonts w:ascii="Times New Roman" w:hAnsi="Times New Roman" w:cs="Times New Roman"/>
          <w:i/>
          <w:iCs/>
          <w:sz w:val="24"/>
          <w:szCs w:val="24"/>
        </w:rPr>
      </w:pPr>
      <w:r>
        <w:rPr>
          <w:rFonts w:ascii="Times New Roman" w:hAnsi="Times New Roman" w:cs="Times New Roman"/>
          <w:i/>
          <w:iCs/>
          <w:sz w:val="24"/>
          <w:szCs w:val="24"/>
        </w:rPr>
        <w:t>Table 4.1: Response rate</w:t>
      </w:r>
    </w:p>
    <w:tbl>
      <w:tblPr>
        <w:tblStyle w:val="12"/>
        <w:tblW w:w="9427" w:type="dxa"/>
        <w:tblCellSpacing w:w="15" w:type="dxa"/>
        <w:tblInd w:w="0" w:type="dxa"/>
        <w:tblLayout w:type="autofit"/>
        <w:tblCellMar>
          <w:top w:w="15" w:type="dxa"/>
          <w:left w:w="15" w:type="dxa"/>
          <w:bottom w:w="15" w:type="dxa"/>
          <w:right w:w="15" w:type="dxa"/>
        </w:tblCellMar>
      </w:tblPr>
      <w:tblGrid>
        <w:gridCol w:w="5068"/>
        <w:gridCol w:w="2111"/>
        <w:gridCol w:w="2248"/>
      </w:tblGrid>
      <w:tr w14:paraId="46467A17">
        <w:tblPrEx>
          <w:tblCellMar>
            <w:top w:w="15" w:type="dxa"/>
            <w:left w:w="15" w:type="dxa"/>
            <w:bottom w:w="15" w:type="dxa"/>
            <w:right w:w="15" w:type="dxa"/>
          </w:tblCellMar>
        </w:tblPrEx>
        <w:trPr>
          <w:trHeight w:val="489" w:hRule="atLeast"/>
          <w:tblHeader/>
          <w:tblCellSpacing w:w="15" w:type="dxa"/>
        </w:trPr>
        <w:tc>
          <w:tcPr>
            <w:tcW w:w="0" w:type="auto"/>
            <w:tcBorders>
              <w:top w:val="single" w:color="auto" w:sz="4" w:space="0"/>
              <w:bottom w:val="single" w:color="auto" w:sz="4" w:space="0"/>
            </w:tcBorders>
            <w:vAlign w:val="center"/>
          </w:tcPr>
          <w:p w14:paraId="6D0B92E7">
            <w:pPr>
              <w:rPr>
                <w:b/>
                <w:bCs/>
              </w:rPr>
            </w:pPr>
            <w:r>
              <w:rPr>
                <w:b/>
                <w:bCs/>
              </w:rPr>
              <w:t>Response Category</w:t>
            </w:r>
          </w:p>
        </w:tc>
        <w:tc>
          <w:tcPr>
            <w:tcW w:w="0" w:type="auto"/>
            <w:tcBorders>
              <w:top w:val="single" w:color="auto" w:sz="4" w:space="0"/>
              <w:bottom w:val="single" w:color="auto" w:sz="4" w:space="0"/>
            </w:tcBorders>
            <w:vAlign w:val="center"/>
          </w:tcPr>
          <w:p w14:paraId="700F9BD4">
            <w:pPr>
              <w:rPr>
                <w:b/>
                <w:bCs/>
              </w:rPr>
            </w:pPr>
            <w:r>
              <w:rPr>
                <w:b/>
                <w:bCs/>
              </w:rPr>
              <w:t>Frequency</w:t>
            </w:r>
          </w:p>
        </w:tc>
        <w:tc>
          <w:tcPr>
            <w:tcW w:w="0" w:type="auto"/>
            <w:tcBorders>
              <w:top w:val="single" w:color="auto" w:sz="4" w:space="0"/>
              <w:bottom w:val="single" w:color="auto" w:sz="4" w:space="0"/>
            </w:tcBorders>
            <w:vAlign w:val="center"/>
          </w:tcPr>
          <w:p w14:paraId="21DA1438">
            <w:pPr>
              <w:rPr>
                <w:b/>
                <w:bCs/>
              </w:rPr>
            </w:pPr>
            <w:r>
              <w:rPr>
                <w:b/>
                <w:bCs/>
              </w:rPr>
              <w:t>Percentage</w:t>
            </w:r>
          </w:p>
        </w:tc>
      </w:tr>
      <w:tr w14:paraId="57CAA437">
        <w:tblPrEx>
          <w:tblCellMar>
            <w:top w:w="15" w:type="dxa"/>
            <w:left w:w="15" w:type="dxa"/>
            <w:bottom w:w="15" w:type="dxa"/>
            <w:right w:w="15" w:type="dxa"/>
          </w:tblCellMar>
        </w:tblPrEx>
        <w:trPr>
          <w:trHeight w:val="489" w:hRule="atLeast"/>
          <w:tblCellSpacing w:w="15" w:type="dxa"/>
        </w:trPr>
        <w:tc>
          <w:tcPr>
            <w:tcW w:w="0" w:type="auto"/>
            <w:vAlign w:val="center"/>
          </w:tcPr>
          <w:p w14:paraId="18C6A4B7">
            <w:r>
              <w:t>Questionnaires Sent</w:t>
            </w:r>
          </w:p>
        </w:tc>
        <w:tc>
          <w:tcPr>
            <w:tcW w:w="0" w:type="auto"/>
            <w:vAlign w:val="center"/>
          </w:tcPr>
          <w:p w14:paraId="17A9CA96">
            <w:r>
              <w:t>150</w:t>
            </w:r>
          </w:p>
        </w:tc>
        <w:tc>
          <w:tcPr>
            <w:tcW w:w="0" w:type="auto"/>
            <w:vAlign w:val="center"/>
          </w:tcPr>
          <w:p w14:paraId="67CDA89E">
            <w:r>
              <w:t>100%</w:t>
            </w:r>
          </w:p>
        </w:tc>
      </w:tr>
      <w:tr w14:paraId="4A6059D1">
        <w:tblPrEx>
          <w:tblCellMar>
            <w:top w:w="15" w:type="dxa"/>
            <w:left w:w="15" w:type="dxa"/>
            <w:bottom w:w="15" w:type="dxa"/>
            <w:right w:w="15" w:type="dxa"/>
          </w:tblCellMar>
        </w:tblPrEx>
        <w:trPr>
          <w:trHeight w:val="489" w:hRule="atLeast"/>
          <w:tblCellSpacing w:w="15" w:type="dxa"/>
        </w:trPr>
        <w:tc>
          <w:tcPr>
            <w:tcW w:w="0" w:type="auto"/>
            <w:vAlign w:val="center"/>
          </w:tcPr>
          <w:p w14:paraId="140AC4A0">
            <w:r>
              <w:t>Questionnaires Returned</w:t>
            </w:r>
          </w:p>
        </w:tc>
        <w:tc>
          <w:tcPr>
            <w:tcW w:w="0" w:type="auto"/>
            <w:vAlign w:val="center"/>
          </w:tcPr>
          <w:p w14:paraId="7C25DE27">
            <w:r>
              <w:t>87</w:t>
            </w:r>
          </w:p>
        </w:tc>
        <w:tc>
          <w:tcPr>
            <w:tcW w:w="0" w:type="auto"/>
            <w:vAlign w:val="center"/>
          </w:tcPr>
          <w:p w14:paraId="53C86891">
            <w:r>
              <w:t>58%</w:t>
            </w:r>
          </w:p>
        </w:tc>
      </w:tr>
      <w:tr w14:paraId="621D8920">
        <w:tblPrEx>
          <w:tblCellMar>
            <w:top w:w="15" w:type="dxa"/>
            <w:left w:w="15" w:type="dxa"/>
            <w:bottom w:w="15" w:type="dxa"/>
            <w:right w:w="15" w:type="dxa"/>
          </w:tblCellMar>
        </w:tblPrEx>
        <w:trPr>
          <w:trHeight w:val="489" w:hRule="atLeast"/>
          <w:tblCellSpacing w:w="15" w:type="dxa"/>
        </w:trPr>
        <w:tc>
          <w:tcPr>
            <w:tcW w:w="0" w:type="auto"/>
            <w:tcBorders>
              <w:bottom w:val="single" w:color="auto" w:sz="4" w:space="0"/>
            </w:tcBorders>
            <w:vAlign w:val="center"/>
          </w:tcPr>
          <w:p w14:paraId="6D628A47">
            <w:r>
              <w:t>Questionnaires Unreturned</w:t>
            </w:r>
          </w:p>
        </w:tc>
        <w:tc>
          <w:tcPr>
            <w:tcW w:w="0" w:type="auto"/>
            <w:tcBorders>
              <w:bottom w:val="single" w:color="auto" w:sz="4" w:space="0"/>
            </w:tcBorders>
            <w:vAlign w:val="center"/>
          </w:tcPr>
          <w:p w14:paraId="785FC073">
            <w:r>
              <w:t>63</w:t>
            </w:r>
          </w:p>
        </w:tc>
        <w:tc>
          <w:tcPr>
            <w:tcW w:w="0" w:type="auto"/>
            <w:tcBorders>
              <w:bottom w:val="single" w:color="auto" w:sz="4" w:space="0"/>
            </w:tcBorders>
            <w:vAlign w:val="center"/>
          </w:tcPr>
          <w:p w14:paraId="0C66E2F5">
            <w:r>
              <w:t>42%</w:t>
            </w:r>
          </w:p>
        </w:tc>
      </w:tr>
    </w:tbl>
    <w:p w14:paraId="22226C57"/>
    <w:p w14:paraId="1DA305AC">
      <w:pPr>
        <w:pStyle w:val="3"/>
      </w:pPr>
      <w:bookmarkStart w:id="97" w:name="_Toc203596220"/>
      <w:r>
        <w:t>4.3 Characteristics of Respondents</w:t>
      </w:r>
      <w:bookmarkEnd w:id="97"/>
    </w:p>
    <w:p w14:paraId="121D5694">
      <w:pPr>
        <w:pStyle w:val="4"/>
      </w:pPr>
      <w:bookmarkStart w:id="98" w:name="_Toc203596221"/>
      <w:r>
        <w:t>4.3.1 Gender Distribution of Respondents</w:t>
      </w:r>
      <w:bookmarkEnd w:id="98"/>
    </w:p>
    <w:p w14:paraId="0A8F1CFF">
      <w:pPr>
        <w:spacing w:line="360" w:lineRule="auto"/>
        <w:jc w:val="both"/>
        <w:rPr>
          <w:rFonts w:ascii="Times New Roman" w:hAnsi="Times New Roman" w:cs="Times New Roman"/>
          <w:sz w:val="24"/>
          <w:szCs w:val="24"/>
        </w:rPr>
      </w:pPr>
      <w:r>
        <w:rPr>
          <w:rFonts w:ascii="Times New Roman" w:hAnsi="Times New Roman" w:cs="Times New Roman"/>
          <w:sz w:val="24"/>
          <w:szCs w:val="24"/>
        </w:rPr>
        <w:t>The gender distribution of the respondents shows a significant male dominance in the field. Out of the 87 respondents, 67.8% were male, while 32.2% were female. This indicates that although females are represented in the industry, the participation of males remains considerably higher. This trend reflects the broader gender imbalance often observed in construction and agro-processing sectors, where male professionals still constitute the majority of the workforce.</w:t>
      </w:r>
    </w:p>
    <w:p w14:paraId="2F582314">
      <w:pPr>
        <w:spacing w:line="360" w:lineRule="auto"/>
        <w:jc w:val="both"/>
        <w:rPr>
          <w:rFonts w:ascii="Times New Roman" w:hAnsi="Times New Roman" w:cs="Times New Roman"/>
          <w:sz w:val="24"/>
          <w:szCs w:val="24"/>
        </w:rPr>
      </w:pPr>
      <w:r>
        <w:rPr>
          <w:rFonts w:ascii="Times New Roman" w:hAnsi="Times New Roman" w:cs="Times New Roman"/>
          <w:sz w:val="24"/>
          <w:szCs w:val="24"/>
        </w:rPr>
        <w:t>This imbalance highlights the need for increased gender inclusivity and empowerment strategies aimed at encouraging more female participation in Quantity Surveying and related professions within the agricultural value chain.</w:t>
      </w:r>
    </w:p>
    <w:p w14:paraId="634671D5"/>
    <w:p w14:paraId="2089E1BB">
      <w:r>
        <w:drawing>
          <wp:inline distT="0" distB="0" distL="0" distR="0">
            <wp:extent cx="5943600" cy="2500630"/>
            <wp:effectExtent l="0" t="0" r="0" b="0"/>
            <wp:docPr id="1404685517" name="Picture 1" descr="Forms response chart. Question title: Gender.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85517" name="Picture 1" descr="Forms response chart. Question title: Gender. Number of responses: 87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3600" cy="2500630"/>
                    </a:xfrm>
                    <a:prstGeom prst="rect">
                      <a:avLst/>
                    </a:prstGeom>
                    <a:noFill/>
                    <a:ln>
                      <a:noFill/>
                    </a:ln>
                  </pic:spPr>
                </pic:pic>
              </a:graphicData>
            </a:graphic>
          </wp:inline>
        </w:drawing>
      </w:r>
    </w:p>
    <w:p w14:paraId="64A5853E">
      <w:r>
        <w:t xml:space="preserve">Figure 4.1: gender </w:t>
      </w:r>
    </w:p>
    <w:p w14:paraId="3CF59236">
      <w:pPr>
        <w:pStyle w:val="4"/>
      </w:pPr>
      <w:bookmarkStart w:id="99" w:name="_Toc203596222"/>
      <w:r>
        <w:t>4.3.2 Age Distribution of Respondents</w:t>
      </w:r>
      <w:bookmarkEnd w:id="99"/>
    </w:p>
    <w:p w14:paraId="33F6F0AB">
      <w:pPr>
        <w:spacing w:line="360" w:lineRule="auto"/>
        <w:jc w:val="both"/>
        <w:rPr>
          <w:rFonts w:ascii="Times New Roman" w:hAnsi="Times New Roman" w:cs="Times New Roman"/>
          <w:sz w:val="24"/>
          <w:szCs w:val="24"/>
        </w:rPr>
      </w:pPr>
      <w:r>
        <w:rPr>
          <w:rFonts w:ascii="Times New Roman" w:hAnsi="Times New Roman" w:cs="Times New Roman"/>
          <w:sz w:val="24"/>
          <w:szCs w:val="24"/>
        </w:rPr>
        <w:t>The age distribution of respondents indicates that the majority fall within the youthful age bracket. Specifically, 60.9% of the respondents are between 18–25 years, while 40.2% are aged 26–35 years. Notably, there were no respondents aged 36 years and above.</w:t>
      </w:r>
    </w:p>
    <w:p w14:paraId="237B9BCD">
      <w:pPr>
        <w:spacing w:line="360" w:lineRule="auto"/>
        <w:jc w:val="both"/>
        <w:rPr>
          <w:rFonts w:ascii="Times New Roman" w:hAnsi="Times New Roman" w:cs="Times New Roman"/>
          <w:sz w:val="24"/>
          <w:szCs w:val="24"/>
        </w:rPr>
      </w:pPr>
      <w:r>
        <w:rPr>
          <w:rFonts w:ascii="Times New Roman" w:hAnsi="Times New Roman" w:cs="Times New Roman"/>
          <w:sz w:val="24"/>
          <w:szCs w:val="24"/>
        </w:rPr>
        <w:t>This data suggests that younger professionals are more actively engaged in agro-processing and construction-related sectors, particularly in roles linked to Quantity Surveying and project viability assessments. The absence of older respondents could imply limited interest or reduced involvement of more experienced professionals in this particular area of research, possibly due to digital distribution methods or generational gaps in specialization.</w:t>
      </w:r>
    </w:p>
    <w:p w14:paraId="5814CC7B">
      <w:pPr>
        <w:spacing w:line="360" w:lineRule="auto"/>
        <w:jc w:val="both"/>
        <w:rPr>
          <w:rFonts w:ascii="Times New Roman" w:hAnsi="Times New Roman" w:cs="Times New Roman"/>
          <w:sz w:val="24"/>
          <w:szCs w:val="24"/>
        </w:rPr>
      </w:pPr>
      <w:r>
        <w:rPr>
          <w:rFonts w:ascii="Times New Roman" w:hAnsi="Times New Roman" w:cs="Times New Roman"/>
          <w:sz w:val="24"/>
          <w:szCs w:val="24"/>
        </w:rPr>
        <w:t>The dominance of younger respondents may also reflect a growing interest among emerging professionals in diversifying their expertise into agricultural and economic viability projects.</w:t>
      </w:r>
    </w:p>
    <w:p w14:paraId="30F56FB0">
      <w:r>
        <w:drawing>
          <wp:inline distT="0" distB="0" distL="0" distR="0">
            <wp:extent cx="5943600" cy="2825750"/>
            <wp:effectExtent l="0" t="0" r="0" b="0"/>
            <wp:docPr id="292810579" name="Picture 2" descr="Forms response chart. Question title: Age.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10579" name="Picture 2" descr="Forms response chart. Question title: Age. Number of responses: 87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2825750"/>
                    </a:xfrm>
                    <a:prstGeom prst="rect">
                      <a:avLst/>
                    </a:prstGeom>
                    <a:noFill/>
                    <a:ln>
                      <a:noFill/>
                    </a:ln>
                  </pic:spPr>
                </pic:pic>
              </a:graphicData>
            </a:graphic>
          </wp:inline>
        </w:drawing>
      </w:r>
    </w:p>
    <w:p w14:paraId="52CA8715">
      <w:r>
        <w:t>Figure 4.2: Age</w:t>
      </w:r>
    </w:p>
    <w:p w14:paraId="3EAD09CB">
      <w:pPr>
        <w:pStyle w:val="4"/>
      </w:pPr>
      <w:bookmarkStart w:id="100" w:name="_Toc203596223"/>
      <w:r>
        <w:t>4.3.3 Years of Professional Experience</w:t>
      </w:r>
      <w:bookmarkEnd w:id="100"/>
    </w:p>
    <w:p w14:paraId="0F5D906F">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on respondents’ professional experience reveals that the majority are relatively early in their careers. Out of the 87 respondents, 54 individuals (62.1%) have less than 5 years of professional experience, while 31 respondents (35.6%) have been practicing for 5–10 years. Only 1 respondent each (1.1%) reported having 10–15 years and over 15 years of experience respectively.</w:t>
      </w:r>
    </w:p>
    <w:p w14:paraId="137AA414">
      <w:pPr>
        <w:spacing w:line="360" w:lineRule="auto"/>
        <w:jc w:val="both"/>
        <w:rPr>
          <w:rFonts w:ascii="Times New Roman" w:hAnsi="Times New Roman" w:cs="Times New Roman"/>
          <w:sz w:val="24"/>
          <w:szCs w:val="24"/>
        </w:rPr>
      </w:pPr>
      <w:r>
        <w:rPr>
          <w:rFonts w:ascii="Times New Roman" w:hAnsi="Times New Roman" w:cs="Times New Roman"/>
          <w:sz w:val="24"/>
          <w:szCs w:val="24"/>
        </w:rPr>
        <w:t>This distribution suggests that younger or mid-level professionals are more active or responsive to research relating to agricultural processing projects and Quantity Surveying. The low participation from highly experienced professionals may indicate generational preferences, limited exposure to digital survey tools, or a gap in research engagement. Nonetheless, the involvement of early-career professionals provides a fresh perspective on emerging trends and innovations in economic viability assessment.</w:t>
      </w:r>
    </w:p>
    <w:p w14:paraId="62F55E1E"/>
    <w:p w14:paraId="7A289058">
      <w:r>
        <w:drawing>
          <wp:inline distT="0" distB="0" distL="0" distR="0">
            <wp:extent cx="5943600" cy="2500630"/>
            <wp:effectExtent l="0" t="0" r="0" b="0"/>
            <wp:docPr id="557350061" name="Picture 3" descr="Forms response chart. Question title: Years of Professional Experience.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50061" name="Picture 3" descr="Forms response chart. Question title: Years of Professional Experience. Number of responses: 87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2500630"/>
                    </a:xfrm>
                    <a:prstGeom prst="rect">
                      <a:avLst/>
                    </a:prstGeom>
                    <a:noFill/>
                    <a:ln>
                      <a:noFill/>
                    </a:ln>
                  </pic:spPr>
                </pic:pic>
              </a:graphicData>
            </a:graphic>
          </wp:inline>
        </w:drawing>
      </w:r>
    </w:p>
    <w:p w14:paraId="01366BF2">
      <w:r>
        <w:t>Figure 4.3: Years of Professional Experience</w:t>
      </w:r>
    </w:p>
    <w:p w14:paraId="1FD7CCA7">
      <w:pPr>
        <w:pStyle w:val="4"/>
      </w:pPr>
      <w:bookmarkStart w:id="101" w:name="_Toc203596224"/>
      <w:r>
        <w:t>4.3.4 Professional Background of Respondents</w:t>
      </w:r>
      <w:bookmarkEnd w:id="101"/>
    </w:p>
    <w:p w14:paraId="34D2DCD1">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of respondents’ professional backgrounds shows that the majority are Quantity Surveyors, with 48 respondents (55.2%) identifying as such. This is followed by Project Managers with 11 respondents (12.6%), and other professionals which include engineers, economists, and consultants making up 16 respondents (18.4%). Additionally, Architects account for 6 respondents (6.9%), while Developers represent 5 respondents (5.7%).</w:t>
      </w:r>
    </w:p>
    <w:p w14:paraId="186DFB1C">
      <w:pPr>
        <w:spacing w:line="360" w:lineRule="auto"/>
        <w:jc w:val="both"/>
        <w:rPr>
          <w:rFonts w:ascii="Times New Roman" w:hAnsi="Times New Roman" w:cs="Times New Roman"/>
          <w:sz w:val="24"/>
          <w:szCs w:val="24"/>
        </w:rPr>
      </w:pPr>
      <w:r>
        <w:rPr>
          <w:rFonts w:ascii="Times New Roman" w:hAnsi="Times New Roman" w:cs="Times New Roman"/>
          <w:sz w:val="24"/>
          <w:szCs w:val="24"/>
        </w:rPr>
        <w:t>This distribution reflects a strong representation of Quantity Surveyors, which is consistent with the focus of the study. It also shows a moderate level of interdisciplinary involvement, indicating that assessing the economic viability of agricultural processing plants is a collaborative effort involving various professionals across the built environment and investment sectors.</w:t>
      </w:r>
    </w:p>
    <w:p w14:paraId="4E470D57"/>
    <w:p w14:paraId="16D7B297"/>
    <w:p w14:paraId="30F53702">
      <w:r>
        <w:drawing>
          <wp:inline distT="0" distB="0" distL="0" distR="0">
            <wp:extent cx="5943600" cy="2500630"/>
            <wp:effectExtent l="0" t="0" r="0" b="8890"/>
            <wp:docPr id="1243861256" name="Picture 4" descr="Forms response chart. Question title: Professional Background.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61256" name="Picture 4" descr="Forms response chart. Question title: Professional Background. Number of responses: 87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2500630"/>
                    </a:xfrm>
                    <a:prstGeom prst="rect">
                      <a:avLst/>
                    </a:prstGeom>
                    <a:noFill/>
                    <a:ln>
                      <a:noFill/>
                    </a:ln>
                  </pic:spPr>
                </pic:pic>
              </a:graphicData>
            </a:graphic>
          </wp:inline>
        </w:drawing>
      </w:r>
      <w:r>
        <w:t xml:space="preserve">Figure 4.4: Professional Background </w:t>
      </w:r>
    </w:p>
    <w:p w14:paraId="4A4C22C4">
      <w:pPr>
        <w:pStyle w:val="4"/>
      </w:pPr>
      <w:bookmarkStart w:id="102" w:name="_Toc203596225"/>
      <w:r>
        <w:t>4.3.5 Involvement in Agro-Processing Projects</w:t>
      </w:r>
      <w:bookmarkEnd w:id="102"/>
    </w:p>
    <w:p w14:paraId="65DE8747">
      <w:pPr>
        <w:spacing w:line="360" w:lineRule="auto"/>
        <w:jc w:val="both"/>
        <w:rPr>
          <w:rFonts w:ascii="Times New Roman" w:hAnsi="Times New Roman" w:cs="Times New Roman"/>
          <w:sz w:val="24"/>
          <w:szCs w:val="24"/>
        </w:rPr>
      </w:pPr>
      <w:r>
        <w:rPr>
          <w:rFonts w:ascii="Times New Roman" w:hAnsi="Times New Roman" w:cs="Times New Roman"/>
          <w:sz w:val="24"/>
          <w:szCs w:val="24"/>
        </w:rPr>
        <w:t>When asked about their direct involvement in agro-processing projects, a significant number of respondents indicated prior engagement. Specifically, 66 respondents (75.9%) reported that they have been involved in agro-processing projects, while 21 respondents (24.1%) stated they have not been involved.</w:t>
      </w:r>
    </w:p>
    <w:p w14:paraId="24F892F9">
      <w:pPr>
        <w:spacing w:line="360" w:lineRule="auto"/>
        <w:jc w:val="both"/>
        <w:rPr>
          <w:rFonts w:ascii="Times New Roman" w:hAnsi="Times New Roman" w:cs="Times New Roman"/>
          <w:sz w:val="24"/>
          <w:szCs w:val="24"/>
        </w:rPr>
      </w:pPr>
      <w:r>
        <w:rPr>
          <w:rFonts w:ascii="Times New Roman" w:hAnsi="Times New Roman" w:cs="Times New Roman"/>
          <w:sz w:val="24"/>
          <w:szCs w:val="24"/>
        </w:rPr>
        <w:t>This high level of participation suggests that the majority of respondents possess relevant practical experience and insights into the dynamics of agricultural processing ventures. Their input provides a strong foundation for evaluating the role of Quantity Surveyors in economic viability assessments, ensuring the data gathered is informed by real-world exposure and professional practice.</w:t>
      </w:r>
    </w:p>
    <w:p w14:paraId="6F2B2EAD">
      <w:pPr>
        <w:spacing w:line="360" w:lineRule="auto"/>
        <w:jc w:val="both"/>
        <w:rPr>
          <w:rFonts w:ascii="Times New Roman" w:hAnsi="Times New Roman" w:cs="Times New Roman"/>
          <w:sz w:val="24"/>
          <w:szCs w:val="24"/>
        </w:rPr>
      </w:pPr>
    </w:p>
    <w:p w14:paraId="366FB2D2">
      <w:r>
        <w:drawing>
          <wp:inline distT="0" distB="0" distL="0" distR="0">
            <wp:extent cx="5943600" cy="2500630"/>
            <wp:effectExtent l="0" t="0" r="0" b="0"/>
            <wp:docPr id="878103796" name="Picture 5" descr="Forms response chart. Question title: Have you ever been involved in an agro-processing project.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03796" name="Picture 5" descr="Forms response chart. Question title: Have you ever been involved in an agro-processing project. Number of responses: 87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2500630"/>
                    </a:xfrm>
                    <a:prstGeom prst="rect">
                      <a:avLst/>
                    </a:prstGeom>
                    <a:noFill/>
                    <a:ln>
                      <a:noFill/>
                    </a:ln>
                  </pic:spPr>
                </pic:pic>
              </a:graphicData>
            </a:graphic>
          </wp:inline>
        </w:drawing>
      </w:r>
      <w:r>
        <w:t xml:space="preserve">Figure 4.5: </w:t>
      </w:r>
      <w:r>
        <w:rPr>
          <w:rFonts w:ascii="Times New Roman" w:hAnsi="Times New Roman" w:cs="Times New Roman"/>
        </w:rPr>
        <w:t>Involvement in Agro-Processing Projects</w:t>
      </w:r>
    </w:p>
    <w:p w14:paraId="762C01BF">
      <w:pPr>
        <w:pStyle w:val="2"/>
        <w:rPr>
          <w:rStyle w:val="36"/>
          <w:rFonts w:cs="Times New Roman"/>
          <w:b/>
          <w:bCs/>
          <w:szCs w:val="28"/>
        </w:rPr>
      </w:pPr>
      <w:bookmarkStart w:id="103" w:name="_Toc203596226"/>
      <w:r>
        <w:t xml:space="preserve">4.4 </w:t>
      </w:r>
      <w:r>
        <w:rPr>
          <w:rStyle w:val="36"/>
          <w:rFonts w:cs="Times New Roman"/>
          <w:b w:val="0"/>
          <w:bCs/>
          <w:szCs w:val="28"/>
        </w:rPr>
        <w:t>Presentation and analysis of data according to research questions</w:t>
      </w:r>
      <w:bookmarkEnd w:id="103"/>
    </w:p>
    <w:p w14:paraId="114BE5F7"/>
    <w:p w14:paraId="27C1E5A9">
      <w:pPr>
        <w:pStyle w:val="4"/>
      </w:pPr>
      <w:bookmarkStart w:id="104" w:name="_Toc203596227"/>
      <w:r>
        <w:t>4.4.1 Common Financial Challenges in the Development of Agro-Processing Plants</w:t>
      </w:r>
      <w:bookmarkEnd w:id="104"/>
    </w:p>
    <w:p w14:paraId="54944F52">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were asked to identify the most common financial challenges encountered during the development of agro-processing plants. Multiple responses were allowed, as financial obstacles in such projects are often interconnected.</w:t>
      </w:r>
    </w:p>
    <w:p w14:paraId="58B3EF34">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revealed that the most significant financial challenge is the high initial capital cost, cited by 44 respondents, representing the most frequently selected issue. This finding aligns with existing literature that highlights the capital-intensive nature of agro-processing facilities, particularly due to land acquisition, machinery procurement, and construction costs.</w:t>
      </w:r>
    </w:p>
    <w:p w14:paraId="09EC85BF">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this, 26 respondents identified difficulty in accessing finance as a key constraint. This suggests that limited availability of credit, high interest rates, and stringent loan conditions hinder the ability of investors and developers to secure the necessary funding to initiate or expand agro-processing ventures.</w:t>
      </w:r>
    </w:p>
    <w:p w14:paraId="51D39A6C">
      <w:pPr>
        <w:spacing w:line="360" w:lineRule="auto"/>
        <w:jc w:val="both"/>
        <w:rPr>
          <w:rFonts w:ascii="Times New Roman" w:hAnsi="Times New Roman" w:cs="Times New Roman"/>
          <w:sz w:val="24"/>
          <w:szCs w:val="24"/>
        </w:rPr>
      </w:pPr>
      <w:r>
        <w:rPr>
          <w:rFonts w:ascii="Times New Roman" w:hAnsi="Times New Roman" w:cs="Times New Roman"/>
          <w:sz w:val="24"/>
          <w:szCs w:val="24"/>
        </w:rPr>
        <w:t>Fluctuating cost of materials was selected by 19 respondents, indicating that volatility in the prices of construction and production inputs poses a major threat to budget stability and financial forecasting.</w:t>
      </w:r>
    </w:p>
    <w:p w14:paraId="3DD7F741">
      <w:pPr>
        <w:spacing w:line="360" w:lineRule="auto"/>
        <w:jc w:val="both"/>
        <w:rPr>
          <w:rFonts w:ascii="Times New Roman" w:hAnsi="Times New Roman" w:cs="Times New Roman"/>
          <w:sz w:val="24"/>
          <w:szCs w:val="24"/>
        </w:rPr>
      </w:pPr>
      <w:r>
        <w:rPr>
          <w:rFonts w:ascii="Times New Roman" w:hAnsi="Times New Roman" w:cs="Times New Roman"/>
          <w:sz w:val="24"/>
          <w:szCs w:val="24"/>
        </w:rPr>
        <w:t>Additionally, 16 respondents pointed to unstable power supply and high energy costs as significant concerns. Given the energy-intensive nature of processing operations, inconsistent power availability often results in increased operational costs due to the reliance on alternative energy sources such as generators.</w:t>
      </w:r>
    </w:p>
    <w:p w14:paraId="2135402C">
      <w:pPr>
        <w:spacing w:line="360" w:lineRule="auto"/>
        <w:jc w:val="both"/>
        <w:rPr>
          <w:rFonts w:ascii="Times New Roman" w:hAnsi="Times New Roman" w:cs="Times New Roman"/>
          <w:sz w:val="24"/>
          <w:szCs w:val="24"/>
        </w:rPr>
      </w:pPr>
      <w:r>
        <w:rPr>
          <w:rFonts w:ascii="Times New Roman" w:hAnsi="Times New Roman" w:cs="Times New Roman"/>
          <w:sz w:val="24"/>
          <w:szCs w:val="24"/>
        </w:rPr>
        <w:t>High operating and maintenance costs were reported by 14 respondents, emphasizing the burden of recurring expenses that can erode profitability over time if not properly managed.</w:t>
      </w:r>
    </w:p>
    <w:p w14:paraId="12EB9D5F">
      <w:pPr>
        <w:spacing w:line="360" w:lineRule="auto"/>
        <w:jc w:val="both"/>
        <w:rPr>
          <w:rFonts w:ascii="Times New Roman" w:hAnsi="Times New Roman" w:cs="Times New Roman"/>
          <w:sz w:val="24"/>
          <w:szCs w:val="24"/>
        </w:rPr>
      </w:pPr>
      <w:r>
        <w:rPr>
          <w:rFonts w:ascii="Times New Roman" w:hAnsi="Times New Roman" w:cs="Times New Roman"/>
          <w:sz w:val="24"/>
          <w:szCs w:val="24"/>
        </w:rPr>
        <w:t>Only 5 respondents indicated inadequate feasibility studies as a challenge, suggesting that while this issue exists, it is less commonly perceived as a primary financial barrier compared to direct capital and operational cost concerns.</w:t>
      </w:r>
    </w:p>
    <w:p w14:paraId="740100A1">
      <w:pPr>
        <w:spacing w:line="360" w:lineRule="auto"/>
        <w:jc w:val="both"/>
        <w:rPr>
          <w:rFonts w:ascii="Times New Roman" w:hAnsi="Times New Roman" w:cs="Times New Roman"/>
          <w:sz w:val="24"/>
          <w:szCs w:val="24"/>
        </w:rPr>
      </w:pPr>
      <w:r>
        <w:rPr>
          <w:rFonts w:ascii="Times New Roman" w:hAnsi="Times New Roman" w:cs="Times New Roman"/>
          <w:sz w:val="24"/>
          <w:szCs w:val="24"/>
        </w:rPr>
        <w:t>Finally, 6 respondents selected “Others”, citing additional concerns such as inflation, policy inconsistencies, and inadequate government support.</w:t>
      </w:r>
    </w:p>
    <w:p w14:paraId="65820664">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the findings demonstrate that financial barriers in agro-processing plant development are multifaceted, with capital requirements, access to finance, and input cost volatility being the most pressing issues. These challenges underline the importance of robust financial planning, investment incentives, and supportive policy frameworks to enhance the sustainability and growth of agro-processing ventures</w:t>
      </w:r>
    </w:p>
    <w:p w14:paraId="483C055E">
      <w:r>
        <w:drawing>
          <wp:inline distT="0" distB="0" distL="0" distR="0">
            <wp:extent cx="5943600" cy="3020695"/>
            <wp:effectExtent l="0" t="0" r="0" b="8255"/>
            <wp:docPr id="908226588" name="Picture 6" descr="Forms response chart. Question title: What are the most common financial challenges in the development of agro-processing plants? (Select all that apply)&#10;&#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26588" name="Picture 6" descr="Forms response chart. Question title: What are the most common financial challenges in the development of agro-processing plants? (Select all that apply)&#10;&#10;. Number of responses: 87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020695"/>
                    </a:xfrm>
                    <a:prstGeom prst="rect">
                      <a:avLst/>
                    </a:prstGeom>
                    <a:noFill/>
                    <a:ln>
                      <a:noFill/>
                    </a:ln>
                  </pic:spPr>
                </pic:pic>
              </a:graphicData>
            </a:graphic>
          </wp:inline>
        </w:drawing>
      </w:r>
    </w:p>
    <w:p w14:paraId="41A6B539">
      <w:r>
        <w:t>Figure 4.6: Common Financial Challenges in the Development of Agro-Processing Plants</w:t>
      </w:r>
    </w:p>
    <w:p w14:paraId="33832FE3"/>
    <w:p w14:paraId="4AD0EBAF"/>
    <w:p w14:paraId="4BEE78B5">
      <w:pPr>
        <w:pStyle w:val="4"/>
      </w:pPr>
      <w:bookmarkStart w:id="105" w:name="_Toc203596228"/>
      <w:r>
        <w:t>4.4.2 Perceived Severity of Financial Challenges on Agro-Processing Project Success</w:t>
      </w:r>
      <w:bookmarkEnd w:id="105"/>
    </w:p>
    <w:p w14:paraId="16999352">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were asked to rate the severity of financial challenges on the success of agro-processing projects using a 5-point Likert scale ranging from "Not severe" to "Extremely severe." The responses reflect varying levels of concern, with the majority indicating that financial challenges pose a considerable threat to project success.</w:t>
      </w:r>
    </w:p>
    <w:p w14:paraId="1CB562EB">
      <w:pPr>
        <w:spacing w:line="360" w:lineRule="auto"/>
        <w:jc w:val="both"/>
        <w:rPr>
          <w:rFonts w:ascii="Times New Roman" w:hAnsi="Times New Roman" w:cs="Times New Roman"/>
          <w:sz w:val="24"/>
          <w:szCs w:val="24"/>
        </w:rPr>
      </w:pPr>
      <w:r>
        <w:rPr>
          <w:rFonts w:ascii="Times New Roman" w:hAnsi="Times New Roman" w:cs="Times New Roman"/>
          <w:sz w:val="24"/>
          <w:szCs w:val="24"/>
        </w:rPr>
        <w:t>Out of the 87 respondents:</w:t>
      </w:r>
    </w:p>
    <w:p w14:paraId="75A098B3">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26 (29.9%) rated the impact as Very Severe,</w:t>
      </w:r>
    </w:p>
    <w:p w14:paraId="2D0F083C">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19 (21.8%) considered it Moderately Severe,</w:t>
      </w:r>
    </w:p>
    <w:p w14:paraId="34BBAD5B">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18 (20.7%) described it as Slightly Severe,</w:t>
      </w:r>
    </w:p>
    <w:p w14:paraId="1EF64172">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13 (14.9%) perceived it as Not Severe, and</w:t>
      </w:r>
    </w:p>
    <w:p w14:paraId="68396D8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11 (12.6%) believed it was Extremely Severe.</w:t>
      </w:r>
    </w:p>
    <w:p w14:paraId="7E2BE04E">
      <w:pPr>
        <w:spacing w:line="360" w:lineRule="auto"/>
        <w:jc w:val="both"/>
        <w:rPr>
          <w:rFonts w:ascii="Times New Roman" w:hAnsi="Times New Roman" w:cs="Times New Roman"/>
          <w:sz w:val="24"/>
          <w:szCs w:val="24"/>
        </w:rPr>
      </w:pPr>
      <w:r>
        <w:rPr>
          <w:rFonts w:ascii="Times New Roman" w:hAnsi="Times New Roman" w:cs="Times New Roman"/>
          <w:sz w:val="24"/>
          <w:szCs w:val="24"/>
        </w:rPr>
        <w:t>These results indicate that a significant portion of the respondents approximately 64.3% (combining "Moderately Severe," "Very Severe," and "Extremely Severe") recognize financial challenges as a major hindrance to the successful execution and sustainability of agro-processing projects.</w:t>
      </w:r>
    </w:p>
    <w:p w14:paraId="744911BC">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reinforces earlier findings that high capital requirements, limited access to finance, and fluctuating material and energy costs can critically disrupt project planning, execution, and long-term viability. It also suggests a strong need for financial reforms, targeted government intervention, and strategic planning to mitigate these risks and enhance project outcomes.</w:t>
      </w:r>
    </w:p>
    <w:p w14:paraId="323A4DD0">
      <w:pPr>
        <w:spacing w:line="360" w:lineRule="auto"/>
        <w:jc w:val="both"/>
        <w:rPr>
          <w:rFonts w:ascii="Times New Roman" w:hAnsi="Times New Roman" w:cs="Times New Roman"/>
          <w:sz w:val="24"/>
          <w:szCs w:val="24"/>
        </w:rPr>
      </w:pPr>
    </w:p>
    <w:p w14:paraId="01C7E96D">
      <w:pPr>
        <w:pStyle w:val="31"/>
      </w:pPr>
      <w:r>
        <w:drawing>
          <wp:inline distT="0" distB="0" distL="0" distR="0">
            <wp:extent cx="5943600" cy="2500630"/>
            <wp:effectExtent l="0" t="0" r="0" b="0"/>
            <wp:docPr id="1812074175" name="Picture 8" descr="Forms response chart. Question title: How severe do you think financial challenges affect the success of agro-processing projects?&#10;&#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74175" name="Picture 8" descr="Forms response chart. Question title: How severe do you think financial challenges affect the success of agro-processing projects?&#10;&#10;. Number of responses: 87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2500630"/>
                    </a:xfrm>
                    <a:prstGeom prst="rect">
                      <a:avLst/>
                    </a:prstGeom>
                    <a:noFill/>
                    <a:ln>
                      <a:noFill/>
                    </a:ln>
                  </pic:spPr>
                </pic:pic>
              </a:graphicData>
            </a:graphic>
          </wp:inline>
        </w:drawing>
      </w:r>
      <w:r>
        <w:t xml:space="preserve"> </w:t>
      </w:r>
    </w:p>
    <w:p w14:paraId="6D52AB4C">
      <w:r>
        <w:t>Figure 4.7: Perceived Severity of Financial Challenges on Agro-Processing Project Success</w:t>
      </w:r>
    </w:p>
    <w:p w14:paraId="1782855D"/>
    <w:p w14:paraId="054309D8">
      <w:pPr>
        <w:pStyle w:val="4"/>
      </w:pPr>
      <w:bookmarkStart w:id="106" w:name="_Toc203596229"/>
      <w:r>
        <w:t>4.4.3 Perceived Importance of Quantity Surveyors in Agro-Processing Project Development</w:t>
      </w:r>
      <w:bookmarkEnd w:id="106"/>
    </w:p>
    <w:p w14:paraId="77DD5AC3">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To assess stakeholder perceptions of the role of Quantity Surveyors in agro-processing projects, respondents were asked to rate the importance of their involvement. The majority of participants strongly acknowledged the relevance of Quantity Surveyors in ensuring the success and economic viability of such projects.</w:t>
      </w:r>
    </w:p>
    <w:p w14:paraId="01EFECFF">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From the data:</w:t>
      </w:r>
    </w:p>
    <w:p w14:paraId="6C639361">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50 respondents (57.5%) considered their involvement to be Very Important,</w:t>
      </w:r>
    </w:p>
    <w:p w14:paraId="4319D88A">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26 respondents (29.9%) rated it as Important,</w:t>
      </w:r>
    </w:p>
    <w:p w14:paraId="5195110E">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10 respondents (11.5%) were Neutral,</w:t>
      </w:r>
    </w:p>
    <w:p w14:paraId="5EBC27A4">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1 respondent (1.1%) regarded it as Less Important, and</w:t>
      </w:r>
    </w:p>
    <w:p w14:paraId="7349AB72">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0 respondents selected Not Important.</w:t>
      </w:r>
    </w:p>
    <w:p w14:paraId="6C4331B1">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The results clearly show a strong consensus on the critical role of Quantity Surveyors in agro-processing project development, with 87.4% of respondents affirming their importance. This validates the profession’s contributions in key areas such as cost planning, feasibility analysis, procurement strategy, and value management.</w:t>
      </w:r>
    </w:p>
    <w:p w14:paraId="68D6481D">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The minimal percentage of neutral or low ratings further emphasizes that the stakeholders recognize Quantity Surveyors as strategic players in ensuring financial discipline, cost efficiency, and project sustainability within the agricultural processing sector.</w:t>
      </w:r>
    </w:p>
    <w:p w14:paraId="7F996144">
      <w:pPr>
        <w:pStyle w:val="31"/>
        <w:spacing w:line="360" w:lineRule="auto"/>
        <w:jc w:val="both"/>
        <w:rPr>
          <w:rFonts w:ascii="Times New Roman" w:hAnsi="Times New Roman" w:cs="Times New Roman"/>
          <w:b/>
          <w:bCs/>
          <w:sz w:val="24"/>
          <w:szCs w:val="24"/>
        </w:rPr>
      </w:pPr>
      <w:r>
        <w:rPr>
          <w:rFonts w:ascii="Times New Roman" w:hAnsi="Times New Roman" w:cs="Times New Roman"/>
          <w:sz w:val="24"/>
          <w:szCs w:val="24"/>
        </w:rPr>
        <w:t>These findings underscore the need to integrate Quantity Surveyors more deliberately into agro-project teams from the planning stage, to enhance economic outcomes and reduce project failure risks.</w:t>
      </w:r>
    </w:p>
    <w:p w14:paraId="3A355AA6">
      <w:pPr>
        <w:pStyle w:val="31"/>
        <w:spacing w:line="360" w:lineRule="auto"/>
        <w:jc w:val="both"/>
        <w:rPr>
          <w:rFonts w:ascii="Times New Roman" w:hAnsi="Times New Roman" w:cs="Times New Roman"/>
          <w:sz w:val="24"/>
          <w:szCs w:val="24"/>
        </w:rPr>
      </w:pPr>
    </w:p>
    <w:p w14:paraId="2BE37057">
      <w:pPr>
        <w:pStyle w:val="31"/>
      </w:pPr>
      <w:r>
        <w:drawing>
          <wp:inline distT="0" distB="0" distL="0" distR="0">
            <wp:extent cx="5943600" cy="2695575"/>
            <wp:effectExtent l="0" t="0" r="0" b="9525"/>
            <wp:docPr id="297928173" name="Picture 9" descr="Forms response chart. Question title: In your opinion, how important is the involvement of Quantity Surveyors in agro-processing project development.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28173" name="Picture 9" descr="Forms response chart. Question title: In your opinion, how important is the involvement of Quantity Surveyors in agro-processing project development. Number of responses: 87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695575"/>
                    </a:xfrm>
                    <a:prstGeom prst="rect">
                      <a:avLst/>
                    </a:prstGeom>
                    <a:noFill/>
                    <a:ln>
                      <a:noFill/>
                    </a:ln>
                  </pic:spPr>
                </pic:pic>
              </a:graphicData>
            </a:graphic>
          </wp:inline>
        </w:drawing>
      </w:r>
    </w:p>
    <w:p w14:paraId="4F5991DF">
      <w:r>
        <w:rPr>
          <w:lang w:val="en-GB"/>
        </w:rPr>
        <w:t xml:space="preserve">4.8: </w:t>
      </w:r>
      <w:r>
        <w:t>Perceived Importance of Quantity Surveyors in Agro-Processing Project Development</w:t>
      </w:r>
    </w:p>
    <w:p w14:paraId="3A3DF0CD"/>
    <w:p w14:paraId="754BCBAD">
      <w:pPr>
        <w:pStyle w:val="4"/>
      </w:pPr>
      <w:bookmarkStart w:id="107" w:name="_Toc203596230"/>
      <w:r>
        <w:t>4.4.4 Specific Roles of Quantity Surveyors in Agro-Processing Projects</w:t>
      </w:r>
      <w:bookmarkEnd w:id="107"/>
    </w:p>
    <w:p w14:paraId="77D19891">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were asked to identify the specific functions performed by Quantity Surveyors (QSs) in agro-processing projects. Multiple selections were allowed to reflect the diverse and overlapping responsibilities typically handled by QS professionals in project development.</w:t>
      </w:r>
    </w:p>
    <w:p w14:paraId="3ED6E218">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reveals that Preliminary Cost Estimation is the most recognized role, selected by 36 respondents (41.4%). This highlights the critical importance of QSs in establishing the initial financial framework upon which project feasibility is assessed and decisions are made.</w:t>
      </w:r>
    </w:p>
    <w:p w14:paraId="54AC9074">
      <w:pPr>
        <w:spacing w:line="360" w:lineRule="auto"/>
        <w:jc w:val="both"/>
        <w:rPr>
          <w:rFonts w:ascii="Times New Roman" w:hAnsi="Times New Roman" w:cs="Times New Roman"/>
          <w:sz w:val="24"/>
          <w:szCs w:val="24"/>
        </w:rPr>
      </w:pPr>
      <w:r>
        <w:rPr>
          <w:rFonts w:ascii="Times New Roman" w:hAnsi="Times New Roman" w:cs="Times New Roman"/>
          <w:sz w:val="24"/>
          <w:szCs w:val="24"/>
        </w:rPr>
        <w:t>Closely following this, Budget Planning and Cash Flow Forecasting was chosen by 34 respondents (39.1%), demonstrating the QS’s pivotal role in financial monitoring and ensuring cost control throughout project execution.</w:t>
      </w:r>
    </w:p>
    <w:p w14:paraId="7B2E94E5">
      <w:pPr>
        <w:spacing w:line="360" w:lineRule="auto"/>
        <w:jc w:val="both"/>
        <w:rPr>
          <w:rFonts w:ascii="Times New Roman" w:hAnsi="Times New Roman" w:cs="Times New Roman"/>
          <w:sz w:val="24"/>
          <w:szCs w:val="24"/>
        </w:rPr>
      </w:pPr>
      <w:r>
        <w:rPr>
          <w:rFonts w:ascii="Times New Roman" w:hAnsi="Times New Roman" w:cs="Times New Roman"/>
          <w:sz w:val="24"/>
          <w:szCs w:val="24"/>
        </w:rPr>
        <w:t>Life-Cycle Cost Analysis was identified by 29 respondents (33.3%), indicating growing awareness of the long-term financial implications of design and material choices, particularly relevant in agro-processing where operational efficiency is key.</w:t>
      </w:r>
    </w:p>
    <w:p w14:paraId="4512FE77">
      <w:pPr>
        <w:spacing w:line="360" w:lineRule="auto"/>
        <w:jc w:val="both"/>
        <w:rPr>
          <w:rFonts w:ascii="Times New Roman" w:hAnsi="Times New Roman" w:cs="Times New Roman"/>
          <w:sz w:val="24"/>
          <w:szCs w:val="24"/>
        </w:rPr>
      </w:pPr>
      <w:r>
        <w:rPr>
          <w:rFonts w:ascii="Times New Roman" w:hAnsi="Times New Roman" w:cs="Times New Roman"/>
          <w:sz w:val="24"/>
          <w:szCs w:val="24"/>
        </w:rPr>
        <w:t>Risk and Contingency Analysis was acknowledged by 16 respondents (18.4%), reflecting the QS’s role in preparing for financial uncertainties and helping stakeholders make informed decisions under varying economic and project risks.</w:t>
      </w:r>
    </w:p>
    <w:p w14:paraId="04B8FD04">
      <w:pPr>
        <w:spacing w:line="360" w:lineRule="auto"/>
        <w:jc w:val="both"/>
        <w:rPr>
          <w:rFonts w:ascii="Times New Roman" w:hAnsi="Times New Roman" w:cs="Times New Roman"/>
          <w:sz w:val="24"/>
          <w:szCs w:val="24"/>
        </w:rPr>
      </w:pPr>
      <w:r>
        <w:rPr>
          <w:rFonts w:ascii="Times New Roman" w:hAnsi="Times New Roman" w:cs="Times New Roman"/>
          <w:sz w:val="24"/>
          <w:szCs w:val="24"/>
        </w:rPr>
        <w:t>Cost-Benefit and Return on Investment (ROI) Evaluation was selected by 8 respondents (9.2%), while Value Engineering, a strategic cost optimization technique, was chosen by 4 respondents (4.6%). These relatively lower figures may suggest either limited exposure to these advanced financial tools or their underutilization in current agro-processing practice.</w:t>
      </w:r>
    </w:p>
    <w:p w14:paraId="47CF3781">
      <w:pPr>
        <w:spacing w:line="360" w:lineRule="auto"/>
        <w:jc w:val="both"/>
        <w:rPr>
          <w:rFonts w:ascii="Times New Roman" w:hAnsi="Times New Roman" w:cs="Times New Roman"/>
          <w:sz w:val="24"/>
          <w:szCs w:val="24"/>
        </w:rPr>
      </w:pPr>
      <w:r>
        <w:rPr>
          <w:rFonts w:ascii="Times New Roman" w:hAnsi="Times New Roman" w:cs="Times New Roman"/>
          <w:sz w:val="24"/>
          <w:szCs w:val="24"/>
        </w:rPr>
        <w:t>An additional 4 respondents selected "Others," specifying roles such as procurement advisory, contract administration, and cost auditing indicating that QS functions often extend beyond traditional estimating and budgeting tasks.</w:t>
      </w:r>
    </w:p>
    <w:p w14:paraId="73911A6A">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the responses demonstrate that Quantity Surveyors contribute significantly to agro-processing projects, particularly in early-stage cost planning and ongoing budgetary management. Their expertise enhances cost-effectiveness, ensures financial transparency, and supports strategic decision-making throughout the project lifecycle.</w:t>
      </w:r>
    </w:p>
    <w:p w14:paraId="20AF4A72">
      <w:pPr>
        <w:spacing w:line="360" w:lineRule="auto"/>
        <w:jc w:val="both"/>
        <w:rPr>
          <w:rFonts w:ascii="Times New Roman" w:hAnsi="Times New Roman" w:cs="Times New Roman"/>
          <w:sz w:val="24"/>
          <w:szCs w:val="24"/>
        </w:rPr>
      </w:pPr>
      <w:r>
        <w:drawing>
          <wp:inline distT="0" distB="0" distL="0" distR="0">
            <wp:extent cx="5943600" cy="2825750"/>
            <wp:effectExtent l="0" t="0" r="0" b="0"/>
            <wp:docPr id="1995549380" name="Picture 10" descr="Forms response chart. Question title: What specific roles do Quantity Surveyors play in agro-processing projects? (Tick all that apply)&#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49380" name="Picture 10" descr="Forms response chart. Question title: What specific roles do Quantity Surveyors play in agro-processing projects? (Tick all that apply)&#10;. Number of responses: 87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3600" cy="2825750"/>
                    </a:xfrm>
                    <a:prstGeom prst="rect">
                      <a:avLst/>
                    </a:prstGeom>
                    <a:noFill/>
                    <a:ln>
                      <a:noFill/>
                    </a:ln>
                  </pic:spPr>
                </pic:pic>
              </a:graphicData>
            </a:graphic>
          </wp:inline>
        </w:drawing>
      </w:r>
    </w:p>
    <w:p w14:paraId="7FC7CDA7">
      <w:r>
        <w:t>Figure 4.9: Specific Roles of Quantity Surveyors in Agro-Processing Projects</w:t>
      </w:r>
    </w:p>
    <w:p w14:paraId="2F29827E">
      <w:pPr>
        <w:spacing w:line="360" w:lineRule="auto"/>
        <w:jc w:val="both"/>
        <w:rPr>
          <w:rFonts w:ascii="Times New Roman" w:hAnsi="Times New Roman" w:cs="Times New Roman"/>
          <w:sz w:val="24"/>
          <w:szCs w:val="24"/>
        </w:rPr>
      </w:pPr>
    </w:p>
    <w:p w14:paraId="667FFB4E">
      <w:pPr>
        <w:pStyle w:val="4"/>
      </w:pPr>
      <w:bookmarkStart w:id="108" w:name="_Toc203596231"/>
      <w:r>
        <w:t>4.4.5 Experience with QS-Led Viability Assessments in Agro-Processing Projects</w:t>
      </w:r>
      <w:bookmarkEnd w:id="108"/>
    </w:p>
    <w:p w14:paraId="56D8CFE1">
      <w:pPr>
        <w:spacing w:line="360" w:lineRule="auto"/>
        <w:jc w:val="both"/>
        <w:rPr>
          <w:rFonts w:ascii="Times New Roman" w:hAnsi="Times New Roman" w:cs="Times New Roman"/>
          <w:sz w:val="24"/>
          <w:szCs w:val="24"/>
        </w:rPr>
      </w:pPr>
      <w:r>
        <w:rPr>
          <w:rFonts w:ascii="Times New Roman" w:hAnsi="Times New Roman" w:cs="Times New Roman"/>
          <w:sz w:val="24"/>
          <w:szCs w:val="24"/>
        </w:rPr>
        <w:t>To further assess the practical relevance of Quantity Surveyors in agro-processing ventures, respondents were asked if they had personally witnessed or participated in a viability assessment led by a Quantity Surveyor.</w:t>
      </w:r>
    </w:p>
    <w:p w14:paraId="56ABBDD5">
      <w:pPr>
        <w:spacing w:line="360" w:lineRule="auto"/>
        <w:jc w:val="both"/>
        <w:rPr>
          <w:rFonts w:ascii="Times New Roman" w:hAnsi="Times New Roman" w:cs="Times New Roman"/>
          <w:sz w:val="24"/>
          <w:szCs w:val="24"/>
        </w:rPr>
      </w:pPr>
      <w:r>
        <w:rPr>
          <w:rFonts w:ascii="Times New Roman" w:hAnsi="Times New Roman" w:cs="Times New Roman"/>
          <w:sz w:val="24"/>
          <w:szCs w:val="24"/>
        </w:rPr>
        <w:t>Out of 87 respondents, 59 (67.8%) answered Yes, indicating that they had either observed or directly participated in a QS-led economic viability assessment. The remaining 28 respondents (32.2%) had not had such an experience.</w:t>
      </w:r>
    </w:p>
    <w:p w14:paraId="159E7F14">
      <w:pPr>
        <w:spacing w:line="360" w:lineRule="auto"/>
        <w:jc w:val="both"/>
        <w:rPr>
          <w:rFonts w:ascii="Times New Roman" w:hAnsi="Times New Roman" w:cs="Times New Roman"/>
          <w:sz w:val="24"/>
          <w:szCs w:val="24"/>
        </w:rPr>
      </w:pPr>
      <w:r>
        <w:rPr>
          <w:rFonts w:ascii="Times New Roman" w:hAnsi="Times New Roman" w:cs="Times New Roman"/>
          <w:sz w:val="24"/>
          <w:szCs w:val="24"/>
        </w:rPr>
        <w:t>Among those who responded affirmatively, qualitative comments regarding the outcomes of such assessments revealed several key themes:</w:t>
      </w:r>
    </w:p>
    <w:p w14:paraId="7C7DEEEA">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Many reported that the assessments helped identify cost-saving opportunities, allowing investors to adjust designs or processing techniques to reduce capital and operating expenses.</w:t>
      </w:r>
    </w:p>
    <w:p w14:paraId="0643803F">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Some noted that the QS-led viability studies resulted in the rejection of financially unfeasible projects, thus preventing costly investment errors.</w:t>
      </w:r>
    </w:p>
    <w:p w14:paraId="669BA077">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Others highlighted that the involvement of Quantity Surveyors brought clarity to cash flow projections, break-even analysis, and investment risk evaluation, which in turn supported informed decision-making.</w:t>
      </w:r>
    </w:p>
    <w:p w14:paraId="7B67DC2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A few respondents emphasized the professionalism and accuracy QSs contributed to feasibility reports, which increased investor confidence and improved access to financing.</w:t>
      </w:r>
    </w:p>
    <w:p w14:paraId="5A76C094">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the findings reinforce the strategic importance of Quantity Surveyors in leading or supporting viability assessments for agro-processing plants. Their involvement not only enhances the financial robustness of such projects but also contributes to the long-term sustainability and success of investments in the agricultural value chain.</w:t>
      </w:r>
    </w:p>
    <w:p w14:paraId="18C6CEF3">
      <w:pPr>
        <w:spacing w:line="360" w:lineRule="auto"/>
        <w:jc w:val="both"/>
        <w:rPr>
          <w:rFonts w:ascii="Times New Roman" w:hAnsi="Times New Roman" w:cs="Times New Roman"/>
          <w:sz w:val="24"/>
          <w:szCs w:val="24"/>
        </w:rPr>
      </w:pPr>
      <w:r>
        <w:drawing>
          <wp:inline distT="0" distB="0" distL="0" distR="0">
            <wp:extent cx="5943600" cy="2695575"/>
            <wp:effectExtent l="0" t="0" r="0" b="9525"/>
            <wp:docPr id="1986370398" name="Picture 11" descr="Forms response chart. Question title: Have you personally witnessed or participated in a QS-led viability assessment for an agro-processing plant?&#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0398" name="Picture 11" descr="Forms response chart. Question title: Have you personally witnessed or participated in a QS-led viability assessment for an agro-processing plant?&#10;. Number of responses: 87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2695575"/>
                    </a:xfrm>
                    <a:prstGeom prst="rect">
                      <a:avLst/>
                    </a:prstGeom>
                    <a:noFill/>
                    <a:ln>
                      <a:noFill/>
                    </a:ln>
                  </pic:spPr>
                </pic:pic>
              </a:graphicData>
            </a:graphic>
          </wp:inline>
        </w:drawing>
      </w:r>
    </w:p>
    <w:p w14:paraId="1DFE0A4F">
      <w:pPr>
        <w:spacing w:line="360" w:lineRule="auto"/>
        <w:jc w:val="both"/>
        <w:rPr>
          <w:rFonts w:ascii="Times New Roman" w:hAnsi="Times New Roman" w:cs="Times New Roman"/>
          <w:bCs/>
        </w:rPr>
      </w:pPr>
      <w:r>
        <w:rPr>
          <w:rFonts w:ascii="Times New Roman" w:hAnsi="Times New Roman" w:cs="Times New Roman"/>
          <w:sz w:val="24"/>
          <w:szCs w:val="24"/>
        </w:rPr>
        <w:t xml:space="preserve">Figure 4.10: </w:t>
      </w:r>
      <w:r>
        <w:rPr>
          <w:bCs/>
        </w:rPr>
        <w:t>Experience with QS-Led Viability Assessments in Agro-Processing Projects</w:t>
      </w:r>
    </w:p>
    <w:p w14:paraId="35DE3DDC"/>
    <w:p w14:paraId="53C726E0">
      <w:pPr>
        <w:pStyle w:val="4"/>
      </w:pPr>
    </w:p>
    <w:p w14:paraId="05FCD324">
      <w:pPr>
        <w:pStyle w:val="4"/>
      </w:pPr>
    </w:p>
    <w:p w14:paraId="68AA3AF6">
      <w:pPr>
        <w:pStyle w:val="4"/>
      </w:pPr>
    </w:p>
    <w:p w14:paraId="29F7ED80">
      <w:pPr>
        <w:pStyle w:val="4"/>
      </w:pPr>
      <w:bookmarkStart w:id="109" w:name="_Toc203596232"/>
      <w:r>
        <w:t>4.4.6 Cost Estimation Techniques Commonly Used by Quantity Surveyors in Agro-Processing Projects</w:t>
      </w:r>
      <w:bookmarkEnd w:id="109"/>
    </w:p>
    <w:p w14:paraId="275F136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Respondents were asked to identify the cost estimation techniques most frequently used by Quantity Surveyors in agro-processing projects. The objective was to understand the preferred approaches for generating reliable cost forecasts in the agricultural industrial context.</w:t>
      </w:r>
    </w:p>
    <w:p w14:paraId="05783056">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indicate that Elemental Cost Planning is the most widely adopted method, selected by 43 respondents (49.4%). This approach involves breaking down the project into functional elements and assigning cost estimates accordingly, making it especially suitable for early-stage planning and feasibility analysis.</w:t>
      </w:r>
    </w:p>
    <w:p w14:paraId="6EE3058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Bill of Quantities (BoQ)-Based Estimates followed closely, with 27 respondents (31.0%) selecting it. BoQ-based estimating remains a standard method in construction projects due to its detailed and structured nature, allowing for accurate pricing based on measured quantities and specifications.</w:t>
      </w:r>
    </w:p>
    <w:p w14:paraId="165794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Unit Rate Pricing was identified by 22 respondents (25.3%), reflecting the continued use of this method, particularly during tendering or where detailed design information is available. It allows QSs to apply known market rates to quantities of work, ensuring transparency and competitive pricing.</w:t>
      </w:r>
    </w:p>
    <w:p w14:paraId="38EC0D3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Parametric Estimating, chosen by 17 respondents (19.5%), involves using statistical relationships between project parameters and historical data to estimate costs. Its adoption suggests that some professionals are leveraging data-driven approaches, particularly in the early design phase of agro-processing projects.</w:t>
      </w:r>
    </w:p>
    <w:p w14:paraId="52C4D9B1">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 Data Benchmarking, selected by only 6 respondents (6.9%), and other techniques (such as rule-of-thumb methods or proprietary software tools), mentioned by 2 respondents (2.3%), appear to be less commonly used, possibly due to limitations in local data availability or project-specific variability.</w:t>
      </w:r>
    </w:p>
    <w:p w14:paraId="64E030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Overall, the findings reveal that Quantity Surveyors rely heavily on structured and proven estimation techniques particularly elemental planning and BoQ-based methods—to ensure accuracy and reliability in cost forecasting for agro-processing projects. The moderate use of parametric and data-driven approaches also suggests a gradual shift toward innovation and modern estimation tools within the profession.</w:t>
      </w:r>
    </w:p>
    <w:p w14:paraId="07BCBF41">
      <w:pPr>
        <w:spacing w:line="360" w:lineRule="auto"/>
        <w:jc w:val="both"/>
        <w:rPr>
          <w:rFonts w:ascii="Times New Roman" w:hAnsi="Times New Roman" w:cs="Times New Roman"/>
          <w:sz w:val="24"/>
          <w:szCs w:val="24"/>
        </w:rPr>
      </w:pPr>
      <w:r>
        <w:drawing>
          <wp:inline distT="0" distB="0" distL="0" distR="0">
            <wp:extent cx="5943600" cy="3020695"/>
            <wp:effectExtent l="0" t="0" r="0" b="8255"/>
            <wp:docPr id="1633158344" name="Picture 12" descr="Forms response chart. Question title: Which cost estimation techniques are most commonly used by Quantity Surveyors in agro-processing projects? (Select all that apply)&#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58344" name="Picture 12" descr="Forms response chart. Question title: Which cost estimation techniques are most commonly used by Quantity Surveyors in agro-processing projects? (Select all that apply)&#10;. Number of responses: 87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020695"/>
                    </a:xfrm>
                    <a:prstGeom prst="rect">
                      <a:avLst/>
                    </a:prstGeom>
                    <a:noFill/>
                    <a:ln>
                      <a:noFill/>
                    </a:ln>
                  </pic:spPr>
                </pic:pic>
              </a:graphicData>
            </a:graphic>
          </wp:inline>
        </w:drawing>
      </w:r>
    </w:p>
    <w:p w14:paraId="6F01DC7A">
      <w:pPr>
        <w:spacing w:line="360" w:lineRule="auto"/>
        <w:jc w:val="both"/>
        <w:rPr>
          <w:rFonts w:ascii="Times New Roman" w:hAnsi="Times New Roman" w:cs="Times New Roman"/>
          <w:bCs/>
        </w:rPr>
      </w:pPr>
      <w:r>
        <w:rPr>
          <w:rFonts w:ascii="Times New Roman" w:hAnsi="Times New Roman" w:cs="Times New Roman"/>
          <w:sz w:val="24"/>
          <w:szCs w:val="24"/>
        </w:rPr>
        <w:t xml:space="preserve">Figure 4.11 </w:t>
      </w:r>
      <w:r>
        <w:rPr>
          <w:bCs/>
        </w:rPr>
        <w:t>Cost Estimation Techniques Commonly Used by Quantity Surveyors in Agro-Processing Projects</w:t>
      </w:r>
    </w:p>
    <w:p w14:paraId="43462E80"/>
    <w:p w14:paraId="7672C395">
      <w:pPr>
        <w:pStyle w:val="4"/>
      </w:pPr>
      <w:bookmarkStart w:id="110" w:name="_Toc203596233"/>
      <w:r>
        <w:t>4.4.7 Perceived Accuracy of Cost Estimation Techniques in Predicting Actual Project Costs</w:t>
      </w:r>
      <w:bookmarkEnd w:id="110"/>
    </w:p>
    <w:p w14:paraId="2BC618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 evaluate the effectiveness of the cost estimation methods employed by Quantity Surveyors in agro-processing projects, respondents were asked to rate how accurately these techniques predict actual project costs.</w:t>
      </w:r>
    </w:p>
    <w:p w14:paraId="699C2E87">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responses revealed varying levels of confidence in the accuracy of these techniques:</w:t>
      </w:r>
    </w:p>
    <w:p w14:paraId="27B1D97F">
      <w:pPr>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41 respondents (47.1%) rated the techniques as Fairly Accurate,</w:t>
      </w:r>
    </w:p>
    <w:p w14:paraId="6CF1988D">
      <w:pPr>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19 respondents (21.8%) considered them Very Accurate,</w:t>
      </w:r>
    </w:p>
    <w:p w14:paraId="0B765B01">
      <w:pPr>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14 respondents (16.1%) indicated they are Accurate,</w:t>
      </w:r>
    </w:p>
    <w:p w14:paraId="568DD98D">
      <w:pPr>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11 respondents (12.6%) believed the techniques are Inaccurate, and</w:t>
      </w:r>
    </w:p>
    <w:p w14:paraId="1ADFEC2A">
      <w:pPr>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2 respondents (2.3%) were Not Sure.</w:t>
      </w:r>
    </w:p>
    <w:p w14:paraId="1B73B6F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These results suggest that while a majority of respondents (approximately 85%) believe that the cost estimation techniques used by Quantity Surveyors are reasonably reliable—ranging from fairly accurate to very accurate there is still a notable portion that questions their precision.</w:t>
      </w:r>
    </w:p>
    <w:p w14:paraId="413FD66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dominance of the "Fairly Accurate" rating may point to practical limitations such as unforeseen site conditions, market price fluctuations, or design changes that often cause discrepancies between estimated and actual costs. Meanwhile, the relatively low number of "Inaccurate" responses indicates a general level of trust in the professional judgment and methods employed by Quantity Surveyors, although continuous improvement is still needed, especially in the use of data-driven tools and risk modeling.</w:t>
      </w:r>
    </w:p>
    <w:p w14:paraId="491247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Overall, this feedback emphasizes the need for enhanced data analytics, ongoing professional development, and refined methodologies to improve cost predictability in agro-processing projects.</w:t>
      </w:r>
    </w:p>
    <w:p w14:paraId="5D5F1722">
      <w:pPr>
        <w:spacing w:line="360" w:lineRule="auto"/>
        <w:jc w:val="both"/>
        <w:rPr>
          <w:rFonts w:ascii="Times New Roman" w:hAnsi="Times New Roman" w:cs="Times New Roman"/>
          <w:sz w:val="24"/>
          <w:szCs w:val="24"/>
        </w:rPr>
      </w:pPr>
      <w:r>
        <w:drawing>
          <wp:inline distT="0" distB="0" distL="0" distR="0">
            <wp:extent cx="5943600" cy="2825750"/>
            <wp:effectExtent l="0" t="0" r="0" b="0"/>
            <wp:docPr id="129214532" name="Picture 13" descr="Forms response chart. Question title: How would you rate the accuracy of these techniques in predicting actual project costs?.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4532" name="Picture 13" descr="Forms response chart. Question title: How would you rate the accuracy of these techniques in predicting actual project costs?. Number of responses: 87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2825750"/>
                    </a:xfrm>
                    <a:prstGeom prst="rect">
                      <a:avLst/>
                    </a:prstGeom>
                    <a:noFill/>
                    <a:ln>
                      <a:noFill/>
                    </a:ln>
                  </pic:spPr>
                </pic:pic>
              </a:graphicData>
            </a:graphic>
          </wp:inline>
        </w:drawing>
      </w:r>
    </w:p>
    <w:p w14:paraId="240755BC">
      <w:r>
        <w:t>Figure 4.12 Perceived Accuracy of Cost Estimation Techniques in Predicting Actual Project Costs</w:t>
      </w:r>
    </w:p>
    <w:p w14:paraId="4870D3BB">
      <w:pPr>
        <w:spacing w:line="360" w:lineRule="auto"/>
        <w:jc w:val="both"/>
        <w:rPr>
          <w:rFonts w:ascii="Times New Roman" w:hAnsi="Times New Roman" w:cs="Times New Roman"/>
          <w:sz w:val="24"/>
          <w:szCs w:val="24"/>
        </w:rPr>
      </w:pPr>
    </w:p>
    <w:p w14:paraId="2B777CE2">
      <w:pPr>
        <w:pStyle w:val="4"/>
      </w:pPr>
      <w:bookmarkStart w:id="111" w:name="_Toc203596234"/>
      <w:r>
        <w:t>4.4.8 Impact of Cost Estimation Errors on Agro-Processing Project Success</w:t>
      </w:r>
      <w:bookmarkEnd w:id="111"/>
    </w:p>
    <w:p w14:paraId="21FEBCA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Respondents were asked whether, in their experience, cost estimation errors have a significant impact on the success of agro-processing projects. The results were overwhelmingly conclusive:</w:t>
      </w:r>
    </w:p>
    <w:p w14:paraId="4498F2C4">
      <w:pPr>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90 respondents (≈91.8%) answered Yes,</w:t>
      </w:r>
    </w:p>
    <w:p w14:paraId="3AA632B4">
      <w:pPr>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8 respondents (≈8.2%) answered No,</w:t>
      </w:r>
    </w:p>
    <w:p w14:paraId="14F3F3A4">
      <w:pPr>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0 respondents were Not Sure.</w:t>
      </w:r>
    </w:p>
    <w:p w14:paraId="6DD6A2A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This strong majority clearly indicates that cost estimation errors are perceived as a critical risk factor in agro-processing project development. Respondents who answered “Yes” were also invited to provide brief explanations, and several common themes emerged:</w:t>
      </w:r>
    </w:p>
    <w:p w14:paraId="5E2AFD3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Budget overruns and funding shortfalls: Many respondents noted that inaccurate estimates often lead to cost overruns, which strain project financing and can result in delays, redesigns, or even project abandonment.</w:t>
      </w:r>
    </w:p>
    <w:p w14:paraId="32402BE0">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Investor distrust and withdrawal: Some participants mentioned that major deviations from initial cost projections erode investor confidence and may cause stakeholders to pull out or withhold funding.</w:t>
      </w:r>
    </w:p>
    <w:p w14:paraId="62DFF981">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Compromised project scope and quality: A number of responses emphasized that when costs exceed expectations, the project scope is often reduced, or lower-quality materials are used, affecting long-term functionality and sustainability.</w:t>
      </w:r>
    </w:p>
    <w:p w14:paraId="4573AE7E">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Delay in completion and increased risk exposure: Others pointed out that errors in cost estimates typically lead to extended timelines and higher exposure to market risks, such as inflation and exchange rate volatility.</w:t>
      </w:r>
    </w:p>
    <w:p w14:paraId="01F9EF7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summary, the responses reflect a shared professional experience: cost estimation errors pose a serious threat to the feasibility, financial integrity, and ultimate success of agro-processing projects. The findings reinforce the critical need for thorough, data-driven, and professionally led cost planning at the early stages of such developments.</w:t>
      </w:r>
    </w:p>
    <w:p w14:paraId="6C638974">
      <w:pPr>
        <w:spacing w:line="360" w:lineRule="auto"/>
        <w:jc w:val="both"/>
        <w:rPr>
          <w:rFonts w:ascii="Times New Roman" w:hAnsi="Times New Roman" w:cs="Times New Roman"/>
          <w:sz w:val="24"/>
          <w:szCs w:val="24"/>
        </w:rPr>
      </w:pPr>
    </w:p>
    <w:p w14:paraId="419D2B51">
      <w:pPr>
        <w:pStyle w:val="31"/>
      </w:pPr>
      <w:r>
        <w:drawing>
          <wp:inline distT="0" distB="0" distL="0" distR="0">
            <wp:extent cx="5344795" cy="2248535"/>
            <wp:effectExtent l="0" t="0" r="8255" b="0"/>
            <wp:docPr id="1952672393" name="Picture 15" descr="Forms response chart. Question title: In your experience, do cost estimation errors significantly impact agro-processing project success?&#10;.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72393" name="Picture 15" descr="Forms response chart. Question title: In your experience, do cost estimation errors significantly impact agro-processing project success?&#10;. Number of responses: 87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53790" cy="2252482"/>
                    </a:xfrm>
                    <a:prstGeom prst="rect">
                      <a:avLst/>
                    </a:prstGeom>
                    <a:noFill/>
                    <a:ln>
                      <a:noFill/>
                    </a:ln>
                  </pic:spPr>
                </pic:pic>
              </a:graphicData>
            </a:graphic>
          </wp:inline>
        </w:drawing>
      </w:r>
    </w:p>
    <w:p w14:paraId="45939CDD">
      <w:pPr>
        <w:spacing w:line="360" w:lineRule="auto"/>
        <w:jc w:val="both"/>
        <w:rPr>
          <w:rFonts w:ascii="Times New Roman" w:hAnsi="Times New Roman" w:cs="Times New Roman"/>
        </w:rPr>
      </w:pPr>
      <w:r>
        <w:t xml:space="preserve">Figure 4.13 </w:t>
      </w:r>
      <w:r>
        <w:rPr>
          <w:rFonts w:ascii="Times New Roman" w:hAnsi="Times New Roman" w:cs="Times New Roman"/>
        </w:rPr>
        <w:t>Impact of Cost Estimation Errors on Agro-Processing Project Success</w:t>
      </w:r>
    </w:p>
    <w:p w14:paraId="4AF5AD57">
      <w:pPr>
        <w:pStyle w:val="4"/>
      </w:pPr>
      <w:bookmarkStart w:id="112" w:name="_Toc203596235"/>
      <w:r>
        <w:rPr>
          <w:lang w:val="en-GB"/>
        </w:rPr>
        <w:t xml:space="preserve">4.4.9 </w:t>
      </w:r>
      <w:r>
        <w:t>Factors Limiting the Involvement of Quantity Surveyors in Agricultural Processing Plant Projects</w:t>
      </w:r>
      <w:bookmarkEnd w:id="112"/>
    </w:p>
    <w:p w14:paraId="4E07C1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Respondents were asked to identify the key factors that hinder the participation of Quantity Surveyors (QSs) in agricultural processing plant projects. Multiple responses were permitted to reflect the multidimensional nature of the barriers faced.</w:t>
      </w:r>
    </w:p>
    <w:p w14:paraId="1A92EA8E">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indicate that the most prevalent limiting factor is low awareness among investors and developers, selected by 41 respondents (47.1%). This suggests that many project sponsors are either unaware of the value that Quantity Surveyors can bring to agro-processing projects or do not traditionally consider QS input during planning and development phases. This lack of awareness contributes to underutilization of professional cost management services in a sector where financial sustainability is critical.</w:t>
      </w:r>
    </w:p>
    <w:p w14:paraId="113CF92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second most cited challenge is limited Quantity Surveyor knowledge of the agro sector, identified by 31 respondents (35.6%). This highlights a significant skill and knowledge gap that prevents QSs from confidently engaging in agricultural-based infrastructure or understanding the operational dynamics of processing facilities.</w:t>
      </w:r>
    </w:p>
    <w:p w14:paraId="6B2FA735">
      <w:pPr>
        <w:spacing w:line="360" w:lineRule="auto"/>
        <w:jc w:val="both"/>
        <w:rPr>
          <w:rFonts w:ascii="Times New Roman" w:hAnsi="Times New Roman" w:cs="Times New Roman"/>
          <w:sz w:val="24"/>
          <w:szCs w:val="24"/>
        </w:rPr>
      </w:pPr>
      <w:r>
        <w:rPr>
          <w:rFonts w:ascii="Times New Roman" w:hAnsi="Times New Roman" w:cs="Times New Roman"/>
          <w:sz w:val="24"/>
          <w:szCs w:val="24"/>
        </w:rPr>
        <w:t>Perception that QS services are expensive was selected by 18 respondents (20.7%), indicating that some stakeholders view Quantity Surveying as a cost rather than a value-adding investment especially in budget-sensitive projects.</w:t>
      </w:r>
    </w:p>
    <w:p w14:paraId="1E2E8C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Lack of institutional support or collaboration was mentioned by 19 respondents (21.8%), pointing to weak integration of QSs into multidisciplinary teams working in agro-industrial development. This may stem from limited engagement between construction professionals and agricultural development agencies.</w:t>
      </w:r>
    </w:p>
    <w:p w14:paraId="7AC26271">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or policy constraints were noted by only 5 respondents (5.7%), suggesting that although legal and policy issues exist, they are not perceived as the most pressing barrier to QS involvement.</w:t>
      </w:r>
    </w:p>
    <w:p w14:paraId="0E4779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An additional 10 respondents (11.5%) selected “Others”, with comments highlighting factors such as:</w:t>
      </w:r>
    </w:p>
    <w:p w14:paraId="670ACF92">
      <w:pPr>
        <w:numPr>
          <w:ilvl w:val="0"/>
          <w:numId w:val="1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Poor inclusion of QS roles in project funding frameworks</w:t>
      </w:r>
    </w:p>
    <w:p w14:paraId="24CA06FB">
      <w:pPr>
        <w:numPr>
          <w:ilvl w:val="0"/>
          <w:numId w:val="1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Resistance to change by traditional agro-entrepreneurs</w:t>
      </w:r>
    </w:p>
    <w:p w14:paraId="757A9715">
      <w:pPr>
        <w:numPr>
          <w:ilvl w:val="0"/>
          <w:numId w:val="1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Inadequate curriculum exposure in agricultural economics within QS training programs</w:t>
      </w:r>
    </w:p>
    <w:p w14:paraId="7B0300E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 summary, the findings reveal that the limited involvement of Quantity Surveyors in agro-processing projects is primarily due to low stakeholder awareness and professional knowledge gaps, rather than regulatory barriers. Addressing these issues through advocacy, cross-sector collaboration, and targeted training could significantly increase QS contributions to agricultural infrastructure and enhance project viability.</w:t>
      </w:r>
    </w:p>
    <w:p w14:paraId="3D469CEC">
      <w:pPr>
        <w:spacing w:line="360" w:lineRule="auto"/>
        <w:jc w:val="both"/>
      </w:pPr>
    </w:p>
    <w:p w14:paraId="58FEDF14">
      <w:pPr>
        <w:spacing w:line="360" w:lineRule="auto"/>
        <w:jc w:val="both"/>
        <w:rPr>
          <w:rFonts w:ascii="Times New Roman" w:hAnsi="Times New Roman" w:cs="Times New Roman"/>
          <w:sz w:val="24"/>
          <w:szCs w:val="24"/>
        </w:rPr>
      </w:pPr>
      <w:r>
        <w:drawing>
          <wp:inline distT="0" distB="0" distL="0" distR="0">
            <wp:extent cx="5943600" cy="3020695"/>
            <wp:effectExtent l="0" t="0" r="0" b="8255"/>
            <wp:docPr id="1187329194" name="Picture 16" descr="Forms response chart. Question title: What factors limit the involvement of Quantity Surveyors in agricultural processing plant projects? (Select all that apply). Number of responses: 8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29194" name="Picture 16" descr="Forms response chart. Question title: What factors limit the involvement of Quantity Surveyors in agricultural processing plant projects? (Select all that apply). Number of responses: 87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3020695"/>
                    </a:xfrm>
                    <a:prstGeom prst="rect">
                      <a:avLst/>
                    </a:prstGeom>
                    <a:noFill/>
                    <a:ln>
                      <a:noFill/>
                    </a:ln>
                  </pic:spPr>
                </pic:pic>
              </a:graphicData>
            </a:graphic>
          </wp:inline>
        </w:drawing>
      </w:r>
    </w:p>
    <w:p w14:paraId="44C0D7D5">
      <w:pPr>
        <w:rPr>
          <w:rFonts w:ascii="Times New Roman" w:hAnsi="Times New Roman" w:cs="Times New Roman"/>
          <w:sz w:val="24"/>
          <w:szCs w:val="24"/>
        </w:rPr>
      </w:pPr>
      <w:r>
        <w:rPr>
          <w:rFonts w:ascii="Times New Roman" w:hAnsi="Times New Roman" w:cs="Times New Roman"/>
          <w:sz w:val="24"/>
          <w:szCs w:val="24"/>
        </w:rPr>
        <w:t xml:space="preserve">Figure 4.14 </w:t>
      </w:r>
      <w:r>
        <w:t>Factors Limiting the Involvement of Quantity Surveyors in Agricultural Processing Plant Projects</w:t>
      </w:r>
    </w:p>
    <w:p w14:paraId="3524F0DA">
      <w:pPr>
        <w:rPr>
          <w:lang w:val="en-GB"/>
        </w:rPr>
      </w:pPr>
    </w:p>
    <w:p w14:paraId="6538B94E">
      <w:pPr>
        <w:pStyle w:val="3"/>
      </w:pPr>
      <w:bookmarkStart w:id="113" w:name="_Toc203596236"/>
      <w:r>
        <w:t>4.5 Discussion of Findings</w:t>
      </w:r>
      <w:bookmarkEnd w:id="113"/>
    </w:p>
    <w:p w14:paraId="4C29C492">
      <w:pPr>
        <w:rPr>
          <w:lang w:val="en-GB"/>
        </w:rPr>
      </w:pPr>
    </w:p>
    <w:p w14:paraId="7966E9B4">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of this study provide valuable insights into the role of Quantity Surveyors (QSs) in assessing the economic viability of agricultural processing plant projects. The responses obtained from 87 participants reveal critical trends regarding the level of QS involvement, their specific contributions, the accuracy of cost estimation techniques, financial challenges, and barriers limiting their engagement in the agro-processing sector.</w:t>
      </w:r>
    </w:p>
    <w:p w14:paraId="7C20A855">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Strong Perception of QS Importance in Agro-Processing Projects: The majority of respondents acknowledged the importance of Quantity Surveyors in agro-processing development, with 87.4% describing their role as either </w:t>
      </w:r>
      <w:r>
        <w:rPr>
          <w:rFonts w:ascii="Times New Roman" w:hAnsi="Times New Roman" w:cs="Times New Roman"/>
          <w:i/>
          <w:iCs/>
          <w:sz w:val="24"/>
          <w:szCs w:val="24"/>
        </w:rPr>
        <w:t>important</w:t>
      </w:r>
      <w:r>
        <w:rPr>
          <w:rFonts w:ascii="Times New Roman" w:hAnsi="Times New Roman" w:cs="Times New Roman"/>
          <w:sz w:val="24"/>
          <w:szCs w:val="24"/>
        </w:rPr>
        <w:t xml:space="preserve"> or </w:t>
      </w:r>
      <w:r>
        <w:rPr>
          <w:rFonts w:ascii="Times New Roman" w:hAnsi="Times New Roman" w:cs="Times New Roman"/>
          <w:i/>
          <w:iCs/>
          <w:sz w:val="24"/>
          <w:szCs w:val="24"/>
        </w:rPr>
        <w:t>very important</w:t>
      </w:r>
      <w:r>
        <w:rPr>
          <w:rFonts w:ascii="Times New Roman" w:hAnsi="Times New Roman" w:cs="Times New Roman"/>
          <w:sz w:val="24"/>
          <w:szCs w:val="24"/>
        </w:rPr>
        <w:t>. This supports the view that QSs are not only relevant to building construction but are also integral to the financial success of agricultural infrastructure through services such as feasibility analysis, budgeting, cost control, and financial forecasting.</w:t>
      </w:r>
    </w:p>
    <w:p w14:paraId="0BE6AE28">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Key Roles Played by Quantity Surveyors: Respondents highlighted that QSs contribute significantly to preliminary cost estimation, budget planning, and life-cycle cost analysis. These roles are essential in agro-processing projects where capital intensity and operational sustainability are major concerns. The relatively lower acknowledgment of roles like value engineering and return on investment (ROI) evaluation suggests a need for more awareness and training in advanced cost-management techniques within the agro-sector.</w:t>
      </w:r>
    </w:p>
    <w:p w14:paraId="2BB3EFF3">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Cost Estimation Accuracy and Techniques Used: While many respondents rated QS estimation techniques as either accurate or fairly accurate, only a small portion deemed them very accurate. The most widely used techniques elemental cost planning, BoQ-based estimating, and unit rate pricing reflect traditional approaches, but there is growing interest in parametric estimating and life-cycle cost analysis, particularly as digital tools and data availability improve. This suggests a gradual shift towards more analytical, data-informed methodologies.</w:t>
      </w:r>
    </w:p>
    <w:p w14:paraId="310918B1">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Financial Challenges in Agro-Processing Projects: The study revealed that high initial capital cost, difficulty in accessing finance, and fluctuating cost of materials are the most prominent financial challenges. These issues significantly affect project success, with over 90% of respondents affirming that cost estimation errors negatively impact outcomes. The implications are substantial: poor financial planning and inaccurate cost estimates can lead to project delays, abandonment, or reduced scope and quality.</w:t>
      </w:r>
    </w:p>
    <w:p w14:paraId="450508DB">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Limited QS Involvement – Underlying Causes: Despite the high perceived importance of QSs, their involvement in agro-processing projects is still limited. The dominant barriers identified include low awareness among investors and developers, and limited QS knowledge of the agricultural sector. Other contributing factors include the perception of high service costs and lack of institutional collaboration. These challenges underscore the need for advocacy, interdisciplinary training, and strategic engagement between the construction and agricultural development sectors.</w:t>
      </w:r>
    </w:p>
    <w:p w14:paraId="6D318921">
      <w:pPr>
        <w:pStyle w:val="34"/>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Practical Experience and Outcome of QS-Led Viability Assessments: A large proportion of respondents (67.8%) reported firsthand experience with QS-led viability assessments, and the outcomes were largely positive. These assessments were noted for helping identify cost-saving opportunities, refine project scope, and guide informed investment decisions. This validates the practical relevance of QS involvement and supports greater integration of their expertise in agro-based project planning.</w:t>
      </w:r>
    </w:p>
    <w:p w14:paraId="2066B372">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the study confirms that Quantity Surveyors have a vital role to play in the economic planning of agro-processing projects. However, their full potential is yet to be realized due to structural, knowledge-based, and perception-driven barriers. Bridging these gaps through professional development, stakeholder engagement, and policy support will be crucial to maximizing the contribution of Quantity Surveyors to agricultural industrialization and national food security goals.</w:t>
      </w:r>
    </w:p>
    <w:p w14:paraId="1EFEEB04">
      <w:pPr>
        <w:spacing w:line="360" w:lineRule="auto"/>
        <w:jc w:val="both"/>
        <w:rPr>
          <w:rFonts w:ascii="Times New Roman" w:hAnsi="Times New Roman" w:cs="Times New Roman"/>
          <w:sz w:val="24"/>
          <w:szCs w:val="24"/>
          <w:lang w:val="en-GB"/>
        </w:rPr>
      </w:pPr>
    </w:p>
    <w:bookmarkEnd w:id="93"/>
    <w:p w14:paraId="348AC0AF">
      <w:pPr>
        <w:spacing w:line="360" w:lineRule="auto"/>
        <w:jc w:val="both"/>
        <w:rPr>
          <w:rFonts w:ascii="Times New Roman" w:hAnsi="Times New Roman" w:cs="Times New Roman"/>
          <w:sz w:val="24"/>
          <w:szCs w:val="24"/>
        </w:rPr>
      </w:pPr>
    </w:p>
    <w:p w14:paraId="4A0ED74F">
      <w:pPr>
        <w:spacing w:line="360" w:lineRule="auto"/>
      </w:pPr>
    </w:p>
    <w:p w14:paraId="20D9812F">
      <w:pPr>
        <w:pStyle w:val="18"/>
        <w:spacing w:line="360" w:lineRule="auto"/>
      </w:pPr>
    </w:p>
    <w:p w14:paraId="148B533B">
      <w:pPr>
        <w:pStyle w:val="18"/>
        <w:spacing w:line="360" w:lineRule="auto"/>
      </w:pPr>
    </w:p>
    <w:p w14:paraId="0DE817CE">
      <w:pPr>
        <w:pStyle w:val="18"/>
        <w:spacing w:line="360" w:lineRule="auto"/>
      </w:pPr>
    </w:p>
    <w:p w14:paraId="5EEAA671">
      <w:pPr>
        <w:pStyle w:val="18"/>
        <w:spacing w:line="360" w:lineRule="auto"/>
      </w:pPr>
    </w:p>
    <w:p w14:paraId="7CFC8030">
      <w:pPr>
        <w:pStyle w:val="18"/>
        <w:spacing w:line="360" w:lineRule="auto"/>
      </w:pPr>
    </w:p>
    <w:p w14:paraId="7BE3C4F2">
      <w:pPr>
        <w:pStyle w:val="18"/>
        <w:spacing w:line="360" w:lineRule="auto"/>
      </w:pPr>
    </w:p>
    <w:p w14:paraId="73870070">
      <w:pPr>
        <w:pStyle w:val="18"/>
        <w:spacing w:line="360" w:lineRule="auto"/>
      </w:pPr>
    </w:p>
    <w:p w14:paraId="4053A8B7">
      <w:pPr>
        <w:pStyle w:val="18"/>
        <w:spacing w:line="360" w:lineRule="auto"/>
      </w:pPr>
    </w:p>
    <w:p w14:paraId="0D93AB75">
      <w:pPr>
        <w:pStyle w:val="18"/>
        <w:spacing w:line="360" w:lineRule="auto"/>
      </w:pPr>
    </w:p>
    <w:p w14:paraId="3875DA72">
      <w:pPr>
        <w:pStyle w:val="18"/>
        <w:spacing w:line="360" w:lineRule="auto"/>
      </w:pPr>
    </w:p>
    <w:p w14:paraId="63690698">
      <w:pPr>
        <w:pStyle w:val="18"/>
        <w:spacing w:line="360" w:lineRule="auto"/>
      </w:pPr>
    </w:p>
    <w:p w14:paraId="4FFF7A6C">
      <w:pPr>
        <w:rPr>
          <w:b/>
          <w:bCs/>
        </w:rPr>
      </w:pPr>
    </w:p>
    <w:p w14:paraId="36CB9760">
      <w:pPr>
        <w:rPr>
          <w:b/>
          <w:bCs/>
        </w:rPr>
      </w:pPr>
    </w:p>
    <w:p w14:paraId="2357D26E">
      <w:pPr>
        <w:pStyle w:val="2"/>
      </w:pPr>
      <w:bookmarkStart w:id="114" w:name="_Toc203596237"/>
      <w:r>
        <w:t>CHAPTER FIVE</w:t>
      </w:r>
      <w:bookmarkEnd w:id="114"/>
    </w:p>
    <w:p w14:paraId="7B308293">
      <w:pPr>
        <w:pStyle w:val="2"/>
      </w:pPr>
      <w:bookmarkStart w:id="115" w:name="_Toc203596238"/>
      <w:r>
        <w:t>CONCLUSION AND RECOMMENDATIONS</w:t>
      </w:r>
      <w:bookmarkEnd w:id="115"/>
    </w:p>
    <w:p w14:paraId="31A3B6F9">
      <w:pPr>
        <w:pStyle w:val="3"/>
      </w:pPr>
      <w:bookmarkStart w:id="116" w:name="_Toc203596240"/>
      <w:r>
        <w:t>5.2 Conclusion</w:t>
      </w:r>
      <w:bookmarkEnd w:id="116"/>
    </w:p>
    <w:p w14:paraId="70AF49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this research underscore the pivotal role that Quantity Surveyors can and should play in the economic planning and implementation of agricultural processing plants. As professionals equipped with cost management and risk analysis skills, QSs are well-positioned to contribute meaningfully to the sustainable development of Nigeria's agro-processing sector.</w:t>
      </w:r>
    </w:p>
    <w:p w14:paraId="0FAEDAB3">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concludes that integrating Quantity Surveyors early in the planning and execution of agro-processing projects significantly enhances cost efficiency, reduces project abandonment risks, and improves financial accountability. However, systemic barriers particularly the lack of sector-specific awareness and collaboration—must be addressed to fully harness the potential of QSs in this domain.</w:t>
      </w:r>
    </w:p>
    <w:p w14:paraId="4208B282">
      <w:pPr>
        <w:pStyle w:val="3"/>
      </w:pPr>
      <w:bookmarkStart w:id="117" w:name="_Toc203596241"/>
      <w:r>
        <w:t>5.2 Recommendations</w:t>
      </w:r>
      <w:bookmarkEnd w:id="117"/>
    </w:p>
    <w:p w14:paraId="62B508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study’s findings, the following recommendations are made:</w:t>
      </w:r>
    </w:p>
    <w:p w14:paraId="56228FE8">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Government agencies, professional bodies (such as NIQS), and industry stakeholders should create awareness programs to enlighten agricultural investors and developers on the value of engaging Quantity Surveyors in agro-project planning.</w:t>
      </w:r>
    </w:p>
    <w:p w14:paraId="06F78DE7">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Institutions should encourage partnerships between Quantity Surveyors, agricultural economists, engineers, and policy makers. This will facilitate a holistic approach to agro-processing project planning.</w:t>
      </w:r>
    </w:p>
    <w:p w14:paraId="620B897E">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 government should streamline regulatory processes and include QS roles within agricultural project funding guidelines to encourage their involvement from the inception stage.</w:t>
      </w:r>
    </w:p>
    <w:p w14:paraId="6FA697EA">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QS professionals should be offered continuous professional development in agro-economics, food logistics infrastructure, and rural investment planning to enable effective service delivery.</w:t>
      </w:r>
    </w:p>
    <w:p w14:paraId="651ED07C">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Stakeholders should promote the use of digital cost management tools such as Building Information Modelling (BIM) and cost forecasting software to improve the accuracy and transparency of financial planning in agricultural projects.</w:t>
      </w:r>
    </w:p>
    <w:p w14:paraId="6A311536">
      <w:pPr>
        <w:pStyle w:val="34"/>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 centralized database for agro-processing construction costs and benchmarks should be established to aid Quantity Surveyors in accurate feasibility studies and cost estimation.</w:t>
      </w:r>
    </w:p>
    <w:p w14:paraId="7807B598">
      <w:pPr>
        <w:pStyle w:val="3"/>
      </w:pPr>
      <w:bookmarkStart w:id="118" w:name="_Toc203596242"/>
      <w:r>
        <w:t>5.3 Suggestions for Further Studies</w:t>
      </w:r>
      <w:bookmarkEnd w:id="118"/>
    </w:p>
    <w:p w14:paraId="5ACE878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focused primarily on agricultural processing plants within select Nigerian regions. Further research is recommended in the following areas:</w:t>
      </w:r>
    </w:p>
    <w:p w14:paraId="55FF4EDA">
      <w:pPr>
        <w:spacing w:line="360" w:lineRule="auto"/>
        <w:jc w:val="both"/>
        <w:rPr>
          <w:rFonts w:ascii="Times New Roman" w:hAnsi="Times New Roman" w:cs="Times New Roman"/>
          <w:sz w:val="24"/>
          <w:szCs w:val="24"/>
        </w:rPr>
      </w:pPr>
      <w:r>
        <w:rPr>
          <w:rFonts w:ascii="Times New Roman" w:hAnsi="Times New Roman" w:cs="Times New Roman"/>
          <w:sz w:val="24"/>
          <w:szCs w:val="24"/>
        </w:rPr>
        <w:t>Comparative studies between projects involving QSs and those without to assess measurable impacts on cost and operational efficiency. Longitudinal studies to examine how early QS involvement affects project performance over a multi-year period.</w:t>
      </w:r>
    </w:p>
    <w:p w14:paraId="3E80ED2B">
      <w:pPr>
        <w:spacing w:line="360" w:lineRule="auto"/>
        <w:jc w:val="both"/>
        <w:rPr>
          <w:rFonts w:ascii="Times New Roman" w:hAnsi="Times New Roman" w:cs="Times New Roman"/>
          <w:sz w:val="24"/>
          <w:szCs w:val="24"/>
        </w:rPr>
      </w:pPr>
      <w:r>
        <w:rPr>
          <w:rFonts w:ascii="Times New Roman" w:hAnsi="Times New Roman" w:cs="Times New Roman"/>
          <w:sz w:val="24"/>
          <w:szCs w:val="24"/>
        </w:rPr>
        <w:t>Investigation into the role of digital transformation (e.g., AI, BIM, IoT) in enhancing QS contributions to agro-industrial development.</w:t>
      </w:r>
    </w:p>
    <w:p w14:paraId="267742A4">
      <w:pPr>
        <w:rPr>
          <w:b/>
          <w:bCs/>
        </w:rPr>
      </w:pPr>
    </w:p>
    <w:p w14:paraId="7ECB18E2">
      <w:pPr>
        <w:rPr>
          <w:b/>
          <w:bCs/>
        </w:rPr>
      </w:pPr>
    </w:p>
    <w:p w14:paraId="1A2B0DD5">
      <w:pPr>
        <w:rPr>
          <w:b/>
          <w:bCs/>
        </w:rPr>
      </w:pPr>
    </w:p>
    <w:p w14:paraId="2173DBC7">
      <w:pPr>
        <w:rPr>
          <w:b/>
          <w:bCs/>
        </w:rPr>
      </w:pPr>
    </w:p>
    <w:p w14:paraId="65FDD23E">
      <w:pPr>
        <w:rPr>
          <w:b/>
          <w:bCs/>
        </w:rPr>
      </w:pPr>
    </w:p>
    <w:p w14:paraId="5BF74636">
      <w:pPr>
        <w:rPr>
          <w:b/>
          <w:bCs/>
        </w:rPr>
      </w:pPr>
    </w:p>
    <w:p w14:paraId="7539C348">
      <w:pPr>
        <w:rPr>
          <w:b/>
          <w:bCs/>
        </w:rPr>
      </w:pPr>
    </w:p>
    <w:p w14:paraId="69F7F277">
      <w:pPr>
        <w:rPr>
          <w:b/>
          <w:bCs/>
        </w:rPr>
      </w:pPr>
    </w:p>
    <w:p w14:paraId="6C51E144">
      <w:pPr>
        <w:rPr>
          <w:b/>
          <w:bCs/>
        </w:rPr>
      </w:pPr>
    </w:p>
    <w:p w14:paraId="0EADB7D8">
      <w:pPr>
        <w:rPr>
          <w:b/>
          <w:bCs/>
        </w:rPr>
      </w:pPr>
    </w:p>
    <w:p w14:paraId="1F69E31C">
      <w:pPr>
        <w:rPr>
          <w:b/>
          <w:bCs/>
        </w:rPr>
      </w:pPr>
    </w:p>
    <w:p w14:paraId="0CD8C77B">
      <w:pPr>
        <w:rPr>
          <w:b/>
          <w:bCs/>
        </w:rPr>
      </w:pPr>
    </w:p>
    <w:p w14:paraId="58AB2754">
      <w:pPr>
        <w:rPr>
          <w:b/>
          <w:bCs/>
        </w:rPr>
      </w:pPr>
    </w:p>
    <w:p w14:paraId="29D927C3">
      <w:pPr>
        <w:rPr>
          <w:b/>
          <w:bCs/>
        </w:rPr>
      </w:pPr>
    </w:p>
    <w:p w14:paraId="0FCDE17F">
      <w:pPr>
        <w:rPr>
          <w:b/>
          <w:bCs/>
        </w:rPr>
      </w:pPr>
    </w:p>
    <w:p w14:paraId="558B6555">
      <w:pPr>
        <w:rPr>
          <w:b/>
          <w:bCs/>
        </w:rPr>
      </w:pPr>
    </w:p>
    <w:p w14:paraId="177D54A0">
      <w:pPr>
        <w:rPr>
          <w:b/>
          <w:bCs/>
        </w:rPr>
      </w:pPr>
    </w:p>
    <w:p w14:paraId="03087AD8">
      <w:pPr>
        <w:rPr>
          <w:b/>
          <w:bCs/>
        </w:rPr>
      </w:pPr>
    </w:p>
    <w:p w14:paraId="5B33EAF4">
      <w:pPr>
        <w:rPr>
          <w:b/>
          <w:bCs/>
        </w:rPr>
      </w:pPr>
    </w:p>
    <w:p w14:paraId="54A38236">
      <w:pPr>
        <w:rPr>
          <w:b/>
          <w:bCs/>
        </w:rPr>
      </w:pPr>
    </w:p>
    <w:p w14:paraId="180DA84D">
      <w:pPr>
        <w:rPr>
          <w:b/>
          <w:bCs/>
        </w:rPr>
      </w:pPr>
    </w:p>
    <w:p w14:paraId="5357D1A6">
      <w:pPr>
        <w:rPr>
          <w:b/>
          <w:bCs/>
        </w:rPr>
      </w:pPr>
    </w:p>
    <w:p w14:paraId="022C89AB">
      <w:pPr>
        <w:rPr>
          <w:b/>
          <w:bCs/>
        </w:rPr>
      </w:pPr>
    </w:p>
    <w:p w14:paraId="3129D0F2">
      <w:pPr>
        <w:rPr>
          <w:b/>
          <w:bCs/>
        </w:rPr>
      </w:pPr>
    </w:p>
    <w:p w14:paraId="0090A7F4">
      <w:pPr>
        <w:rPr>
          <w:b/>
          <w:bCs/>
        </w:rPr>
      </w:pPr>
    </w:p>
    <w:p w14:paraId="4785258B">
      <w:pPr>
        <w:rPr>
          <w:b/>
          <w:bCs/>
        </w:rPr>
      </w:pPr>
    </w:p>
    <w:p w14:paraId="2D882B7B">
      <w:pPr>
        <w:rPr>
          <w:b/>
          <w:bCs/>
        </w:rPr>
      </w:pPr>
    </w:p>
    <w:p w14:paraId="7EF21804">
      <w:pPr>
        <w:rPr>
          <w:b/>
          <w:bCs/>
        </w:rPr>
      </w:pPr>
    </w:p>
    <w:p w14:paraId="690D98D7">
      <w:pPr>
        <w:rPr>
          <w:b/>
          <w:bCs/>
        </w:rPr>
      </w:pPr>
    </w:p>
    <w:p w14:paraId="1C4B8D4B">
      <w:pPr>
        <w:rPr>
          <w:b/>
          <w:bCs/>
        </w:rPr>
      </w:pPr>
    </w:p>
    <w:p w14:paraId="56E5AAD6">
      <w:pPr>
        <w:rPr>
          <w:b/>
          <w:bCs/>
        </w:rPr>
      </w:pPr>
    </w:p>
    <w:p w14:paraId="3625B6C8">
      <w:pPr>
        <w:rPr>
          <w:b/>
          <w:bCs/>
        </w:rPr>
      </w:pPr>
    </w:p>
    <w:p w14:paraId="107FA001">
      <w:pPr>
        <w:pStyle w:val="2"/>
      </w:pPr>
      <w:bookmarkStart w:id="119" w:name="_Toc203596243"/>
      <w:r>
        <w:t>References</w:t>
      </w:r>
      <w:bookmarkEnd w:id="119"/>
    </w:p>
    <w:p w14:paraId="2F97C98A">
      <w:pPr>
        <w:pStyle w:val="18"/>
        <w:spacing w:line="360" w:lineRule="auto"/>
        <w:jc w:val="both"/>
      </w:pPr>
      <w:r>
        <w:rPr>
          <w:rStyle w:val="57"/>
          <w:rFonts w:eastAsiaTheme="majorEastAsia"/>
        </w:rPr>
        <w:t xml:space="preserve">Abiodun et al. (2023) identify </w:t>
      </w:r>
      <w:r>
        <w:rPr>
          <w:rStyle w:val="19"/>
          <w:rFonts w:eastAsiaTheme="majorEastAsia"/>
          <w:b w:val="0"/>
          <w:bCs w:val="0"/>
        </w:rPr>
        <w:t>equipment costs, finance access, market constraints</w:t>
      </w:r>
      <w:r>
        <w:rPr>
          <w:rStyle w:val="57"/>
          <w:rFonts w:eastAsiaTheme="majorEastAsia"/>
        </w:rPr>
        <w:t xml:space="preserve"> in cassava processing</w:t>
      </w:r>
      <w:r>
        <w:t xml:space="preserve"> </w:t>
      </w:r>
      <w:r>
        <w:fldChar w:fldCharType="begin"/>
      </w:r>
      <w:r>
        <w:instrText xml:space="preserve"> HYPERLINK "https://systems.enpress-publisher.com/index.php/FSJ/article/view/2524?utm_source=chatgpt.com" \t "_blank" </w:instrText>
      </w:r>
      <w:r>
        <w:fldChar w:fldCharType="separate"/>
      </w:r>
      <w:r>
        <w:rPr>
          <w:rStyle w:val="58"/>
          <w:rFonts w:eastAsiaTheme="majorEastAsia"/>
          <w:color w:val="0000FF"/>
          <w:u w:val="single"/>
        </w:rPr>
        <w:t>systems.enpress-publisher.com</w:t>
      </w:r>
      <w:r>
        <w:rPr>
          <w:rStyle w:val="58"/>
          <w:rFonts w:eastAsiaTheme="majorEastAsia"/>
          <w:color w:val="0000FF"/>
          <w:u w:val="single"/>
        </w:rPr>
        <w:fldChar w:fldCharType="end"/>
      </w:r>
      <w:r>
        <w:t>.</w:t>
      </w:r>
    </w:p>
    <w:p w14:paraId="14680629">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Adebayo, R. A. (2021). Value Addition and Profitability in Agro-Processing Enterprises. </w:t>
      </w:r>
      <w:r>
        <w:rPr>
          <w:rFonts w:ascii="Times New Roman" w:hAnsi="Times New Roman" w:cs="Times New Roman"/>
          <w:i/>
          <w:iCs/>
          <w:sz w:val="24"/>
          <w:szCs w:val="24"/>
        </w:rPr>
        <w:t>Nigerian Journal of Rural Economy and Society</w:t>
      </w:r>
      <w:r>
        <w:rPr>
          <w:rFonts w:ascii="Times New Roman" w:hAnsi="Times New Roman" w:cs="Times New Roman"/>
          <w:sz w:val="24"/>
          <w:szCs w:val="24"/>
        </w:rPr>
        <w:t>, 33(1), 52–64.</w:t>
      </w:r>
    </w:p>
    <w:p w14:paraId="44841EE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Adegbite, A., &amp; Okonkwo, J. (2020). Bridging the Knowledge Gap: Professional Development Needs of Quantity Surveyors in Emerging Sectors. </w:t>
      </w:r>
      <w:r>
        <w:rPr>
          <w:rFonts w:ascii="Times New Roman" w:hAnsi="Times New Roman" w:cs="Times New Roman"/>
          <w:i/>
          <w:iCs/>
          <w:sz w:val="24"/>
          <w:szCs w:val="24"/>
        </w:rPr>
        <w:t>Nigerian Construction and Infrastructure Review</w:t>
      </w:r>
      <w:r>
        <w:rPr>
          <w:rFonts w:ascii="Times New Roman" w:hAnsi="Times New Roman" w:cs="Times New Roman"/>
          <w:sz w:val="24"/>
          <w:szCs w:val="24"/>
        </w:rPr>
        <w:t>, 14(1), 33–45.</w:t>
      </w:r>
    </w:p>
    <w:p w14:paraId="419BBF0B">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Adekunle, T., &amp; Okonkwo, J. (2018). Economic Constraints in Nigeria's Agro-Processing Sector. </w:t>
      </w:r>
      <w:r>
        <w:rPr>
          <w:rFonts w:ascii="Times New Roman" w:hAnsi="Times New Roman" w:cs="Times New Roman"/>
          <w:i/>
          <w:iCs/>
          <w:sz w:val="24"/>
          <w:szCs w:val="24"/>
        </w:rPr>
        <w:t>African Journal of Agricultural Economics</w:t>
      </w:r>
      <w:r>
        <w:rPr>
          <w:rFonts w:ascii="Times New Roman" w:hAnsi="Times New Roman" w:cs="Times New Roman"/>
          <w:sz w:val="24"/>
          <w:szCs w:val="24"/>
        </w:rPr>
        <w:t>, 14(2), 88–101.</w:t>
      </w:r>
    </w:p>
    <w:p w14:paraId="77FDA55F">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Adeyemi, A., &amp; Bello, K. (2019). The Relevance of Quantity Surveyors in Cost Control and Budget Adherence. </w:t>
      </w:r>
      <w:r>
        <w:rPr>
          <w:rFonts w:ascii="Times New Roman" w:hAnsi="Times New Roman" w:cs="Times New Roman"/>
          <w:i/>
          <w:iCs/>
          <w:sz w:val="24"/>
          <w:szCs w:val="24"/>
        </w:rPr>
        <w:t>Nigerian Journal of Project Management</w:t>
      </w:r>
      <w:r>
        <w:rPr>
          <w:rFonts w:ascii="Times New Roman" w:hAnsi="Times New Roman" w:cs="Times New Roman"/>
          <w:sz w:val="24"/>
          <w:szCs w:val="24"/>
        </w:rPr>
        <w:t>, 21(3), 102–115.</w:t>
      </w:r>
    </w:p>
    <w:p w14:paraId="13BEE25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Akintoye, A., &amp; Fitzgerald, E. (2017). Risk Assessment and Management in Construction Projects: A Quantity Surveyor’s Perspective. </w:t>
      </w:r>
      <w:r>
        <w:rPr>
          <w:rFonts w:ascii="Times New Roman" w:hAnsi="Times New Roman" w:cs="Times New Roman"/>
          <w:i/>
          <w:iCs/>
          <w:sz w:val="24"/>
          <w:szCs w:val="24"/>
        </w:rPr>
        <w:t>Construction Management Review</w:t>
      </w:r>
      <w:r>
        <w:rPr>
          <w:rFonts w:ascii="Times New Roman" w:hAnsi="Times New Roman" w:cs="Times New Roman"/>
          <w:sz w:val="24"/>
          <w:szCs w:val="24"/>
        </w:rPr>
        <w:t>, 25(1), 59–72.</w:t>
      </w:r>
    </w:p>
    <w:p w14:paraId="0AFA92AC">
      <w:pPr>
        <w:pStyle w:val="18"/>
        <w:spacing w:line="360" w:lineRule="auto"/>
        <w:jc w:val="both"/>
      </w:pPr>
      <w:r>
        <w:t xml:space="preserve">Boardman, A. E., Greenberg, D. H., Vining, A. R., &amp; Weimer, D. L. (2018). </w:t>
      </w:r>
      <w:r>
        <w:rPr>
          <w:i/>
          <w:iCs/>
        </w:rPr>
        <w:t>Cost-Benefit Analysis: Concepts and Practice</w:t>
      </w:r>
      <w:r>
        <w:t xml:space="preserve"> (5th ed.). Cambridge University Press.</w:t>
      </w:r>
    </w:p>
    <w:p w14:paraId="4CB68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Brook, M. (2016). </w:t>
      </w:r>
      <w:r>
        <w:rPr>
          <w:rFonts w:ascii="Times New Roman" w:hAnsi="Times New Roman" w:cs="Times New Roman"/>
          <w:i/>
          <w:iCs/>
          <w:sz w:val="24"/>
          <w:szCs w:val="24"/>
        </w:rPr>
        <w:t>Estimating and Tendering for Construction Work</w:t>
      </w:r>
      <w:r>
        <w:rPr>
          <w:rFonts w:ascii="Times New Roman" w:hAnsi="Times New Roman" w:cs="Times New Roman"/>
          <w:sz w:val="24"/>
          <w:szCs w:val="24"/>
        </w:rPr>
        <w:t xml:space="preserve"> (5th ed.). Routledge.</w:t>
      </w:r>
    </w:p>
    <w:p w14:paraId="05D6A4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Ferry, D., Brandon, P., &amp; Ferry, J. (2010). </w:t>
      </w:r>
      <w:r>
        <w:rPr>
          <w:rFonts w:ascii="Times New Roman" w:hAnsi="Times New Roman" w:cs="Times New Roman"/>
          <w:i/>
          <w:iCs/>
          <w:sz w:val="24"/>
          <w:szCs w:val="24"/>
        </w:rPr>
        <w:t>Cost Planning of Buildings</w:t>
      </w:r>
      <w:r>
        <w:rPr>
          <w:rFonts w:ascii="Times New Roman" w:hAnsi="Times New Roman" w:cs="Times New Roman"/>
          <w:sz w:val="24"/>
          <w:szCs w:val="24"/>
        </w:rPr>
        <w:t xml:space="preserve"> (8th ed.). Wiley-Blackwell.</w:t>
      </w:r>
    </w:p>
    <w:p w14:paraId="1C0E4097">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Hassan, A. M., &amp; Ali, N. T. (2019). Cost Estimation Challenges in Agricultural Projects: The Role of Quantity Surveyors. </w:t>
      </w:r>
      <w:r>
        <w:rPr>
          <w:rFonts w:ascii="Times New Roman" w:hAnsi="Times New Roman" w:cs="Times New Roman"/>
          <w:i/>
          <w:iCs/>
          <w:sz w:val="24"/>
          <w:szCs w:val="24"/>
        </w:rPr>
        <w:t>Journal of Rural Infrastructure Development</w:t>
      </w:r>
      <w:r>
        <w:rPr>
          <w:rFonts w:ascii="Times New Roman" w:hAnsi="Times New Roman" w:cs="Times New Roman"/>
          <w:sz w:val="24"/>
          <w:szCs w:val="24"/>
        </w:rPr>
        <w:t>, 5(3), 89–102.</w:t>
      </w:r>
    </w:p>
    <w:p w14:paraId="2B03CEE6">
      <w:pPr>
        <w:pStyle w:val="18"/>
        <w:spacing w:line="360" w:lineRule="auto"/>
        <w:jc w:val="both"/>
      </w:pPr>
      <w:r>
        <w:rPr>
          <w:rStyle w:val="57"/>
          <w:rFonts w:eastAsiaTheme="majorEastAsia"/>
        </w:rPr>
        <w:t xml:space="preserve">IFPRI (2020) estimates </w:t>
      </w:r>
      <w:r>
        <w:rPr>
          <w:rStyle w:val="19"/>
          <w:rFonts w:eastAsiaTheme="majorEastAsia"/>
          <w:b w:val="0"/>
          <w:bCs w:val="0"/>
        </w:rPr>
        <w:t>&gt;50% post-harvest spoilage</w:t>
      </w:r>
      <w:r>
        <w:rPr>
          <w:rStyle w:val="57"/>
          <w:rFonts w:eastAsiaTheme="majorEastAsia"/>
        </w:rPr>
        <w:t xml:space="preserve"> in Nigeria, emphasizing storage infrastructure deficits</w:t>
      </w:r>
      <w:r>
        <w:t xml:space="preserve"> </w:t>
      </w:r>
      <w:r>
        <w:fldChar w:fldCharType="begin"/>
      </w:r>
      <w:r>
        <w:instrText xml:space="preserve"> HYPERLINK "https://www.thecable.ng/challenges-plaguing-the-nigerian-agro-foods-sector-and-solutions-to-the-food-shortage-crisis/?utm_source=chatgpt.com" \t "_blank" </w:instrText>
      </w:r>
      <w:r>
        <w:fldChar w:fldCharType="separate"/>
      </w:r>
      <w:r>
        <w:rPr>
          <w:rStyle w:val="58"/>
          <w:rFonts w:eastAsiaTheme="majorEastAsia"/>
          <w:color w:val="0000FF"/>
          <w:u w:val="single"/>
        </w:rPr>
        <w:t>thecable.ng</w:t>
      </w:r>
      <w:r>
        <w:rPr>
          <w:rStyle w:val="58"/>
          <w:rFonts w:eastAsiaTheme="majorEastAsia"/>
          <w:color w:val="0000FF"/>
          <w:u w:val="single"/>
        </w:rPr>
        <w:fldChar w:fldCharType="end"/>
      </w:r>
      <w:r>
        <w:t>.</w:t>
      </w:r>
    </w:p>
    <w:p w14:paraId="2FE1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Kumar, R., &amp; Singh, A. (2020). </w:t>
      </w:r>
      <w:r>
        <w:rPr>
          <w:rFonts w:ascii="Times New Roman" w:hAnsi="Times New Roman" w:cs="Times New Roman"/>
          <w:i/>
          <w:iCs/>
          <w:sz w:val="24"/>
          <w:szCs w:val="24"/>
        </w:rPr>
        <w:t>Application of Value Engineering in Construction Projects</w:t>
      </w:r>
      <w:r>
        <w:rPr>
          <w:rFonts w:ascii="Times New Roman" w:hAnsi="Times New Roman" w:cs="Times New Roman"/>
          <w:sz w:val="24"/>
          <w:szCs w:val="24"/>
        </w:rPr>
        <w:t>. Journal of Construction Management, 12(3), 45–53.</w:t>
      </w:r>
    </w:p>
    <w:p w14:paraId="16615A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SAVE International (2015). </w:t>
      </w:r>
      <w:r>
        <w:rPr>
          <w:rFonts w:ascii="Times New Roman" w:hAnsi="Times New Roman" w:cs="Times New Roman"/>
          <w:i/>
          <w:iCs/>
          <w:sz w:val="24"/>
          <w:szCs w:val="24"/>
        </w:rPr>
        <w:t>Value Methodology Standard</w:t>
      </w:r>
      <w:r>
        <w:rPr>
          <w:rFonts w:ascii="Times New Roman" w:hAnsi="Times New Roman" w:cs="Times New Roman"/>
          <w:sz w:val="24"/>
          <w:szCs w:val="24"/>
        </w:rPr>
        <w:t>. SAVE International.</w:t>
      </w:r>
    </w:p>
    <w:p w14:paraId="6EBACB8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Mwangi, P., &amp; Otieno, D. (2019). Causes of Failure in Agro-Processing Projects in Sub-Saharan Africa. </w:t>
      </w:r>
      <w:r>
        <w:rPr>
          <w:rFonts w:ascii="Times New Roman" w:hAnsi="Times New Roman" w:cs="Times New Roman"/>
          <w:i/>
          <w:iCs/>
          <w:sz w:val="24"/>
          <w:szCs w:val="24"/>
        </w:rPr>
        <w:t>Journal of Agribusiness and Rural Development</w:t>
      </w:r>
      <w:r>
        <w:rPr>
          <w:rFonts w:ascii="Times New Roman" w:hAnsi="Times New Roman" w:cs="Times New Roman"/>
          <w:sz w:val="24"/>
          <w:szCs w:val="24"/>
        </w:rPr>
        <w:t>, 45(3), 112–126.</w:t>
      </w:r>
    </w:p>
    <w:p w14:paraId="351C55E9">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Obi, K., &amp; Ndungu, C. (2020). Government Policy and Agro-Industrial Development in Africa. </w:t>
      </w:r>
      <w:r>
        <w:rPr>
          <w:rFonts w:ascii="Times New Roman" w:hAnsi="Times New Roman" w:cs="Times New Roman"/>
          <w:i/>
          <w:iCs/>
          <w:sz w:val="24"/>
          <w:szCs w:val="24"/>
        </w:rPr>
        <w:t>Development Studies Review</w:t>
      </w:r>
      <w:r>
        <w:rPr>
          <w:rFonts w:ascii="Times New Roman" w:hAnsi="Times New Roman" w:cs="Times New Roman"/>
          <w:sz w:val="24"/>
          <w:szCs w:val="24"/>
        </w:rPr>
        <w:t>, 19(4), 201–220.</w:t>
      </w:r>
    </w:p>
    <w:p w14:paraId="18DC96E4">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Olatunji, J. A., &amp; Bashorun, A. O. (2018). Feasibility Studies and Financial Planning: The Role of Quantity Surveyors. </w:t>
      </w:r>
      <w:r>
        <w:rPr>
          <w:rFonts w:ascii="Times New Roman" w:hAnsi="Times New Roman" w:cs="Times New Roman"/>
          <w:i/>
          <w:iCs/>
          <w:sz w:val="24"/>
          <w:szCs w:val="24"/>
        </w:rPr>
        <w:t>Journal of Construction and Development Studies</w:t>
      </w:r>
      <w:r>
        <w:rPr>
          <w:rFonts w:ascii="Times New Roman" w:hAnsi="Times New Roman" w:cs="Times New Roman"/>
          <w:sz w:val="24"/>
          <w:szCs w:val="24"/>
        </w:rPr>
        <w:t>, 9(2), 67–79.</w:t>
      </w:r>
    </w:p>
    <w:p w14:paraId="0ACF45D4">
      <w:pPr>
        <w:pStyle w:val="18"/>
        <w:spacing w:line="360" w:lineRule="auto"/>
        <w:jc w:val="both"/>
      </w:pPr>
      <w:r>
        <w:t xml:space="preserve">Onwualu, A. P. (2021). Contract Administration and Financial Planning in Agro-Industrial Projects. </w:t>
      </w:r>
      <w:r>
        <w:rPr>
          <w:i/>
          <w:iCs/>
        </w:rPr>
        <w:t>African Journal of Agribusiness and Engineering</w:t>
      </w:r>
      <w:r>
        <w:t>, 15(2), 129–140</w:t>
      </w:r>
    </w:p>
    <w:p w14:paraId="57CA5CEA">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Ochieng, F., &amp; Awiti, L. (2022). Regulatory Frameworks and the Integration of Professional Services in Agro-Infrastructure Development. </w:t>
      </w:r>
      <w:r>
        <w:rPr>
          <w:rFonts w:ascii="Times New Roman" w:hAnsi="Times New Roman" w:cs="Times New Roman"/>
          <w:i/>
          <w:iCs/>
          <w:sz w:val="24"/>
          <w:szCs w:val="24"/>
        </w:rPr>
        <w:t>East African Journal of Development Planning</w:t>
      </w:r>
      <w:r>
        <w:rPr>
          <w:rFonts w:ascii="Times New Roman" w:hAnsi="Times New Roman" w:cs="Times New Roman"/>
          <w:sz w:val="24"/>
          <w:szCs w:val="24"/>
        </w:rPr>
        <w:t>, 7(2), 134–149.</w:t>
      </w:r>
    </w:p>
    <w:p w14:paraId="0CEAFE90">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Olaleye, T. R., &amp; Ibrahim, S. A. (2021). Adoption of Digital Tools in Agricultural Infrastructure Management: Prospects for Quantity Surveying. </w:t>
      </w:r>
      <w:r>
        <w:rPr>
          <w:rFonts w:ascii="Times New Roman" w:hAnsi="Times New Roman" w:cs="Times New Roman"/>
          <w:i/>
          <w:iCs/>
          <w:sz w:val="24"/>
          <w:szCs w:val="24"/>
        </w:rPr>
        <w:t>African Journal of Construction Innovation</w:t>
      </w:r>
      <w:r>
        <w:rPr>
          <w:rFonts w:ascii="Times New Roman" w:hAnsi="Times New Roman" w:cs="Times New Roman"/>
          <w:sz w:val="24"/>
          <w:szCs w:val="24"/>
        </w:rPr>
        <w:t>, 6(2), 77–91.</w:t>
      </w:r>
    </w:p>
    <w:p w14:paraId="2E3494D5">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Patel, R., &amp; Desai, S. (2022). Lifecycle Cost Analysis in Agricultural Infrastructure Projects. </w:t>
      </w:r>
      <w:r>
        <w:rPr>
          <w:rFonts w:ascii="Times New Roman" w:hAnsi="Times New Roman" w:cs="Times New Roman"/>
          <w:i/>
          <w:iCs/>
          <w:sz w:val="24"/>
          <w:szCs w:val="24"/>
        </w:rPr>
        <w:t>International Journal of Agricultural Engineering and Management</w:t>
      </w:r>
      <w:r>
        <w:rPr>
          <w:rFonts w:ascii="Times New Roman" w:hAnsi="Times New Roman" w:cs="Times New Roman"/>
          <w:sz w:val="24"/>
          <w:szCs w:val="24"/>
        </w:rPr>
        <w:t>, 12(4), 211–225.</w:t>
      </w:r>
    </w:p>
    <w:p w14:paraId="0803A7B9">
      <w:pPr>
        <w:spacing w:after="160" w:line="360" w:lineRule="auto"/>
        <w:jc w:val="both"/>
        <w:rPr>
          <w:rFonts w:ascii="Times New Roman" w:hAnsi="Times New Roman" w:cs="Times New Roman"/>
          <w:sz w:val="24"/>
          <w:szCs w:val="24"/>
        </w:rPr>
      </w:pPr>
      <w:r>
        <w:rPr>
          <w:rStyle w:val="57"/>
          <w:rFonts w:ascii="Times New Roman" w:hAnsi="Times New Roman" w:cs="Times New Roman" w:eastAsiaTheme="majorEastAsia"/>
          <w:sz w:val="24"/>
          <w:szCs w:val="24"/>
        </w:rPr>
        <w:t xml:space="preserve">P3RSIST (2024) highlights </w:t>
      </w:r>
      <w:r>
        <w:rPr>
          <w:rStyle w:val="19"/>
          <w:rFonts w:ascii="Times New Roman" w:hAnsi="Times New Roman" w:cs="Times New Roman" w:eastAsiaTheme="majorEastAsia"/>
          <w:b w:val="0"/>
          <w:bCs w:val="0"/>
          <w:sz w:val="24"/>
          <w:szCs w:val="24"/>
        </w:rPr>
        <w:t>working capital shortfalls and currency/commodity risks</w:t>
      </w:r>
      <w:r>
        <w:rPr>
          <w:rStyle w:val="57"/>
          <w:rFonts w:ascii="Times New Roman" w:hAnsi="Times New Roman" w:cs="Times New Roman" w:eastAsiaTheme="majorEastAsia"/>
          <w:sz w:val="24"/>
          <w:szCs w:val="24"/>
        </w:rPr>
        <w:t xml:space="preserve"> in African agribusiness</w:t>
      </w:r>
      <w:r>
        <w:rPr>
          <w:rFonts w:ascii="Times New Roman" w:hAnsi="Times New Roman" w:cs="Times New Roman"/>
          <w:sz w:val="24"/>
          <w:szCs w:val="24"/>
        </w:rPr>
        <w:t xml:space="preserve"> </w:t>
      </w:r>
      <w:r>
        <w:fldChar w:fldCharType="begin"/>
      </w:r>
      <w:r>
        <w:instrText xml:space="preserve"> HYPERLINK "https://p3rsist.fr/agri-processing-challenges-in-africa-key-insights/?utm_source=chatgpt.com" \t "_blank" </w:instrText>
      </w:r>
      <w:r>
        <w:fldChar w:fldCharType="separate"/>
      </w:r>
      <w:r>
        <w:rPr>
          <w:rStyle w:val="58"/>
          <w:rFonts w:ascii="Times New Roman" w:hAnsi="Times New Roman" w:cs="Times New Roman" w:eastAsiaTheme="majorEastAsia"/>
          <w:color w:val="0000FF"/>
          <w:sz w:val="24"/>
          <w:szCs w:val="24"/>
          <w:u w:val="single"/>
        </w:rPr>
        <w:t>p3rsist.fr</w:t>
      </w:r>
      <w:r>
        <w:rPr>
          <w:rStyle w:val="58"/>
          <w:rFonts w:ascii="Times New Roman" w:hAnsi="Times New Roman" w:cs="Times New Roman" w:eastAsiaTheme="majorEastAsia"/>
          <w:color w:val="0000FF"/>
          <w:sz w:val="24"/>
          <w:szCs w:val="24"/>
          <w:u w:val="single"/>
        </w:rPr>
        <w:fldChar w:fldCharType="end"/>
      </w:r>
    </w:p>
    <w:p w14:paraId="40979F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Royal Institution of Chartered Surveyors (RICS) (2020). </w:t>
      </w:r>
      <w:r>
        <w:rPr>
          <w:rFonts w:ascii="Times New Roman" w:hAnsi="Times New Roman" w:cs="Times New Roman"/>
          <w:i/>
          <w:iCs/>
          <w:sz w:val="24"/>
          <w:szCs w:val="24"/>
        </w:rPr>
        <w:t>RICS Practice Standards – Cost Control and Financial Reporting</w:t>
      </w:r>
      <w:r>
        <w:rPr>
          <w:rFonts w:ascii="Times New Roman" w:hAnsi="Times New Roman" w:cs="Times New Roman"/>
          <w:sz w:val="24"/>
          <w:szCs w:val="24"/>
        </w:rPr>
        <w:t>.</w:t>
      </w:r>
    </w:p>
    <w:p w14:paraId="0B29FA1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Smith, J., &amp; Brown, L. (2020). </w:t>
      </w:r>
      <w:r>
        <w:rPr>
          <w:rFonts w:ascii="Times New Roman" w:hAnsi="Times New Roman" w:cs="Times New Roman"/>
          <w:i/>
          <w:iCs/>
          <w:sz w:val="24"/>
          <w:szCs w:val="24"/>
        </w:rPr>
        <w:t>Sustainable Agribusiness Management: Principles and Practice</w:t>
      </w:r>
      <w:r>
        <w:rPr>
          <w:rFonts w:ascii="Times New Roman" w:hAnsi="Times New Roman" w:cs="Times New Roman"/>
          <w:sz w:val="24"/>
          <w:szCs w:val="24"/>
        </w:rPr>
        <w:t>. Oxford University Press.</w:t>
      </w:r>
    </w:p>
    <w:p w14:paraId="5E22C89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Shehu, A. M. (2023). </w:t>
      </w:r>
      <w:r>
        <w:rPr>
          <w:rFonts w:ascii="Times New Roman" w:hAnsi="Times New Roman" w:cs="Times New Roman"/>
          <w:i/>
          <w:iCs/>
          <w:sz w:val="24"/>
          <w:szCs w:val="24"/>
        </w:rPr>
        <w:t>Emerging Roles of Quantity Surveyors in Non-Traditional Sectors</w:t>
      </w:r>
      <w:r>
        <w:rPr>
          <w:rFonts w:ascii="Times New Roman" w:hAnsi="Times New Roman" w:cs="Times New Roman"/>
          <w:sz w:val="24"/>
          <w:szCs w:val="24"/>
        </w:rPr>
        <w:t>. Journal of Construction Economics and Management, 17(1), 44–58.</w:t>
      </w:r>
    </w:p>
    <w:p w14:paraId="4EA8CA31">
      <w:pPr>
        <w:pStyle w:val="18"/>
        <w:spacing w:line="360" w:lineRule="auto"/>
        <w:jc w:val="both"/>
      </w:pPr>
      <w:r>
        <w:rPr>
          <w:rStyle w:val="57"/>
          <w:rFonts w:eastAsiaTheme="majorEastAsia"/>
        </w:rPr>
        <w:t xml:space="preserve">Wan &amp; Cui (2024) show how </w:t>
      </w:r>
      <w:r>
        <w:rPr>
          <w:rStyle w:val="19"/>
          <w:rFonts w:eastAsiaTheme="majorEastAsia"/>
          <w:b w:val="0"/>
          <w:bCs w:val="0"/>
        </w:rPr>
        <w:t>FinTech</w:t>
      </w:r>
      <w:r>
        <w:rPr>
          <w:rStyle w:val="57"/>
          <w:rFonts w:eastAsiaTheme="majorEastAsia"/>
        </w:rPr>
        <w:t xml:space="preserve"> AI, blockchain can mitigate financing challenges</w:t>
      </w:r>
      <w:r>
        <w:t xml:space="preserve"> </w:t>
      </w:r>
    </w:p>
    <w:p w14:paraId="612F1B2B">
      <w:pPr>
        <w:pStyle w:val="18"/>
        <w:spacing w:line="360" w:lineRule="auto"/>
        <w:jc w:val="both"/>
      </w:pPr>
      <w:r>
        <w:rPr>
          <w:rStyle w:val="57"/>
          <w:rFonts w:eastAsiaTheme="majorEastAsia"/>
        </w:rPr>
        <w:t xml:space="preserve">World Construction Today (2024) notes </w:t>
      </w:r>
      <w:r>
        <w:rPr>
          <w:rStyle w:val="19"/>
          <w:rFonts w:eastAsiaTheme="majorEastAsia"/>
          <w:b w:val="0"/>
          <w:bCs w:val="0"/>
        </w:rPr>
        <w:t>CAPEX magnitude</w:t>
      </w:r>
      <w:r>
        <w:rPr>
          <w:rStyle w:val="57"/>
          <w:rFonts w:eastAsiaTheme="majorEastAsia"/>
        </w:rPr>
        <w:t>, regulatory hurdles, and equipment lead times for food processing plants</w:t>
      </w:r>
      <w:r>
        <w:t xml:space="preserve"> </w:t>
      </w:r>
      <w:r>
        <w:fldChar w:fldCharType="begin"/>
      </w:r>
      <w:r>
        <w:instrText xml:space="preserve"> HYPERLINK "https://www.worldconstructiontoday.com/news/challenges-and-solutions-in-food-processing-facility-construction/?utm_source=chatgpt.com" \t "_blank" </w:instrText>
      </w:r>
      <w:r>
        <w:fldChar w:fldCharType="separate"/>
      </w:r>
      <w:r>
        <w:rPr>
          <w:rStyle w:val="58"/>
          <w:rFonts w:eastAsiaTheme="majorEastAsia"/>
          <w:color w:val="0000FF"/>
          <w:u w:val="single"/>
        </w:rPr>
        <w:t>worldconstructiontoday.com</w:t>
      </w:r>
      <w:r>
        <w:rPr>
          <w:rStyle w:val="58"/>
          <w:rFonts w:eastAsiaTheme="majorEastAsia"/>
          <w:color w:val="0000FF"/>
          <w:u w:val="single"/>
        </w:rPr>
        <w:fldChar w:fldCharType="end"/>
      </w:r>
      <w:r>
        <w:t>.</w:t>
      </w:r>
    </w:p>
    <w:p w14:paraId="0FD4677D">
      <w:pPr>
        <w:pStyle w:val="18"/>
        <w:spacing w:line="360" w:lineRule="auto"/>
        <w:jc w:val="both"/>
      </w:pPr>
      <w:r>
        <w:rPr>
          <w:rStyle w:val="57"/>
          <w:rFonts w:eastAsiaTheme="majorEastAsia"/>
        </w:rPr>
        <w:t xml:space="preserve">Vestanceng et al. (2024) highlight the huge </w:t>
      </w:r>
      <w:r>
        <w:rPr>
          <w:rStyle w:val="19"/>
          <w:rFonts w:eastAsiaTheme="majorEastAsia"/>
          <w:b w:val="0"/>
          <w:bCs w:val="0"/>
        </w:rPr>
        <w:t>financing gap</w:t>
      </w:r>
      <w:r>
        <w:rPr>
          <w:rStyle w:val="57"/>
          <w:rFonts w:eastAsiaTheme="majorEastAsia"/>
        </w:rPr>
        <w:t xml:space="preserve"> in Nigerian agribusiness due to risk aversion and high-cost borrowing</w:t>
      </w:r>
      <w:r>
        <w:t xml:space="preserve"> </w:t>
      </w:r>
      <w:r>
        <w:fldChar w:fldCharType="begin"/>
      </w:r>
      <w:r>
        <w:instrText xml:space="preserve"> HYPERLINK "https://vestanceng.com/blog/strategies-for-financing-your-agribusiness?utm_source=chatgpt.com" \t "_blank" </w:instrText>
      </w:r>
      <w:r>
        <w:fldChar w:fldCharType="separate"/>
      </w:r>
      <w:r>
        <w:rPr>
          <w:rStyle w:val="58"/>
          <w:rFonts w:eastAsiaTheme="majorEastAsia"/>
          <w:color w:val="0000FF"/>
          <w:u w:val="single"/>
        </w:rPr>
        <w:t>systems.enpress-publisher.com</w:t>
      </w:r>
      <w:r>
        <w:rPr>
          <w:rStyle w:val="59"/>
          <w:color w:val="0000FF"/>
          <w:u w:val="single"/>
        </w:rPr>
        <w:t>+5</w:t>
      </w:r>
      <w:r>
        <w:rPr>
          <w:rStyle w:val="58"/>
          <w:rFonts w:eastAsiaTheme="majorEastAsia"/>
          <w:color w:val="0000FF"/>
          <w:u w:val="single"/>
        </w:rPr>
        <w:t>vestanceng.com</w:t>
      </w:r>
      <w:r>
        <w:rPr>
          <w:rStyle w:val="59"/>
          <w:color w:val="0000FF"/>
          <w:u w:val="single"/>
        </w:rPr>
        <w:t>+5</w:t>
      </w:r>
      <w:r>
        <w:rPr>
          <w:rStyle w:val="58"/>
          <w:rFonts w:eastAsiaTheme="majorEastAsia"/>
          <w:color w:val="0000FF"/>
          <w:u w:val="single"/>
        </w:rPr>
        <w:t>changemakersconsultingltd.org</w:t>
      </w:r>
      <w:r>
        <w:rPr>
          <w:rStyle w:val="59"/>
          <w:color w:val="0000FF"/>
          <w:u w:val="single"/>
        </w:rPr>
        <w:t>+5</w:t>
      </w:r>
      <w:r>
        <w:rPr>
          <w:rStyle w:val="59"/>
          <w:color w:val="0000FF"/>
          <w:u w:val="single"/>
        </w:rPr>
        <w:fldChar w:fldCharType="end"/>
      </w:r>
      <w:r>
        <w:fldChar w:fldCharType="begin"/>
      </w:r>
      <w:r>
        <w:instrText xml:space="preserve"> HYPERLINK "https://professions.ng/agro-processing-careers/?utm_source=chatgpt.com" \t "_blank" </w:instrText>
      </w:r>
      <w:r>
        <w:fldChar w:fldCharType="separate"/>
      </w:r>
      <w:r>
        <w:rPr>
          <w:rStyle w:val="58"/>
          <w:rFonts w:eastAsiaTheme="majorEastAsia"/>
          <w:color w:val="0000FF"/>
          <w:u w:val="single"/>
        </w:rPr>
        <w:t>professions.ng</w:t>
      </w:r>
      <w:r>
        <w:rPr>
          <w:rStyle w:val="58"/>
          <w:rFonts w:eastAsiaTheme="majorEastAsia"/>
          <w:color w:val="0000FF"/>
          <w:u w:val="single"/>
        </w:rPr>
        <w:fldChar w:fldCharType="end"/>
      </w:r>
      <w:r>
        <w:fldChar w:fldCharType="begin"/>
      </w:r>
      <w:r>
        <w:instrText xml:space="preserve"> HYPERLINK "https://www.hiagpartnership.org/challenges-opportunities?utm_source=chatgpt.com" \t "_blank" </w:instrText>
      </w:r>
      <w:r>
        <w:fldChar w:fldCharType="separate"/>
      </w:r>
      <w:r>
        <w:rPr>
          <w:rStyle w:val="58"/>
          <w:rFonts w:eastAsiaTheme="majorEastAsia"/>
          <w:color w:val="0000FF"/>
          <w:u w:val="single"/>
        </w:rPr>
        <w:t>hiagpartnership.org</w:t>
      </w:r>
      <w:r>
        <w:rPr>
          <w:rStyle w:val="58"/>
          <w:rFonts w:eastAsiaTheme="majorEastAsia"/>
          <w:color w:val="0000FF"/>
          <w:u w:val="single"/>
        </w:rPr>
        <w:fldChar w:fldCharType="end"/>
      </w:r>
      <w:r>
        <w:fldChar w:fldCharType="begin"/>
      </w:r>
      <w:r>
        <w:instrText xml:space="preserve"> HYPERLINK "https://p3rsist.fr/agri-processing-challenges-in-africa-key-insights/?utm_source=chatgpt.com" \t "_blank" </w:instrText>
      </w:r>
      <w:r>
        <w:fldChar w:fldCharType="separate"/>
      </w:r>
      <w:r>
        <w:rPr>
          <w:rStyle w:val="58"/>
          <w:rFonts w:eastAsiaTheme="majorEastAsia"/>
          <w:color w:val="0000FF"/>
          <w:u w:val="single"/>
        </w:rPr>
        <w:t>p3rsist.fr</w:t>
      </w:r>
      <w:r>
        <w:rPr>
          <w:rStyle w:val="59"/>
          <w:color w:val="0000FF"/>
          <w:u w:val="single"/>
        </w:rPr>
        <w:t>+1</w:t>
      </w:r>
      <w:r>
        <w:rPr>
          <w:rStyle w:val="58"/>
          <w:rFonts w:eastAsiaTheme="majorEastAsia"/>
          <w:color w:val="0000FF"/>
          <w:u w:val="single"/>
        </w:rPr>
        <w:t>en.wikipedia.org</w:t>
      </w:r>
      <w:r>
        <w:rPr>
          <w:rStyle w:val="59"/>
          <w:color w:val="0000FF"/>
          <w:u w:val="single"/>
        </w:rPr>
        <w:t>+1</w:t>
      </w:r>
      <w:r>
        <w:rPr>
          <w:rStyle w:val="59"/>
          <w:color w:val="0000FF"/>
          <w:u w:val="single"/>
        </w:rPr>
        <w:fldChar w:fldCharType="end"/>
      </w:r>
      <w:r>
        <w:t>.</w:t>
      </w:r>
    </w:p>
    <w:p w14:paraId="7CCBD4D5">
      <w:pPr>
        <w:spacing w:line="360" w:lineRule="auto"/>
        <w:jc w:val="both"/>
        <w:rPr>
          <w:rFonts w:ascii="Times New Roman" w:hAnsi="Times New Roman" w:cs="Times New Roman"/>
          <w:sz w:val="24"/>
          <w:szCs w:val="24"/>
        </w:rPr>
      </w:pPr>
    </w:p>
    <w:p w14:paraId="534B72CA">
      <w:pPr>
        <w:pStyle w:val="18"/>
        <w:spacing w:line="360" w:lineRule="auto"/>
      </w:pPr>
    </w:p>
    <w:p w14:paraId="5B50A30D">
      <w:pPr>
        <w:pStyle w:val="18"/>
        <w:spacing w:line="360" w:lineRule="auto"/>
      </w:pPr>
    </w:p>
    <w:p w14:paraId="7DE3C9C5">
      <w:pPr>
        <w:pStyle w:val="18"/>
        <w:spacing w:line="360" w:lineRule="auto"/>
      </w:pPr>
    </w:p>
    <w:p w14:paraId="406DDDC9">
      <w:pPr>
        <w:pStyle w:val="18"/>
        <w:spacing w:line="360" w:lineRule="auto"/>
      </w:pPr>
    </w:p>
    <w:p w14:paraId="6CEEEA28">
      <w:pPr>
        <w:pStyle w:val="18"/>
        <w:spacing w:line="360" w:lineRule="auto"/>
      </w:pPr>
    </w:p>
    <w:p w14:paraId="40663D49">
      <w:pPr>
        <w:pStyle w:val="18"/>
        <w:spacing w:line="360" w:lineRule="auto"/>
      </w:pPr>
    </w:p>
    <w:p w14:paraId="0A6B7231">
      <w:pPr>
        <w:pStyle w:val="18"/>
        <w:spacing w:line="360" w:lineRule="auto"/>
      </w:pPr>
    </w:p>
    <w:p w14:paraId="793D6556">
      <w:pPr>
        <w:pStyle w:val="18"/>
        <w:spacing w:line="360" w:lineRule="auto"/>
      </w:pPr>
    </w:p>
    <w:p w14:paraId="2733F6D2">
      <w:pPr>
        <w:pStyle w:val="18"/>
        <w:spacing w:line="360" w:lineRule="auto"/>
      </w:pPr>
    </w:p>
    <w:p w14:paraId="3A2F7147">
      <w:pPr>
        <w:pStyle w:val="18"/>
        <w:spacing w:line="360" w:lineRule="auto"/>
      </w:pPr>
    </w:p>
    <w:p w14:paraId="7189B5CF">
      <w:pPr>
        <w:pStyle w:val="18"/>
        <w:spacing w:line="360" w:lineRule="auto"/>
      </w:pPr>
    </w:p>
    <w:p w14:paraId="5B9B6621">
      <w:pPr>
        <w:pStyle w:val="18"/>
        <w:spacing w:line="360" w:lineRule="auto"/>
      </w:pPr>
    </w:p>
    <w:p w14:paraId="582FF381">
      <w:pPr>
        <w:pStyle w:val="18"/>
        <w:spacing w:line="360" w:lineRule="auto"/>
      </w:pPr>
    </w:p>
    <w:p w14:paraId="1DD25C60">
      <w:pPr>
        <w:pStyle w:val="2"/>
      </w:pPr>
      <w:bookmarkStart w:id="120" w:name="_Toc203596244"/>
      <w:r>
        <w:t>Appendix</w:t>
      </w:r>
      <w:bookmarkEnd w:id="120"/>
    </w:p>
    <w:p w14:paraId="2A2EA100">
      <w:pPr>
        <w:spacing w:line="360" w:lineRule="auto"/>
        <w:jc w:val="center"/>
        <w:rPr>
          <w:rFonts w:ascii="Times New Roman" w:hAnsi="Times New Roman" w:cs="Times New Roman"/>
          <w:b/>
        </w:rPr>
      </w:pPr>
      <w:r>
        <w:rPr>
          <w:rFonts w:ascii="Times New Roman" w:hAnsi="Times New Roman" w:cs="Times New Roman"/>
          <w:b/>
        </w:rPr>
        <w:t>QUESTIONNAIRE</w:t>
      </w:r>
    </w:p>
    <w:p w14:paraId="59E33379">
      <w:pPr>
        <w:spacing w:line="360" w:lineRule="auto"/>
        <w:ind w:left="5760"/>
        <w:rPr>
          <w:rFonts w:ascii="Times New Roman" w:hAnsi="Times New Roman" w:cs="Times New Roman"/>
          <w:sz w:val="24"/>
          <w:szCs w:val="24"/>
        </w:rPr>
      </w:pPr>
      <w:r>
        <w:rPr>
          <w:rFonts w:ascii="Times New Roman" w:hAnsi="Times New Roman" w:cs="Times New Roman"/>
          <w:sz w:val="24"/>
          <w:szCs w:val="24"/>
        </w:rPr>
        <w:t>Department of Quantity Surveying,</w:t>
      </w:r>
    </w:p>
    <w:p w14:paraId="7C3A84D1">
      <w:pPr>
        <w:spacing w:line="360" w:lineRule="auto"/>
        <w:ind w:left="5760"/>
        <w:rPr>
          <w:rFonts w:ascii="Times New Roman" w:hAnsi="Times New Roman" w:cs="Times New Roman"/>
          <w:sz w:val="24"/>
          <w:szCs w:val="24"/>
        </w:rPr>
      </w:pPr>
      <w:r>
        <w:rPr>
          <w:rFonts w:ascii="Times New Roman" w:hAnsi="Times New Roman" w:cs="Times New Roman"/>
          <w:sz w:val="24"/>
          <w:szCs w:val="24"/>
        </w:rPr>
        <w:t>Institute of Environmental Studies</w:t>
      </w:r>
    </w:p>
    <w:p w14:paraId="6C063A49">
      <w:pPr>
        <w:spacing w:line="360" w:lineRule="auto"/>
        <w:ind w:left="5760"/>
        <w:rPr>
          <w:rFonts w:ascii="Times New Roman" w:hAnsi="Times New Roman" w:cs="Times New Roman"/>
          <w:sz w:val="24"/>
          <w:szCs w:val="24"/>
        </w:rPr>
      </w:pPr>
      <w:r>
        <w:rPr>
          <w:rFonts w:ascii="Times New Roman" w:hAnsi="Times New Roman" w:cs="Times New Roman"/>
          <w:sz w:val="24"/>
          <w:szCs w:val="24"/>
        </w:rPr>
        <w:t>Kwara state Polytechnic, Ilorin.</w:t>
      </w:r>
    </w:p>
    <w:p w14:paraId="45F7062B">
      <w:pPr>
        <w:spacing w:line="360" w:lineRule="auto"/>
        <w:ind w:left="5760"/>
        <w:rPr>
          <w:rFonts w:ascii="Times New Roman" w:hAnsi="Times New Roman" w:cs="Times New Roman"/>
          <w:sz w:val="24"/>
          <w:szCs w:val="24"/>
        </w:rPr>
      </w:pPr>
      <w:r>
        <w:rPr>
          <w:rFonts w:ascii="Times New Roman" w:hAnsi="Times New Roman" w:cs="Times New Roman"/>
          <w:sz w:val="24"/>
          <w:szCs w:val="24"/>
        </w:rPr>
        <w:t xml:space="preserve">Kwara State. </w:t>
      </w:r>
    </w:p>
    <w:p w14:paraId="30B47F02">
      <w:pPr>
        <w:spacing w:line="360" w:lineRule="auto"/>
        <w:rPr>
          <w:rFonts w:ascii="Times New Roman" w:hAnsi="Times New Roman" w:cs="Times New Roman"/>
          <w:sz w:val="24"/>
          <w:szCs w:val="24"/>
        </w:rPr>
      </w:pPr>
      <w:r>
        <w:rPr>
          <w:rFonts w:ascii="Times New Roman" w:hAnsi="Times New Roman" w:cs="Times New Roman"/>
          <w:sz w:val="24"/>
          <w:szCs w:val="24"/>
        </w:rPr>
        <w:t xml:space="preserve">Dear Sir/Madam, </w:t>
      </w:r>
    </w:p>
    <w:p w14:paraId="17792BF9">
      <w:pPr>
        <w:spacing w:line="360" w:lineRule="auto"/>
        <w:jc w:val="both"/>
        <w:rPr>
          <w:rFonts w:ascii="Times New Roman" w:hAnsi="Times New Roman" w:cs="Times New Roman"/>
          <w:bCs/>
          <w:sz w:val="24"/>
          <w:szCs w:val="24"/>
          <w:u w:val="single"/>
        </w:rPr>
      </w:pPr>
      <w:r>
        <w:rPr>
          <w:rFonts w:ascii="Times New Roman" w:hAnsi="Times New Roman" w:cs="Times New Roman"/>
          <w:b/>
          <w:sz w:val="24"/>
          <w:szCs w:val="24"/>
        </w:rPr>
        <w:t>RESEARCH QUESTIONNAIRE</w:t>
      </w:r>
      <w:r>
        <w:rPr>
          <w:rFonts w:ascii="Times New Roman" w:hAnsi="Times New Roman" w:cs="Times New Roman"/>
          <w:bCs/>
          <w:sz w:val="24"/>
          <w:szCs w:val="24"/>
        </w:rPr>
        <w:t xml:space="preserve">: </w:t>
      </w:r>
      <w:r>
        <w:rPr>
          <w:rFonts w:ascii="Times New Roman" w:hAnsi="Times New Roman" w:cs="Times New Roman"/>
          <w:bCs/>
          <w:sz w:val="24"/>
          <w:szCs w:val="24"/>
          <w:u w:val="single"/>
        </w:rPr>
        <w:t>Investigation of the Role of Quantity Surveyors In Assessing the Economic Viability of Agricultural Processing Plants.</w:t>
      </w:r>
    </w:p>
    <w:p w14:paraId="1E98A46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 ADEMOLA, Olalekan Mathew</w:t>
      </w:r>
      <w:r>
        <w:rPr>
          <w:rFonts w:ascii="Times New Roman" w:hAnsi="Times New Roman" w:cs="Times New Roman"/>
          <w:sz w:val="24"/>
          <w:szCs w:val="24"/>
        </w:rPr>
        <w:t xml:space="preserve">, an undergraduate student of Quantity Surveying Department, at the Kwara state polytechnic, Ilorin, I am undertaking my final year research thesis in partial fulfilment of the requirement for the award of Higher National diploma.  </w:t>
      </w:r>
    </w:p>
    <w:p w14:paraId="60E8F9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appreciating your busy schedule, with all due respect I humbly solicit that your spare time to help respond to the attached questionnaire which is crucial to the success of my on-going research titled above. </w:t>
      </w:r>
    </w:p>
    <w:p w14:paraId="64C833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Your response will be treated with confidentiality and used only for the purpose of this research work.  </w:t>
      </w:r>
    </w:p>
    <w:p w14:paraId="6F666652">
      <w:pPr>
        <w:spacing w:line="360" w:lineRule="auto"/>
        <w:jc w:val="both"/>
        <w:rPr>
          <w:rFonts w:ascii="Times New Roman" w:hAnsi="Times New Roman" w:cs="Times New Roman"/>
          <w:sz w:val="24"/>
          <w:szCs w:val="24"/>
        </w:rPr>
      </w:pPr>
      <w:r>
        <w:rPr>
          <w:rFonts w:ascii="Times New Roman" w:hAnsi="Times New Roman" w:cs="Times New Roman"/>
          <w:sz w:val="24"/>
          <w:szCs w:val="24"/>
        </w:rPr>
        <w:t>Thank you for your anticipated cooperation</w:t>
      </w:r>
    </w:p>
    <w:p w14:paraId="46705033">
      <w:pPr>
        <w:spacing w:line="360" w:lineRule="auto"/>
        <w:jc w:val="both"/>
        <w:rPr>
          <w:rFonts w:ascii="Times New Roman" w:hAnsi="Times New Roman" w:cs="Times New Roman"/>
          <w:b/>
          <w:sz w:val="24"/>
          <w:szCs w:val="24"/>
        </w:rPr>
      </w:pPr>
      <w:r>
        <w:rPr>
          <w:rFonts w:ascii="Times New Roman" w:hAnsi="Times New Roman" w:cs="Times New Roman"/>
          <w:b/>
          <w:sz w:val="24"/>
          <w:szCs w:val="24"/>
        </w:rPr>
        <w:t>Yours sincerely</w:t>
      </w:r>
    </w:p>
    <w:p w14:paraId="5DC18A78">
      <w:pPr>
        <w:spacing w:line="360" w:lineRule="auto"/>
        <w:rPr>
          <w:rFonts w:ascii="Times New Roman" w:hAnsi="Times New Roman" w:cs="Times New Roman"/>
          <w:sz w:val="24"/>
          <w:szCs w:val="24"/>
        </w:rPr>
      </w:pPr>
      <w:r>
        <w:rPr>
          <w:rFonts w:ascii="Times New Roman" w:hAnsi="Times New Roman" w:cs="Times New Roman"/>
          <w:sz w:val="24"/>
          <w:szCs w:val="24"/>
        </w:rPr>
        <w:t>(E-signature)</w:t>
      </w:r>
    </w:p>
    <w:p w14:paraId="64EA048B">
      <w:pPr>
        <w:pStyle w:val="31"/>
        <w:spacing w:line="360" w:lineRule="auto"/>
        <w:rPr>
          <w:rFonts w:ascii="Times New Roman" w:hAnsi="Times New Roman" w:eastAsia="Times New Roman" w:cs="Times New Roman"/>
          <w:bCs/>
          <w:sz w:val="24"/>
          <w:szCs w:val="24"/>
        </w:rPr>
      </w:pPr>
      <w:r>
        <w:rPr>
          <w:rFonts w:ascii="Times New Roman" w:hAnsi="Times New Roman" w:cs="Times New Roman" w:eastAsiaTheme="minorEastAsia"/>
          <w:bCs/>
          <w:sz w:val="24"/>
          <w:szCs w:val="24"/>
        </w:rPr>
        <w:t>ADEMOLA, Olalekan Mathew</w:t>
      </w:r>
      <w:r>
        <w:rPr>
          <w:rFonts w:ascii="Times New Roman" w:hAnsi="Times New Roman" w:cs="Times New Roman"/>
          <w:bCs/>
          <w:sz w:val="24"/>
          <w:szCs w:val="24"/>
        </w:rPr>
        <w:br w:type="textWrapping"/>
      </w:r>
      <w:r>
        <w:rPr>
          <w:rFonts w:ascii="Times New Roman" w:hAnsi="Times New Roman" w:cs="Times New Roman" w:eastAsiaTheme="minorEastAsia"/>
          <w:bCs/>
          <w:sz w:val="24"/>
          <w:szCs w:val="24"/>
        </w:rPr>
        <w:t>HND/23/FT/QTS/0005</w:t>
      </w:r>
    </w:p>
    <w:p w14:paraId="00BD385E">
      <w:pPr>
        <w:spacing w:line="360" w:lineRule="auto"/>
        <w:rPr>
          <w:rFonts w:ascii="Times New Roman" w:hAnsi="Times New Roman" w:cs="Times New Roman"/>
          <w:sz w:val="24"/>
          <w:szCs w:val="24"/>
        </w:rPr>
      </w:pPr>
      <w:r>
        <w:fldChar w:fldCharType="begin"/>
      </w:r>
      <w:r>
        <w:instrText xml:space="preserve"> HYPERLINK "mailto:%20Olalekanmathew005@gmail.com" </w:instrText>
      </w:r>
      <w:r>
        <w:fldChar w:fldCharType="separate"/>
      </w:r>
      <w:r>
        <w:rPr>
          <w:rStyle w:val="17"/>
          <w:rFonts w:ascii="Times New Roman" w:hAnsi="Times New Roman" w:cs="Times New Roman"/>
          <w:sz w:val="24"/>
          <w:szCs w:val="24"/>
        </w:rPr>
        <w:t xml:space="preserve"> Olalekanmathew005@gmail.com</w:t>
      </w:r>
      <w:r>
        <w:rPr>
          <w:rStyle w:val="17"/>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ascii="Times New Roman" w:hAnsi="Times New Roman" w:cs="Times New Roman"/>
          <w:sz w:val="24"/>
          <w:szCs w:val="24"/>
        </w:rPr>
        <w:t>09044250058</w:t>
      </w:r>
    </w:p>
    <w:p w14:paraId="762828E4">
      <w:pPr>
        <w:spacing w:line="360" w:lineRule="auto"/>
        <w:rPr>
          <w:rFonts w:ascii="Times New Roman" w:hAnsi="Times New Roman" w:cs="Times New Roman"/>
          <w:b/>
          <w:bCs/>
        </w:rPr>
      </w:pPr>
      <w:r>
        <w:rPr>
          <w:rFonts w:ascii="Times New Roman" w:hAnsi="Times New Roman" w:cs="Times New Roman"/>
          <w:b/>
          <w:bCs/>
        </w:rPr>
        <w:t>Section A: Demographic Information</w:t>
      </w:r>
    </w:p>
    <w:p w14:paraId="7DB59C40">
      <w:pPr>
        <w:spacing w:line="360" w:lineRule="auto"/>
        <w:rPr>
          <w:rFonts w:ascii="Times New Roman" w:hAnsi="Times New Roman" w:cs="Times New Roman"/>
        </w:rPr>
      </w:pPr>
      <w:r>
        <w:rPr>
          <w:rFonts w:ascii="Times New Roman" w:hAnsi="Times New Roman" w:cs="Times New Roman"/>
        </w:rPr>
        <w:t>Please tick (</w:t>
      </w:r>
      <w:r>
        <w:rPr>
          <w:rFonts w:ascii="Segoe UI Symbol" w:hAnsi="Segoe UI Symbol" w:cs="Segoe UI Symbol"/>
        </w:rPr>
        <w:t>✓</w:t>
      </w:r>
      <w:r>
        <w:rPr>
          <w:rFonts w:ascii="Times New Roman" w:hAnsi="Times New Roman" w:cs="Times New Roman"/>
        </w:rPr>
        <w:t>) or fill as appropriate in the space provided</w:t>
      </w:r>
    </w:p>
    <w:p w14:paraId="3B383E82">
      <w:pPr>
        <w:numPr>
          <w:ilvl w:val="0"/>
          <w:numId w:val="11"/>
        </w:numPr>
        <w:spacing w:after="160" w:line="360" w:lineRule="auto"/>
        <w:rPr>
          <w:rFonts w:ascii="Times New Roman" w:hAnsi="Times New Roman" w:cs="Times New Roman"/>
        </w:rPr>
      </w:pPr>
      <w:r>
        <w:rPr>
          <w:rFonts w:ascii="Times New Roman" w:hAnsi="Times New Roman" w:cs="Times New Roman"/>
          <w:b/>
          <w:bCs/>
        </w:rPr>
        <w:t>Gender:</w:t>
      </w:r>
      <w:r>
        <w:rPr>
          <w:rFonts w:ascii="Times New Roman" w:hAnsi="Times New Roman" w:cs="Times New Roman"/>
        </w:rPr>
        <w:br w:type="textWrapping"/>
      </w:r>
      <w:r>
        <w:rPr>
          <w:rFonts w:ascii="Times New Roman" w:hAnsi="Times New Roman" w:cs="Times New Roman"/>
        </w:rPr>
        <w:t xml:space="preserve">     Male </w:t>
      </w:r>
      <w:r>
        <w:rPr>
          <w:rFonts w:ascii="Times New Roman" w:hAnsi="Times New Roman" w:cs="Times New Roman"/>
        </w:rPr>
        <w:tab/>
      </w:r>
      <w:r>
        <w:rPr>
          <w:rFonts w:ascii="Times New Roman" w:hAnsi="Times New Roman" w:cs="Times New Roman"/>
        </w:rPr>
        <w:tab/>
      </w:r>
      <w:r>
        <w:rPr>
          <w:rFonts w:ascii="Times New Roman" w:hAnsi="Times New Roman" w:cs="Times New Roman"/>
        </w:rPr>
        <w:t>  Female  </w:t>
      </w:r>
      <w:r>
        <w:rPr>
          <w:rFonts w:ascii="Times New Roman" w:hAnsi="Times New Roman" w:cs="Times New Roman"/>
        </w:rPr>
        <w:tab/>
      </w:r>
      <w:r>
        <w:rPr>
          <w:rFonts w:ascii="Times New Roman" w:hAnsi="Times New Roman" w:cs="Times New Roman"/>
        </w:rPr>
        <w:t xml:space="preserve">     Prefer not to say</w:t>
      </w:r>
    </w:p>
    <w:p w14:paraId="77C2D36B">
      <w:pPr>
        <w:spacing w:line="360" w:lineRule="auto"/>
        <w:ind w:left="720"/>
        <w:rPr>
          <w:rFonts w:ascii="Times New Roman" w:hAnsi="Times New Roman" w:cs="Times New Roman"/>
        </w:rPr>
      </w:pPr>
    </w:p>
    <w:p w14:paraId="0835BA0B">
      <w:pPr>
        <w:numPr>
          <w:ilvl w:val="0"/>
          <w:numId w:val="11"/>
        </w:numPr>
        <w:spacing w:after="160" w:line="360" w:lineRule="auto"/>
        <w:rPr>
          <w:rFonts w:ascii="Times New Roman" w:hAnsi="Times New Roman" w:cs="Times New Roman"/>
        </w:rPr>
      </w:pPr>
      <w:r>
        <w:rPr>
          <w:rFonts w:ascii="Times New Roman" w:hAnsi="Times New Roman" w:cs="Times New Roman"/>
          <w:b/>
          <w:bCs/>
        </w:rPr>
        <w:t>Age:</w:t>
      </w:r>
      <w:r>
        <w:rPr>
          <w:rFonts w:ascii="Times New Roman" w:hAnsi="Times New Roman" w:cs="Times New Roman"/>
        </w:rPr>
        <w:br w:type="textWrapping"/>
      </w:r>
      <w:r>
        <w:rPr>
          <w:rFonts w:ascii="Times New Roman" w:hAnsi="Times New Roman" w:cs="Times New Roman"/>
        </w:rPr>
        <w:t xml:space="preserve">     18–25 years    </w:t>
      </w:r>
      <w:r>
        <w:rPr>
          <w:rFonts w:ascii="Times New Roman" w:hAnsi="Times New Roman" w:cs="Times New Roman"/>
        </w:rPr>
        <w:tab/>
      </w:r>
      <w:r>
        <w:rPr>
          <w:rFonts w:ascii="Times New Roman" w:hAnsi="Times New Roman" w:cs="Times New Roman"/>
        </w:rPr>
        <w:t>26–35 years  </w:t>
      </w:r>
      <w:r>
        <w:rPr>
          <w:rFonts w:ascii="Times New Roman" w:hAnsi="Times New Roman" w:cs="Times New Roman"/>
        </w:rPr>
        <w:tab/>
      </w:r>
      <w:r>
        <w:rPr>
          <w:rFonts w:ascii="Times New Roman" w:hAnsi="Times New Roman" w:cs="Times New Roman"/>
        </w:rPr>
        <w:t>36–45years     46 years and above</w:t>
      </w:r>
    </w:p>
    <w:p w14:paraId="102EE961">
      <w:pPr>
        <w:spacing w:line="360" w:lineRule="auto"/>
        <w:ind w:left="720"/>
        <w:rPr>
          <w:rFonts w:ascii="Times New Roman" w:hAnsi="Times New Roman" w:cs="Times New Roman"/>
        </w:rPr>
      </w:pPr>
    </w:p>
    <w:p w14:paraId="72BBD63F">
      <w:pPr>
        <w:spacing w:after="160" w:line="360" w:lineRule="auto"/>
        <w:ind w:left="720"/>
        <w:rPr>
          <w:rFonts w:ascii="Times New Roman" w:hAnsi="Times New Roman" w:cs="Times New Roman"/>
        </w:rPr>
      </w:pPr>
      <w:r>
        <w:rPr>
          <w:rFonts w:ascii="Times New Roman" w:hAnsi="Times New Roman" w:cs="Times New Roman"/>
          <w:b/>
          <w:bCs/>
        </w:rPr>
        <w:t>Years of Professional Experience:</w:t>
      </w:r>
      <w:r>
        <w:rPr>
          <w:rFonts w:ascii="Times New Roman" w:hAnsi="Times New Roman" w:cs="Times New Roman"/>
        </w:rPr>
        <w:br w:type="textWrapping"/>
      </w:r>
      <w:r>
        <w:rPr>
          <w:rFonts w:ascii="Times New Roman" w:hAnsi="Times New Roman" w:cs="Times New Roman"/>
        </w:rPr>
        <w:t xml:space="preserve">    Less than 5 years        5–10 years  </w:t>
      </w:r>
      <w:r>
        <w:rPr>
          <w:rFonts w:ascii="Times New Roman" w:hAnsi="Times New Roman" w:cs="Times New Roman"/>
        </w:rPr>
        <w:tab/>
      </w:r>
      <w:r>
        <w:rPr>
          <w:rFonts w:ascii="Times New Roman" w:hAnsi="Times New Roman" w:cs="Times New Roman"/>
        </w:rPr>
        <w:t xml:space="preserve">    11–15 years  </w:t>
      </w:r>
      <w:r>
        <w:rPr>
          <w:rFonts w:ascii="Times New Roman" w:hAnsi="Times New Roman" w:cs="Times New Roman"/>
        </w:rPr>
        <w:tab/>
      </w:r>
      <w:r>
        <w:rPr>
          <w:rFonts w:ascii="Times New Roman" w:hAnsi="Times New Roman" w:cs="Times New Roman"/>
        </w:rPr>
        <w:t>More tHan 15 years</w:t>
      </w:r>
    </w:p>
    <w:p w14:paraId="2B172EF1">
      <w:pPr>
        <w:spacing w:line="360" w:lineRule="auto"/>
        <w:ind w:left="720"/>
        <w:rPr>
          <w:rFonts w:ascii="Times New Roman" w:hAnsi="Times New Roman" w:cs="Times New Roman"/>
        </w:rPr>
      </w:pPr>
    </w:p>
    <w:p w14:paraId="3370975D">
      <w:pPr>
        <w:spacing w:after="160" w:line="360" w:lineRule="auto"/>
        <w:ind w:left="720"/>
        <w:rPr>
          <w:rFonts w:ascii="Times New Roman" w:hAnsi="Times New Roman" w:cs="Times New Roman"/>
        </w:rPr>
      </w:pPr>
      <w:r>
        <w:rPr>
          <w:rFonts w:ascii="Times New Roman" w:hAnsi="Times New Roman" w:cs="Times New Roman"/>
          <w:b/>
          <w:bCs/>
        </w:rPr>
        <w:t>Professional Background:</w:t>
      </w:r>
      <w:r>
        <w:rPr>
          <w:rFonts w:ascii="Times New Roman" w:hAnsi="Times New Roman" w:cs="Times New Roman"/>
        </w:rPr>
        <w:br w:type="textWrapping"/>
      </w:r>
      <w:r>
        <w:rPr>
          <w:rFonts w:ascii="Times New Roman" w:hAnsi="Times New Roman" w:cs="Times New Roman"/>
        </w:rPr>
        <w:t xml:space="preserve">        Quantity Surveyor      Project Manager         Developer/Investor</w:t>
      </w:r>
      <w:r>
        <w:rPr>
          <w:rFonts w:ascii="Times New Roman" w:hAnsi="Times New Roman" w:cs="Times New Roman"/>
        </w:rPr>
        <w:br w:type="textWrapping"/>
      </w:r>
      <w:r>
        <w:rPr>
          <w:rFonts w:ascii="Times New Roman" w:hAnsi="Times New Roman" w:cs="Times New Roman"/>
        </w:rPr>
        <w:t xml:space="preserve">          Architect            Contractor           Other (please specify): ___________</w:t>
      </w:r>
    </w:p>
    <w:p w14:paraId="016B8D07">
      <w:pPr>
        <w:spacing w:line="360" w:lineRule="auto"/>
        <w:rPr>
          <w:rFonts w:ascii="Times New Roman" w:hAnsi="Times New Roman" w:cs="Times New Roman"/>
        </w:rPr>
      </w:pPr>
    </w:p>
    <w:p w14:paraId="160DE88A">
      <w:pPr>
        <w:numPr>
          <w:ilvl w:val="0"/>
          <w:numId w:val="11"/>
        </w:numPr>
        <w:spacing w:after="160" w:line="360" w:lineRule="auto"/>
        <w:rPr>
          <w:rFonts w:ascii="Times New Roman" w:hAnsi="Times New Roman" w:cs="Times New Roman"/>
        </w:rPr>
      </w:pPr>
      <w:r>
        <w:rPr>
          <w:rFonts w:ascii="Times New Roman" w:hAnsi="Times New Roman" w:cs="Times New Roman"/>
          <w:b/>
          <w:bCs/>
        </w:rPr>
        <w:t>Have you ever been involved in an agro-processing project?</w:t>
      </w:r>
      <w:r>
        <w:rPr>
          <w:rFonts w:ascii="Times New Roman" w:hAnsi="Times New Roman" w:cs="Times New Roman"/>
        </w:rPr>
        <w:br w:type="textWrapping"/>
      </w:r>
      <w:r>
        <w:rPr>
          <w:rFonts w:ascii="Times New Roman" w:hAnsi="Times New Roman" w:cs="Times New Roman"/>
        </w:rPr>
        <w:t xml:space="preserve">   Yes  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No</w:t>
      </w:r>
      <w:r>
        <w:rPr>
          <w:rFonts w:ascii="Times New Roman" w:hAnsi="Times New Roman" w:cs="Times New Roman"/>
        </w:rPr>
        <w:br w:type="textWrapping"/>
      </w:r>
    </w:p>
    <w:p w14:paraId="2E9EA2F1">
      <w:pPr>
        <w:spacing w:line="360" w:lineRule="auto"/>
        <w:rPr>
          <w:rFonts w:ascii="Times New Roman" w:hAnsi="Times New Roman" w:cs="Times New Roman"/>
        </w:rPr>
      </w:pPr>
      <w:r>
        <w:rPr>
          <w:rFonts w:ascii="Times New Roman" w:hAnsi="Times New Roman" w:cs="Times New Roman"/>
        </w:rPr>
        <w:t xml:space="preserve">If yes, please briefly state your role: ____________________________________________________________________________________________________________________________________________________________ </w:t>
      </w:r>
    </w:p>
    <w:p w14:paraId="16DDCE5C">
      <w:pPr>
        <w:spacing w:line="360" w:lineRule="auto"/>
        <w:rPr>
          <w:rFonts w:ascii="Times New Roman" w:hAnsi="Times New Roman" w:cs="Times New Roman"/>
        </w:rPr>
      </w:pPr>
    </w:p>
    <w:p w14:paraId="5642503D">
      <w:pPr>
        <w:spacing w:line="360" w:lineRule="auto"/>
        <w:rPr>
          <w:rFonts w:ascii="Times New Roman" w:hAnsi="Times New Roman" w:cs="Times New Roman"/>
          <w:b/>
          <w:bCs/>
        </w:rPr>
      </w:pPr>
      <w:r>
        <w:rPr>
          <w:rFonts w:ascii="Times New Roman" w:hAnsi="Times New Roman" w:cs="Times New Roman"/>
          <w:b/>
          <w:bCs/>
        </w:rPr>
        <w:t xml:space="preserve"> </w:t>
      </w:r>
    </w:p>
    <w:p w14:paraId="490D07D1">
      <w:pPr>
        <w:spacing w:line="360" w:lineRule="auto"/>
        <w:rPr>
          <w:rFonts w:ascii="Times New Roman" w:hAnsi="Times New Roman" w:cs="Times New Roman"/>
          <w:b/>
          <w:bCs/>
        </w:rPr>
      </w:pPr>
    </w:p>
    <w:p w14:paraId="13F1C262">
      <w:pPr>
        <w:spacing w:line="360" w:lineRule="auto"/>
        <w:rPr>
          <w:rFonts w:ascii="Times New Roman" w:hAnsi="Times New Roman" w:cs="Times New Roman"/>
          <w:b/>
          <w:bCs/>
        </w:rPr>
      </w:pPr>
    </w:p>
    <w:p w14:paraId="3CBADAD4">
      <w:pPr>
        <w:spacing w:line="360" w:lineRule="auto"/>
        <w:rPr>
          <w:rFonts w:ascii="Times New Roman" w:hAnsi="Times New Roman" w:cs="Times New Roman"/>
          <w:b/>
          <w:bCs/>
        </w:rPr>
      </w:pPr>
      <w:r>
        <w:rPr>
          <w:rFonts w:ascii="Times New Roman" w:hAnsi="Times New Roman" w:cs="Times New Roman"/>
          <w:b/>
          <w:bCs/>
        </w:rPr>
        <w:t>Section B: Data on the project objectives</w:t>
      </w:r>
    </w:p>
    <w:p w14:paraId="6769DDD1">
      <w:pPr>
        <w:spacing w:line="360" w:lineRule="auto"/>
        <w:rPr>
          <w:rFonts w:ascii="Times New Roman" w:hAnsi="Times New Roman" w:cs="Times New Roman"/>
        </w:rPr>
      </w:pPr>
      <w:r>
        <w:rPr>
          <w:rFonts w:ascii="Times New Roman" w:hAnsi="Times New Roman" w:cs="Times New Roman"/>
        </w:rPr>
        <w:t xml:space="preserve">2.1 </w:t>
      </w:r>
      <w:r>
        <w:rPr>
          <w:rFonts w:ascii="Times New Roman" w:hAnsi="Times New Roman" w:cs="Times New Roman"/>
          <w:b/>
          <w:bCs/>
        </w:rPr>
        <w:t>Objective number one</w:t>
      </w:r>
      <w:r>
        <w:rPr>
          <w:rFonts w:ascii="Times New Roman" w:hAnsi="Times New Roman" w:cs="Times New Roman"/>
        </w:rPr>
        <w:t>: Financial challenges faced in the development processing plant</w:t>
      </w:r>
    </w:p>
    <w:p w14:paraId="636F7CDB">
      <w:pPr>
        <w:spacing w:line="360" w:lineRule="auto"/>
        <w:rPr>
          <w:rFonts w:ascii="Times New Roman" w:hAnsi="Times New Roman" w:cs="Times New Roman"/>
        </w:rPr>
      </w:pPr>
      <w:r>
        <w:rPr>
          <w:rFonts w:ascii="Times New Roman" w:hAnsi="Times New Roman" w:cs="Times New Roman"/>
        </w:rPr>
        <w:t>Please tick (</w:t>
      </w:r>
      <w:r>
        <w:rPr>
          <w:rFonts w:ascii="Segoe UI Symbol" w:hAnsi="Segoe UI Symbol" w:cs="Segoe UI Symbol"/>
        </w:rPr>
        <w:t>✓</w:t>
      </w:r>
      <w:r>
        <w:rPr>
          <w:rFonts w:ascii="Times New Roman" w:hAnsi="Times New Roman" w:cs="Times New Roman"/>
        </w:rPr>
        <w:t>) or fill as appropriate in the space provided</w:t>
      </w:r>
    </w:p>
    <w:p w14:paraId="4715C6E8">
      <w:pPr>
        <w:spacing w:line="360" w:lineRule="auto"/>
        <w:rPr>
          <w:rFonts w:ascii="Times New Roman" w:hAnsi="Times New Roman" w:cs="Times New Roman"/>
        </w:rPr>
      </w:pPr>
      <w:r>
        <w:rPr>
          <w:rFonts w:ascii="Times New Roman" w:hAnsi="Times New Roman" w:cs="Times New Roman"/>
          <w:b/>
          <w:bCs/>
        </w:rPr>
        <w:t xml:space="preserve">2.1.1 </w:t>
      </w:r>
      <w:r>
        <w:rPr>
          <w:rFonts w:ascii="Times New Roman" w:hAnsi="Times New Roman" w:cs="Times New Roman"/>
        </w:rPr>
        <w:t>What are the most common financial challenges in the development of agro-processing plants? (Select all that apply)</w:t>
      </w:r>
      <w:r>
        <w:rPr>
          <w:rFonts w:ascii="Times New Roman" w:hAnsi="Times New Roman" w:cs="Times New Roman"/>
        </w:rPr>
        <w:br w:type="textWrapping"/>
      </w:r>
      <w:r>
        <w:rPr>
          <w:rFonts w:ascii="Times New Roman" w:hAnsi="Times New Roman" w:cs="Times New Roman"/>
        </w:rPr>
        <w:t xml:space="preserve">          High initial capital cost</w:t>
      </w:r>
      <w:r>
        <w:rPr>
          <w:rFonts w:ascii="Times New Roman" w:hAnsi="Times New Roman" w:cs="Times New Roman"/>
        </w:rPr>
        <w:br w:type="textWrapping"/>
      </w:r>
      <w:r>
        <w:rPr>
          <w:rFonts w:ascii="Times New Roman" w:hAnsi="Times New Roman" w:cs="Times New Roman"/>
        </w:rPr>
        <w:t xml:space="preserve">          Difficulty in accessing finance</w:t>
      </w:r>
      <w:r>
        <w:rPr>
          <w:rFonts w:ascii="Times New Roman" w:hAnsi="Times New Roman" w:cs="Times New Roman"/>
        </w:rPr>
        <w:br w:type="textWrapping"/>
      </w:r>
      <w:r>
        <w:rPr>
          <w:rFonts w:ascii="Times New Roman" w:hAnsi="Times New Roman" w:cs="Times New Roman"/>
        </w:rPr>
        <w:t xml:space="preserve">          Fluctuating cost of materials</w:t>
      </w:r>
      <w:r>
        <w:rPr>
          <w:rFonts w:ascii="Times New Roman" w:hAnsi="Times New Roman" w:cs="Times New Roman"/>
        </w:rPr>
        <w:br w:type="textWrapping"/>
      </w:r>
      <w:r>
        <w:rPr>
          <w:rFonts w:ascii="Times New Roman" w:hAnsi="Times New Roman" w:cs="Times New Roman"/>
        </w:rPr>
        <w:t xml:space="preserve">          Unstable power supply and energy costs</w:t>
      </w:r>
      <w:r>
        <w:rPr>
          <w:rFonts w:ascii="Times New Roman" w:hAnsi="Times New Roman" w:cs="Times New Roman"/>
        </w:rPr>
        <w:br w:type="textWrapping"/>
      </w:r>
      <w:r>
        <w:rPr>
          <w:rFonts w:ascii="Times New Roman" w:hAnsi="Times New Roman" w:cs="Times New Roman"/>
        </w:rPr>
        <w:t xml:space="preserve">          Inadequate feasibility studies</w:t>
      </w:r>
      <w:r>
        <w:rPr>
          <w:rFonts w:ascii="Times New Roman" w:hAnsi="Times New Roman" w:cs="Times New Roman"/>
        </w:rPr>
        <w:br w:type="textWrapping"/>
      </w:r>
      <w:r>
        <w:rPr>
          <w:rFonts w:ascii="Times New Roman" w:hAnsi="Times New Roman" w:cs="Times New Roman"/>
        </w:rPr>
        <w:t xml:space="preserve">           High operating and maintenance costs</w:t>
      </w:r>
      <w:r>
        <w:rPr>
          <w:rFonts w:ascii="Times New Roman" w:hAnsi="Times New Roman" w:cs="Times New Roman"/>
        </w:rPr>
        <w:br w:type="textWrapping"/>
      </w:r>
      <w:r>
        <w:rPr>
          <w:rFonts w:ascii="Times New Roman" w:hAnsi="Times New Roman" w:cs="Times New Roman"/>
        </w:rPr>
        <w:t xml:space="preserve">         Others (please specify): ___________________________</w:t>
      </w:r>
    </w:p>
    <w:p w14:paraId="297C9AF5">
      <w:pPr>
        <w:spacing w:line="360" w:lineRule="auto"/>
        <w:rPr>
          <w:rFonts w:ascii="Times New Roman" w:hAnsi="Times New Roman" w:cs="Times New Roman"/>
          <w:b/>
          <w:bCs/>
        </w:rPr>
      </w:pPr>
      <w:r>
        <w:rPr>
          <w:rFonts w:ascii="Times New Roman" w:hAnsi="Times New Roman" w:cs="Times New Roman"/>
          <w:b/>
          <w:bCs/>
        </w:rPr>
        <w:t xml:space="preserve">2.1.2 </w:t>
      </w:r>
      <w:r>
        <w:rPr>
          <w:rFonts w:ascii="Times New Roman" w:hAnsi="Times New Roman" w:cs="Times New Roman"/>
        </w:rPr>
        <w:t>On a scale of 1–5, how severe do you think financial challenges affect the success of agro-processing projects?</w:t>
      </w:r>
      <w:r>
        <w:rPr>
          <w:rFonts w:ascii="Times New Roman" w:hAnsi="Times New Roman" w:cs="Times New Roman"/>
        </w:rPr>
        <w:br w:type="textWrapping"/>
      </w:r>
      <w:r>
        <w:rPr>
          <w:rFonts w:ascii="Times New Roman" w:hAnsi="Times New Roman" w:cs="Times New Roman"/>
        </w:rPr>
        <w:t xml:space="preserve">            Not severe          Slightly severe             Moderately severe   </w:t>
      </w:r>
      <w:r>
        <w:rPr>
          <w:rFonts w:ascii="Times New Roman" w:hAnsi="Times New Roman" w:cs="Times New Roman"/>
        </w:rPr>
        <w:tab/>
      </w:r>
      <w:r>
        <w:rPr>
          <w:rFonts w:ascii="Times New Roman" w:hAnsi="Times New Roman" w:cs="Times New Roman"/>
        </w:rPr>
        <w:t xml:space="preserve">  Very severe          </w:t>
      </w:r>
      <w:r>
        <w:rPr>
          <w:rFonts w:ascii="Times New Roman" w:hAnsi="Times New Roman" w:cs="Times New Roman"/>
        </w:rPr>
        <w:tab/>
      </w:r>
      <w:r>
        <w:rPr>
          <w:rFonts w:ascii="Times New Roman" w:hAnsi="Times New Roman" w:cs="Times New Roman"/>
        </w:rPr>
        <w:t>Extremely severe</w:t>
      </w:r>
    </w:p>
    <w:p w14:paraId="2C517954">
      <w:pPr>
        <w:spacing w:line="360" w:lineRule="auto"/>
        <w:rPr>
          <w:rFonts w:ascii="Times New Roman" w:hAnsi="Times New Roman" w:cs="Times New Roman"/>
        </w:rPr>
      </w:pPr>
    </w:p>
    <w:p w14:paraId="4CA85A91">
      <w:pPr>
        <w:spacing w:line="360" w:lineRule="auto"/>
        <w:rPr>
          <w:rFonts w:ascii="Times New Roman" w:hAnsi="Times New Roman" w:cs="Times New Roman"/>
          <w:b/>
          <w:bCs/>
        </w:rPr>
      </w:pPr>
      <w:r>
        <w:rPr>
          <w:rFonts w:ascii="Times New Roman" w:hAnsi="Times New Roman" w:cs="Times New Roman"/>
          <w:b/>
          <w:bCs/>
        </w:rPr>
        <w:t xml:space="preserve">2.2 Objective number two: </w:t>
      </w:r>
      <w:r>
        <w:rPr>
          <w:rFonts w:ascii="Times New Roman" w:hAnsi="Times New Roman" w:cs="Times New Roman"/>
        </w:rPr>
        <w:t>the role of quantity surveyors in assessing the economic viability of agro-processing projects</w:t>
      </w:r>
    </w:p>
    <w:p w14:paraId="71A7385A">
      <w:pPr>
        <w:spacing w:line="360" w:lineRule="auto"/>
        <w:rPr>
          <w:rFonts w:ascii="Times New Roman" w:hAnsi="Times New Roman" w:cs="Times New Roman"/>
        </w:rPr>
      </w:pPr>
      <w:r>
        <w:rPr>
          <w:rFonts w:ascii="Times New Roman" w:hAnsi="Times New Roman" w:cs="Times New Roman"/>
        </w:rPr>
        <w:t>Please tick (</w:t>
      </w:r>
      <w:r>
        <w:rPr>
          <w:rFonts w:ascii="Segoe UI Symbol" w:hAnsi="Segoe UI Symbol" w:cs="Segoe UI Symbol"/>
        </w:rPr>
        <w:t>✓</w:t>
      </w:r>
      <w:r>
        <w:rPr>
          <w:rFonts w:ascii="Times New Roman" w:hAnsi="Times New Roman" w:cs="Times New Roman"/>
        </w:rPr>
        <w:t>) or fill as appropriate in the space provided</w:t>
      </w:r>
    </w:p>
    <w:p w14:paraId="3729C012">
      <w:pPr>
        <w:spacing w:line="360" w:lineRule="auto"/>
        <w:rPr>
          <w:rFonts w:ascii="Times New Roman" w:hAnsi="Times New Roman" w:cs="Times New Roman"/>
        </w:rPr>
      </w:pPr>
      <w:r>
        <w:rPr>
          <w:rFonts w:ascii="Times New Roman" w:hAnsi="Times New Roman" w:cs="Times New Roman"/>
          <w:b/>
          <w:bCs/>
        </w:rPr>
        <w:t>2.2.1</w:t>
      </w:r>
      <w:r>
        <w:rPr>
          <w:rFonts w:ascii="Times New Roman" w:hAnsi="Times New Roman" w:cs="Times New Roman"/>
        </w:rPr>
        <w:t xml:space="preserve"> In your opinion, how important is the involvement of Quantity Surveyors in agro-processing project development?</w:t>
      </w:r>
      <w:r>
        <w:rPr>
          <w:rFonts w:ascii="Times New Roman" w:hAnsi="Times New Roman" w:cs="Times New Roman"/>
        </w:rPr>
        <w:br w:type="textWrapping"/>
      </w:r>
      <w:r>
        <w:rPr>
          <w:rFonts w:ascii="Times New Roman" w:hAnsi="Times New Roman" w:cs="Times New Roman"/>
        </w:rPr>
        <w:t xml:space="preserve">         Very Important     Important       Neutral      Less Important                    Not Important</w:t>
      </w:r>
    </w:p>
    <w:p w14:paraId="57BA3141">
      <w:pPr>
        <w:spacing w:line="360" w:lineRule="auto"/>
        <w:rPr>
          <w:rFonts w:ascii="Times New Roman" w:hAnsi="Times New Roman" w:cs="Times New Roman"/>
        </w:rPr>
      </w:pPr>
      <w:r>
        <w:rPr>
          <w:rFonts w:ascii="Times New Roman" w:hAnsi="Times New Roman" w:cs="Times New Roman"/>
          <w:b/>
          <w:bCs/>
        </w:rPr>
        <w:t>2.2.2</w:t>
      </w:r>
      <w:r>
        <w:rPr>
          <w:rFonts w:ascii="Times New Roman" w:hAnsi="Times New Roman" w:cs="Times New Roman"/>
        </w:rPr>
        <w:t xml:space="preserve"> What specific roles do Quantity Surveyors play in agro-processing projects? (Tick all that apply)</w:t>
      </w:r>
      <w:r>
        <w:rPr>
          <w:rFonts w:ascii="Times New Roman" w:hAnsi="Times New Roman" w:cs="Times New Roman"/>
        </w:rPr>
        <w:br w:type="textWrapping"/>
      </w:r>
      <w:r>
        <w:rPr>
          <w:rFonts w:ascii="Times New Roman" w:hAnsi="Times New Roman" w:cs="Times New Roman"/>
        </w:rPr>
        <w:t xml:space="preserve">          Preliminary cost estimation</w:t>
      </w:r>
      <w:r>
        <w:rPr>
          <w:rFonts w:ascii="Times New Roman" w:hAnsi="Times New Roman" w:cs="Times New Roman"/>
        </w:rPr>
        <w:br w:type="textWrapping"/>
      </w:r>
      <w:r>
        <w:rPr>
          <w:rFonts w:ascii="Times New Roman" w:hAnsi="Times New Roman" w:cs="Times New Roman"/>
        </w:rPr>
        <w:t xml:space="preserve">         Life-cycle cost analysis</w:t>
      </w:r>
      <w:r>
        <w:rPr>
          <w:rFonts w:ascii="Times New Roman" w:hAnsi="Times New Roman" w:cs="Times New Roman"/>
        </w:rPr>
        <w:br w:type="textWrapping"/>
      </w:r>
      <w:r>
        <w:rPr>
          <w:rFonts w:ascii="Times New Roman" w:hAnsi="Times New Roman" w:cs="Times New Roman"/>
        </w:rPr>
        <w:t xml:space="preserve">         Budget planning and cash flow forecasting</w:t>
      </w:r>
      <w:r>
        <w:rPr>
          <w:rFonts w:ascii="Times New Roman" w:hAnsi="Times New Roman" w:cs="Times New Roman"/>
        </w:rPr>
        <w:br w:type="textWrapping"/>
      </w:r>
      <w:r>
        <w:rPr>
          <w:rFonts w:ascii="Times New Roman" w:hAnsi="Times New Roman" w:cs="Times New Roman"/>
        </w:rPr>
        <w:t xml:space="preserve">         Risk and contingency analysis</w:t>
      </w:r>
      <w:r>
        <w:rPr>
          <w:rFonts w:ascii="Times New Roman" w:hAnsi="Times New Roman" w:cs="Times New Roman"/>
        </w:rPr>
        <w:br w:type="textWrapping"/>
      </w:r>
      <w:r>
        <w:rPr>
          <w:rFonts w:ascii="Times New Roman" w:hAnsi="Times New Roman" w:cs="Times New Roman"/>
        </w:rPr>
        <w:t xml:space="preserve">         Cost-benefit and ROI evaluation</w:t>
      </w:r>
    </w:p>
    <w:p w14:paraId="1D0065BB">
      <w:pPr>
        <w:spacing w:line="360" w:lineRule="auto"/>
        <w:rPr>
          <w:rFonts w:ascii="Times New Roman" w:hAnsi="Times New Roman" w:cs="Times New Roman"/>
        </w:rPr>
      </w:pPr>
      <w:r>
        <w:rPr>
          <w:rFonts w:ascii="Times New Roman" w:hAnsi="Times New Roman" w:cs="Times New Roman"/>
        </w:rPr>
        <w:t xml:space="preserve">          Value engineering</w:t>
      </w:r>
      <w:r>
        <w:rPr>
          <w:rFonts w:ascii="Times New Roman" w:hAnsi="Times New Roman" w:cs="Times New Roman"/>
        </w:rPr>
        <w:br w:type="textWrapping"/>
      </w:r>
      <w:r>
        <w:rPr>
          <w:rFonts w:ascii="Times New Roman" w:hAnsi="Times New Roman" w:cs="Times New Roman"/>
        </w:rPr>
        <w:t xml:space="preserve">          Others (please specify): ___________________________</w:t>
      </w:r>
    </w:p>
    <w:p w14:paraId="334B659D">
      <w:pPr>
        <w:spacing w:line="360" w:lineRule="auto"/>
        <w:rPr>
          <w:rFonts w:ascii="Times New Roman" w:hAnsi="Times New Roman" w:cs="Times New Roman"/>
        </w:rPr>
      </w:pPr>
      <w:r>
        <w:rPr>
          <w:rFonts w:ascii="Times New Roman" w:hAnsi="Times New Roman" w:cs="Times New Roman"/>
          <w:b/>
          <w:bCs/>
        </w:rPr>
        <w:t>2.2.3</w:t>
      </w:r>
      <w:r>
        <w:rPr>
          <w:rFonts w:ascii="Times New Roman" w:hAnsi="Times New Roman" w:cs="Times New Roman"/>
        </w:rPr>
        <w:t xml:space="preserve"> Have you personally witnessed or participated in a QS-led viability assessment for an agro-processing plant?</w:t>
      </w:r>
      <w:r>
        <w:rPr>
          <w:rFonts w:ascii="Times New Roman" w:hAnsi="Times New Roman" w:cs="Times New Roman"/>
        </w:rPr>
        <w:br w:type="textWrapping"/>
      </w:r>
      <w:r>
        <w:rPr>
          <w:rFonts w:ascii="Times New Roman" w:hAnsi="Times New Roman" w:cs="Times New Roman"/>
        </w:rPr>
        <w:t xml:space="preserve">           Yes                              No</w:t>
      </w:r>
      <w:r>
        <w:rPr>
          <w:rFonts w:ascii="Times New Roman" w:hAnsi="Times New Roman" w:cs="Times New Roman"/>
        </w:rPr>
        <w:br w:type="textWrapping"/>
      </w:r>
      <w:r>
        <w:rPr>
          <w:rFonts w:ascii="Times New Roman" w:hAnsi="Times New Roman" w:cs="Times New Roman"/>
        </w:rPr>
        <w:t>If yes, what was the outcome? ______________________________</w:t>
      </w:r>
    </w:p>
    <w:p w14:paraId="6E861817">
      <w:pPr>
        <w:spacing w:line="360" w:lineRule="auto"/>
        <w:rPr>
          <w:rFonts w:ascii="Times New Roman" w:hAnsi="Times New Roman" w:cs="Times New Roman"/>
        </w:rPr>
      </w:pPr>
    </w:p>
    <w:p w14:paraId="29572551">
      <w:pPr>
        <w:spacing w:line="360" w:lineRule="auto"/>
        <w:rPr>
          <w:rFonts w:ascii="Times New Roman" w:hAnsi="Times New Roman" w:cs="Times New Roman"/>
        </w:rPr>
      </w:pPr>
      <w:r>
        <w:rPr>
          <w:rFonts w:ascii="Times New Roman" w:hAnsi="Times New Roman" w:cs="Times New Roman"/>
          <w:b/>
          <w:bCs/>
        </w:rPr>
        <w:t xml:space="preserve">2.3 Objective number three: </w:t>
      </w:r>
      <w:r>
        <w:rPr>
          <w:rFonts w:ascii="Times New Roman" w:hAnsi="Times New Roman" w:cs="Times New Roman"/>
        </w:rPr>
        <w:t>evaluate the cost estimation techniques used by quantity surveyors in agricultural processing plant projects.</w:t>
      </w:r>
    </w:p>
    <w:p w14:paraId="0F3F4AC1">
      <w:pPr>
        <w:spacing w:line="360" w:lineRule="auto"/>
        <w:rPr>
          <w:rFonts w:ascii="Times New Roman" w:hAnsi="Times New Roman" w:cs="Times New Roman"/>
        </w:rPr>
      </w:pPr>
      <w:r>
        <w:rPr>
          <w:rFonts w:ascii="Times New Roman" w:hAnsi="Times New Roman" w:cs="Times New Roman"/>
        </w:rPr>
        <w:t>Please tick (</w:t>
      </w:r>
      <w:r>
        <w:rPr>
          <w:rFonts w:ascii="Segoe UI Symbol" w:hAnsi="Segoe UI Symbol" w:cs="Segoe UI Symbol"/>
        </w:rPr>
        <w:t>✓</w:t>
      </w:r>
      <w:r>
        <w:rPr>
          <w:rFonts w:ascii="Times New Roman" w:hAnsi="Times New Roman" w:cs="Times New Roman"/>
        </w:rPr>
        <w:t>) or fill as appropriate in the space provided</w:t>
      </w:r>
    </w:p>
    <w:p w14:paraId="0A2375AE">
      <w:pPr>
        <w:spacing w:line="360" w:lineRule="auto"/>
        <w:rPr>
          <w:rFonts w:ascii="Times New Roman" w:hAnsi="Times New Roman" w:cs="Times New Roman"/>
        </w:rPr>
      </w:pPr>
      <w:r>
        <w:rPr>
          <w:rFonts w:ascii="Times New Roman" w:hAnsi="Times New Roman" w:cs="Times New Roman"/>
          <w:b/>
          <w:bCs/>
        </w:rPr>
        <w:t>2.3.1</w:t>
      </w:r>
      <w:r>
        <w:rPr>
          <w:rFonts w:ascii="Times New Roman" w:hAnsi="Times New Roman" w:cs="Times New Roman"/>
        </w:rPr>
        <w:t xml:space="preserve"> Which cost estimation techniques are most commonly used by Quantity Surveyors in agro-processing projects? (Select all that apply)</w:t>
      </w:r>
      <w:r>
        <w:rPr>
          <w:rFonts w:ascii="Times New Roman" w:hAnsi="Times New Roman" w:cs="Times New Roman"/>
        </w:rPr>
        <w:br w:type="textWrapping"/>
      </w:r>
      <w:r>
        <w:rPr>
          <w:rFonts w:ascii="Times New Roman" w:hAnsi="Times New Roman" w:cs="Times New Roman"/>
        </w:rPr>
        <w:t xml:space="preserve">          Elemental cost planning</w:t>
      </w:r>
      <w:r>
        <w:rPr>
          <w:rFonts w:ascii="Times New Roman" w:hAnsi="Times New Roman" w:cs="Times New Roman"/>
        </w:rPr>
        <w:br w:type="textWrapping"/>
      </w:r>
      <w:r>
        <w:rPr>
          <w:rFonts w:ascii="Times New Roman" w:hAnsi="Times New Roman" w:cs="Times New Roman"/>
        </w:rPr>
        <w:t xml:space="preserve">           Unit rate pricing</w:t>
      </w:r>
      <w:r>
        <w:rPr>
          <w:rFonts w:ascii="Times New Roman" w:hAnsi="Times New Roman" w:cs="Times New Roman"/>
        </w:rPr>
        <w:br w:type="textWrapping"/>
      </w:r>
      <w:r>
        <w:rPr>
          <w:rFonts w:ascii="Times New Roman" w:hAnsi="Times New Roman" w:cs="Times New Roman"/>
        </w:rPr>
        <w:t xml:space="preserve">           Parametric estimating</w:t>
      </w:r>
      <w:r>
        <w:rPr>
          <w:rFonts w:ascii="Times New Roman" w:hAnsi="Times New Roman" w:cs="Times New Roman"/>
        </w:rPr>
        <w:br w:type="textWrapping"/>
      </w:r>
      <w:r>
        <w:rPr>
          <w:rFonts w:ascii="Times New Roman" w:hAnsi="Times New Roman" w:cs="Times New Roman"/>
        </w:rPr>
        <w:t xml:space="preserve">           Bill of Quantities (BoQ)-based estimates</w:t>
      </w:r>
      <w:r>
        <w:rPr>
          <w:rFonts w:ascii="Times New Roman" w:hAnsi="Times New Roman" w:cs="Times New Roman"/>
        </w:rPr>
        <w:br w:type="textWrapping"/>
      </w:r>
      <w:r>
        <w:rPr>
          <w:rFonts w:ascii="Times New Roman" w:hAnsi="Times New Roman" w:cs="Times New Roman"/>
        </w:rPr>
        <w:t xml:space="preserve">            Historical data benchmarking</w:t>
      </w:r>
      <w:r>
        <w:rPr>
          <w:rFonts w:ascii="Times New Roman" w:hAnsi="Times New Roman" w:cs="Times New Roman"/>
        </w:rPr>
        <w:br w:type="textWrapping"/>
      </w:r>
      <w:r>
        <w:rPr>
          <w:rFonts w:ascii="Times New Roman" w:hAnsi="Times New Roman" w:cs="Times New Roman"/>
        </w:rPr>
        <w:t xml:space="preserve">            Others (please specify): ___________________________</w:t>
      </w:r>
    </w:p>
    <w:p w14:paraId="0D664418">
      <w:pPr>
        <w:spacing w:line="360" w:lineRule="auto"/>
        <w:rPr>
          <w:rFonts w:ascii="Times New Roman" w:hAnsi="Times New Roman" w:cs="Times New Roman"/>
        </w:rPr>
      </w:pPr>
      <w:r>
        <w:rPr>
          <w:rFonts w:ascii="Times New Roman" w:hAnsi="Times New Roman" w:cs="Times New Roman"/>
          <w:b/>
          <w:bCs/>
        </w:rPr>
        <w:t>2.3.2</w:t>
      </w:r>
      <w:r>
        <w:rPr>
          <w:rFonts w:ascii="Times New Roman" w:hAnsi="Times New Roman" w:cs="Times New Roman"/>
        </w:rPr>
        <w:t xml:space="preserve"> How would you rate the accuracy of these techniques in predicting actual project costs?</w:t>
      </w:r>
      <w:r>
        <w:rPr>
          <w:rFonts w:ascii="Times New Roman" w:hAnsi="Times New Roman" w:cs="Times New Roman"/>
        </w:rPr>
        <w:br w:type="textWrapping"/>
      </w:r>
      <w:r>
        <w:rPr>
          <w:rFonts w:ascii="Times New Roman" w:hAnsi="Times New Roman" w:cs="Times New Roman"/>
        </w:rPr>
        <w:t xml:space="preserve">           Very accurate      Accurate       Fairly accurate               Inaccurate       Not sure</w:t>
      </w:r>
    </w:p>
    <w:p w14:paraId="274F02D2">
      <w:pPr>
        <w:spacing w:line="360" w:lineRule="auto"/>
        <w:rPr>
          <w:rFonts w:ascii="Times New Roman" w:hAnsi="Times New Roman" w:cs="Times New Roman"/>
          <w:b/>
          <w:bCs/>
        </w:rPr>
      </w:pPr>
    </w:p>
    <w:p w14:paraId="1D2BEB50">
      <w:pPr>
        <w:spacing w:line="360" w:lineRule="auto"/>
        <w:rPr>
          <w:rFonts w:ascii="Times New Roman" w:hAnsi="Times New Roman" w:cs="Times New Roman"/>
          <w:b/>
          <w:bCs/>
        </w:rPr>
      </w:pPr>
    </w:p>
    <w:p w14:paraId="38EF184E">
      <w:pPr>
        <w:spacing w:line="360" w:lineRule="auto"/>
        <w:rPr>
          <w:rFonts w:ascii="Times New Roman" w:hAnsi="Times New Roman" w:cs="Times New Roman"/>
        </w:rPr>
      </w:pPr>
      <w:r>
        <w:rPr>
          <w:rFonts w:ascii="Times New Roman" w:hAnsi="Times New Roman" w:cs="Times New Roman"/>
          <w:b/>
          <w:bCs/>
        </w:rPr>
        <w:t>2.3.3</w:t>
      </w:r>
      <w:r>
        <w:rPr>
          <w:rFonts w:ascii="Times New Roman" w:hAnsi="Times New Roman" w:cs="Times New Roman"/>
        </w:rPr>
        <w:t xml:space="preserve"> In your experience, do cost estimation errors significantly impact agro-processing project success?</w:t>
      </w:r>
      <w:r>
        <w:rPr>
          <w:rFonts w:ascii="Times New Roman" w:hAnsi="Times New Roman" w:cs="Times New Roman"/>
        </w:rPr>
        <w:br w:type="textWrapping"/>
      </w:r>
      <w:r>
        <w:rPr>
          <w:rFonts w:ascii="Times New Roman" w:hAnsi="Times New Roman" w:cs="Times New Roman"/>
        </w:rPr>
        <w:t xml:space="preserve">          Yes                                         No                                             Not sure</w:t>
      </w:r>
      <w:r>
        <w:rPr>
          <w:rFonts w:ascii="Times New Roman" w:hAnsi="Times New Roman" w:cs="Times New Roman"/>
        </w:rPr>
        <w:br w:type="textWrapping"/>
      </w:r>
      <w:r>
        <w:rPr>
          <w:rFonts w:ascii="Times New Roman" w:hAnsi="Times New Roman" w:cs="Times New Roman"/>
        </w:rPr>
        <w:t>If yes, briefly explain: ______________________________________</w:t>
      </w:r>
    </w:p>
    <w:p w14:paraId="478443AC">
      <w:pPr>
        <w:spacing w:line="360" w:lineRule="auto"/>
        <w:rPr>
          <w:rFonts w:ascii="Times New Roman" w:hAnsi="Times New Roman" w:cs="Times New Roman"/>
        </w:rPr>
      </w:pPr>
    </w:p>
    <w:p w14:paraId="3825076F">
      <w:pPr>
        <w:spacing w:line="360" w:lineRule="auto"/>
        <w:rPr>
          <w:rFonts w:ascii="Times New Roman" w:hAnsi="Times New Roman" w:cs="Times New Roman"/>
        </w:rPr>
      </w:pPr>
    </w:p>
    <w:p w14:paraId="7F9B0104">
      <w:pPr>
        <w:spacing w:line="360" w:lineRule="auto"/>
        <w:rPr>
          <w:rFonts w:ascii="Times New Roman" w:hAnsi="Times New Roman" w:cs="Times New Roman"/>
        </w:rPr>
      </w:pPr>
      <w:r>
        <w:rPr>
          <w:rFonts w:ascii="Times New Roman" w:hAnsi="Times New Roman" w:cs="Times New Roman"/>
          <w:b/>
          <w:bCs/>
        </w:rPr>
        <w:t xml:space="preserve">2.4 Objective number four: </w:t>
      </w:r>
      <w:r>
        <w:rPr>
          <w:rFonts w:ascii="Times New Roman" w:hAnsi="Times New Roman" w:cs="Times New Roman"/>
        </w:rPr>
        <w:t>the factors limiting the involvement of quantity surveyors in the agricultural sector</w:t>
      </w:r>
    </w:p>
    <w:p w14:paraId="7882F288">
      <w:pPr>
        <w:spacing w:line="360" w:lineRule="auto"/>
        <w:rPr>
          <w:rFonts w:ascii="Times New Roman" w:hAnsi="Times New Roman" w:cs="Times New Roman"/>
        </w:rPr>
      </w:pPr>
      <w:r>
        <w:rPr>
          <w:rFonts w:ascii="Times New Roman" w:hAnsi="Times New Roman" w:cs="Times New Roman"/>
        </w:rPr>
        <w:t>Please tick (</w:t>
      </w:r>
      <w:r>
        <w:rPr>
          <w:rFonts w:ascii="Segoe UI Symbol" w:hAnsi="Segoe UI Symbol" w:cs="Segoe UI Symbol"/>
        </w:rPr>
        <w:t>✓</w:t>
      </w:r>
      <w:r>
        <w:rPr>
          <w:rFonts w:ascii="Times New Roman" w:hAnsi="Times New Roman" w:cs="Times New Roman"/>
        </w:rPr>
        <w:t>) or fill as appropriate in the space provided</w:t>
      </w:r>
    </w:p>
    <w:p w14:paraId="529F43D1">
      <w:pPr>
        <w:spacing w:line="360" w:lineRule="auto"/>
        <w:rPr>
          <w:rFonts w:ascii="Times New Roman" w:hAnsi="Times New Roman" w:cs="Times New Roman"/>
        </w:rPr>
      </w:pPr>
      <w:r>
        <w:rPr>
          <w:rFonts w:ascii="Times New Roman" w:hAnsi="Times New Roman" w:cs="Times New Roman"/>
          <w:b/>
          <w:bCs/>
        </w:rPr>
        <w:t>2.4.1</w:t>
      </w:r>
      <w:r>
        <w:rPr>
          <w:rFonts w:ascii="Times New Roman" w:hAnsi="Times New Roman" w:cs="Times New Roman"/>
        </w:rPr>
        <w:t xml:space="preserve"> What factors limit the involvement of Quantity Surveyors in agricultural processing plant projects? (Select all that apply)</w:t>
      </w:r>
      <w:r>
        <w:rPr>
          <w:rFonts w:ascii="Times New Roman" w:hAnsi="Times New Roman" w:cs="Times New Roman"/>
        </w:rPr>
        <w:br w:type="textWrapping"/>
      </w:r>
      <w:r>
        <w:rPr>
          <w:rFonts w:ascii="Times New Roman" w:hAnsi="Times New Roman" w:cs="Times New Roman"/>
        </w:rPr>
        <w:t xml:space="preserve">         Low awareness among investors/developers</w:t>
      </w:r>
      <w:r>
        <w:rPr>
          <w:rFonts w:ascii="Times New Roman" w:hAnsi="Times New Roman" w:cs="Times New Roman"/>
        </w:rPr>
        <w:br w:type="textWrapping"/>
      </w:r>
      <w:r>
        <w:rPr>
          <w:rFonts w:ascii="Times New Roman" w:hAnsi="Times New Roman" w:cs="Times New Roman"/>
        </w:rPr>
        <w:t xml:space="preserve">         Limited QS knowledge of the agro sector</w:t>
      </w:r>
      <w:r>
        <w:rPr>
          <w:rFonts w:ascii="Times New Roman" w:hAnsi="Times New Roman" w:cs="Times New Roman"/>
        </w:rPr>
        <w:br w:type="textWrapping"/>
      </w:r>
      <w:r>
        <w:rPr>
          <w:rFonts w:ascii="Times New Roman" w:hAnsi="Times New Roman" w:cs="Times New Roman"/>
        </w:rPr>
        <w:t xml:space="preserve">         Perception that QS services are expensive</w:t>
      </w:r>
      <w:r>
        <w:rPr>
          <w:rFonts w:ascii="Times New Roman" w:hAnsi="Times New Roman" w:cs="Times New Roman"/>
        </w:rPr>
        <w:br w:type="textWrapping"/>
      </w:r>
      <w:r>
        <w:rPr>
          <w:rFonts w:ascii="Times New Roman" w:hAnsi="Times New Roman" w:cs="Times New Roman"/>
        </w:rPr>
        <w:t xml:space="preserve">         Lack of institutional support or collaboration</w:t>
      </w:r>
      <w:r>
        <w:rPr>
          <w:rFonts w:ascii="Times New Roman" w:hAnsi="Times New Roman" w:cs="Times New Roman"/>
        </w:rPr>
        <w:br w:type="textWrapping"/>
      </w:r>
      <w:r>
        <w:rPr>
          <w:rFonts w:ascii="Times New Roman" w:hAnsi="Times New Roman" w:cs="Times New Roman"/>
        </w:rPr>
        <w:t xml:space="preserve">         Regulatory or policy constraints</w:t>
      </w:r>
      <w:r>
        <w:rPr>
          <w:rFonts w:ascii="Times New Roman" w:hAnsi="Times New Roman" w:cs="Times New Roman"/>
        </w:rPr>
        <w:br w:type="textWrapping"/>
      </w:r>
      <w:r>
        <w:rPr>
          <w:rFonts w:ascii="Times New Roman" w:hAnsi="Times New Roman" w:cs="Times New Roman"/>
        </w:rPr>
        <w:t xml:space="preserve">         Others (please specify): ___________________________</w:t>
      </w:r>
    </w:p>
    <w:p w14:paraId="42F97EDE">
      <w:pPr>
        <w:spacing w:line="360" w:lineRule="auto"/>
        <w:rPr>
          <w:rFonts w:ascii="Times New Roman" w:hAnsi="Times New Roman" w:cs="Times New Roman"/>
        </w:rPr>
      </w:pPr>
    </w:p>
    <w:p w14:paraId="29B73438">
      <w:pPr>
        <w:pStyle w:val="18"/>
        <w:spacing w:line="360" w:lineRule="auto"/>
        <w:rPr>
          <w:sz w:val="20"/>
          <w:szCs w:val="20"/>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w Cen MT">
    <w:panose1 w:val="020B0602020104020603"/>
    <w:charset w:val="00"/>
    <w:family w:val="swiss"/>
    <w:pitch w:val="default"/>
    <w:sig w:usb0="00000003" w:usb1="00000000" w:usb2="00000000" w:usb3="00000000" w:csb0="20000003" w:csb1="00000000"/>
  </w:font>
  <w:font w:name="华文仿宋">
    <w:altName w:val="Segoe Print"/>
    <w:panose1 w:val="00000000000000000000"/>
    <w:charset w:val="00"/>
    <w:family w:val="auto"/>
    <w:pitch w:val="default"/>
    <w:sig w:usb0="00000000" w:usb1="00000000" w:usb2="00000000" w:usb3="00000000" w:csb0="00000000" w:csb1="00000000"/>
  </w:font>
  <w:font w:name="Tw Cen MT Condensed">
    <w:panose1 w:val="020B0606020104020203"/>
    <w:charset w:val="00"/>
    <w:family w:val="swiss"/>
    <w:pitch w:val="default"/>
    <w:sig w:usb0="00000003" w:usb1="00000000" w:usb2="00000000" w:usb3="00000000" w:csb0="20000003" w:csb1="00000000"/>
  </w:font>
  <w:font w:name="Symbol">
    <w:panose1 w:val="050501020107060205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9160325"/>
      <w:docPartObj>
        <w:docPartGallery w:val="autotext"/>
      </w:docPartObj>
    </w:sdtPr>
    <w:sdtContent>
      <w:p w14:paraId="50D2C2DF">
        <w:pPr>
          <w:pStyle w:val="15"/>
          <w:jc w:val="center"/>
        </w:pPr>
        <w:r>
          <w:fldChar w:fldCharType="begin"/>
        </w:r>
        <w:r>
          <w:instrText xml:space="preserve"> PAGE   \* MERGEFORMAT </w:instrText>
        </w:r>
        <w:r>
          <w:fldChar w:fldCharType="separate"/>
        </w:r>
        <w:r>
          <w:t>2</w:t>
        </w:r>
        <w:r>
          <w:fldChar w:fldCharType="end"/>
        </w:r>
      </w:p>
    </w:sdtContent>
  </w:sdt>
  <w:p w14:paraId="23E4A590">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5929E7"/>
    <w:multiLevelType w:val="multilevel"/>
    <w:tmpl w:val="E65929E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08CC26A7"/>
    <w:multiLevelType w:val="multilevel"/>
    <w:tmpl w:val="08CC26A7"/>
    <w:lvl w:ilvl="0" w:tentative="0">
      <w:start w:val="2"/>
      <w:numFmt w:val="decimal"/>
      <w:lvlText w:val="%1"/>
      <w:lvlJc w:val="left"/>
      <w:pPr>
        <w:ind w:left="600" w:hanging="600"/>
      </w:pPr>
      <w:rPr>
        <w:rFonts w:hint="default"/>
      </w:rPr>
    </w:lvl>
    <w:lvl w:ilvl="1" w:tentative="0">
      <w:start w:val="8"/>
      <w:numFmt w:val="decimal"/>
      <w:lvlText w:val="%1.%2"/>
      <w:lvlJc w:val="left"/>
      <w:pPr>
        <w:ind w:left="600" w:hanging="600"/>
      </w:pPr>
      <w:rPr>
        <w:rFonts w:hint="default"/>
      </w:rPr>
    </w:lvl>
    <w:lvl w:ilvl="2" w:tentative="0">
      <w:start w:val="1"/>
      <w:numFmt w:val="decimal"/>
      <w:lvlText w:val="%1.%2.%3"/>
      <w:lvlJc w:val="left"/>
      <w:pPr>
        <w:ind w:left="126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1D155DA0"/>
    <w:multiLevelType w:val="multilevel"/>
    <w:tmpl w:val="1D155DA0"/>
    <w:lvl w:ilvl="0" w:tentative="0">
      <w:start w:val="2"/>
      <w:numFmt w:val="decimal"/>
      <w:lvlText w:val="%1"/>
      <w:lvlJc w:val="left"/>
      <w:pPr>
        <w:ind w:left="600" w:hanging="600"/>
      </w:pPr>
      <w:rPr>
        <w:rFonts w:hint="default"/>
      </w:rPr>
    </w:lvl>
    <w:lvl w:ilvl="1" w:tentative="0">
      <w:start w:val="8"/>
      <w:numFmt w:val="decimal"/>
      <w:lvlText w:val="%1.%2"/>
      <w:lvlJc w:val="left"/>
      <w:pPr>
        <w:ind w:left="600" w:hanging="600"/>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2BE82BF7"/>
    <w:multiLevelType w:val="multilevel"/>
    <w:tmpl w:val="2BE82B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F602839"/>
    <w:multiLevelType w:val="multilevel"/>
    <w:tmpl w:val="2F602839"/>
    <w:lvl w:ilvl="0" w:tentative="0">
      <w:start w:val="50"/>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93E35E1"/>
    <w:multiLevelType w:val="multilevel"/>
    <w:tmpl w:val="393E35E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4AE74F32"/>
    <w:multiLevelType w:val="multilevel"/>
    <w:tmpl w:val="4AE74F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506150D"/>
    <w:multiLevelType w:val="multilevel"/>
    <w:tmpl w:val="5506150D"/>
    <w:lvl w:ilvl="0" w:tentative="0">
      <w:start w:val="1"/>
      <w:numFmt w:val="decimal"/>
      <w:lvlText w:val="%1."/>
      <w:lvlJc w:val="left"/>
      <w:pPr>
        <w:ind w:left="360" w:hanging="360"/>
      </w:pPr>
      <w:rPr>
        <w:rFonts w:hint="default" w:eastAsia="Symbol"/>
      </w:rPr>
    </w:lvl>
    <w:lvl w:ilvl="1" w:tentative="0">
      <w:start w:val="5"/>
      <w:numFmt w:val="decimal"/>
      <w:isLgl/>
      <w:lvlText w:val="%1.%2."/>
      <w:lvlJc w:val="left"/>
      <w:pPr>
        <w:ind w:left="600" w:hanging="60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8">
    <w:nsid w:val="6FA00EB8"/>
    <w:multiLevelType w:val="multilevel"/>
    <w:tmpl w:val="6FA00E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797288E"/>
    <w:multiLevelType w:val="multilevel"/>
    <w:tmpl w:val="779728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7F2E4C0A"/>
    <w:multiLevelType w:val="multilevel"/>
    <w:tmpl w:val="7F2E4C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0"/>
  </w:num>
  <w:num w:numId="3">
    <w:abstractNumId w:val="1"/>
  </w:num>
  <w:num w:numId="4">
    <w:abstractNumId w:val="2"/>
  </w:num>
  <w:num w:numId="5">
    <w:abstractNumId w:val="4"/>
  </w:num>
  <w:num w:numId="6">
    <w:abstractNumId w:val="8"/>
  </w:num>
  <w:num w:numId="7">
    <w:abstractNumId w:val="9"/>
  </w:num>
  <w:num w:numId="8">
    <w:abstractNumId w:val="10"/>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92A"/>
    <w:rsid w:val="00000E21"/>
    <w:rsid w:val="00015099"/>
    <w:rsid w:val="00015E67"/>
    <w:rsid w:val="00017BB2"/>
    <w:rsid w:val="0002477F"/>
    <w:rsid w:val="000540C5"/>
    <w:rsid w:val="00063D8E"/>
    <w:rsid w:val="0009785A"/>
    <w:rsid w:val="000B0B24"/>
    <w:rsid w:val="000B67F1"/>
    <w:rsid w:val="000C2C03"/>
    <w:rsid w:val="000E3DFA"/>
    <w:rsid w:val="000E445A"/>
    <w:rsid w:val="000F27E9"/>
    <w:rsid w:val="000F7A7A"/>
    <w:rsid w:val="001003F2"/>
    <w:rsid w:val="001279F0"/>
    <w:rsid w:val="001351E8"/>
    <w:rsid w:val="00141A7A"/>
    <w:rsid w:val="00156DA7"/>
    <w:rsid w:val="001A238E"/>
    <w:rsid w:val="001B121C"/>
    <w:rsid w:val="001D374F"/>
    <w:rsid w:val="001E70A7"/>
    <w:rsid w:val="001F2ADD"/>
    <w:rsid w:val="001F703D"/>
    <w:rsid w:val="00222B90"/>
    <w:rsid w:val="00230758"/>
    <w:rsid w:val="002747E3"/>
    <w:rsid w:val="002776A9"/>
    <w:rsid w:val="00294EF1"/>
    <w:rsid w:val="002A630C"/>
    <w:rsid w:val="002A729D"/>
    <w:rsid w:val="002D57C8"/>
    <w:rsid w:val="003021C5"/>
    <w:rsid w:val="00317054"/>
    <w:rsid w:val="00340269"/>
    <w:rsid w:val="00342522"/>
    <w:rsid w:val="003563B9"/>
    <w:rsid w:val="00357577"/>
    <w:rsid w:val="003A78B5"/>
    <w:rsid w:val="003C2039"/>
    <w:rsid w:val="003C62DA"/>
    <w:rsid w:val="003C7C87"/>
    <w:rsid w:val="003D06FF"/>
    <w:rsid w:val="003E42AC"/>
    <w:rsid w:val="0041515D"/>
    <w:rsid w:val="00427422"/>
    <w:rsid w:val="00434411"/>
    <w:rsid w:val="004420C5"/>
    <w:rsid w:val="00444B85"/>
    <w:rsid w:val="004728E1"/>
    <w:rsid w:val="00473E96"/>
    <w:rsid w:val="00485D7D"/>
    <w:rsid w:val="00487850"/>
    <w:rsid w:val="00496CD7"/>
    <w:rsid w:val="004D5088"/>
    <w:rsid w:val="00500EBD"/>
    <w:rsid w:val="00500F59"/>
    <w:rsid w:val="00510768"/>
    <w:rsid w:val="00513D76"/>
    <w:rsid w:val="005264AD"/>
    <w:rsid w:val="00526634"/>
    <w:rsid w:val="0055575D"/>
    <w:rsid w:val="00561C2B"/>
    <w:rsid w:val="00577122"/>
    <w:rsid w:val="005957EA"/>
    <w:rsid w:val="00596B3F"/>
    <w:rsid w:val="005A1225"/>
    <w:rsid w:val="005A7743"/>
    <w:rsid w:val="005A7D88"/>
    <w:rsid w:val="005D54AA"/>
    <w:rsid w:val="005F3C32"/>
    <w:rsid w:val="005F4D81"/>
    <w:rsid w:val="005F65EA"/>
    <w:rsid w:val="005F6C87"/>
    <w:rsid w:val="006241EF"/>
    <w:rsid w:val="00630BB9"/>
    <w:rsid w:val="00636F0B"/>
    <w:rsid w:val="006403E7"/>
    <w:rsid w:val="0065212F"/>
    <w:rsid w:val="0065634A"/>
    <w:rsid w:val="0068090E"/>
    <w:rsid w:val="00683788"/>
    <w:rsid w:val="006A5017"/>
    <w:rsid w:val="006A594E"/>
    <w:rsid w:val="006A7D22"/>
    <w:rsid w:val="006B3F88"/>
    <w:rsid w:val="006B4FE0"/>
    <w:rsid w:val="006B7C5D"/>
    <w:rsid w:val="006D348B"/>
    <w:rsid w:val="006E0165"/>
    <w:rsid w:val="007058E3"/>
    <w:rsid w:val="007066D7"/>
    <w:rsid w:val="00713A9D"/>
    <w:rsid w:val="00720983"/>
    <w:rsid w:val="00721BD9"/>
    <w:rsid w:val="00722AD6"/>
    <w:rsid w:val="00742762"/>
    <w:rsid w:val="00755F25"/>
    <w:rsid w:val="007652CE"/>
    <w:rsid w:val="00775459"/>
    <w:rsid w:val="007A1831"/>
    <w:rsid w:val="007B3DEE"/>
    <w:rsid w:val="007B6435"/>
    <w:rsid w:val="00831EBD"/>
    <w:rsid w:val="0083461D"/>
    <w:rsid w:val="0083464F"/>
    <w:rsid w:val="00844A8E"/>
    <w:rsid w:val="00862C60"/>
    <w:rsid w:val="008722BB"/>
    <w:rsid w:val="00874056"/>
    <w:rsid w:val="008815A2"/>
    <w:rsid w:val="008B7B2A"/>
    <w:rsid w:val="008C20B7"/>
    <w:rsid w:val="008C3BCB"/>
    <w:rsid w:val="008C68A2"/>
    <w:rsid w:val="008F17E7"/>
    <w:rsid w:val="009012D1"/>
    <w:rsid w:val="009073A0"/>
    <w:rsid w:val="009468DF"/>
    <w:rsid w:val="00952C3C"/>
    <w:rsid w:val="00962E99"/>
    <w:rsid w:val="00983C8E"/>
    <w:rsid w:val="009908C4"/>
    <w:rsid w:val="009A4F6C"/>
    <w:rsid w:val="009B6622"/>
    <w:rsid w:val="00A0009D"/>
    <w:rsid w:val="00A0424F"/>
    <w:rsid w:val="00A14AEB"/>
    <w:rsid w:val="00A460C7"/>
    <w:rsid w:val="00A66E85"/>
    <w:rsid w:val="00A824A5"/>
    <w:rsid w:val="00AB5EAD"/>
    <w:rsid w:val="00AB64DB"/>
    <w:rsid w:val="00AD3171"/>
    <w:rsid w:val="00AD6078"/>
    <w:rsid w:val="00AF1C1F"/>
    <w:rsid w:val="00AF593E"/>
    <w:rsid w:val="00B038BD"/>
    <w:rsid w:val="00B164BA"/>
    <w:rsid w:val="00B2681A"/>
    <w:rsid w:val="00B401C3"/>
    <w:rsid w:val="00B537C6"/>
    <w:rsid w:val="00B65091"/>
    <w:rsid w:val="00B704B1"/>
    <w:rsid w:val="00BB492A"/>
    <w:rsid w:val="00C07904"/>
    <w:rsid w:val="00C200EB"/>
    <w:rsid w:val="00C4783D"/>
    <w:rsid w:val="00C553B1"/>
    <w:rsid w:val="00C62C4A"/>
    <w:rsid w:val="00C828DE"/>
    <w:rsid w:val="00C84D76"/>
    <w:rsid w:val="00C961D3"/>
    <w:rsid w:val="00CA0463"/>
    <w:rsid w:val="00CA1B65"/>
    <w:rsid w:val="00CC38CE"/>
    <w:rsid w:val="00CF0109"/>
    <w:rsid w:val="00D02487"/>
    <w:rsid w:val="00D07ED1"/>
    <w:rsid w:val="00D10DBD"/>
    <w:rsid w:val="00D14CA9"/>
    <w:rsid w:val="00D41801"/>
    <w:rsid w:val="00D43F2F"/>
    <w:rsid w:val="00D5083F"/>
    <w:rsid w:val="00D51932"/>
    <w:rsid w:val="00D7317C"/>
    <w:rsid w:val="00D74594"/>
    <w:rsid w:val="00D829B9"/>
    <w:rsid w:val="00DA63AE"/>
    <w:rsid w:val="00DA6AA6"/>
    <w:rsid w:val="00DB36FD"/>
    <w:rsid w:val="00DD5474"/>
    <w:rsid w:val="00E127EF"/>
    <w:rsid w:val="00E26A1C"/>
    <w:rsid w:val="00E477E1"/>
    <w:rsid w:val="00E64E96"/>
    <w:rsid w:val="00EA125F"/>
    <w:rsid w:val="00EB22AC"/>
    <w:rsid w:val="00EB3ACC"/>
    <w:rsid w:val="00EB5531"/>
    <w:rsid w:val="00EB5B03"/>
    <w:rsid w:val="00EC005A"/>
    <w:rsid w:val="00ED5B8B"/>
    <w:rsid w:val="00EF79FB"/>
    <w:rsid w:val="00F2699B"/>
    <w:rsid w:val="00F40C3B"/>
    <w:rsid w:val="00F43CEC"/>
    <w:rsid w:val="00F4551F"/>
    <w:rsid w:val="00F53F4A"/>
    <w:rsid w:val="00F81601"/>
    <w:rsid w:val="00F94130"/>
    <w:rsid w:val="00F94474"/>
    <w:rsid w:val="00FA75BA"/>
    <w:rsid w:val="00FC2435"/>
    <w:rsid w:val="00FD0D4A"/>
    <w:rsid w:val="00FF7883"/>
    <w:rsid w:val="0C2C2248"/>
    <w:rsid w:val="18E13860"/>
    <w:rsid w:val="6AE00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en-US" w:bidi="ar-SA"/>
    </w:rPr>
  </w:style>
  <w:style w:type="paragraph" w:styleId="2">
    <w:name w:val="heading 1"/>
    <w:basedOn w:val="1"/>
    <w:next w:val="1"/>
    <w:link w:val="36"/>
    <w:autoRedefine/>
    <w:qFormat/>
    <w:uiPriority w:val="9"/>
    <w:pPr>
      <w:keepNext/>
      <w:keepLines/>
      <w:spacing w:before="320"/>
      <w:jc w:val="center"/>
      <w:outlineLvl w:val="0"/>
    </w:pPr>
    <w:rPr>
      <w:rFonts w:ascii="Times New Roman" w:hAnsi="Times New Roman" w:eastAsiaTheme="majorEastAsia" w:cstheme="majorBidi"/>
      <w:b/>
      <w:sz w:val="28"/>
      <w:szCs w:val="32"/>
    </w:rPr>
  </w:style>
  <w:style w:type="paragraph" w:styleId="3">
    <w:name w:val="heading 2"/>
    <w:basedOn w:val="1"/>
    <w:next w:val="1"/>
    <w:link w:val="37"/>
    <w:autoRedefine/>
    <w:unhideWhenUsed/>
    <w:qFormat/>
    <w:uiPriority w:val="9"/>
    <w:pPr>
      <w:keepNext/>
      <w:keepLines/>
      <w:spacing w:before="80"/>
      <w:outlineLvl w:val="1"/>
    </w:pPr>
    <w:rPr>
      <w:rFonts w:ascii="Times New Roman" w:hAnsi="Times New Roman" w:cs="Times New Roman" w:eastAsiaTheme="majorEastAsia"/>
      <w:b/>
      <w:bCs/>
      <w:color w:val="404040" w:themeColor="text1" w:themeTint="BF"/>
      <w:sz w:val="28"/>
      <w:szCs w:val="28"/>
      <w14:textFill>
        <w14:solidFill>
          <w14:schemeClr w14:val="tx1">
            <w14:lumMod w14:val="75000"/>
            <w14:lumOff w14:val="25000"/>
          </w14:schemeClr>
        </w14:solidFill>
      </w14:textFill>
    </w:rPr>
  </w:style>
  <w:style w:type="paragraph" w:styleId="4">
    <w:name w:val="heading 3"/>
    <w:basedOn w:val="1"/>
    <w:next w:val="1"/>
    <w:link w:val="35"/>
    <w:autoRedefine/>
    <w:unhideWhenUsed/>
    <w:qFormat/>
    <w:uiPriority w:val="9"/>
    <w:pPr>
      <w:spacing w:before="40" w:line="360" w:lineRule="auto"/>
      <w:outlineLvl w:val="2"/>
    </w:pPr>
    <w:rPr>
      <w:rFonts w:ascii="Times New Roman" w:hAnsi="Times New Roman" w:cs="Times New Roman" w:eastAsiaTheme="majorEastAsia"/>
      <w:sz w:val="28"/>
      <w:szCs w:val="28"/>
    </w:rPr>
  </w:style>
  <w:style w:type="paragraph" w:styleId="5">
    <w:name w:val="heading 4"/>
    <w:basedOn w:val="1"/>
    <w:next w:val="1"/>
    <w:link w:val="38"/>
    <w:unhideWhenUsed/>
    <w:qFormat/>
    <w:uiPriority w:val="9"/>
    <w:pPr>
      <w:keepNext/>
      <w:keepLines/>
      <w:spacing w:before="40"/>
      <w:outlineLvl w:val="3"/>
    </w:pPr>
    <w:rPr>
      <w:rFonts w:asciiTheme="majorHAnsi" w:hAnsiTheme="majorHAnsi" w:eastAsiaTheme="majorEastAsia" w:cstheme="majorBidi"/>
      <w:sz w:val="22"/>
      <w:szCs w:val="22"/>
    </w:rPr>
  </w:style>
  <w:style w:type="paragraph" w:styleId="6">
    <w:name w:val="heading 5"/>
    <w:basedOn w:val="1"/>
    <w:next w:val="1"/>
    <w:link w:val="39"/>
    <w:semiHidden/>
    <w:unhideWhenUsed/>
    <w:qFormat/>
    <w:uiPriority w:val="9"/>
    <w:pPr>
      <w:keepNext/>
      <w:keepLines/>
      <w:spacing w:before="40"/>
      <w:outlineLvl w:val="4"/>
    </w:pPr>
    <w:rPr>
      <w:rFonts w:asciiTheme="majorHAnsi" w:hAnsiTheme="majorHAnsi" w:eastAsiaTheme="majorEastAsia" w:cstheme="majorBidi"/>
      <w:color w:val="335B74" w:themeColor="text2"/>
      <w:sz w:val="22"/>
      <w:szCs w:val="22"/>
      <w14:textFill>
        <w14:solidFill>
          <w14:schemeClr w14:val="tx2"/>
        </w14:solidFill>
      </w14:textFill>
    </w:rPr>
  </w:style>
  <w:style w:type="paragraph" w:styleId="7">
    <w:name w:val="heading 6"/>
    <w:basedOn w:val="1"/>
    <w:next w:val="1"/>
    <w:link w:val="40"/>
    <w:semiHidden/>
    <w:unhideWhenUsed/>
    <w:qFormat/>
    <w:uiPriority w:val="9"/>
    <w:pPr>
      <w:keepNext/>
      <w:keepLines/>
      <w:spacing w:before="40"/>
      <w:outlineLvl w:val="5"/>
    </w:pPr>
    <w:rPr>
      <w:rFonts w:asciiTheme="majorHAnsi" w:hAnsiTheme="majorHAnsi" w:eastAsiaTheme="majorEastAsia" w:cstheme="majorBidi"/>
      <w:i/>
      <w:iCs/>
      <w:color w:val="335B74" w:themeColor="text2"/>
      <w:sz w:val="21"/>
      <w:szCs w:val="21"/>
      <w14:textFill>
        <w14:solidFill>
          <w14:schemeClr w14:val="tx2"/>
        </w14:solidFill>
      </w14:textFill>
    </w:rPr>
  </w:style>
  <w:style w:type="paragraph" w:styleId="8">
    <w:name w:val="heading 7"/>
    <w:basedOn w:val="1"/>
    <w:next w:val="1"/>
    <w:link w:val="41"/>
    <w:semiHidden/>
    <w:unhideWhenUsed/>
    <w:qFormat/>
    <w:uiPriority w:val="9"/>
    <w:pPr>
      <w:keepNext/>
      <w:keepLines/>
      <w:spacing w:before="40"/>
      <w:outlineLvl w:val="6"/>
    </w:pPr>
    <w:rPr>
      <w:rFonts w:asciiTheme="majorHAnsi" w:hAnsiTheme="majorHAnsi" w:eastAsiaTheme="majorEastAsia" w:cstheme="majorBidi"/>
      <w:i/>
      <w:iCs/>
      <w:color w:val="0E5772" w:themeColor="accent1" w:themeShade="80"/>
      <w:sz w:val="21"/>
      <w:szCs w:val="21"/>
    </w:rPr>
  </w:style>
  <w:style w:type="paragraph" w:styleId="9">
    <w:name w:val="heading 8"/>
    <w:basedOn w:val="1"/>
    <w:next w:val="1"/>
    <w:link w:val="42"/>
    <w:semiHidden/>
    <w:unhideWhenUsed/>
    <w:qFormat/>
    <w:uiPriority w:val="9"/>
    <w:pPr>
      <w:keepNext/>
      <w:keepLines/>
      <w:spacing w:before="40"/>
      <w:outlineLvl w:val="7"/>
    </w:pPr>
    <w:rPr>
      <w:rFonts w:asciiTheme="majorHAnsi" w:hAnsiTheme="majorHAnsi" w:eastAsiaTheme="majorEastAsia" w:cstheme="majorBidi"/>
      <w:b/>
      <w:bCs/>
      <w:color w:val="335B74" w:themeColor="text2"/>
      <w14:textFill>
        <w14:solidFill>
          <w14:schemeClr w14:val="tx2"/>
        </w14:solidFill>
      </w14:textFill>
    </w:rPr>
  </w:style>
  <w:style w:type="paragraph" w:styleId="10">
    <w:name w:val="heading 9"/>
    <w:basedOn w:val="1"/>
    <w:next w:val="1"/>
    <w:link w:val="43"/>
    <w:semiHidden/>
    <w:unhideWhenUsed/>
    <w:qFormat/>
    <w:uiPriority w:val="9"/>
    <w:pPr>
      <w:keepNext/>
      <w:keepLines/>
      <w:spacing w:before="40"/>
      <w:outlineLvl w:val="8"/>
    </w:pPr>
    <w:rPr>
      <w:rFonts w:asciiTheme="majorHAnsi" w:hAnsiTheme="majorHAnsi" w:eastAsiaTheme="majorEastAsia" w:cstheme="majorBidi"/>
      <w:b/>
      <w:bCs/>
      <w:i/>
      <w:iCs/>
      <w:color w:val="335B74" w:themeColor="text2"/>
      <w14:textFill>
        <w14:solidFill>
          <w14:schemeClr w14:val="tx2"/>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caption"/>
    <w:basedOn w:val="1"/>
    <w:next w:val="1"/>
    <w:semiHidden/>
    <w:unhideWhenUsed/>
    <w:qFormat/>
    <w:uiPriority w:val="35"/>
    <w:rPr>
      <w:b/>
      <w:bCs/>
      <w:smallCaps/>
      <w:color w:val="595959" w:themeColor="text1" w:themeTint="A6"/>
      <w:spacing w:val="6"/>
      <w14:textFill>
        <w14:solidFill>
          <w14:schemeClr w14:val="tx1">
            <w14:lumMod w14:val="65000"/>
            <w14:lumOff w14:val="35000"/>
          </w14:schemeClr>
        </w14:solidFill>
      </w14:textFill>
    </w:rPr>
  </w:style>
  <w:style w:type="character" w:styleId="14">
    <w:name w:val="Emphasis"/>
    <w:basedOn w:val="11"/>
    <w:qFormat/>
    <w:uiPriority w:val="20"/>
    <w:rPr>
      <w:i/>
      <w:iCs/>
    </w:rPr>
  </w:style>
  <w:style w:type="paragraph" w:styleId="15">
    <w:name w:val="footer"/>
    <w:basedOn w:val="1"/>
    <w:link w:val="33"/>
    <w:unhideWhenUsed/>
    <w:qFormat/>
    <w:uiPriority w:val="99"/>
    <w:pPr>
      <w:tabs>
        <w:tab w:val="center" w:pos="4680"/>
        <w:tab w:val="right" w:pos="9360"/>
      </w:tabs>
    </w:pPr>
  </w:style>
  <w:style w:type="paragraph" w:styleId="16">
    <w:name w:val="header"/>
    <w:basedOn w:val="1"/>
    <w:link w:val="32"/>
    <w:unhideWhenUsed/>
    <w:qFormat/>
    <w:uiPriority w:val="99"/>
    <w:pPr>
      <w:tabs>
        <w:tab w:val="center" w:pos="4680"/>
        <w:tab w:val="right" w:pos="9360"/>
      </w:tabs>
    </w:pPr>
  </w:style>
  <w:style w:type="character" w:styleId="17">
    <w:name w:val="Hyperlink"/>
    <w:basedOn w:val="11"/>
    <w:unhideWhenUsed/>
    <w:qFormat/>
    <w:uiPriority w:val="99"/>
    <w:rPr>
      <w:color w:val="0000FF"/>
      <w:u w:val="single"/>
    </w:rPr>
  </w:style>
  <w:style w:type="paragraph" w:styleId="18">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19">
    <w:name w:val="Strong"/>
    <w:basedOn w:val="11"/>
    <w:qFormat/>
    <w:uiPriority w:val="22"/>
    <w:rPr>
      <w:b/>
      <w:bCs/>
    </w:rPr>
  </w:style>
  <w:style w:type="paragraph" w:styleId="20">
    <w:name w:val="Subtitle"/>
    <w:basedOn w:val="1"/>
    <w:next w:val="1"/>
    <w:link w:val="45"/>
    <w:qFormat/>
    <w:uiPriority w:val="11"/>
    <w:rPr>
      <w:rFonts w:asciiTheme="majorHAnsi" w:hAnsiTheme="majorHAnsi" w:eastAsiaTheme="majorEastAsia" w:cstheme="majorBidi"/>
      <w:sz w:val="24"/>
      <w:szCs w:val="24"/>
    </w:rPr>
  </w:style>
  <w:style w:type="paragraph" w:styleId="21">
    <w:name w:val="Title"/>
    <w:basedOn w:val="1"/>
    <w:next w:val="1"/>
    <w:link w:val="44"/>
    <w:qFormat/>
    <w:uiPriority w:val="10"/>
    <w:pPr>
      <w:contextualSpacing/>
    </w:pPr>
    <w:rPr>
      <w:rFonts w:asciiTheme="majorHAnsi" w:hAnsiTheme="majorHAnsi" w:eastAsiaTheme="majorEastAsia" w:cstheme="majorBidi"/>
      <w:color w:val="1CADE4" w:themeColor="accent1"/>
      <w:spacing w:val="-10"/>
      <w:sz w:val="56"/>
      <w:szCs w:val="56"/>
      <w14:textFill>
        <w14:solidFill>
          <w14:schemeClr w14:val="accent1"/>
        </w14:solidFill>
      </w14:textFill>
    </w:rPr>
  </w:style>
  <w:style w:type="paragraph" w:styleId="22">
    <w:name w:val="toc 1"/>
    <w:basedOn w:val="1"/>
    <w:next w:val="1"/>
    <w:autoRedefine/>
    <w:unhideWhenUsed/>
    <w:qFormat/>
    <w:uiPriority w:val="39"/>
    <w:pPr>
      <w:spacing w:after="100" w:line="264" w:lineRule="auto"/>
    </w:pPr>
  </w:style>
  <w:style w:type="paragraph" w:styleId="23">
    <w:name w:val="toc 2"/>
    <w:basedOn w:val="1"/>
    <w:next w:val="1"/>
    <w:autoRedefine/>
    <w:unhideWhenUsed/>
    <w:qFormat/>
    <w:uiPriority w:val="39"/>
    <w:pPr>
      <w:spacing w:after="100" w:line="264" w:lineRule="auto"/>
      <w:ind w:left="200"/>
    </w:pPr>
  </w:style>
  <w:style w:type="paragraph" w:styleId="24">
    <w:name w:val="toc 3"/>
    <w:basedOn w:val="1"/>
    <w:next w:val="1"/>
    <w:autoRedefine/>
    <w:unhideWhenUsed/>
    <w:qFormat/>
    <w:uiPriority w:val="39"/>
    <w:pPr>
      <w:spacing w:after="100" w:line="264" w:lineRule="auto"/>
      <w:ind w:left="400"/>
    </w:pPr>
  </w:style>
  <w:style w:type="paragraph" w:styleId="25">
    <w:name w:val="toc 4"/>
    <w:basedOn w:val="1"/>
    <w:next w:val="1"/>
    <w:autoRedefine/>
    <w:unhideWhenUsed/>
    <w:qFormat/>
    <w:uiPriority w:val="39"/>
    <w:pPr>
      <w:spacing w:after="100" w:line="278" w:lineRule="auto"/>
      <w:ind w:left="720"/>
    </w:pPr>
    <w:rPr>
      <w:kern w:val="2"/>
      <w:sz w:val="24"/>
      <w:szCs w:val="24"/>
      <w14:ligatures w14:val="standardContextual"/>
    </w:rPr>
  </w:style>
  <w:style w:type="paragraph" w:styleId="26">
    <w:name w:val="toc 5"/>
    <w:basedOn w:val="1"/>
    <w:next w:val="1"/>
    <w:autoRedefine/>
    <w:unhideWhenUsed/>
    <w:qFormat/>
    <w:uiPriority w:val="39"/>
    <w:pPr>
      <w:spacing w:after="100" w:line="278" w:lineRule="auto"/>
      <w:ind w:left="960"/>
    </w:pPr>
    <w:rPr>
      <w:kern w:val="2"/>
      <w:sz w:val="24"/>
      <w:szCs w:val="24"/>
      <w14:ligatures w14:val="standardContextual"/>
    </w:rPr>
  </w:style>
  <w:style w:type="paragraph" w:styleId="27">
    <w:name w:val="toc 6"/>
    <w:basedOn w:val="1"/>
    <w:next w:val="1"/>
    <w:autoRedefine/>
    <w:unhideWhenUsed/>
    <w:qFormat/>
    <w:uiPriority w:val="39"/>
    <w:pPr>
      <w:spacing w:after="100" w:line="278" w:lineRule="auto"/>
      <w:ind w:left="1200"/>
    </w:pPr>
    <w:rPr>
      <w:kern w:val="2"/>
      <w:sz w:val="24"/>
      <w:szCs w:val="24"/>
      <w14:ligatures w14:val="standardContextual"/>
    </w:rPr>
  </w:style>
  <w:style w:type="paragraph" w:styleId="28">
    <w:name w:val="toc 7"/>
    <w:basedOn w:val="1"/>
    <w:next w:val="1"/>
    <w:autoRedefine/>
    <w:unhideWhenUsed/>
    <w:qFormat/>
    <w:uiPriority w:val="39"/>
    <w:pPr>
      <w:spacing w:after="100" w:line="278" w:lineRule="auto"/>
      <w:ind w:left="1440"/>
    </w:pPr>
    <w:rPr>
      <w:kern w:val="2"/>
      <w:sz w:val="24"/>
      <w:szCs w:val="24"/>
      <w14:ligatures w14:val="standardContextual"/>
    </w:rPr>
  </w:style>
  <w:style w:type="paragraph" w:styleId="29">
    <w:name w:val="toc 8"/>
    <w:basedOn w:val="1"/>
    <w:next w:val="1"/>
    <w:autoRedefine/>
    <w:unhideWhenUsed/>
    <w:qFormat/>
    <w:uiPriority w:val="39"/>
    <w:pPr>
      <w:spacing w:after="100" w:line="278" w:lineRule="auto"/>
      <w:ind w:left="1680"/>
    </w:pPr>
    <w:rPr>
      <w:kern w:val="2"/>
      <w:sz w:val="24"/>
      <w:szCs w:val="24"/>
      <w14:ligatures w14:val="standardContextual"/>
    </w:rPr>
  </w:style>
  <w:style w:type="paragraph" w:styleId="30">
    <w:name w:val="toc 9"/>
    <w:basedOn w:val="1"/>
    <w:next w:val="1"/>
    <w:autoRedefine/>
    <w:unhideWhenUsed/>
    <w:qFormat/>
    <w:uiPriority w:val="39"/>
    <w:pPr>
      <w:spacing w:after="100" w:line="278" w:lineRule="auto"/>
      <w:ind w:left="1920"/>
    </w:pPr>
    <w:rPr>
      <w:kern w:val="2"/>
      <w:sz w:val="24"/>
      <w:szCs w:val="24"/>
      <w14:ligatures w14:val="standardContextual"/>
    </w:rPr>
  </w:style>
  <w:style w:type="paragraph" w:customStyle="1" w:styleId="31">
    <w:name w:val="Normal1"/>
    <w:qFormat/>
    <w:uiPriority w:val="0"/>
    <w:pPr>
      <w:spacing w:line="276" w:lineRule="auto"/>
    </w:pPr>
    <w:rPr>
      <w:rFonts w:ascii="Arial" w:hAnsi="Arial" w:eastAsia="Arial" w:cs="Arial"/>
      <w:lang w:val="en-US" w:eastAsia="en-US" w:bidi="ar-SA"/>
    </w:rPr>
  </w:style>
  <w:style w:type="character" w:customStyle="1" w:styleId="32">
    <w:name w:val="Header Char"/>
    <w:basedOn w:val="11"/>
    <w:link w:val="16"/>
    <w:qFormat/>
    <w:uiPriority w:val="99"/>
  </w:style>
  <w:style w:type="character" w:customStyle="1" w:styleId="33">
    <w:name w:val="Footer Char"/>
    <w:basedOn w:val="11"/>
    <w:link w:val="15"/>
    <w:qFormat/>
    <w:uiPriority w:val="99"/>
  </w:style>
  <w:style w:type="paragraph" w:styleId="34">
    <w:name w:val="List Paragraph"/>
    <w:basedOn w:val="1"/>
    <w:qFormat/>
    <w:uiPriority w:val="34"/>
    <w:pPr>
      <w:ind w:left="720"/>
      <w:contextualSpacing/>
    </w:pPr>
  </w:style>
  <w:style w:type="character" w:customStyle="1" w:styleId="35">
    <w:name w:val="Heading 3 Char"/>
    <w:basedOn w:val="11"/>
    <w:link w:val="4"/>
    <w:qFormat/>
    <w:uiPriority w:val="9"/>
    <w:rPr>
      <w:rFonts w:eastAsiaTheme="majorEastAsia"/>
      <w:sz w:val="28"/>
      <w:szCs w:val="28"/>
    </w:rPr>
  </w:style>
  <w:style w:type="character" w:customStyle="1" w:styleId="36">
    <w:name w:val="Heading 1 Char"/>
    <w:basedOn w:val="11"/>
    <w:link w:val="2"/>
    <w:qFormat/>
    <w:uiPriority w:val="9"/>
    <w:rPr>
      <w:rFonts w:eastAsiaTheme="majorEastAsia" w:cstheme="majorBidi"/>
      <w:b/>
      <w:sz w:val="28"/>
      <w:szCs w:val="32"/>
    </w:rPr>
  </w:style>
  <w:style w:type="character" w:customStyle="1" w:styleId="37">
    <w:name w:val="Heading 2 Char"/>
    <w:basedOn w:val="11"/>
    <w:link w:val="3"/>
    <w:qFormat/>
    <w:uiPriority w:val="9"/>
    <w:rPr>
      <w:rFonts w:eastAsiaTheme="majorEastAsia"/>
      <w:b/>
      <w:bCs/>
      <w:color w:val="404040" w:themeColor="text1" w:themeTint="BF"/>
      <w:sz w:val="28"/>
      <w:szCs w:val="28"/>
      <w14:textFill>
        <w14:solidFill>
          <w14:schemeClr w14:val="tx1">
            <w14:lumMod w14:val="75000"/>
            <w14:lumOff w14:val="25000"/>
          </w14:schemeClr>
        </w14:solidFill>
      </w14:textFill>
    </w:rPr>
  </w:style>
  <w:style w:type="character" w:customStyle="1" w:styleId="38">
    <w:name w:val="Heading 4 Char"/>
    <w:basedOn w:val="11"/>
    <w:link w:val="5"/>
    <w:qFormat/>
    <w:uiPriority w:val="9"/>
    <w:rPr>
      <w:rFonts w:asciiTheme="majorHAnsi" w:hAnsiTheme="majorHAnsi" w:eastAsiaTheme="majorEastAsia" w:cstheme="majorBidi"/>
      <w:sz w:val="22"/>
      <w:szCs w:val="22"/>
    </w:rPr>
  </w:style>
  <w:style w:type="character" w:customStyle="1" w:styleId="39">
    <w:name w:val="Heading 5 Char"/>
    <w:basedOn w:val="11"/>
    <w:link w:val="6"/>
    <w:semiHidden/>
    <w:qFormat/>
    <w:uiPriority w:val="9"/>
    <w:rPr>
      <w:rFonts w:asciiTheme="majorHAnsi" w:hAnsiTheme="majorHAnsi" w:eastAsiaTheme="majorEastAsia" w:cstheme="majorBidi"/>
      <w:color w:val="335B74" w:themeColor="text2"/>
      <w:sz w:val="22"/>
      <w:szCs w:val="22"/>
      <w14:textFill>
        <w14:solidFill>
          <w14:schemeClr w14:val="tx2"/>
        </w14:solidFill>
      </w14:textFill>
    </w:rPr>
  </w:style>
  <w:style w:type="character" w:customStyle="1" w:styleId="40">
    <w:name w:val="Heading 6 Char"/>
    <w:basedOn w:val="11"/>
    <w:link w:val="7"/>
    <w:semiHidden/>
    <w:qFormat/>
    <w:uiPriority w:val="9"/>
    <w:rPr>
      <w:rFonts w:asciiTheme="majorHAnsi" w:hAnsiTheme="majorHAnsi" w:eastAsiaTheme="majorEastAsia" w:cstheme="majorBidi"/>
      <w:i/>
      <w:iCs/>
      <w:color w:val="335B74" w:themeColor="text2"/>
      <w:sz w:val="21"/>
      <w:szCs w:val="21"/>
      <w14:textFill>
        <w14:solidFill>
          <w14:schemeClr w14:val="tx2"/>
        </w14:solidFill>
      </w14:textFill>
    </w:rPr>
  </w:style>
  <w:style w:type="character" w:customStyle="1" w:styleId="41">
    <w:name w:val="Heading 7 Char"/>
    <w:basedOn w:val="11"/>
    <w:link w:val="8"/>
    <w:semiHidden/>
    <w:qFormat/>
    <w:uiPriority w:val="9"/>
    <w:rPr>
      <w:rFonts w:asciiTheme="majorHAnsi" w:hAnsiTheme="majorHAnsi" w:eastAsiaTheme="majorEastAsia" w:cstheme="majorBidi"/>
      <w:i/>
      <w:iCs/>
      <w:color w:val="0E5772" w:themeColor="accent1" w:themeShade="80"/>
      <w:sz w:val="21"/>
      <w:szCs w:val="21"/>
    </w:rPr>
  </w:style>
  <w:style w:type="character" w:customStyle="1" w:styleId="42">
    <w:name w:val="Heading 8 Char"/>
    <w:basedOn w:val="11"/>
    <w:link w:val="9"/>
    <w:semiHidden/>
    <w:qFormat/>
    <w:uiPriority w:val="9"/>
    <w:rPr>
      <w:rFonts w:asciiTheme="majorHAnsi" w:hAnsiTheme="majorHAnsi" w:eastAsiaTheme="majorEastAsia" w:cstheme="majorBidi"/>
      <w:b/>
      <w:bCs/>
      <w:color w:val="335B74" w:themeColor="text2"/>
      <w14:textFill>
        <w14:solidFill>
          <w14:schemeClr w14:val="tx2"/>
        </w14:solidFill>
      </w14:textFill>
    </w:rPr>
  </w:style>
  <w:style w:type="character" w:customStyle="1" w:styleId="43">
    <w:name w:val="Heading 9 Char"/>
    <w:basedOn w:val="11"/>
    <w:link w:val="10"/>
    <w:semiHidden/>
    <w:qFormat/>
    <w:uiPriority w:val="9"/>
    <w:rPr>
      <w:rFonts w:asciiTheme="majorHAnsi" w:hAnsiTheme="majorHAnsi" w:eastAsiaTheme="majorEastAsia" w:cstheme="majorBidi"/>
      <w:b/>
      <w:bCs/>
      <w:i/>
      <w:iCs/>
      <w:color w:val="335B74" w:themeColor="text2"/>
      <w14:textFill>
        <w14:solidFill>
          <w14:schemeClr w14:val="tx2"/>
        </w14:solidFill>
      </w14:textFill>
    </w:rPr>
  </w:style>
  <w:style w:type="character" w:customStyle="1" w:styleId="44">
    <w:name w:val="Title Char"/>
    <w:basedOn w:val="11"/>
    <w:link w:val="21"/>
    <w:qFormat/>
    <w:uiPriority w:val="10"/>
    <w:rPr>
      <w:rFonts w:asciiTheme="majorHAnsi" w:hAnsiTheme="majorHAnsi" w:eastAsiaTheme="majorEastAsia" w:cstheme="majorBidi"/>
      <w:color w:val="1CADE4" w:themeColor="accent1"/>
      <w:spacing w:val="-10"/>
      <w:sz w:val="56"/>
      <w:szCs w:val="56"/>
      <w14:textFill>
        <w14:solidFill>
          <w14:schemeClr w14:val="accent1"/>
        </w14:solidFill>
      </w14:textFill>
    </w:rPr>
  </w:style>
  <w:style w:type="character" w:customStyle="1" w:styleId="45">
    <w:name w:val="Subtitle Char"/>
    <w:basedOn w:val="11"/>
    <w:link w:val="20"/>
    <w:qFormat/>
    <w:uiPriority w:val="11"/>
    <w:rPr>
      <w:rFonts w:asciiTheme="majorHAnsi" w:hAnsiTheme="majorHAnsi" w:eastAsiaTheme="majorEastAsia" w:cstheme="majorBidi"/>
      <w:sz w:val="24"/>
      <w:szCs w:val="24"/>
    </w:rPr>
  </w:style>
  <w:style w:type="paragraph" w:styleId="46">
    <w:name w:val="No Spacing"/>
    <w:qFormat/>
    <w:uiPriority w:val="1"/>
    <w:rPr>
      <w:rFonts w:asciiTheme="minorHAnsi" w:hAnsiTheme="minorHAnsi" w:eastAsiaTheme="minorEastAsia" w:cstheme="minorBidi"/>
      <w:lang w:val="en-US" w:eastAsia="en-US" w:bidi="ar-SA"/>
    </w:rPr>
  </w:style>
  <w:style w:type="paragraph" w:styleId="47">
    <w:name w:val="Quote"/>
    <w:basedOn w:val="1"/>
    <w:next w:val="1"/>
    <w:link w:val="48"/>
    <w:qFormat/>
    <w:uiPriority w:val="29"/>
    <w:pPr>
      <w:spacing w:before="160"/>
      <w:ind w:left="720" w:right="720"/>
    </w:pPr>
    <w:rPr>
      <w:i/>
      <w:iCs/>
      <w:color w:val="404040" w:themeColor="text1" w:themeTint="BF"/>
      <w14:textFill>
        <w14:solidFill>
          <w14:schemeClr w14:val="tx1">
            <w14:lumMod w14:val="75000"/>
            <w14:lumOff w14:val="25000"/>
          </w14:schemeClr>
        </w14:solidFill>
      </w14:textFill>
    </w:rPr>
  </w:style>
  <w:style w:type="character" w:customStyle="1" w:styleId="48">
    <w:name w:val="Quote Char"/>
    <w:basedOn w:val="11"/>
    <w:link w:val="47"/>
    <w:qFormat/>
    <w:uiPriority w:val="29"/>
    <w:rPr>
      <w:i/>
      <w:iCs/>
      <w:color w:val="404040" w:themeColor="text1" w:themeTint="BF"/>
      <w14:textFill>
        <w14:solidFill>
          <w14:schemeClr w14:val="tx1">
            <w14:lumMod w14:val="75000"/>
            <w14:lumOff w14:val="25000"/>
          </w14:schemeClr>
        </w14:solidFill>
      </w14:textFill>
    </w:rPr>
  </w:style>
  <w:style w:type="paragraph" w:styleId="49">
    <w:name w:val="Intense Quote"/>
    <w:basedOn w:val="1"/>
    <w:next w:val="1"/>
    <w:link w:val="50"/>
    <w:qFormat/>
    <w:uiPriority w:val="30"/>
    <w:pPr>
      <w:pBdr>
        <w:left w:val="single" w:color="1CADE4" w:themeColor="accent1" w:sz="18" w:space="12"/>
      </w:pBdr>
      <w:spacing w:before="100" w:beforeAutospacing="1" w:line="300" w:lineRule="auto"/>
      <w:ind w:left="1224" w:right="1224"/>
    </w:pPr>
    <w:rPr>
      <w:rFonts w:asciiTheme="majorHAnsi" w:hAnsiTheme="majorHAnsi" w:eastAsiaTheme="majorEastAsia" w:cstheme="majorBidi"/>
      <w:color w:val="1CADE4" w:themeColor="accent1"/>
      <w:sz w:val="28"/>
      <w:szCs w:val="28"/>
      <w14:textFill>
        <w14:solidFill>
          <w14:schemeClr w14:val="accent1"/>
        </w14:solidFill>
      </w14:textFill>
    </w:rPr>
  </w:style>
  <w:style w:type="character" w:customStyle="1" w:styleId="50">
    <w:name w:val="Intense Quote Char"/>
    <w:basedOn w:val="11"/>
    <w:link w:val="49"/>
    <w:qFormat/>
    <w:uiPriority w:val="30"/>
    <w:rPr>
      <w:rFonts w:asciiTheme="majorHAnsi" w:hAnsiTheme="majorHAnsi" w:eastAsiaTheme="majorEastAsia" w:cstheme="majorBidi"/>
      <w:color w:val="1CADE4" w:themeColor="accent1"/>
      <w:sz w:val="28"/>
      <w:szCs w:val="28"/>
      <w14:textFill>
        <w14:solidFill>
          <w14:schemeClr w14:val="accent1"/>
        </w14:solidFill>
      </w14:textFill>
    </w:rPr>
  </w:style>
  <w:style w:type="character" w:customStyle="1" w:styleId="51">
    <w:name w:val="Subtle Emphasis1"/>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52">
    <w:name w:val="Intense Emphasis1"/>
    <w:basedOn w:val="11"/>
    <w:qFormat/>
    <w:uiPriority w:val="21"/>
    <w:rPr>
      <w:b/>
      <w:bCs/>
      <w:i/>
      <w:iCs/>
    </w:rPr>
  </w:style>
  <w:style w:type="character" w:customStyle="1" w:styleId="53">
    <w:name w:val="Subtle Reference1"/>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54">
    <w:name w:val="Intense Reference1"/>
    <w:basedOn w:val="11"/>
    <w:qFormat/>
    <w:uiPriority w:val="32"/>
    <w:rPr>
      <w:b/>
      <w:bCs/>
      <w:smallCaps/>
      <w:spacing w:val="5"/>
      <w:u w:val="single"/>
    </w:rPr>
  </w:style>
  <w:style w:type="character" w:customStyle="1" w:styleId="55">
    <w:name w:val="Book Title1"/>
    <w:basedOn w:val="11"/>
    <w:qFormat/>
    <w:uiPriority w:val="33"/>
    <w:rPr>
      <w:b/>
      <w:bCs/>
      <w:smallCaps/>
    </w:rPr>
  </w:style>
  <w:style w:type="paragraph" w:customStyle="1" w:styleId="56">
    <w:name w:val="TOC Heading1"/>
    <w:basedOn w:val="2"/>
    <w:next w:val="1"/>
    <w:semiHidden/>
    <w:unhideWhenUsed/>
    <w:qFormat/>
    <w:uiPriority w:val="39"/>
    <w:pPr>
      <w:outlineLvl w:val="9"/>
    </w:pPr>
  </w:style>
  <w:style w:type="character" w:customStyle="1" w:styleId="57">
    <w:name w:val="relative"/>
    <w:basedOn w:val="11"/>
    <w:qFormat/>
    <w:uiPriority w:val="0"/>
  </w:style>
  <w:style w:type="character" w:customStyle="1" w:styleId="58">
    <w:name w:val="max-w-full"/>
    <w:basedOn w:val="11"/>
    <w:qFormat/>
    <w:uiPriority w:val="0"/>
  </w:style>
  <w:style w:type="character" w:customStyle="1" w:styleId="59">
    <w:name w:val="-me-1"/>
    <w:basedOn w:val="11"/>
    <w:qFormat/>
    <w:uiPriority w:val="0"/>
  </w:style>
  <w:style w:type="paragraph" w:customStyle="1" w:styleId="60">
    <w:name w:val="TOC Heading"/>
    <w:basedOn w:val="2"/>
    <w:next w:val="1"/>
    <w:unhideWhenUsed/>
    <w:qFormat/>
    <w:uiPriority w:val="39"/>
    <w:pPr>
      <w:outlineLvl w:val="9"/>
    </w:pPr>
    <w:rPr>
      <w:b w:val="0"/>
    </w:rPr>
  </w:style>
  <w:style w:type="character" w:customStyle="1" w:styleId="61">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2F627-B1C0-4919-A6D7-027DBBE4B7E4}">
  <ds:schemaRefs/>
</ds:datastoreItem>
</file>

<file path=docProps/app.xml><?xml version="1.0" encoding="utf-8"?>
<Properties xmlns="http://schemas.openxmlformats.org/officeDocument/2006/extended-properties" xmlns:vt="http://schemas.openxmlformats.org/officeDocument/2006/docPropsVTypes">
  <Template>Normal</Template>
  <Pages>71</Pages>
  <Words>19822</Words>
  <Characters>112992</Characters>
  <Lines>941</Lines>
  <Paragraphs>265</Paragraphs>
  <TotalTime>3</TotalTime>
  <ScaleCrop>false</ScaleCrop>
  <LinksUpToDate>false</LinksUpToDate>
  <CharactersWithSpaces>132549</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2025-07-17T20:51:00Z</dcterms:created>
  <dc:creator>Adeoti Bashir</dc:creator>
  <cp:lastModifiedBy>WPS_1658926761</cp:lastModifiedBy>
  <cp:lastPrinted>2025-07-17T20:52:00Z</cp:lastPrinted>
  <dcterms:modified xsi:type="dcterms:W3CDTF">2025-07-29T14:28:23Z</dcterms:modified>
  <dc:title>HND/23/FT/QTS/0005</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8432148a78377e26ebd1e9ec1d8096c344efd69b48a5f2630d3cfa601061a068</vt:lpwstr>
  </property>
  <property fmtid="{D5CDD505-2E9C-101B-9397-08002B2CF9AE}" pid="3" name="KSOProductBuildVer">
    <vt:lpwstr>1033-12.2.0.21931</vt:lpwstr>
  </property>
  <property fmtid="{D5CDD505-2E9C-101B-9397-08002B2CF9AE}" pid="4" name="ICV">
    <vt:lpwstr>3D75292593CF400B889CB9AA2BAE60B0_13</vt:lpwstr>
  </property>
</Properties>
</file>