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4F" w:rsidRDefault="00797D19" w:rsidP="0044264F">
      <w:pPr>
        <w:pStyle w:val="Heading1"/>
      </w:pPr>
      <w:r>
        <w:t xml:space="preserve">     </w:t>
      </w:r>
      <w:r w:rsidR="0044264F">
        <w:t>IMPACT OF</w:t>
      </w:r>
      <w:r w:rsidR="00713E81">
        <w:t xml:space="preserve"> </w:t>
      </w:r>
      <w:r w:rsidR="00B53678">
        <w:t xml:space="preserve">DIGITAL TAXATION ON E-COMMERCE </w:t>
      </w:r>
      <w:r>
        <w:t>BUSINESS</w:t>
      </w:r>
    </w:p>
    <w:p w:rsidR="0044264F" w:rsidRDefault="00797D19" w:rsidP="0044264F">
      <w:pPr>
        <w:pStyle w:val="Heading1"/>
      </w:pPr>
      <w:r>
        <w:t xml:space="preserve">      </w:t>
      </w:r>
      <w:r w:rsidR="0072405B">
        <w:t xml:space="preserve">                </w:t>
      </w:r>
      <w:r>
        <w:t xml:space="preserve">    </w:t>
      </w:r>
      <w:r w:rsidR="00EB5F0A">
        <w:t xml:space="preserve">(A Case Study of </w:t>
      </w:r>
      <w:proofErr w:type="spellStart"/>
      <w:r w:rsidR="00EB5F0A">
        <w:t>Desvine</w:t>
      </w:r>
      <w:proofErr w:type="spellEnd"/>
      <w:r w:rsidR="00EB5F0A">
        <w:t xml:space="preserve"> </w:t>
      </w:r>
      <w:r w:rsidR="0072405B">
        <w:t>Global</w:t>
      </w:r>
      <w:r w:rsidR="0044264F">
        <w:t>)</w:t>
      </w:r>
    </w:p>
    <w:p w:rsidR="0044264F" w:rsidRDefault="0072405B" w:rsidP="0044264F">
      <w:pPr>
        <w:pStyle w:val="Heading1"/>
      </w:pPr>
      <w:r>
        <w:t xml:space="preserve">                                                      </w:t>
      </w:r>
      <w:r w:rsidR="0044264F">
        <w:t>BY</w:t>
      </w:r>
    </w:p>
    <w:p w:rsidR="0044264F" w:rsidRDefault="00C24960" w:rsidP="0044264F">
      <w:pPr>
        <w:pStyle w:val="Heading1"/>
      </w:pPr>
      <w:r>
        <w:t xml:space="preserve">                                         </w:t>
      </w:r>
      <w:r w:rsidR="00245087">
        <w:t xml:space="preserve">YUSUF TOHEEB </w:t>
      </w:r>
      <w:r>
        <w:t>.A .</w:t>
      </w:r>
    </w:p>
    <w:p w:rsidR="0044264F" w:rsidRDefault="0044264F" w:rsidP="0044264F">
      <w:pPr>
        <w:pStyle w:val="Heading1"/>
      </w:pPr>
      <w:r>
        <w:t xml:space="preserve">                              </w:t>
      </w:r>
      <w:r w:rsidR="00C24960">
        <w:t xml:space="preserve">     </w:t>
      </w:r>
      <w:r w:rsidR="00FF414C">
        <w:t xml:space="preserve">    ND/23/TAX/PT/003</w:t>
      </w:r>
    </w:p>
    <w:p w:rsidR="00390D94" w:rsidRDefault="00FF414C" w:rsidP="0044264F">
      <w:pPr>
        <w:pStyle w:val="Heading1"/>
      </w:pPr>
      <w:r>
        <w:t xml:space="preserve">      </w:t>
      </w:r>
      <w:r w:rsidR="0044264F">
        <w:t xml:space="preserve">BEING A PROJECT SUBMITTED IN PARTIAL FULFILMENT OF THE </w:t>
      </w:r>
      <w:r>
        <w:t xml:space="preserve">     </w:t>
      </w:r>
      <w:r w:rsidR="0044264F">
        <w:t>REQUIREMENT FOR AWARD OF  NATIONAL DIPOLMA (ND) IN DEPARTMENT OF TAXATION, INSTITUTE OF F</w:t>
      </w:r>
      <w:r w:rsidR="00390D94">
        <w:t xml:space="preserve">INANCE AND MANAGEMENT STUDIES, </w:t>
      </w:r>
      <w:r w:rsidR="0044264F">
        <w:t>K</w:t>
      </w:r>
      <w:r w:rsidR="00390D94">
        <w:t>WARA STATE POLYTECHNIC, ILORIN.</w:t>
      </w:r>
    </w:p>
    <w:p w:rsidR="0044264F" w:rsidRDefault="00390D94" w:rsidP="0044264F">
      <w:pPr>
        <w:pStyle w:val="Heading1"/>
      </w:pPr>
      <w:r>
        <w:t xml:space="preserve">                                             </w:t>
      </w:r>
      <w:r w:rsidR="009F28F7">
        <w:t xml:space="preserve">                                                           </w:t>
      </w:r>
      <w:r w:rsidR="0044264F">
        <w:t>JUNE, 2025</w:t>
      </w:r>
    </w:p>
    <w:p w:rsidR="0044264F" w:rsidRDefault="0044264F" w:rsidP="0044264F">
      <w:pPr>
        <w:pStyle w:val="Heading1"/>
      </w:pPr>
    </w:p>
    <w:p w:rsidR="0044264F" w:rsidRDefault="0044264F" w:rsidP="0044264F">
      <w:pPr>
        <w:pStyle w:val="Heading1"/>
      </w:pPr>
    </w:p>
    <w:p w:rsidR="0044264F" w:rsidRDefault="006141FB" w:rsidP="0044264F">
      <w:pPr>
        <w:pStyle w:val="Heading1"/>
      </w:pPr>
      <w:r>
        <w:t xml:space="preserve">                                            </w:t>
      </w:r>
      <w:r w:rsidR="0044264F">
        <w:t>DECLARATION</w:t>
      </w:r>
    </w:p>
    <w:p w:rsidR="0044264F" w:rsidRDefault="0044264F" w:rsidP="0044264F">
      <w:pPr>
        <w:pStyle w:val="Heading1"/>
      </w:pPr>
      <w:r>
        <w:t xml:space="preserve">I hereby declared that this research work titled “THE </w:t>
      </w:r>
      <w:r w:rsidR="0019359E">
        <w:t>IMPACT OF DIG</w:t>
      </w:r>
      <w:r w:rsidR="007D300E">
        <w:t>ITAL TAXATION ON E-COMMERCE</w:t>
      </w:r>
      <w:r w:rsidR="00100242">
        <w:t xml:space="preserve"> BUSINESS</w:t>
      </w:r>
      <w:r w:rsidR="00120CDA">
        <w:t>” (A CASE STUDY OF DESVINE GLOBAL</w:t>
      </w:r>
      <w:r>
        <w:t xml:space="preserve">) is a product of my research effort in the Department of Taxation under the supervision of </w:t>
      </w:r>
      <w:r w:rsidR="00100242">
        <w:t>MRS.</w:t>
      </w:r>
      <w:r w:rsidR="006141FB">
        <w:t>GARBA.F.S.</w:t>
      </w:r>
    </w:p>
    <w:p w:rsidR="0044264F" w:rsidRDefault="0044264F" w:rsidP="0044264F">
      <w:pPr>
        <w:pStyle w:val="Heading1"/>
      </w:pPr>
    </w:p>
    <w:p w:rsidR="0044264F" w:rsidRDefault="006141FB" w:rsidP="0044264F">
      <w:pPr>
        <w:pStyle w:val="Heading1"/>
      </w:pPr>
      <w:r>
        <w:lastRenderedPageBreak/>
        <w:t xml:space="preserve">                                                  </w:t>
      </w:r>
      <w:r w:rsidR="0044264F">
        <w:t>CERTIFICATION</w:t>
      </w:r>
    </w:p>
    <w:p w:rsidR="0044264F" w:rsidRDefault="0044264F" w:rsidP="0044264F">
      <w:pPr>
        <w:pStyle w:val="Heading1"/>
      </w:pPr>
      <w:r>
        <w:t xml:space="preserve">This project has been read and approved by the undersigned on behalf of Department of Taxation, institute of finance and Management Studies (IFMS) </w:t>
      </w:r>
      <w:proofErr w:type="spellStart"/>
      <w:r>
        <w:t>kwara</w:t>
      </w:r>
      <w:proofErr w:type="spellEnd"/>
      <w:r>
        <w:t xml:space="preserve"> Polytechnic Ilorin as meeting the requirement for the award of National Diploma in Taxation.</w:t>
      </w:r>
    </w:p>
    <w:p w:rsidR="0044264F" w:rsidRDefault="0044264F" w:rsidP="0044264F">
      <w:pPr>
        <w:pStyle w:val="Heading1"/>
      </w:pPr>
      <w:r>
        <w:t>_____________________</w:t>
      </w:r>
      <w:r>
        <w:tab/>
      </w:r>
      <w:r>
        <w:tab/>
      </w:r>
      <w:r>
        <w:tab/>
        <w:t xml:space="preserve">        _______________</w:t>
      </w:r>
    </w:p>
    <w:p w:rsidR="0044264F" w:rsidRDefault="00902479" w:rsidP="0044264F">
      <w:pPr>
        <w:pStyle w:val="Heading1"/>
      </w:pPr>
      <w:r>
        <w:t>MR.GARBA.F.S.</w:t>
      </w:r>
      <w:r w:rsidR="0044264F">
        <w:tab/>
      </w:r>
      <w:r w:rsidR="0044264F">
        <w:tab/>
      </w:r>
      <w:r w:rsidR="0044264F">
        <w:tab/>
      </w:r>
      <w:r w:rsidR="0044264F">
        <w:tab/>
      </w:r>
      <w:r w:rsidR="0044264F">
        <w:tab/>
      </w:r>
      <w:r>
        <w:t xml:space="preserve">                  </w:t>
      </w:r>
      <w:r w:rsidR="0044264F">
        <w:t>Date</w:t>
      </w:r>
    </w:p>
    <w:p w:rsidR="0044264F" w:rsidRDefault="0044264F" w:rsidP="0044264F">
      <w:pPr>
        <w:pStyle w:val="Heading1"/>
      </w:pPr>
      <w:r>
        <w:t>(Project supervisor)</w:t>
      </w:r>
      <w:r>
        <w:tab/>
      </w:r>
    </w:p>
    <w:p w:rsidR="0044264F" w:rsidRDefault="0044264F" w:rsidP="0044264F">
      <w:pPr>
        <w:pStyle w:val="Heading1"/>
      </w:pPr>
    </w:p>
    <w:p w:rsidR="0044264F" w:rsidRDefault="0044264F" w:rsidP="0044264F">
      <w:pPr>
        <w:pStyle w:val="Heading1"/>
      </w:pPr>
    </w:p>
    <w:p w:rsidR="0044264F" w:rsidRDefault="0044264F" w:rsidP="0044264F">
      <w:pPr>
        <w:pStyle w:val="Heading1"/>
      </w:pPr>
      <w:r>
        <w:t>_____________________</w:t>
      </w:r>
      <w:r>
        <w:tab/>
      </w:r>
      <w:r>
        <w:tab/>
      </w:r>
      <w:r>
        <w:tab/>
      </w:r>
      <w:r>
        <w:tab/>
        <w:t>________________</w:t>
      </w:r>
    </w:p>
    <w:p w:rsidR="0044264F" w:rsidRDefault="0044264F" w:rsidP="0044264F">
      <w:pPr>
        <w:pStyle w:val="Heading1"/>
      </w:pPr>
      <w:r>
        <w:t>MR. SULEIMAN ISMAIL</w:t>
      </w:r>
      <w:r>
        <w:tab/>
      </w:r>
      <w:r>
        <w:tab/>
      </w:r>
      <w:r>
        <w:tab/>
      </w:r>
      <w:r>
        <w:tab/>
      </w:r>
      <w:r w:rsidR="00B572FB">
        <w:t xml:space="preserve">                  </w:t>
      </w:r>
      <w:r>
        <w:t>Date</w:t>
      </w:r>
    </w:p>
    <w:p w:rsidR="0044264F" w:rsidRDefault="0044264F" w:rsidP="0044264F">
      <w:pPr>
        <w:pStyle w:val="Heading1"/>
      </w:pPr>
      <w:r>
        <w:t>(Project co-coordinator)</w:t>
      </w:r>
      <w:r>
        <w:tab/>
      </w:r>
      <w:r>
        <w:tab/>
      </w:r>
    </w:p>
    <w:p w:rsidR="0044264F" w:rsidRDefault="0044264F" w:rsidP="0044264F">
      <w:pPr>
        <w:pStyle w:val="Heading1"/>
      </w:pPr>
    </w:p>
    <w:p w:rsidR="0044264F" w:rsidRDefault="0044264F" w:rsidP="0044264F">
      <w:pPr>
        <w:pStyle w:val="Heading1"/>
      </w:pPr>
      <w:r>
        <w:t>____________________</w:t>
      </w:r>
      <w:r>
        <w:tab/>
      </w:r>
      <w:r>
        <w:tab/>
      </w:r>
      <w:r>
        <w:tab/>
      </w:r>
      <w:r>
        <w:tab/>
        <w:t xml:space="preserve">          _______________ </w:t>
      </w:r>
    </w:p>
    <w:p w:rsidR="0044264F" w:rsidRDefault="0044264F" w:rsidP="0044264F">
      <w:pPr>
        <w:pStyle w:val="Heading1"/>
      </w:pPr>
      <w:r>
        <w:t>MR.ABDULAZEEZ. Y.O.</w:t>
      </w:r>
      <w:r>
        <w:tab/>
      </w:r>
      <w:r>
        <w:tab/>
      </w:r>
      <w:r>
        <w:tab/>
      </w:r>
      <w:r>
        <w:tab/>
      </w:r>
      <w:r w:rsidR="00B572FB">
        <w:t xml:space="preserve">              </w:t>
      </w:r>
      <w:r>
        <w:t xml:space="preserve">   Date</w:t>
      </w:r>
    </w:p>
    <w:p w:rsidR="0044264F" w:rsidRDefault="0044264F" w:rsidP="0044264F">
      <w:pPr>
        <w:pStyle w:val="Heading1"/>
      </w:pPr>
      <w:r>
        <w:t>(Head of Department)</w:t>
      </w:r>
    </w:p>
    <w:p w:rsidR="0044264F" w:rsidRDefault="0044264F" w:rsidP="0044264F">
      <w:pPr>
        <w:pStyle w:val="Heading1"/>
      </w:pPr>
    </w:p>
    <w:p w:rsidR="0044264F" w:rsidRDefault="0044264F" w:rsidP="0044264F">
      <w:pPr>
        <w:pStyle w:val="Heading1"/>
      </w:pPr>
      <w:r>
        <w:t>_____________________</w:t>
      </w:r>
      <w:r>
        <w:tab/>
      </w:r>
      <w:r>
        <w:tab/>
      </w:r>
      <w:r>
        <w:tab/>
      </w:r>
      <w:r>
        <w:tab/>
        <w:t>________________</w:t>
      </w:r>
    </w:p>
    <w:p w:rsidR="0044264F" w:rsidRDefault="0044264F" w:rsidP="0044264F">
      <w:pPr>
        <w:pStyle w:val="Heading1"/>
      </w:pPr>
      <w:r>
        <w:t xml:space="preserve">                                                                              </w:t>
      </w:r>
      <w:r w:rsidR="00B572FB">
        <w:t xml:space="preserve">                    </w:t>
      </w:r>
      <w:r>
        <w:t xml:space="preserve">    Date</w:t>
      </w:r>
    </w:p>
    <w:p w:rsidR="0044264F" w:rsidRDefault="0044264F" w:rsidP="0044264F">
      <w:pPr>
        <w:pStyle w:val="Heading1"/>
      </w:pPr>
      <w:r>
        <w:t>External examiner</w:t>
      </w:r>
    </w:p>
    <w:p w:rsidR="0044264F" w:rsidRDefault="0044264F" w:rsidP="0044264F">
      <w:pPr>
        <w:pStyle w:val="Heading1"/>
      </w:pPr>
      <w:r>
        <w:t>DEDICATION</w:t>
      </w:r>
    </w:p>
    <w:p w:rsidR="0044264F" w:rsidRDefault="0044264F" w:rsidP="0044264F">
      <w:pPr>
        <w:pStyle w:val="Heading1"/>
      </w:pPr>
      <w:r>
        <w:t xml:space="preserve">This project work is dedicated to the Almighty God for giving me the wisdom, knowledge and understanding to have come thus far in my pursuit for academic excellence, glory be to Him and to my father </w:t>
      </w:r>
      <w:proofErr w:type="spellStart"/>
      <w:r>
        <w:t>Mr</w:t>
      </w:r>
      <w:proofErr w:type="spellEnd"/>
      <w:r>
        <w:t>.&amp;</w:t>
      </w:r>
      <w:proofErr w:type="spellStart"/>
      <w:r>
        <w:t>Mrs.</w:t>
      </w:r>
      <w:r w:rsidR="00B572FB">
        <w:t>Yusuf</w:t>
      </w:r>
      <w:proofErr w:type="spellEnd"/>
      <w:r>
        <w:t xml:space="preserve"> for their enormous support.</w:t>
      </w:r>
    </w:p>
    <w:p w:rsidR="0044264F" w:rsidRDefault="0044264F" w:rsidP="0044264F">
      <w:pPr>
        <w:pStyle w:val="Heading1"/>
      </w:pPr>
    </w:p>
    <w:p w:rsidR="0044264F" w:rsidRDefault="0044264F" w:rsidP="0044264F">
      <w:pPr>
        <w:pStyle w:val="Heading1"/>
      </w:pPr>
    </w:p>
    <w:p w:rsidR="0044264F" w:rsidRDefault="0044264F" w:rsidP="0044264F">
      <w:pPr>
        <w:pStyle w:val="Heading1"/>
      </w:pPr>
      <w:r>
        <w:t>ACKNOWLEDGEMENT</w:t>
      </w:r>
    </w:p>
    <w:p w:rsidR="0044264F" w:rsidRDefault="0044264F" w:rsidP="0044264F">
      <w:pPr>
        <w:pStyle w:val="Heading1"/>
      </w:pPr>
      <w:r>
        <w:t>My appreciation goes to Almighty God for his grace, mercies and protection over my academic program without Him the successful completion of my program and writing of this project which would not be possible, my appreciation first goes to you Almighty God.</w:t>
      </w:r>
    </w:p>
    <w:p w:rsidR="0044264F" w:rsidRDefault="0044264F" w:rsidP="0044264F">
      <w:pPr>
        <w:pStyle w:val="Heading1"/>
      </w:pPr>
      <w:r>
        <w:lastRenderedPageBreak/>
        <w:t xml:space="preserve">My  sincere appreciation goes to my Father and My lovely Mother, </w:t>
      </w:r>
      <w:proofErr w:type="spellStart"/>
      <w:r>
        <w:t>Mr</w:t>
      </w:r>
      <w:proofErr w:type="spellEnd"/>
      <w:r>
        <w:t>.&amp;</w:t>
      </w:r>
      <w:proofErr w:type="spellStart"/>
      <w:r>
        <w:t>Mrs.</w:t>
      </w:r>
      <w:r w:rsidR="00D943D2">
        <w:t>Yusuf</w:t>
      </w:r>
      <w:proofErr w:type="spellEnd"/>
      <w:r>
        <w:t xml:space="preserve"> for their financial and moral support throughout my academic program  may Almighty God let you reap the fruit of your labour (Amen).  And my profound gratitude goes </w:t>
      </w:r>
      <w:r w:rsidR="00F90276">
        <w:t>to my brothers and sisters</w:t>
      </w:r>
      <w:r>
        <w:t>. I love you all</w:t>
      </w:r>
      <w:r w:rsidR="00F90276">
        <w:t>.</w:t>
      </w:r>
    </w:p>
    <w:p w:rsidR="0044264F" w:rsidRDefault="0044264F" w:rsidP="0044264F">
      <w:pPr>
        <w:pStyle w:val="Heading1"/>
      </w:pPr>
      <w:r>
        <w:t xml:space="preserve">Moreover, words cannot express my profound gratitude to all the lecturers in the department of Taxation, particularly my supervisor who guided me through the writing of this project, Mr. </w:t>
      </w:r>
      <w:proofErr w:type="spellStart"/>
      <w:r>
        <w:t>Azeez</w:t>
      </w:r>
      <w:proofErr w:type="spellEnd"/>
      <w:r>
        <w:t xml:space="preserve"> .Y.O. (HOD), </w:t>
      </w:r>
      <w:proofErr w:type="spellStart"/>
      <w:r>
        <w:t>Mr.IBISANKALE.K.L</w:t>
      </w:r>
      <w:proofErr w:type="spellEnd"/>
      <w:r>
        <w:t xml:space="preserve">, </w:t>
      </w:r>
      <w:proofErr w:type="spellStart"/>
      <w:r>
        <w:t>Mr.Suleiman</w:t>
      </w:r>
      <w:proofErr w:type="spellEnd"/>
      <w:r>
        <w:t xml:space="preserve"> Ismail, Mr.Muhammad Abdullahi, </w:t>
      </w:r>
      <w:proofErr w:type="spellStart"/>
      <w:r>
        <w:t>Mrs.Garba.A.S</w:t>
      </w:r>
      <w:proofErr w:type="spellEnd"/>
      <w:r>
        <w:t>, these lecturers can hardly deliver a complete lecture without dropping an advice and word of encouragement, may God almighty God bless them all, wonderful people too numerous to mention.</w:t>
      </w:r>
    </w:p>
    <w:p w:rsidR="0044264F" w:rsidRDefault="0044264F" w:rsidP="0044264F">
      <w:pPr>
        <w:pStyle w:val="Heading1"/>
      </w:pPr>
    </w:p>
    <w:p w:rsidR="0044264F" w:rsidRDefault="0044264F" w:rsidP="0044264F">
      <w:pPr>
        <w:pStyle w:val="Heading1"/>
      </w:pPr>
    </w:p>
    <w:p w:rsidR="0044264F" w:rsidRDefault="0058438A" w:rsidP="0044264F">
      <w:pPr>
        <w:pStyle w:val="Heading1"/>
      </w:pPr>
      <w:r>
        <w:t xml:space="preserve">                                 </w:t>
      </w:r>
      <w:r w:rsidR="0044264F">
        <w:t>TABLE OF CONTENT</w:t>
      </w:r>
    </w:p>
    <w:p w:rsidR="0044264F" w:rsidRDefault="0044264F" w:rsidP="0044264F">
      <w:pPr>
        <w:pStyle w:val="Heading1"/>
      </w:pPr>
      <w:r>
        <w:t xml:space="preserve">Title page………………………………………………………… </w:t>
      </w:r>
      <w:proofErr w:type="spellStart"/>
      <w:r>
        <w:t>i</w:t>
      </w:r>
      <w:proofErr w:type="spellEnd"/>
    </w:p>
    <w:p w:rsidR="0044264F" w:rsidRDefault="0044264F" w:rsidP="0044264F">
      <w:pPr>
        <w:pStyle w:val="Heading1"/>
      </w:pPr>
      <w:r>
        <w:t>Declaration……………..…………………….………………… ii</w:t>
      </w:r>
    </w:p>
    <w:p w:rsidR="0044264F" w:rsidRDefault="0044264F" w:rsidP="0044264F">
      <w:pPr>
        <w:pStyle w:val="Heading1"/>
      </w:pPr>
      <w:r>
        <w:t>Certification …….…………………………………………...… iii</w:t>
      </w:r>
    </w:p>
    <w:p w:rsidR="0044264F" w:rsidRDefault="0044264F" w:rsidP="0044264F">
      <w:pPr>
        <w:pStyle w:val="Heading1"/>
      </w:pPr>
      <w:r>
        <w:t>Dedication………………………………….…………………… iv</w:t>
      </w:r>
    </w:p>
    <w:p w:rsidR="0044264F" w:rsidRDefault="0044264F" w:rsidP="0044264F">
      <w:pPr>
        <w:pStyle w:val="Heading1"/>
      </w:pPr>
      <w:r>
        <w:t>Acknowledgement………………………………………………v</w:t>
      </w:r>
    </w:p>
    <w:p w:rsidR="0044264F" w:rsidRDefault="0044264F" w:rsidP="0044264F">
      <w:pPr>
        <w:pStyle w:val="Heading1"/>
      </w:pPr>
      <w:r>
        <w:lastRenderedPageBreak/>
        <w:t>Abstract……………………………………………….………… vii</w:t>
      </w:r>
    </w:p>
    <w:p w:rsidR="0044264F" w:rsidRDefault="0044264F" w:rsidP="0044264F">
      <w:pPr>
        <w:pStyle w:val="Heading1"/>
      </w:pPr>
      <w:r>
        <w:t>Table of content……………………………………………….. viii</w:t>
      </w:r>
    </w:p>
    <w:p w:rsidR="0044264F" w:rsidRDefault="0044264F" w:rsidP="0044264F">
      <w:pPr>
        <w:pStyle w:val="Heading1"/>
      </w:pPr>
      <w:r>
        <w:t>CHAPTER ONE</w:t>
      </w:r>
    </w:p>
    <w:p w:rsidR="0044264F" w:rsidRDefault="00D105E4" w:rsidP="0044264F">
      <w:pPr>
        <w:pStyle w:val="Heading1"/>
      </w:pPr>
      <w:r>
        <w:t>1</w:t>
      </w:r>
      <w:r w:rsidR="00E751BB">
        <w:t xml:space="preserve">.0 </w:t>
      </w:r>
      <w:r w:rsidR="0044264F">
        <w:t>Introduction…………………………………….………..1</w:t>
      </w:r>
    </w:p>
    <w:p w:rsidR="0044264F" w:rsidRDefault="00E751BB" w:rsidP="0044264F">
      <w:pPr>
        <w:pStyle w:val="Heading1"/>
      </w:pPr>
      <w:r>
        <w:t xml:space="preserve">1.1 </w:t>
      </w:r>
      <w:r w:rsidR="0044264F">
        <w:t>Background of the study……………………………....1</w:t>
      </w:r>
    </w:p>
    <w:p w:rsidR="0044264F" w:rsidRDefault="00E751BB" w:rsidP="0044264F">
      <w:pPr>
        <w:pStyle w:val="Heading1"/>
      </w:pPr>
      <w:r>
        <w:t xml:space="preserve">1.2 </w:t>
      </w:r>
      <w:r w:rsidR="0044264F">
        <w:t>Statement of the problem…………………….………..3</w:t>
      </w:r>
    </w:p>
    <w:p w:rsidR="0044264F" w:rsidRDefault="00E751BB" w:rsidP="0044264F">
      <w:pPr>
        <w:pStyle w:val="Heading1"/>
      </w:pPr>
      <w:r>
        <w:t xml:space="preserve">1.3 </w:t>
      </w:r>
      <w:r w:rsidR="0044264F">
        <w:t>Objective of the study………………………….……….5</w:t>
      </w:r>
    </w:p>
    <w:p w:rsidR="0044264F" w:rsidRDefault="00E751BB" w:rsidP="0044264F">
      <w:pPr>
        <w:pStyle w:val="Heading1"/>
      </w:pPr>
      <w:r>
        <w:t xml:space="preserve">1.4 </w:t>
      </w:r>
      <w:r w:rsidR="0044264F">
        <w:t>Research question………………………………………6</w:t>
      </w:r>
    </w:p>
    <w:p w:rsidR="0044264F" w:rsidRDefault="00E751BB" w:rsidP="0044264F">
      <w:pPr>
        <w:pStyle w:val="Heading1"/>
      </w:pPr>
      <w:r>
        <w:t xml:space="preserve">1.5 </w:t>
      </w:r>
      <w:r w:rsidR="0044264F">
        <w:t>Research Hypothesis--------------------------------6</w:t>
      </w:r>
    </w:p>
    <w:p w:rsidR="0044264F" w:rsidRDefault="00E751BB" w:rsidP="0044264F">
      <w:pPr>
        <w:pStyle w:val="Heading1"/>
      </w:pPr>
      <w:r>
        <w:t xml:space="preserve">1.6 </w:t>
      </w:r>
      <w:r w:rsidR="0044264F">
        <w:t>Significance of the study………………………….……7</w:t>
      </w:r>
    </w:p>
    <w:p w:rsidR="0044264F" w:rsidRDefault="00E751BB" w:rsidP="0044264F">
      <w:pPr>
        <w:pStyle w:val="Heading1"/>
      </w:pPr>
      <w:r>
        <w:t xml:space="preserve">1.7 </w:t>
      </w:r>
      <w:r w:rsidR="0044264F">
        <w:t>Scope of the study…………………………………….…8</w:t>
      </w:r>
    </w:p>
    <w:p w:rsidR="0044264F" w:rsidRDefault="00A065E6" w:rsidP="0044264F">
      <w:pPr>
        <w:pStyle w:val="Heading1"/>
      </w:pPr>
      <w:r>
        <w:t xml:space="preserve">1.8 </w:t>
      </w:r>
      <w:r w:rsidR="0044264F">
        <w:t>Limitation of the study……………………………….…9</w:t>
      </w:r>
    </w:p>
    <w:p w:rsidR="0044264F" w:rsidRDefault="00A065E6" w:rsidP="0044264F">
      <w:pPr>
        <w:pStyle w:val="Heading1"/>
      </w:pPr>
      <w:r>
        <w:t xml:space="preserve">1.9 </w:t>
      </w:r>
      <w:r w:rsidR="0044264F">
        <w:t>Definition of terms……………………………………….10</w:t>
      </w:r>
    </w:p>
    <w:p w:rsidR="0044264F" w:rsidRDefault="0044264F" w:rsidP="0044264F">
      <w:pPr>
        <w:pStyle w:val="Heading1"/>
      </w:pPr>
      <w:r>
        <w:t>CHAPTER TWO</w:t>
      </w:r>
    </w:p>
    <w:p w:rsidR="0044264F" w:rsidRDefault="009418B3" w:rsidP="0044264F">
      <w:pPr>
        <w:pStyle w:val="Heading1"/>
      </w:pPr>
      <w:r>
        <w:t>2.0</w:t>
      </w:r>
      <w:r w:rsidR="007B5EA0">
        <w:t xml:space="preserve"> </w:t>
      </w:r>
      <w:r w:rsidR="0044264F">
        <w:t>Literature review………………………………………..13</w:t>
      </w:r>
    </w:p>
    <w:p w:rsidR="0044264F" w:rsidRDefault="007B5EA0" w:rsidP="0044264F">
      <w:pPr>
        <w:pStyle w:val="Heading1"/>
      </w:pPr>
      <w:r>
        <w:lastRenderedPageBreak/>
        <w:t xml:space="preserve">2.1 </w:t>
      </w:r>
      <w:r w:rsidR="0044264F">
        <w:t>Introduction………………………………….………….13</w:t>
      </w:r>
    </w:p>
    <w:p w:rsidR="0044264F" w:rsidRDefault="0044264F" w:rsidP="0044264F">
      <w:pPr>
        <w:pStyle w:val="Heading1"/>
      </w:pPr>
      <w:r>
        <w:t>2.2. Conceptual framework………………………………..13</w:t>
      </w:r>
    </w:p>
    <w:p w:rsidR="0044264F" w:rsidRDefault="007B5EA0" w:rsidP="0044264F">
      <w:pPr>
        <w:pStyle w:val="Heading1"/>
      </w:pPr>
      <w:r>
        <w:t xml:space="preserve">2.3 </w:t>
      </w:r>
      <w:r w:rsidR="0044264F">
        <w:t>Theoretical framework……………………………….21</w:t>
      </w:r>
    </w:p>
    <w:p w:rsidR="0044264F" w:rsidRDefault="00D105E4" w:rsidP="0044264F">
      <w:pPr>
        <w:pStyle w:val="Heading1"/>
      </w:pPr>
      <w:r>
        <w:t xml:space="preserve">2.4 </w:t>
      </w:r>
      <w:r w:rsidR="0044264F">
        <w:t>Empirical review……………………………………...25</w:t>
      </w:r>
    </w:p>
    <w:p w:rsidR="0044264F" w:rsidRDefault="0044264F" w:rsidP="0044264F">
      <w:pPr>
        <w:pStyle w:val="Heading1"/>
      </w:pPr>
      <w:r>
        <w:t>CHAPTER THREE</w:t>
      </w:r>
    </w:p>
    <w:p w:rsidR="0044264F" w:rsidRDefault="00A065E6" w:rsidP="0044264F">
      <w:pPr>
        <w:pStyle w:val="Heading1"/>
      </w:pPr>
      <w:r>
        <w:t xml:space="preserve">3.0 </w:t>
      </w:r>
      <w:r w:rsidR="0044264F">
        <w:t>Research methodology……………………………..….27</w:t>
      </w:r>
    </w:p>
    <w:p w:rsidR="0044264F" w:rsidRDefault="00A065E6" w:rsidP="0044264F">
      <w:pPr>
        <w:pStyle w:val="Heading1"/>
      </w:pPr>
      <w:r>
        <w:t xml:space="preserve">3.1 </w:t>
      </w:r>
      <w:r w:rsidR="0044264F">
        <w:t>Introduction…………………………..………..……….27</w:t>
      </w:r>
    </w:p>
    <w:p w:rsidR="0044264F" w:rsidRDefault="00A065E6" w:rsidP="0044264F">
      <w:pPr>
        <w:pStyle w:val="Heading1"/>
      </w:pPr>
      <w:r>
        <w:t xml:space="preserve">3.2 </w:t>
      </w:r>
      <w:r w:rsidR="0044264F">
        <w:t>Research design………………………..……………...28</w:t>
      </w:r>
    </w:p>
    <w:p w:rsidR="0044264F" w:rsidRDefault="00A065E6" w:rsidP="0044264F">
      <w:pPr>
        <w:pStyle w:val="Heading1"/>
      </w:pPr>
      <w:r>
        <w:t>3</w:t>
      </w:r>
      <w:r w:rsidR="00E039E1">
        <w:t xml:space="preserve">.3 </w:t>
      </w:r>
      <w:r w:rsidR="0044264F">
        <w:t>Sources of data collection…………………………....28</w:t>
      </w:r>
    </w:p>
    <w:p w:rsidR="0044264F" w:rsidRDefault="00E039E1" w:rsidP="0044264F">
      <w:pPr>
        <w:pStyle w:val="Heading1"/>
      </w:pPr>
      <w:r>
        <w:t xml:space="preserve">3.4 </w:t>
      </w:r>
      <w:r w:rsidR="0044264F">
        <w:t>Sample size………………………………………………29</w:t>
      </w:r>
    </w:p>
    <w:p w:rsidR="0044264F" w:rsidRDefault="00E039E1" w:rsidP="0044264F">
      <w:pPr>
        <w:pStyle w:val="Heading1"/>
      </w:pPr>
      <w:r>
        <w:t xml:space="preserve">3.5 </w:t>
      </w:r>
      <w:r w:rsidR="0044264F">
        <w:t>Population of the study……………………………….30</w:t>
      </w:r>
    </w:p>
    <w:p w:rsidR="0044264F" w:rsidRDefault="00E039E1" w:rsidP="0044264F">
      <w:pPr>
        <w:pStyle w:val="Heading1"/>
      </w:pPr>
      <w:r>
        <w:t xml:space="preserve">3.6 </w:t>
      </w:r>
      <w:r w:rsidR="0044264F">
        <w:t>Research instrument ………………………….……..30</w:t>
      </w:r>
    </w:p>
    <w:p w:rsidR="0044264F" w:rsidRDefault="00E039E1" w:rsidP="0044264F">
      <w:pPr>
        <w:pStyle w:val="Heading1"/>
      </w:pPr>
      <w:r>
        <w:t>3.7</w:t>
      </w:r>
      <w:r w:rsidR="00AD142D">
        <w:t xml:space="preserve"> </w:t>
      </w:r>
      <w:r w:rsidR="0044264F">
        <w:t>Method of data analysis………………………………31</w:t>
      </w:r>
    </w:p>
    <w:p w:rsidR="0044264F" w:rsidRDefault="0044264F" w:rsidP="0044264F">
      <w:pPr>
        <w:pStyle w:val="Heading1"/>
      </w:pPr>
      <w:r>
        <w:t>CHAPTER FOUR</w:t>
      </w:r>
    </w:p>
    <w:p w:rsidR="0044264F" w:rsidRDefault="00AD142D" w:rsidP="0044264F">
      <w:pPr>
        <w:pStyle w:val="Heading1"/>
      </w:pPr>
      <w:r>
        <w:t xml:space="preserve">4.0 </w:t>
      </w:r>
      <w:r w:rsidR="0044264F">
        <w:t>Data presentation and analysis…………………….32</w:t>
      </w:r>
    </w:p>
    <w:p w:rsidR="0044264F" w:rsidRDefault="00AD142D" w:rsidP="0044264F">
      <w:pPr>
        <w:pStyle w:val="Heading1"/>
      </w:pPr>
      <w:r>
        <w:lastRenderedPageBreak/>
        <w:t xml:space="preserve">4.1 </w:t>
      </w:r>
      <w:r w:rsidR="0044264F">
        <w:t>Introduction…………………………………...………..32</w:t>
      </w:r>
    </w:p>
    <w:p w:rsidR="0044264F" w:rsidRDefault="00AD142D" w:rsidP="0044264F">
      <w:pPr>
        <w:pStyle w:val="Heading1"/>
      </w:pPr>
      <w:r>
        <w:t xml:space="preserve">4.2 </w:t>
      </w:r>
      <w:r w:rsidR="0044264F">
        <w:t>Data presentation and analysis…………………….33</w:t>
      </w:r>
    </w:p>
    <w:p w:rsidR="0044264F" w:rsidRDefault="00AD142D" w:rsidP="0044264F">
      <w:pPr>
        <w:pStyle w:val="Heading1"/>
      </w:pPr>
      <w:r>
        <w:t xml:space="preserve">4.3 </w:t>
      </w:r>
      <w:r w:rsidR="0044264F">
        <w:t>Summary of finding……………………………………50</w:t>
      </w:r>
    </w:p>
    <w:p w:rsidR="0044264F" w:rsidRDefault="0044264F" w:rsidP="0044264F">
      <w:pPr>
        <w:pStyle w:val="Heading1"/>
      </w:pPr>
      <w:r>
        <w:t>CHAPTER FIVE</w:t>
      </w:r>
    </w:p>
    <w:p w:rsidR="0044264F" w:rsidRDefault="00586B09" w:rsidP="0044264F">
      <w:pPr>
        <w:pStyle w:val="Heading1"/>
      </w:pPr>
      <w:r>
        <w:t xml:space="preserve">5.0 </w:t>
      </w:r>
      <w:r w:rsidR="0044264F">
        <w:t>Summary, conclusion and recommendation…….53</w:t>
      </w:r>
    </w:p>
    <w:p w:rsidR="0044264F" w:rsidRDefault="00586B09" w:rsidP="0044264F">
      <w:pPr>
        <w:pStyle w:val="Heading1"/>
      </w:pPr>
      <w:r>
        <w:t xml:space="preserve">5.1 </w:t>
      </w:r>
      <w:r w:rsidR="0044264F">
        <w:t>Summary………………………………………………...53</w:t>
      </w:r>
    </w:p>
    <w:p w:rsidR="0044264F" w:rsidRDefault="00586B09" w:rsidP="0044264F">
      <w:pPr>
        <w:pStyle w:val="Heading1"/>
      </w:pPr>
      <w:r>
        <w:t xml:space="preserve">5.2 </w:t>
      </w:r>
      <w:r w:rsidR="0044264F">
        <w:t>Conclusion……………………………………………….55</w:t>
      </w:r>
    </w:p>
    <w:p w:rsidR="0044264F" w:rsidRDefault="00583611" w:rsidP="0044264F">
      <w:pPr>
        <w:pStyle w:val="Heading1"/>
      </w:pPr>
      <w:r>
        <w:t xml:space="preserve">5.3 </w:t>
      </w:r>
      <w:bookmarkStart w:id="0" w:name="_GoBack"/>
      <w:bookmarkEnd w:id="0"/>
      <w:r w:rsidR="0044264F">
        <w:t>Recommendation ……………………………………...57</w:t>
      </w:r>
    </w:p>
    <w:p w:rsidR="0044264F" w:rsidRDefault="0044264F" w:rsidP="0044264F">
      <w:pPr>
        <w:pStyle w:val="Heading1"/>
      </w:pPr>
      <w:r>
        <w:t>References………………………………………………..59</w:t>
      </w:r>
    </w:p>
    <w:p w:rsidR="008569FD" w:rsidRDefault="0044264F" w:rsidP="000E1877">
      <w:pPr>
        <w:pStyle w:val="Heading1"/>
      </w:pPr>
      <w:r>
        <w:t>Appendix………………………………………………….62</w:t>
      </w:r>
    </w:p>
    <w:p w:rsidR="008569FD" w:rsidRDefault="008569FD" w:rsidP="000E1877">
      <w:pPr>
        <w:pStyle w:val="Heading1"/>
      </w:pPr>
    </w:p>
    <w:p w:rsidR="00805E1C" w:rsidRDefault="005B53CB" w:rsidP="000E1877">
      <w:pPr>
        <w:pStyle w:val="Heading1"/>
      </w:pPr>
      <w:r>
        <w:t xml:space="preserve">                                       </w:t>
      </w:r>
      <w:r w:rsidR="00234558">
        <w:t xml:space="preserve">   </w:t>
      </w:r>
      <w:r w:rsidR="000E1877">
        <w:t>CHAPTER ONE</w:t>
      </w:r>
    </w:p>
    <w:p w:rsidR="005B53CB" w:rsidRDefault="000E1877" w:rsidP="005B53CB">
      <w:pPr>
        <w:pStyle w:val="Heading1"/>
        <w:numPr>
          <w:ilvl w:val="0"/>
          <w:numId w:val="12"/>
        </w:numPr>
      </w:pPr>
      <w:r>
        <w:t>Introduction</w:t>
      </w:r>
    </w:p>
    <w:p w:rsidR="005B53CB" w:rsidRDefault="000E1877" w:rsidP="005B53CB">
      <w:pPr>
        <w:pStyle w:val="Heading1"/>
        <w:ind w:left="612"/>
      </w:pPr>
      <w:r w:rsidRPr="0019304B">
        <w:rPr>
          <w:b w:val="0"/>
        </w:rPr>
        <w:lastRenderedPageBreak/>
        <w:t>In today’s digital age, the e-commerc</w:t>
      </w:r>
      <w:r w:rsidR="00A2537B">
        <w:rPr>
          <w:b w:val="0"/>
        </w:rPr>
        <w:t>e sector has grown into a m</w:t>
      </w:r>
      <w:r w:rsidR="00666DF9">
        <w:rPr>
          <w:b w:val="0"/>
        </w:rPr>
        <w:t xml:space="preserve">ajor </w:t>
      </w:r>
      <w:r w:rsidRPr="0019304B">
        <w:rPr>
          <w:b w:val="0"/>
        </w:rPr>
        <w:t xml:space="preserve">contributor to global trade, reshaping the way people buy and sell goods. Businesses like </w:t>
      </w:r>
      <w:proofErr w:type="spellStart"/>
      <w:r w:rsidRPr="0019304B">
        <w:rPr>
          <w:b w:val="0"/>
        </w:rPr>
        <w:t>Desvine</w:t>
      </w:r>
      <w:proofErr w:type="spellEnd"/>
      <w:r w:rsidRPr="0019304B">
        <w:rPr>
          <w:b w:val="0"/>
        </w:rPr>
        <w:t xml:space="preserve"> Global, which operate across international borders, rely heavily on digital platforms to reach a large and diverse customer base. However, with this growth has come a wave of government regulations — one of the most significant being digital taxation. As countries seek to collect more revenue from the digital economy, businesses are now required to comply with complex digital tax rules. This has the potential to affect pricing, consumer behavior, and ultimately, sales.</w:t>
      </w:r>
    </w:p>
    <w:p w:rsidR="000E1877" w:rsidRPr="005B53CB" w:rsidRDefault="000E1877" w:rsidP="005B53CB">
      <w:pPr>
        <w:pStyle w:val="Heading1"/>
        <w:ind w:left="612"/>
      </w:pPr>
      <w:proofErr w:type="spellStart"/>
      <w:r w:rsidRPr="0019304B">
        <w:rPr>
          <w:b w:val="0"/>
        </w:rPr>
        <w:t>Desvine</w:t>
      </w:r>
      <w:proofErr w:type="spellEnd"/>
      <w:r w:rsidRPr="0019304B">
        <w:rPr>
          <w:b w:val="0"/>
        </w:rPr>
        <w:t xml:space="preserve"> Global, like many global e-commerce platforms, faces increasing pressure from such policies. Although designed to create fairer tax systems, digital taxes may be having unintended consequences on business performance. This study seeks to examine how </w:t>
      </w:r>
      <w:proofErr w:type="spellStart"/>
      <w:r w:rsidRPr="0019304B">
        <w:rPr>
          <w:b w:val="0"/>
        </w:rPr>
        <w:t>Desvine</w:t>
      </w:r>
      <w:proofErr w:type="spellEnd"/>
      <w:r w:rsidRPr="0019304B">
        <w:rPr>
          <w:b w:val="0"/>
        </w:rPr>
        <w:t xml:space="preserve"> </w:t>
      </w:r>
      <w:proofErr w:type="spellStart"/>
      <w:r w:rsidRPr="0019304B">
        <w:rPr>
          <w:b w:val="0"/>
        </w:rPr>
        <w:t>Global’s</w:t>
      </w:r>
      <w:proofErr w:type="spellEnd"/>
      <w:r w:rsidRPr="0019304B">
        <w:rPr>
          <w:b w:val="0"/>
        </w:rPr>
        <w:t xml:space="preserve"> e-commerce sales are being affected by digital taxation and to identify possible ways the company can respond strategically.</w:t>
      </w:r>
    </w:p>
    <w:p w:rsidR="00320B0D" w:rsidRDefault="000E1877" w:rsidP="00320B0D">
      <w:pPr>
        <w:pStyle w:val="Heading1"/>
        <w:numPr>
          <w:ilvl w:val="1"/>
          <w:numId w:val="10"/>
        </w:numPr>
      </w:pPr>
      <w:r w:rsidRPr="007B58AC">
        <w:t>Background to the Study</w:t>
      </w:r>
    </w:p>
    <w:p w:rsidR="009E7FFC" w:rsidRDefault="00320B0D" w:rsidP="009E7FFC">
      <w:pPr>
        <w:pStyle w:val="Heading1"/>
        <w:ind w:left="423"/>
      </w:pPr>
      <w:r>
        <w:lastRenderedPageBreak/>
        <w:t xml:space="preserve"> </w:t>
      </w:r>
      <w:r w:rsidR="000E1877" w:rsidRPr="0019304B">
        <w:rPr>
          <w:b w:val="0"/>
        </w:rPr>
        <w:t>In recent years, e-commerce has grown into one of the most significant developments in the global economy. E-commerce refers to the buying and selling of goods and services over the internet. It allows businesses to reach a wider audience, operate beyond geographical boundaries, and reduce the need for physical infrastructure. Consumers now enjoy the convenience of browsing, ordering, and receiving products from the comfort of their homes. From 2015 onward, and especially after the COVID-19 pandemic in 2020, the use of online platforms for shopping increased drastically across the world.</w:t>
      </w:r>
      <w:r w:rsidR="009E7FFC">
        <w:t xml:space="preserve"> </w:t>
      </w:r>
      <w:r w:rsidR="000E1877" w:rsidRPr="00D10B71">
        <w:rPr>
          <w:b w:val="0"/>
        </w:rPr>
        <w:t xml:space="preserve">Businesses like </w:t>
      </w:r>
      <w:proofErr w:type="spellStart"/>
      <w:r w:rsidR="000E1877" w:rsidRPr="00D10B71">
        <w:rPr>
          <w:b w:val="0"/>
        </w:rPr>
        <w:t>Desvine</w:t>
      </w:r>
      <w:proofErr w:type="spellEnd"/>
      <w:r w:rsidR="000E1877" w:rsidRPr="00D10B71">
        <w:rPr>
          <w:b w:val="0"/>
        </w:rPr>
        <w:t xml:space="preserve"> Global, which operate primarily online, have benefited greatly from this trend. Through social media, websites, and e-commerce platforms, they can market products, process orders, and manage deliveries efficiently. E-commerce has also provided small and medium-sized enterprises (SMEs) the opportunity to compete with larger firms by reducing the costs associated with physical stores. However, as this digital trade expanded, it also brought new regulatory and financial challenges—particularly in the area of taxation.</w:t>
      </w:r>
    </w:p>
    <w:p w:rsidR="00FC2B8D" w:rsidRDefault="000E1877" w:rsidP="00FC2B8D">
      <w:pPr>
        <w:pStyle w:val="Heading1"/>
        <w:ind w:left="423"/>
      </w:pPr>
      <w:r w:rsidRPr="0019304B">
        <w:rPr>
          <w:b w:val="0"/>
        </w:rPr>
        <w:t>The rise of e-commerce raised important questions about how governments should collect taxes from businesses that operate online. Traditionally, taxation was based on physical presence—meaning a company had to be located in a country to be taxed there. But now, companies can sell and earn revenue from countries where they have no offices or warehouses. This made it difficult for tax authorities to enforce tax laws on digital businesses, resulting in revenue loss and unfair competition between local and foreign businesses.</w:t>
      </w:r>
    </w:p>
    <w:p w:rsidR="000E1877" w:rsidRPr="00FC2B8D" w:rsidRDefault="000E1877" w:rsidP="00FC2B8D">
      <w:pPr>
        <w:pStyle w:val="Heading1"/>
        <w:ind w:left="423"/>
      </w:pPr>
      <w:r w:rsidRPr="0019304B">
        <w:rPr>
          <w:b w:val="0"/>
        </w:rPr>
        <w:lastRenderedPageBreak/>
        <w:t>To solve this problem, many countries began implementing digital taxation. Digital taxation refers to the laws and regulations that ensure online businesses pay taxes on the income they earn in different countries, even if they are not physically located there. For example, countries like France, the United Kingdom, and India introduced Digital Services Tax (DST) around 2020. In Africa, Nigeria amended its Value Added Tax (VAT) law in 2020 to include digital services provided by foreign companies.</w:t>
      </w:r>
      <w:r w:rsidR="00FC2B8D">
        <w:t xml:space="preserve"> </w:t>
      </w:r>
      <w:r w:rsidRPr="0019304B">
        <w:rPr>
          <w:b w:val="0"/>
        </w:rPr>
        <w:t>Although the idea behind digital taxation is to ensure fairness and increase government revenue, it creates some challenges for e-commerce companies. These businesses must now keep up with different tax laws in each country they operate in. They have to register for tax, file reports, and pay taxes in countries where they have customers. For smaller e-commerce firms, this process can be expensive and confusing. In some cases, they are forced to increase their prices to cover tax costs, which can reduce customer demand and affect sales.</w:t>
      </w:r>
    </w:p>
    <w:p w:rsidR="000E1877" w:rsidRPr="0019304B" w:rsidRDefault="000E1877" w:rsidP="000E1877">
      <w:pPr>
        <w:pStyle w:val="Heading1"/>
        <w:rPr>
          <w:b w:val="0"/>
        </w:rPr>
      </w:pPr>
    </w:p>
    <w:p w:rsidR="00F006EE" w:rsidRPr="00F006EE" w:rsidRDefault="000E1877" w:rsidP="00F006EE">
      <w:pPr>
        <w:pStyle w:val="Heading1"/>
        <w:rPr>
          <w:b w:val="0"/>
        </w:rPr>
      </w:pPr>
      <w:r w:rsidRPr="0019304B">
        <w:rPr>
          <w:b w:val="0"/>
        </w:rPr>
        <w:lastRenderedPageBreak/>
        <w:t>In addition, because different countries use different rules, businesses may face double taxation, where the same income is taxed by more than one country. This increases the financial burden on digital companies and can discourage them from expanding internationally.</w:t>
      </w:r>
      <w:r w:rsidR="00111A84">
        <w:rPr>
          <w:b w:val="0"/>
        </w:rPr>
        <w:t xml:space="preserve"> </w:t>
      </w:r>
      <w:r w:rsidRPr="0019304B">
        <w:rPr>
          <w:b w:val="0"/>
        </w:rPr>
        <w:t xml:space="preserve">In the case of </w:t>
      </w:r>
      <w:proofErr w:type="spellStart"/>
      <w:r w:rsidRPr="0019304B">
        <w:rPr>
          <w:b w:val="0"/>
        </w:rPr>
        <w:t>Desvine</w:t>
      </w:r>
      <w:proofErr w:type="spellEnd"/>
      <w:r w:rsidRPr="0019304B">
        <w:rPr>
          <w:b w:val="0"/>
        </w:rPr>
        <w:t xml:space="preserve"> Global, digital taxation has become an important factor in its e-commerce operations. As the company grows and serves customers in various regions, it must comply with tax policies while still trying to maintain its profit margins and competitive pricing. Understanding how digital taxation affects its sales, strategies, and customer behavior is key to planning its future in the digital market.</w:t>
      </w:r>
      <w:r w:rsidR="00CD202F">
        <w:rPr>
          <w:b w:val="0"/>
        </w:rPr>
        <w:t xml:space="preserve"> </w:t>
      </w:r>
      <w:r w:rsidR="00F006EE" w:rsidRPr="00F006EE">
        <w:rPr>
          <w:b w:val="0"/>
        </w:rPr>
        <w:t>It is impossible to overstate the importance of taxation. It is primarily utilized by governments around the world as a fiscal policy instrument to generate revenue for government expenditure on public services. The Nigerian tax system has undergone a number of significant improvements aimed at improving revenue collection and</w:t>
      </w:r>
      <w:r w:rsidR="001E243B">
        <w:rPr>
          <w:b w:val="0"/>
        </w:rPr>
        <w:t xml:space="preserve"> administration while lowering </w:t>
      </w:r>
      <w:r w:rsidR="00F006EE" w:rsidRPr="00F006EE">
        <w:rPr>
          <w:b w:val="0"/>
        </w:rPr>
        <w:t>enforcement costs (Joe et al., 2013). Recent reforms include th</w:t>
      </w:r>
      <w:r w:rsidR="00437F5E">
        <w:rPr>
          <w:b w:val="0"/>
        </w:rPr>
        <w:t xml:space="preserve">e introduction of the Taxpayer </w:t>
      </w:r>
      <w:r w:rsidR="00F006EE" w:rsidRPr="00F006EE">
        <w:rPr>
          <w:b w:val="0"/>
        </w:rPr>
        <w:t>Identification Number - TIN (a unique number that has been in e</w:t>
      </w:r>
      <w:r w:rsidR="00437F5E">
        <w:rPr>
          <w:b w:val="0"/>
        </w:rPr>
        <w:t xml:space="preserve">ffect since February 2008), an </w:t>
      </w:r>
      <w:r w:rsidR="00F006EE" w:rsidRPr="00F006EE">
        <w:rPr>
          <w:b w:val="0"/>
        </w:rPr>
        <w:t>automated tax system that allows individual taxpayers to track the</w:t>
      </w:r>
      <w:r w:rsidR="00437F5E">
        <w:rPr>
          <w:b w:val="0"/>
        </w:rPr>
        <w:t xml:space="preserve">ir tax positions and issues, </w:t>
      </w:r>
      <w:r w:rsidR="00F006EE" w:rsidRPr="00F006EE">
        <w:rPr>
          <w:b w:val="0"/>
        </w:rPr>
        <w:t>an e-payment system that improves tax collection and an enfor</w:t>
      </w:r>
      <w:r w:rsidR="00437F5E">
        <w:rPr>
          <w:b w:val="0"/>
        </w:rPr>
        <w:t xml:space="preserve">cement scheme (Special Purpose </w:t>
      </w:r>
      <w:r w:rsidR="00F006EE" w:rsidRPr="00F006EE">
        <w:rPr>
          <w:b w:val="0"/>
        </w:rPr>
        <w:t>Tax Officers). The tax authority, the Federal Inland Rev</w:t>
      </w:r>
      <w:r w:rsidR="00437F5E">
        <w:rPr>
          <w:b w:val="0"/>
        </w:rPr>
        <w:t xml:space="preserve">enue Service, now has complete </w:t>
      </w:r>
      <w:r w:rsidR="00F006EE" w:rsidRPr="00F006EE">
        <w:rPr>
          <w:b w:val="0"/>
        </w:rPr>
        <w:t>autonomy over the assessment, collection, and recording of tax</w:t>
      </w:r>
      <w:r w:rsidR="00437F5E">
        <w:rPr>
          <w:b w:val="0"/>
        </w:rPr>
        <w:t xml:space="preserve">es. This enabling environment, </w:t>
      </w:r>
      <w:r w:rsidR="00F006EE" w:rsidRPr="00F006EE">
        <w:rPr>
          <w:b w:val="0"/>
        </w:rPr>
        <w:t>which was created under (Section 8(q) of the FIRS Establishme</w:t>
      </w:r>
      <w:r w:rsidR="00437F5E">
        <w:rPr>
          <w:b w:val="0"/>
        </w:rPr>
        <w:t xml:space="preserve">nt Act 2007), has improved the </w:t>
      </w:r>
      <w:r w:rsidR="00F006EE" w:rsidRPr="00F006EE">
        <w:rPr>
          <w:b w:val="0"/>
        </w:rPr>
        <w:t>country's tax admini</w:t>
      </w:r>
      <w:r w:rsidR="00437F5E">
        <w:rPr>
          <w:b w:val="0"/>
        </w:rPr>
        <w:t>stration (Arinze et al., 2021).</w:t>
      </w:r>
      <w:r w:rsidR="00F006EE" w:rsidRPr="00F006EE">
        <w:rPr>
          <w:b w:val="0"/>
        </w:rPr>
        <w:t xml:space="preserve">Arinze et al. (2021) noted that the rapid growth and adoption </w:t>
      </w:r>
      <w:r w:rsidR="00437F5E">
        <w:rPr>
          <w:b w:val="0"/>
        </w:rPr>
        <w:t xml:space="preserve">of internet technology and the </w:t>
      </w:r>
      <w:r w:rsidR="00F006EE" w:rsidRPr="00F006EE">
        <w:rPr>
          <w:b w:val="0"/>
        </w:rPr>
        <w:t>emergence of the world wide web transformed the world into a g</w:t>
      </w:r>
      <w:r w:rsidR="00437F5E">
        <w:rPr>
          <w:b w:val="0"/>
        </w:rPr>
        <w:t xml:space="preserve">lobal village where people can </w:t>
      </w:r>
      <w:r w:rsidR="00F006EE" w:rsidRPr="00F006EE">
        <w:rPr>
          <w:b w:val="0"/>
        </w:rPr>
        <w:t>easily interact, and exchange information in multimedia forma</w:t>
      </w:r>
      <w:r w:rsidR="00437F5E">
        <w:rPr>
          <w:b w:val="0"/>
        </w:rPr>
        <w:t xml:space="preserve">t including goods and services </w:t>
      </w:r>
      <w:r w:rsidR="00F006EE" w:rsidRPr="00F006EE">
        <w:rPr>
          <w:b w:val="0"/>
        </w:rPr>
        <w:t>electronically, in real time, from any point of the globe to another</w:t>
      </w:r>
      <w:r w:rsidR="004F1B69">
        <w:rPr>
          <w:b w:val="0"/>
        </w:rPr>
        <w:t xml:space="preserve">. This important technological </w:t>
      </w:r>
      <w:r w:rsidR="00F006EE" w:rsidRPr="00F006EE">
        <w:rPr>
          <w:b w:val="0"/>
        </w:rPr>
        <w:t xml:space="preserve">development which has far-reaching implications on the way business and tax administration is conducted has created virtual business portals known as e-commerce sites as a novel business model that has replaced the traditional brick-and-mortar shops. “The last decade has seen tremendous </w:t>
      </w:r>
      <w:r w:rsidR="00F006EE" w:rsidRPr="00F006EE">
        <w:rPr>
          <w:b w:val="0"/>
        </w:rPr>
        <w:lastRenderedPageBreak/>
        <w:t>growth in the World Wide Web (WWW) an</w:t>
      </w:r>
      <w:r w:rsidR="004F1B69">
        <w:rPr>
          <w:b w:val="0"/>
        </w:rPr>
        <w:t xml:space="preserve">d e-commerce, which now offers </w:t>
      </w:r>
      <w:r w:rsidR="00F006EE" w:rsidRPr="00F006EE">
        <w:rPr>
          <w:b w:val="0"/>
        </w:rPr>
        <w:t>organizations and consumers a unique channel to deliver a</w:t>
      </w:r>
      <w:r w:rsidR="004F1B69">
        <w:rPr>
          <w:b w:val="0"/>
        </w:rPr>
        <w:t xml:space="preserve">nd purchase goods and services </w:t>
      </w:r>
      <w:r w:rsidR="00F006EE" w:rsidRPr="00F006EE">
        <w:rPr>
          <w:b w:val="0"/>
        </w:rPr>
        <w:t>(</w:t>
      </w:r>
      <w:proofErr w:type="spellStart"/>
      <w:r w:rsidR="00F006EE" w:rsidRPr="00F006EE">
        <w:rPr>
          <w:b w:val="0"/>
        </w:rPr>
        <w:t>Yahaya</w:t>
      </w:r>
      <w:proofErr w:type="spellEnd"/>
      <w:r w:rsidR="00F006EE" w:rsidRPr="00F006EE">
        <w:rPr>
          <w:b w:val="0"/>
        </w:rPr>
        <w:t>, 2021). The ubiquity of the WWW has also enabled</w:t>
      </w:r>
      <w:r w:rsidR="004F1B69">
        <w:rPr>
          <w:b w:val="0"/>
        </w:rPr>
        <w:t xml:space="preserve"> changes in several aspects of </w:t>
      </w:r>
      <w:r w:rsidR="00F006EE" w:rsidRPr="00F006EE">
        <w:rPr>
          <w:b w:val="0"/>
        </w:rPr>
        <w:t>traditional commerce. The barriers to entry for setting up a vir</w:t>
      </w:r>
      <w:r w:rsidR="00EE778F">
        <w:rPr>
          <w:b w:val="0"/>
        </w:rPr>
        <w:t xml:space="preserve">tual business are considerably </w:t>
      </w:r>
      <w:r w:rsidR="00F006EE" w:rsidRPr="00F006EE">
        <w:rPr>
          <w:b w:val="0"/>
        </w:rPr>
        <w:t>lower than for setting up a typical “brick-and-mortar” establishment; ge</w:t>
      </w:r>
      <w:r w:rsidR="00EE778F">
        <w:rPr>
          <w:b w:val="0"/>
        </w:rPr>
        <w:t xml:space="preserve">ographical barriers are </w:t>
      </w:r>
      <w:r w:rsidR="00F006EE" w:rsidRPr="00F006EE">
        <w:rPr>
          <w:b w:val="0"/>
        </w:rPr>
        <w:t>considerably reduced, providing sellers access to a larger</w:t>
      </w:r>
      <w:r w:rsidR="00EE778F">
        <w:rPr>
          <w:b w:val="0"/>
        </w:rPr>
        <w:t xml:space="preserve"> customer base; unique pricing </w:t>
      </w:r>
      <w:r w:rsidR="00F006EE" w:rsidRPr="00F006EE">
        <w:rPr>
          <w:b w:val="0"/>
        </w:rPr>
        <w:t>mechanisms such as “name your own price,” (e.g., priceline.</w:t>
      </w:r>
      <w:r w:rsidR="00EE778F">
        <w:rPr>
          <w:b w:val="0"/>
        </w:rPr>
        <w:t xml:space="preserve">com) and asynchronous auctions </w:t>
      </w:r>
      <w:r w:rsidR="00F006EE" w:rsidRPr="00F006EE">
        <w:rPr>
          <w:b w:val="0"/>
        </w:rPr>
        <w:t>are now possible; aggregation of demand by several individual b</w:t>
      </w:r>
      <w:r w:rsidR="00EE778F">
        <w:rPr>
          <w:b w:val="0"/>
        </w:rPr>
        <w:t xml:space="preserve">uyers is now possible, leading </w:t>
      </w:r>
      <w:r w:rsidR="00F006EE" w:rsidRPr="00F006EE">
        <w:rPr>
          <w:b w:val="0"/>
        </w:rPr>
        <w:t>to better negotiation of prices on behalf of these buyers; s</w:t>
      </w:r>
      <w:r w:rsidR="00EE778F">
        <w:rPr>
          <w:b w:val="0"/>
        </w:rPr>
        <w:t xml:space="preserve">earch engines and rating sites </w:t>
      </w:r>
      <w:r w:rsidR="00F006EE" w:rsidRPr="00F006EE">
        <w:rPr>
          <w:b w:val="0"/>
        </w:rPr>
        <w:t>provided aggregated information to the buyer about the different</w:t>
      </w:r>
      <w:r w:rsidR="00EE778F">
        <w:rPr>
          <w:b w:val="0"/>
        </w:rPr>
        <w:t xml:space="preserve"> sellers of a particular goods </w:t>
      </w:r>
      <w:r w:rsidR="00F006EE" w:rsidRPr="00F006EE">
        <w:rPr>
          <w:b w:val="0"/>
        </w:rPr>
        <w:t>or service. It is widely accepted that all of these changes hav</w:t>
      </w:r>
      <w:r w:rsidR="00EE778F">
        <w:rPr>
          <w:b w:val="0"/>
        </w:rPr>
        <w:t xml:space="preserve">e enabled efficiencies and the </w:t>
      </w:r>
      <w:r w:rsidR="00F006EE" w:rsidRPr="00F006EE">
        <w:rPr>
          <w:b w:val="0"/>
        </w:rPr>
        <w:t>creation of wealth” (</w:t>
      </w:r>
      <w:proofErr w:type="spellStart"/>
      <w:r w:rsidR="00F006EE" w:rsidRPr="00F006EE">
        <w:rPr>
          <w:b w:val="0"/>
        </w:rPr>
        <w:t>Adebanjo</w:t>
      </w:r>
      <w:proofErr w:type="spellEnd"/>
      <w:r w:rsidR="00F006EE" w:rsidRPr="00F006EE">
        <w:rPr>
          <w:b w:val="0"/>
        </w:rPr>
        <w:t xml:space="preserve">, 2021). Today, the internet has been able to facilitate research, </w:t>
      </w:r>
    </w:p>
    <w:p w:rsidR="00A26853" w:rsidRDefault="00F006EE" w:rsidP="000E1877">
      <w:pPr>
        <w:pStyle w:val="Heading1"/>
        <w:rPr>
          <w:b w:val="0"/>
        </w:rPr>
      </w:pPr>
      <w:r w:rsidRPr="00F006EE">
        <w:rPr>
          <w:b w:val="0"/>
        </w:rPr>
        <w:t>e-mail, facsimile, e-bulletin boards, databases, file transfer, e-learning and e-commer</w:t>
      </w:r>
      <w:r w:rsidR="00F3701C">
        <w:rPr>
          <w:b w:val="0"/>
        </w:rPr>
        <w:t xml:space="preserve">ce just to </w:t>
      </w:r>
      <w:r w:rsidRPr="00F006EE">
        <w:rPr>
          <w:b w:val="0"/>
        </w:rPr>
        <w:t>mention a few (</w:t>
      </w:r>
      <w:proofErr w:type="spellStart"/>
      <w:r w:rsidRPr="00F006EE">
        <w:rPr>
          <w:b w:val="0"/>
        </w:rPr>
        <w:t>Odumosu</w:t>
      </w:r>
      <w:proofErr w:type="spellEnd"/>
      <w:r w:rsidRPr="00F006EE">
        <w:rPr>
          <w:b w:val="0"/>
        </w:rPr>
        <w:t>, 2021). This innovative business mod</w:t>
      </w:r>
      <w:r w:rsidR="00F3701C">
        <w:rPr>
          <w:b w:val="0"/>
        </w:rPr>
        <w:t xml:space="preserve">el poses a lot of questions to </w:t>
      </w:r>
      <w:r w:rsidRPr="00F006EE">
        <w:rPr>
          <w:b w:val="0"/>
        </w:rPr>
        <w:t>administrators, politicians, policy analysts, internet investors, I</w:t>
      </w:r>
      <w:r w:rsidR="00F3701C">
        <w:rPr>
          <w:b w:val="0"/>
        </w:rPr>
        <w:t xml:space="preserve">T experts, venture capitalists </w:t>
      </w:r>
      <w:r w:rsidR="00AA50B4">
        <w:rPr>
          <w:b w:val="0"/>
        </w:rPr>
        <w:t xml:space="preserve">and tax </w:t>
      </w:r>
      <w:proofErr w:type="spellStart"/>
      <w:r w:rsidR="00AA50B4">
        <w:rPr>
          <w:b w:val="0"/>
        </w:rPr>
        <w:t>administrators.</w:t>
      </w:r>
      <w:r w:rsidRPr="00F006EE">
        <w:rPr>
          <w:b w:val="0"/>
        </w:rPr>
        <w:t>Nigeria</w:t>
      </w:r>
      <w:proofErr w:type="spellEnd"/>
      <w:r w:rsidRPr="00F006EE">
        <w:rPr>
          <w:b w:val="0"/>
        </w:rPr>
        <w:t xml:space="preserve"> has joined the rest of the world in adopting a cashless </w:t>
      </w:r>
      <w:r w:rsidR="00AA50B4">
        <w:rPr>
          <w:b w:val="0"/>
        </w:rPr>
        <w:t xml:space="preserve">society policy, where payments </w:t>
      </w:r>
      <w:r w:rsidRPr="00F006EE">
        <w:rPr>
          <w:b w:val="0"/>
        </w:rPr>
        <w:t>can be made simply by crediting the seller's account while debiti</w:t>
      </w:r>
      <w:r w:rsidR="00AA50B4">
        <w:rPr>
          <w:b w:val="0"/>
        </w:rPr>
        <w:t xml:space="preserve">ng the buyer's account as soon </w:t>
      </w:r>
      <w:r w:rsidRPr="00F006EE">
        <w:rPr>
          <w:b w:val="0"/>
        </w:rPr>
        <w:t>as the buyer indicates consent electronically through the use o</w:t>
      </w:r>
      <w:r w:rsidR="00AA50B4">
        <w:rPr>
          <w:b w:val="0"/>
        </w:rPr>
        <w:t xml:space="preserve">f e-payment channels such as </w:t>
      </w:r>
      <w:r w:rsidRPr="00F006EE">
        <w:rPr>
          <w:b w:val="0"/>
        </w:rPr>
        <w:t>debit and credit cards, Point of Sale (POS) terminals at major</w:t>
      </w:r>
      <w:r w:rsidR="00AA50B4">
        <w:rPr>
          <w:b w:val="0"/>
        </w:rPr>
        <w:t xml:space="preserve"> retail outlets, and expanding </w:t>
      </w:r>
      <w:r w:rsidRPr="00F006EE">
        <w:rPr>
          <w:b w:val="0"/>
        </w:rPr>
        <w:t>financial inclusion through bank accounts (</w:t>
      </w:r>
      <w:proofErr w:type="spellStart"/>
      <w:r w:rsidRPr="00F006EE">
        <w:rPr>
          <w:b w:val="0"/>
        </w:rPr>
        <w:t>Yahaya</w:t>
      </w:r>
      <w:proofErr w:type="spellEnd"/>
      <w:r w:rsidRPr="00F006EE">
        <w:rPr>
          <w:b w:val="0"/>
        </w:rPr>
        <w:t>, 2021</w:t>
      </w:r>
      <w:r w:rsidR="00A26853">
        <w:rPr>
          <w:b w:val="0"/>
        </w:rPr>
        <w:t xml:space="preserve">). </w:t>
      </w:r>
    </w:p>
    <w:p w:rsidR="000E1877" w:rsidRDefault="000E1877" w:rsidP="000E1877">
      <w:pPr>
        <w:pStyle w:val="Heading1"/>
        <w:rPr>
          <w:b w:val="0"/>
        </w:rPr>
      </w:pPr>
      <w:r w:rsidRPr="0019304B">
        <w:rPr>
          <w:b w:val="0"/>
        </w:rPr>
        <w:lastRenderedPageBreak/>
        <w:t xml:space="preserve">This study, therefore, aims to explore how digital taxation impacts e-commerce sales using </w:t>
      </w:r>
      <w:proofErr w:type="spellStart"/>
      <w:r w:rsidRPr="0019304B">
        <w:rPr>
          <w:b w:val="0"/>
        </w:rPr>
        <w:t>Desvine</w:t>
      </w:r>
      <w:proofErr w:type="spellEnd"/>
      <w:r w:rsidRPr="0019304B">
        <w:rPr>
          <w:b w:val="0"/>
        </w:rPr>
        <w:t xml:space="preserve"> Global as a case study. The goal is to identify the effects of tax policies on digital businesses and to suggest possible strategies that companies can adopt to remain successful while complying with tax regulations</w:t>
      </w:r>
      <w:r w:rsidR="00F628F4">
        <w:rPr>
          <w:b w:val="0"/>
        </w:rPr>
        <w:t>.</w:t>
      </w:r>
    </w:p>
    <w:p w:rsidR="00345D29" w:rsidRPr="00345D29" w:rsidRDefault="000E1877" w:rsidP="00345D29">
      <w:pPr>
        <w:pStyle w:val="ListParagraph"/>
        <w:numPr>
          <w:ilvl w:val="1"/>
          <w:numId w:val="10"/>
        </w:numPr>
        <w:rPr>
          <w:b/>
        </w:rPr>
      </w:pPr>
      <w:r w:rsidRPr="00345D29">
        <w:rPr>
          <w:b/>
        </w:rPr>
        <w:t>Statement of the Problem</w:t>
      </w:r>
    </w:p>
    <w:p w:rsidR="00506BDC" w:rsidRDefault="000E1877" w:rsidP="00506BDC">
      <w:pPr>
        <w:pStyle w:val="ListParagraph"/>
        <w:ind w:left="423"/>
      </w:pPr>
      <w:proofErr w:type="spellStart"/>
      <w:r w:rsidRPr="0019304B">
        <w:t>Desvine</w:t>
      </w:r>
      <w:proofErr w:type="spellEnd"/>
      <w:r w:rsidRPr="0019304B">
        <w:t xml:space="preserve"> Global has recently recorded a disturbing decline in e-commerce sales across several markets. This trend is worrisome, especially as the global e-commerce sector continues to expand, with more consumers shopping online than ever before. Despite ongoing investments in technology, advertising, and customer experience, the company’s performance remains below expectations. The reduction in sales threatens to weaken </w:t>
      </w:r>
      <w:proofErr w:type="spellStart"/>
      <w:r w:rsidRPr="0019304B">
        <w:t>Desvine</w:t>
      </w:r>
      <w:proofErr w:type="spellEnd"/>
      <w:r w:rsidRPr="0019304B">
        <w:t xml:space="preserve"> </w:t>
      </w:r>
      <w:proofErr w:type="spellStart"/>
      <w:r w:rsidRPr="0019304B">
        <w:t>Global’s</w:t>
      </w:r>
      <w:proofErr w:type="spellEnd"/>
      <w:r w:rsidRPr="0019304B">
        <w:t xml:space="preserve"> market position, reduce profitability, and affect investor confidence.</w:t>
      </w:r>
      <w:r w:rsidR="00345D29">
        <w:t xml:space="preserve"> </w:t>
      </w:r>
      <w:r w:rsidRPr="0019304B">
        <w:t xml:space="preserve">The most troubling aspect is that this decline is happening in regions where new digital taxes have recently been introduced. While not the core issue, these taxes are suspected of increasing product prices, discouraging consumers, and complicating business operations. These developments have made it difficult for the company to maintain its customer base and profit margins. If not addressed, this trend could lead to long-term damage to </w:t>
      </w:r>
      <w:proofErr w:type="spellStart"/>
      <w:r w:rsidRPr="0019304B">
        <w:t>Desvine</w:t>
      </w:r>
      <w:proofErr w:type="spellEnd"/>
      <w:r w:rsidRPr="0019304B">
        <w:t xml:space="preserve"> </w:t>
      </w:r>
      <w:proofErr w:type="spellStart"/>
      <w:r w:rsidRPr="0019304B">
        <w:t>Global’s</w:t>
      </w:r>
      <w:proofErr w:type="spellEnd"/>
      <w:r w:rsidRPr="0019304B">
        <w:t xml:space="preserve"> financial health and global standing.</w:t>
      </w:r>
      <w:r w:rsidR="00506BDC">
        <w:t xml:space="preserve"> </w:t>
      </w:r>
      <w:r w:rsidRPr="0019304B">
        <w:t xml:space="preserve">Therefore, this research seeks to investigate the relationship between </w:t>
      </w:r>
      <w:proofErr w:type="spellStart"/>
      <w:r w:rsidRPr="0019304B">
        <w:t>Desvine</w:t>
      </w:r>
      <w:proofErr w:type="spellEnd"/>
      <w:r w:rsidRPr="0019304B">
        <w:t xml:space="preserve"> </w:t>
      </w:r>
      <w:proofErr w:type="spellStart"/>
      <w:r w:rsidRPr="0019304B">
        <w:t>Global’s</w:t>
      </w:r>
      <w:proofErr w:type="spellEnd"/>
      <w:r w:rsidRPr="0019304B">
        <w:t xml:space="preserve"> declining e-commerce sales and the possible influence of digital taxation. The aim is to find solutions that can help the company adapt and recover its sales performance.</w:t>
      </w:r>
    </w:p>
    <w:p w:rsidR="0093166E" w:rsidRDefault="000E1877" w:rsidP="0093166E">
      <w:pPr>
        <w:pStyle w:val="ListParagraph"/>
        <w:numPr>
          <w:ilvl w:val="1"/>
          <w:numId w:val="10"/>
        </w:numPr>
        <w:rPr>
          <w:b/>
        </w:rPr>
      </w:pPr>
      <w:r w:rsidRPr="0093166E">
        <w:rPr>
          <w:b/>
        </w:rPr>
        <w:t>Objectives of the Study</w:t>
      </w:r>
    </w:p>
    <w:p w:rsidR="0001187A" w:rsidRDefault="000E1877" w:rsidP="0001187A">
      <w:pPr>
        <w:pStyle w:val="ListParagraph"/>
        <w:ind w:left="423"/>
      </w:pPr>
      <w:r w:rsidRPr="0019304B">
        <w:t xml:space="preserve">The primary objective of this study is to examine the impact of digital taxation on the e-commerce sales of </w:t>
      </w:r>
      <w:proofErr w:type="spellStart"/>
      <w:r w:rsidRPr="0019304B">
        <w:t>Desvine</w:t>
      </w:r>
      <w:proofErr w:type="spellEnd"/>
      <w:r w:rsidRPr="0019304B">
        <w:t xml:space="preserve"> Global.</w:t>
      </w:r>
      <w:r w:rsidR="0001187A">
        <w:t xml:space="preserve"> </w:t>
      </w:r>
      <w:r w:rsidRPr="0019304B">
        <w:t xml:space="preserve">The specific objectives are: </w:t>
      </w:r>
    </w:p>
    <w:p w:rsidR="0001187A" w:rsidRDefault="000E1877" w:rsidP="0001187A">
      <w:pPr>
        <w:pStyle w:val="ListParagraph"/>
        <w:ind w:left="423"/>
      </w:pPr>
      <w:r w:rsidRPr="0019304B">
        <w:t xml:space="preserve">1. To determine the extent to which digital taxation affects </w:t>
      </w:r>
      <w:proofErr w:type="spellStart"/>
      <w:r w:rsidRPr="0019304B">
        <w:t>Desvine</w:t>
      </w:r>
      <w:proofErr w:type="spellEnd"/>
      <w:r w:rsidRPr="0019304B">
        <w:t xml:space="preserve"> </w:t>
      </w:r>
      <w:proofErr w:type="spellStart"/>
      <w:r w:rsidRPr="0019304B">
        <w:t>Global’s</w:t>
      </w:r>
      <w:proofErr w:type="spellEnd"/>
      <w:r w:rsidRPr="0019304B">
        <w:t xml:space="preserve"> e-commerce sales. </w:t>
      </w:r>
    </w:p>
    <w:p w:rsidR="001E33C9" w:rsidRDefault="000E1877" w:rsidP="001E33C9">
      <w:pPr>
        <w:pStyle w:val="ListParagraph"/>
        <w:ind w:left="423"/>
      </w:pPr>
      <w:r w:rsidRPr="0019304B">
        <w:t xml:space="preserve">2. To examine how digital taxation influences consumer behavior and purchasing decisions on </w:t>
      </w:r>
      <w:proofErr w:type="spellStart"/>
      <w:r w:rsidRPr="0019304B">
        <w:t>Desvine</w:t>
      </w:r>
      <w:proofErr w:type="spellEnd"/>
      <w:r w:rsidRPr="0019304B">
        <w:t xml:space="preserve"> </w:t>
      </w:r>
      <w:proofErr w:type="spellStart"/>
      <w:r w:rsidRPr="0019304B">
        <w:t>Global’s</w:t>
      </w:r>
      <w:proofErr w:type="spellEnd"/>
      <w:r w:rsidRPr="0019304B">
        <w:t xml:space="preserve"> platform.</w:t>
      </w:r>
    </w:p>
    <w:p w:rsidR="00387345" w:rsidRDefault="000E1877" w:rsidP="00387345">
      <w:pPr>
        <w:pStyle w:val="ListParagraph"/>
        <w:ind w:left="423"/>
      </w:pPr>
      <w:r w:rsidRPr="0019304B">
        <w:t xml:space="preserve"> 3. To assess the operational challenges </w:t>
      </w:r>
      <w:proofErr w:type="spellStart"/>
      <w:r w:rsidRPr="0019304B">
        <w:t>Desvine</w:t>
      </w:r>
      <w:proofErr w:type="spellEnd"/>
      <w:r w:rsidRPr="0019304B">
        <w:t xml:space="preserve"> Global faces in complying with digital tax policies.</w:t>
      </w:r>
    </w:p>
    <w:p w:rsidR="00A47062" w:rsidRDefault="00A17CE2" w:rsidP="00A17CE2">
      <w:pPr>
        <w:rPr>
          <w:b/>
        </w:rPr>
      </w:pPr>
      <w:r w:rsidRPr="00A17CE2">
        <w:rPr>
          <w:b/>
        </w:rPr>
        <w:t>1.4</w:t>
      </w:r>
      <w:r w:rsidR="000E1877" w:rsidRPr="00A17CE2">
        <w:rPr>
          <w:b/>
        </w:rPr>
        <w:t xml:space="preserve"> Research Questions</w:t>
      </w:r>
    </w:p>
    <w:p w:rsidR="00A47062" w:rsidRDefault="000E1877" w:rsidP="00A47062">
      <w:r w:rsidRPr="0019304B">
        <w:t xml:space="preserve">1. To what extent does digital taxation influence </w:t>
      </w:r>
      <w:proofErr w:type="spellStart"/>
      <w:r w:rsidRPr="0019304B">
        <w:t>Desvine</w:t>
      </w:r>
      <w:proofErr w:type="spellEnd"/>
      <w:r w:rsidRPr="0019304B">
        <w:t xml:space="preserve"> </w:t>
      </w:r>
      <w:proofErr w:type="spellStart"/>
      <w:r w:rsidRPr="0019304B">
        <w:t>Global’s</w:t>
      </w:r>
      <w:proofErr w:type="spellEnd"/>
      <w:r w:rsidRPr="0019304B">
        <w:t xml:space="preserve"> e-commerce sales? </w:t>
      </w:r>
    </w:p>
    <w:p w:rsidR="00A47062" w:rsidRDefault="000E1877" w:rsidP="00A47062">
      <w:r w:rsidRPr="0019304B">
        <w:t xml:space="preserve">2. How does digital taxation affect consumer behavior on </w:t>
      </w:r>
      <w:proofErr w:type="spellStart"/>
      <w:r w:rsidRPr="0019304B">
        <w:t>Desvine</w:t>
      </w:r>
      <w:proofErr w:type="spellEnd"/>
      <w:r w:rsidRPr="0019304B">
        <w:t xml:space="preserve"> </w:t>
      </w:r>
      <w:proofErr w:type="spellStart"/>
      <w:r w:rsidRPr="0019304B">
        <w:t>Global’s</w:t>
      </w:r>
      <w:proofErr w:type="spellEnd"/>
      <w:r w:rsidRPr="0019304B">
        <w:t xml:space="preserve"> platform? </w:t>
      </w:r>
    </w:p>
    <w:p w:rsidR="00A47062" w:rsidRDefault="000E1877" w:rsidP="00A47062">
      <w:r w:rsidRPr="0019304B">
        <w:t xml:space="preserve">3. What are the challenges </w:t>
      </w:r>
      <w:proofErr w:type="spellStart"/>
      <w:r w:rsidRPr="0019304B">
        <w:t>Desvine</w:t>
      </w:r>
      <w:proofErr w:type="spellEnd"/>
      <w:r w:rsidRPr="0019304B">
        <w:t xml:space="preserve"> Global faces in complying with digital tax policies?</w:t>
      </w:r>
    </w:p>
    <w:p w:rsidR="000C354E" w:rsidRDefault="000C354E" w:rsidP="00A47062">
      <w:pPr>
        <w:rPr>
          <w:b/>
        </w:rPr>
      </w:pPr>
      <w:r>
        <w:rPr>
          <w:b/>
        </w:rPr>
        <w:t>1.5 Research Hypothesis</w:t>
      </w:r>
    </w:p>
    <w:p w:rsidR="000C354E" w:rsidRDefault="004E5CA0" w:rsidP="00A47062">
      <w:r>
        <w:t>1. H1: Digital Taxation</w:t>
      </w:r>
      <w:r w:rsidR="00073A55">
        <w:t xml:space="preserve"> does not </w:t>
      </w:r>
      <w:r w:rsidR="00161B38">
        <w:t xml:space="preserve">influence </w:t>
      </w:r>
      <w:proofErr w:type="spellStart"/>
      <w:r w:rsidR="00855275">
        <w:t>Desvine</w:t>
      </w:r>
      <w:proofErr w:type="spellEnd"/>
      <w:r w:rsidR="00855275">
        <w:t xml:space="preserve">  </w:t>
      </w:r>
      <w:proofErr w:type="spellStart"/>
      <w:r w:rsidR="00855275">
        <w:t>Global</w:t>
      </w:r>
      <w:r w:rsidR="00DC093A">
        <w:t>’s</w:t>
      </w:r>
      <w:proofErr w:type="spellEnd"/>
      <w:r w:rsidR="00DC093A">
        <w:t xml:space="preserve"> e-</w:t>
      </w:r>
      <w:proofErr w:type="spellStart"/>
      <w:r w:rsidR="00DC093A">
        <w:t>çommerce</w:t>
      </w:r>
      <w:proofErr w:type="spellEnd"/>
      <w:r w:rsidR="00DC093A">
        <w:t xml:space="preserve"> sales.</w:t>
      </w:r>
    </w:p>
    <w:p w:rsidR="00FD7714" w:rsidRDefault="00FD7714" w:rsidP="00A47062">
      <w:r>
        <w:lastRenderedPageBreak/>
        <w:t xml:space="preserve">2. H2: </w:t>
      </w:r>
      <w:r w:rsidR="00C21678">
        <w:t>Digital Taxation does not affect consumer behavior</w:t>
      </w:r>
      <w:r w:rsidR="00316E31">
        <w:t xml:space="preserve"> on </w:t>
      </w:r>
      <w:proofErr w:type="spellStart"/>
      <w:r w:rsidR="00316E31">
        <w:t>Desvine</w:t>
      </w:r>
      <w:proofErr w:type="spellEnd"/>
      <w:r w:rsidR="00316E31">
        <w:t xml:space="preserve"> </w:t>
      </w:r>
      <w:proofErr w:type="spellStart"/>
      <w:r w:rsidR="00316E31">
        <w:t>Global’s</w:t>
      </w:r>
      <w:proofErr w:type="spellEnd"/>
      <w:r w:rsidR="00316E31">
        <w:t xml:space="preserve"> platform.</w:t>
      </w:r>
    </w:p>
    <w:p w:rsidR="00E032E4" w:rsidRPr="004E5CA0" w:rsidRDefault="00E032E4" w:rsidP="00A47062">
      <w:r>
        <w:t xml:space="preserve">3. H3: There </w:t>
      </w:r>
      <w:r w:rsidR="00E119A9">
        <w:t>are no challenges</w:t>
      </w:r>
      <w:r w:rsidR="00A56F4D">
        <w:t xml:space="preserve"> facing by </w:t>
      </w:r>
      <w:proofErr w:type="spellStart"/>
      <w:r w:rsidR="00A56F4D">
        <w:t>Desvine</w:t>
      </w:r>
      <w:proofErr w:type="spellEnd"/>
      <w:r w:rsidR="00A56F4D">
        <w:t xml:space="preserve"> Global</w:t>
      </w:r>
      <w:r w:rsidR="008A60F6">
        <w:t xml:space="preserve"> in complying</w:t>
      </w:r>
      <w:r w:rsidR="005A1CCB">
        <w:t xml:space="preserve"> with digital tax policies.</w:t>
      </w:r>
    </w:p>
    <w:p w:rsidR="00B6403B" w:rsidRDefault="00882447" w:rsidP="00B6403B">
      <w:pPr>
        <w:rPr>
          <w:b/>
        </w:rPr>
      </w:pPr>
      <w:r>
        <w:rPr>
          <w:b/>
        </w:rPr>
        <w:t>1.6</w:t>
      </w:r>
      <w:r w:rsidR="000E1877" w:rsidRPr="00A47062">
        <w:rPr>
          <w:b/>
        </w:rPr>
        <w:t xml:space="preserve"> Significance of the Study</w:t>
      </w:r>
    </w:p>
    <w:p w:rsidR="00B6403B" w:rsidRDefault="000E1877" w:rsidP="00B6403B">
      <w:r w:rsidRPr="0019304B">
        <w:t xml:space="preserve">This study is significant because it provides insight into a growing problem faced by global e-commerce companies like </w:t>
      </w:r>
      <w:proofErr w:type="spellStart"/>
      <w:r w:rsidRPr="0019304B">
        <w:t>Desvine</w:t>
      </w:r>
      <w:proofErr w:type="spellEnd"/>
      <w:r w:rsidRPr="0019304B">
        <w:t xml:space="preserve"> Global. By investigating the impact of digital taxation on e-commerce sales, the study can help </w:t>
      </w:r>
      <w:proofErr w:type="spellStart"/>
      <w:r w:rsidRPr="0019304B">
        <w:t>Desvine</w:t>
      </w:r>
      <w:proofErr w:type="spellEnd"/>
      <w:r w:rsidRPr="0019304B">
        <w:t xml:space="preserve"> Global develop effective strategies to maintain profitability and remain competitive.</w:t>
      </w:r>
    </w:p>
    <w:p w:rsidR="00B6403B" w:rsidRDefault="000E1877" w:rsidP="00B6403B">
      <w:r w:rsidRPr="0019304B">
        <w:t>For business managers, the findings will offer practical recommendations on how to deal with the challenges posed by digital taxes. For policymakers, the research may help them understand how taxation policies affect international businesses and may inform future regulations. For students and researchers, the study contributes to the growing academic literature on e-commerce and digital economy taxation.</w:t>
      </w:r>
    </w:p>
    <w:p w:rsidR="007001D3" w:rsidRDefault="00882447" w:rsidP="007001D3">
      <w:pPr>
        <w:rPr>
          <w:b/>
        </w:rPr>
      </w:pPr>
      <w:r>
        <w:rPr>
          <w:b/>
        </w:rPr>
        <w:t xml:space="preserve">1.7 </w:t>
      </w:r>
      <w:r w:rsidR="000E1877" w:rsidRPr="007001D3">
        <w:rPr>
          <w:b/>
        </w:rPr>
        <w:t>Scope of the Study</w:t>
      </w:r>
    </w:p>
    <w:p w:rsidR="007001D3" w:rsidRDefault="000E1877" w:rsidP="007001D3">
      <w:r w:rsidRPr="0019304B">
        <w:t xml:space="preserve">This study focuses on </w:t>
      </w:r>
      <w:proofErr w:type="spellStart"/>
      <w:r w:rsidRPr="0019304B">
        <w:t>Desvine</w:t>
      </w:r>
      <w:proofErr w:type="spellEnd"/>
      <w:r w:rsidRPr="0019304B">
        <w:t xml:space="preserve"> </w:t>
      </w:r>
      <w:proofErr w:type="spellStart"/>
      <w:r w:rsidRPr="0019304B">
        <w:t>Global’s</w:t>
      </w:r>
      <w:proofErr w:type="spellEnd"/>
      <w:r w:rsidRPr="0019304B">
        <w:t xml:space="preserve"> e-commerce operations across selected international markets, particularly in countries that have implemented digital tax laws. It limits its scope to the period within which digital taxation policies became active and their corresponding effects on sales, pricing, and operations.</w:t>
      </w:r>
    </w:p>
    <w:p w:rsidR="00F25E9E" w:rsidRDefault="000E1877" w:rsidP="00F25E9E">
      <w:r w:rsidRPr="0019304B">
        <w:t xml:space="preserve">The research does not attempt to cover all aspects of taxation or all countries. Instead, it narrows its focus to markets that are significant to </w:t>
      </w:r>
      <w:proofErr w:type="spellStart"/>
      <w:r w:rsidRPr="0019304B">
        <w:t>Desvine</w:t>
      </w:r>
      <w:proofErr w:type="spellEnd"/>
      <w:r w:rsidRPr="0019304B">
        <w:t xml:space="preserve"> Global and have active digital tax regimes.</w:t>
      </w:r>
    </w:p>
    <w:p w:rsidR="00FF5A4D" w:rsidRDefault="00F25E9E" w:rsidP="00FF5A4D">
      <w:pPr>
        <w:rPr>
          <w:b/>
        </w:rPr>
      </w:pPr>
      <w:r>
        <w:rPr>
          <w:b/>
        </w:rPr>
        <w:t xml:space="preserve">1.8 </w:t>
      </w:r>
      <w:r w:rsidR="000E1877" w:rsidRPr="00F25E9E">
        <w:rPr>
          <w:b/>
        </w:rPr>
        <w:t>Definition of Key Terms</w:t>
      </w:r>
    </w:p>
    <w:p w:rsidR="00FF5A4D" w:rsidRDefault="000E1877" w:rsidP="00FF5A4D">
      <w:r w:rsidRPr="0019304B">
        <w:t>- E-Commerce: The buying and selling of goods and services online</w:t>
      </w:r>
    </w:p>
    <w:p w:rsidR="00FF5A4D" w:rsidRDefault="000E1877" w:rsidP="00FF5A4D">
      <w:r w:rsidRPr="0019304B">
        <w:t>. - Digital Taxation: Tax policies imposed on digital platforms, services, and cross-border online transactions</w:t>
      </w:r>
    </w:p>
    <w:p w:rsidR="00FF5A4D" w:rsidRDefault="000E1877" w:rsidP="00FF5A4D">
      <w:r w:rsidRPr="0019304B">
        <w:t>. - Sales Performance: A measure of how well a company’s products and services are selling over a specific period</w:t>
      </w:r>
    </w:p>
    <w:p w:rsidR="000E1877" w:rsidRPr="0019304B" w:rsidRDefault="000E1877" w:rsidP="00FF5A4D">
      <w:pPr>
        <w:rPr>
          <w:b/>
        </w:rPr>
      </w:pPr>
      <w:r w:rsidRPr="0019304B">
        <w:t>. - Compliance: The act of following laws, regulations, and tax policies set by government authorities.</w:t>
      </w:r>
    </w:p>
    <w:p w:rsidR="000E1877" w:rsidRPr="00C4762C" w:rsidRDefault="000E1877" w:rsidP="000E1877">
      <w:pPr>
        <w:pStyle w:val="Heading1"/>
      </w:pPr>
      <w:r w:rsidRPr="0019304B">
        <w:rPr>
          <w:b w:val="0"/>
        </w:rPr>
        <w:lastRenderedPageBreak/>
        <w:t xml:space="preserve">  </w:t>
      </w:r>
      <w:r w:rsidR="00347637">
        <w:rPr>
          <w:b w:val="0"/>
        </w:rPr>
        <w:t xml:space="preserve">                           </w:t>
      </w:r>
      <w:r w:rsidRPr="0019304B">
        <w:rPr>
          <w:b w:val="0"/>
        </w:rPr>
        <w:t xml:space="preserve">            </w:t>
      </w:r>
      <w:r w:rsidRPr="00C4762C">
        <w:t>CHAPTER TWO</w:t>
      </w:r>
    </w:p>
    <w:p w:rsidR="000E1877" w:rsidRPr="00C4762C" w:rsidRDefault="000E1877" w:rsidP="000E1877">
      <w:pPr>
        <w:pStyle w:val="Heading1"/>
      </w:pPr>
      <w:r w:rsidRPr="00C4762C">
        <w:t xml:space="preserve">                                     LITERATURE REVIEW</w:t>
      </w:r>
    </w:p>
    <w:p w:rsidR="000E1877" w:rsidRPr="00C4762C" w:rsidRDefault="000E1877" w:rsidP="000E1877">
      <w:pPr>
        <w:pStyle w:val="Heading1"/>
      </w:pPr>
      <w:r w:rsidRPr="00C4762C">
        <w:t>2.1 Conceptual Framework</w:t>
      </w:r>
    </w:p>
    <w:p w:rsidR="000E1877" w:rsidRPr="0019304B" w:rsidRDefault="000E1877" w:rsidP="000E1877">
      <w:pPr>
        <w:pStyle w:val="Heading1"/>
        <w:rPr>
          <w:b w:val="0"/>
        </w:rPr>
      </w:pPr>
      <w:r w:rsidRPr="0019304B">
        <w:rPr>
          <w:b w:val="0"/>
        </w:rPr>
        <w:t xml:space="preserve">2.1.1 E-Commerce </w:t>
      </w:r>
      <w:proofErr w:type="spellStart"/>
      <w:r w:rsidRPr="0019304B">
        <w:rPr>
          <w:b w:val="0"/>
        </w:rPr>
        <w:t>E-commerce</w:t>
      </w:r>
      <w:proofErr w:type="spellEnd"/>
      <w:r w:rsidRPr="0019304B">
        <w:rPr>
          <w:b w:val="0"/>
        </w:rPr>
        <w:t xml:space="preserve"> refers to the buying and selling of goods and services via digital platforms, mainly the internet. It has transformed how businesses operate globally by eliminating geographical limitations and reducing overhead costs (Laudon &amp; </w:t>
      </w:r>
      <w:proofErr w:type="spellStart"/>
      <w:r w:rsidRPr="0019304B">
        <w:rPr>
          <w:b w:val="0"/>
        </w:rPr>
        <w:t>Traver</w:t>
      </w:r>
      <w:proofErr w:type="spellEnd"/>
      <w:r w:rsidRPr="0019304B">
        <w:rPr>
          <w:b w:val="0"/>
        </w:rPr>
        <w:t>, 2020). The major e-commerce models include B2B, B2C, and C2C, each impacting revenue structures and regulatory exposure. The rise in digital technology, mobile apps, and online payment systems has accelerated global e-commerce growth (UNCTAD, 2021).</w:t>
      </w:r>
    </w:p>
    <w:p w:rsidR="000E1877" w:rsidRDefault="000E1877" w:rsidP="000E1877">
      <w:pPr>
        <w:pStyle w:val="Heading1"/>
        <w:rPr>
          <w:b w:val="0"/>
        </w:rPr>
      </w:pPr>
      <w:r w:rsidRPr="0019304B">
        <w:rPr>
          <w:b w:val="0"/>
        </w:rPr>
        <w:t>2.1.2 Digital Taxation Digital taxation encompasses tax regimes developed to ensure that companies engaged in digital activities contribute fairly to public revenue. Traditionally, tax systems relied on the principle of physical presence, but the digital economy challenges this approach. Countries have introduced policies such as Digital Services Tax (DST), Equalization Levy, and digital VAT to tax non-resident companies operating online (OECD, 2020). These policies aim to create fairness but often lead to legal complexity and higher compliance costs for businesses.</w:t>
      </w:r>
    </w:p>
    <w:p w:rsidR="008B2A53" w:rsidRPr="000D643C" w:rsidRDefault="008B2A53" w:rsidP="008B2A53">
      <w:pPr>
        <w:rPr>
          <w:b/>
        </w:rPr>
      </w:pPr>
      <w:r>
        <w:t xml:space="preserve">                 </w:t>
      </w:r>
      <w:r w:rsidRPr="000D643C">
        <w:rPr>
          <w:b/>
        </w:rPr>
        <w:t>TAXATION</w:t>
      </w:r>
    </w:p>
    <w:p w:rsidR="008B2A53" w:rsidRDefault="008B2A53" w:rsidP="008B2A53">
      <w:r>
        <w:t xml:space="preserve">According to </w:t>
      </w:r>
      <w:proofErr w:type="spellStart"/>
      <w:r>
        <w:t>Nwadialor</w:t>
      </w:r>
      <w:proofErr w:type="spellEnd"/>
      <w:r>
        <w:t xml:space="preserve"> and </w:t>
      </w:r>
      <w:proofErr w:type="spellStart"/>
      <w:r>
        <w:t>Agbo</w:t>
      </w:r>
      <w:proofErr w:type="spellEnd"/>
      <w:r>
        <w:t xml:space="preserve"> (2020), different scholars hav</w:t>
      </w:r>
      <w:r w:rsidR="006549D6">
        <w:t xml:space="preserve">e defined tax in various ways. </w:t>
      </w:r>
      <w:r>
        <w:t xml:space="preserve">Tax, according to </w:t>
      </w:r>
      <w:proofErr w:type="spellStart"/>
      <w:r>
        <w:t>Okafor</w:t>
      </w:r>
      <w:proofErr w:type="spellEnd"/>
      <w:r>
        <w:t>, (2012a) is a mandatory contribution placed on citi</w:t>
      </w:r>
      <w:r w:rsidR="006B1F76">
        <w:t xml:space="preserve">zens by </w:t>
      </w:r>
      <w:r>
        <w:t xml:space="preserve">governments in order to provide social services and ensure </w:t>
      </w:r>
      <w:r w:rsidR="00840A6C">
        <w:t xml:space="preserve">residents' social and economic </w:t>
      </w:r>
      <w:r>
        <w:t xml:space="preserve">welfare. A tax is a financial charge or levy imposed by the </w:t>
      </w:r>
      <w:r w:rsidR="00840A6C">
        <w:t xml:space="preserve">government on an individual or </w:t>
      </w:r>
      <w:r>
        <w:t>legal body, with failure to pay, avoidance, or resistance to collec</w:t>
      </w:r>
      <w:r w:rsidR="00840A6C">
        <w:t>tion punished by law (</w:t>
      </w:r>
      <w:proofErr w:type="spellStart"/>
      <w:r w:rsidR="00840A6C">
        <w:t>Pibowei</w:t>
      </w:r>
      <w:proofErr w:type="spellEnd"/>
      <w:r w:rsidR="00840A6C">
        <w:t xml:space="preserve">, </w:t>
      </w:r>
      <w:r>
        <w:t xml:space="preserve">2021). Tax is described as a monetary charge on a person's or entity's income, property, or </w:t>
      </w:r>
    </w:p>
    <w:p w:rsidR="000A32BD" w:rsidRDefault="008B2A53" w:rsidP="008B2A53">
      <w:r>
        <w:t>transaction that is normally collected by a defined authority at the federal, state, or municipal level (</w:t>
      </w:r>
      <w:proofErr w:type="spellStart"/>
      <w:r>
        <w:t>Okah-Avae</w:t>
      </w:r>
      <w:proofErr w:type="spellEnd"/>
      <w:r>
        <w:t xml:space="preserve"> &amp; </w:t>
      </w:r>
      <w:proofErr w:type="spellStart"/>
      <w:r>
        <w:t>Mukoro</w:t>
      </w:r>
      <w:proofErr w:type="spellEnd"/>
      <w:r>
        <w:t>, 2020). Others (Arinze et al., 20</w:t>
      </w:r>
      <w:r w:rsidR="00840A6C">
        <w:t xml:space="preserve">21; </w:t>
      </w:r>
      <w:proofErr w:type="spellStart"/>
      <w:r w:rsidR="00840A6C">
        <w:t>Odumosu</w:t>
      </w:r>
      <w:proofErr w:type="spellEnd"/>
      <w:r w:rsidR="00840A6C">
        <w:t>,</w:t>
      </w:r>
    </w:p>
    <w:p w:rsidR="00821A3B" w:rsidRDefault="00840A6C" w:rsidP="00821A3B">
      <w:r>
        <w:lastRenderedPageBreak/>
        <w:t xml:space="preserve">2021; </w:t>
      </w:r>
      <w:proofErr w:type="spellStart"/>
      <w:r>
        <w:t>Ogunbela</w:t>
      </w:r>
      <w:proofErr w:type="spellEnd"/>
      <w:r>
        <w:t xml:space="preserve"> et </w:t>
      </w:r>
      <w:r w:rsidR="008B2A53">
        <w:t>al., 2021) define it as an obligatory levy imposed by th</w:t>
      </w:r>
      <w:r w:rsidR="000A32BD">
        <w:t xml:space="preserve">e government or any recognized </w:t>
      </w:r>
      <w:r w:rsidR="008B2A53">
        <w:t>authority of the state on the property, goods, services, and people l</w:t>
      </w:r>
      <w:r w:rsidR="000A32BD">
        <w:t xml:space="preserve">iving in a given area in order </w:t>
      </w:r>
      <w:r w:rsidR="008B2A53">
        <w:t>to generate revenue to offset the expenses incurred by the gov</w:t>
      </w:r>
      <w:r w:rsidR="000A32BD">
        <w:t xml:space="preserve">ernment or authority on behalf </w:t>
      </w:r>
      <w:r w:rsidR="008B2A53">
        <w:t xml:space="preserve">of the citizens; a fiscal policy tool used to redistribute wealth </w:t>
      </w:r>
      <w:r w:rsidR="00DD02D9">
        <w:t xml:space="preserve">or achieve other macroeconomic </w:t>
      </w:r>
      <w:r w:rsidR="008B2A53">
        <w:t xml:space="preserve">objectives.” </w:t>
      </w:r>
      <w:proofErr w:type="spellStart"/>
      <w:r w:rsidR="008B2A53">
        <w:t>Nwadialor</w:t>
      </w:r>
      <w:proofErr w:type="spellEnd"/>
      <w:r w:rsidR="008B2A53">
        <w:t xml:space="preserve"> and </w:t>
      </w:r>
      <w:proofErr w:type="spellStart"/>
      <w:r w:rsidR="008B2A53">
        <w:t>Agbo</w:t>
      </w:r>
      <w:proofErr w:type="spellEnd"/>
      <w:r w:rsidR="008B2A53">
        <w:t xml:space="preserve"> (2020) noted that no matter</w:t>
      </w:r>
      <w:r w:rsidR="00DD02D9">
        <w:t xml:space="preserve"> how different the definitions </w:t>
      </w:r>
      <w:r w:rsidR="008B2A53">
        <w:t>above and other comparable definitions are, they all h</w:t>
      </w:r>
      <w:r w:rsidR="00DD02D9">
        <w:t xml:space="preserve">ave some basic components. For </w:t>
      </w:r>
      <w:r w:rsidR="008B2A53">
        <w:t>example, they all regard taxation as a mandatory levy imposed by the government</w:t>
      </w:r>
      <w:r w:rsidR="00DD02D9">
        <w:t xml:space="preserve"> on residents </w:t>
      </w:r>
      <w:r w:rsidR="008B2A53">
        <w:t xml:space="preserve">and businesses to raise funds for government activities. Tax </w:t>
      </w:r>
      <w:r w:rsidR="00DD02D9">
        <w:t xml:space="preserve">revenues are made up of monies </w:t>
      </w:r>
      <w:r w:rsidR="008B2A53">
        <w:t>collected through income taxes, social security contributions,</w:t>
      </w:r>
      <w:r w:rsidR="0017741A">
        <w:t xml:space="preserve"> VAT, payroll taxes, and other </w:t>
      </w:r>
      <w:r w:rsidR="008B2A53">
        <w:t>sources. It frequently excludes social security payments, fines, and penalties from its estimates</w:t>
      </w:r>
      <w:r w:rsidR="005D3D7F">
        <w:t xml:space="preserve"> </w:t>
      </w:r>
      <w:r w:rsidR="00DF4055" w:rsidRPr="00DF4055">
        <w:t>(</w:t>
      </w:r>
      <w:proofErr w:type="spellStart"/>
      <w:r w:rsidR="00DF4055" w:rsidRPr="00DF4055">
        <w:t>Nwadialor</w:t>
      </w:r>
      <w:proofErr w:type="spellEnd"/>
      <w:r w:rsidR="00DF4055" w:rsidRPr="00DF4055">
        <w:t xml:space="preserve"> &amp; </w:t>
      </w:r>
      <w:proofErr w:type="spellStart"/>
      <w:r w:rsidR="00DF4055" w:rsidRPr="00DF4055">
        <w:t>Agbo</w:t>
      </w:r>
      <w:proofErr w:type="spellEnd"/>
      <w:r w:rsidR="00DF4055" w:rsidRPr="00DF4055">
        <w:t>, 2020).</w:t>
      </w:r>
    </w:p>
    <w:p w:rsidR="00B20391" w:rsidRPr="009A6640" w:rsidRDefault="00DF4055" w:rsidP="00B20391">
      <w:pPr>
        <w:rPr>
          <w:b/>
        </w:rPr>
      </w:pPr>
      <w:r>
        <w:t xml:space="preserve">                  </w:t>
      </w:r>
      <w:r w:rsidR="00B20391" w:rsidRPr="009A6640">
        <w:rPr>
          <w:b/>
        </w:rPr>
        <w:t>The Digital Economy: Transactions and Taxation</w:t>
      </w:r>
    </w:p>
    <w:p w:rsidR="00237427" w:rsidRDefault="00B20391" w:rsidP="00B20391">
      <w:r>
        <w:t>An online economy powered by digital technologies is referred to</w:t>
      </w:r>
      <w:r w:rsidR="009A6640">
        <w:t xml:space="preserve"> as the digital economy. It is </w:t>
      </w:r>
      <w:r>
        <w:t xml:space="preserve">also known as the Web Economy, the New Economy, or the </w:t>
      </w:r>
      <w:r w:rsidR="009A6640">
        <w:t xml:space="preserve">Internet Economy. According to </w:t>
      </w:r>
      <w:r>
        <w:t xml:space="preserve">Bunn et al. (2020), </w:t>
      </w:r>
      <w:proofErr w:type="spellStart"/>
      <w:r>
        <w:t>Tapscoot</w:t>
      </w:r>
      <w:proofErr w:type="spellEnd"/>
      <w:r>
        <w:t>, (1995) was the first to introduce the n</w:t>
      </w:r>
      <w:r w:rsidR="0068288A">
        <w:t xml:space="preserve">otion. It was one of the first </w:t>
      </w:r>
      <w:r>
        <w:t>publications to demonstrate how the Internet would alter our</w:t>
      </w:r>
      <w:r w:rsidR="0068288A">
        <w:t xml:space="preserve"> business practices. Since its </w:t>
      </w:r>
      <w:r>
        <w:t>inception, the term "digital economy" has evolved to refle</w:t>
      </w:r>
      <w:r w:rsidR="0068288A">
        <w:t xml:space="preserve">ct the ever-changing nature of </w:t>
      </w:r>
      <w:r>
        <w:t xml:space="preserve">information technology development and how it is used </w:t>
      </w:r>
      <w:r w:rsidR="0068288A">
        <w:t xml:space="preserve">by consumers and organizations </w:t>
      </w:r>
      <w:r>
        <w:t>(Barefoot et al., 2018). During the 1990s, for example, the at</w:t>
      </w:r>
      <w:r w:rsidR="0068288A">
        <w:t xml:space="preserve">tention was mostly on internet </w:t>
      </w:r>
      <w:r>
        <w:t>adoption and its economic impact on businesses and the econo</w:t>
      </w:r>
      <w:r w:rsidR="0068288A">
        <w:t xml:space="preserve">my. This period was dubbed the </w:t>
      </w:r>
      <w:r>
        <w:t>"Internet economy" (</w:t>
      </w:r>
      <w:proofErr w:type="spellStart"/>
      <w:r>
        <w:t>Agyapong</w:t>
      </w:r>
      <w:proofErr w:type="spellEnd"/>
      <w:r>
        <w:t>, 2021). As the Internet's use gr</w:t>
      </w:r>
      <w:r w:rsidR="0068288A">
        <w:t xml:space="preserve">ew in popularity in the 2000s, </w:t>
      </w:r>
      <w:r>
        <w:t>the focus switched to the enabling conditions that allow the Internet econom</w:t>
      </w:r>
      <w:r w:rsidR="00001951">
        <w:t xml:space="preserve">y to thrive. On the </w:t>
      </w:r>
      <w:r>
        <w:t>one hand, it continues to evolve to encompass evaluations o</w:t>
      </w:r>
      <w:r w:rsidR="00001951">
        <w:t xml:space="preserve">f various policies and digital </w:t>
      </w:r>
      <w:r>
        <w:t>technologies, and on the other, the expansion of Informatio</w:t>
      </w:r>
      <w:r w:rsidR="00001951">
        <w:t xml:space="preserve">n and Communication Technology </w:t>
      </w:r>
      <w:r>
        <w:t>(ICT) and digitally oriented firms as major actors (OECD, 2015</w:t>
      </w:r>
      <w:r w:rsidR="00237427">
        <w:t>/2017).</w:t>
      </w:r>
    </w:p>
    <w:p w:rsidR="00DD5EFD" w:rsidRDefault="00237427" w:rsidP="00B20391">
      <w:r>
        <w:t xml:space="preserve"> The digital economy is </w:t>
      </w:r>
      <w:r w:rsidR="00B20391">
        <w:t>defined as the use of information and communication techno</w:t>
      </w:r>
      <w:r>
        <w:t xml:space="preserve">logy (ICT) to perform economic </w:t>
      </w:r>
      <w:r w:rsidR="00B20391">
        <w:t>transactions as a means of increasing production efficiency an</w:t>
      </w:r>
      <w:r>
        <w:t xml:space="preserve">d structural optimization (G20 </w:t>
      </w:r>
      <w:r w:rsidR="00B20391">
        <w:t>DETF, 2016). The ever-increasing interconnection of people, or</w:t>
      </w:r>
      <w:r>
        <w:t xml:space="preserve">ganizations, and machines that </w:t>
      </w:r>
      <w:r w:rsidR="00B20391">
        <w:t>arises from the Internet, mobile technology, and the internet o</w:t>
      </w:r>
      <w:r w:rsidR="00883178">
        <w:t>f things (</w:t>
      </w:r>
      <w:proofErr w:type="spellStart"/>
      <w:r w:rsidR="00883178">
        <w:t>IoT</w:t>
      </w:r>
      <w:proofErr w:type="spellEnd"/>
      <w:r w:rsidR="00883178">
        <w:t xml:space="preserve">), as well as the </w:t>
      </w:r>
      <w:r w:rsidR="00B20391">
        <w:t>volume of data involved in the process, is the backbone o</w:t>
      </w:r>
      <w:r w:rsidR="00883178">
        <w:t xml:space="preserve">f the digital economy (Ahmad &amp; </w:t>
      </w:r>
      <w:proofErr w:type="spellStart"/>
      <w:r w:rsidR="00B20391">
        <w:t>Ribarsky</w:t>
      </w:r>
      <w:proofErr w:type="spellEnd"/>
      <w:r w:rsidR="00B20391">
        <w:t>, 2018). The rapid proliferation of innovative techn</w:t>
      </w:r>
      <w:r w:rsidR="00883178">
        <w:t xml:space="preserve">ologies is fueling the digital </w:t>
      </w:r>
      <w:r w:rsidR="00B20391">
        <w:t>economy's expansion. Seven significant trends in the digital e</w:t>
      </w:r>
      <w:r w:rsidR="00883178">
        <w:t xml:space="preserve">conomy were highlighted in the </w:t>
      </w:r>
      <w:r w:rsidR="00B20391">
        <w:t>2019 United N</w:t>
      </w:r>
      <w:r w:rsidR="00C71F50">
        <w:t xml:space="preserve">ations digital economy report. </w:t>
      </w:r>
      <w:proofErr w:type="spellStart"/>
      <w:r w:rsidR="00B20391">
        <w:t>Blockchain</w:t>
      </w:r>
      <w:proofErr w:type="spellEnd"/>
      <w:r w:rsidR="00B20391">
        <w:t xml:space="preserve">, Artificial Intelligence (AI), and Data Analytics, </w:t>
      </w:r>
      <w:r w:rsidR="00C71F50">
        <w:t xml:space="preserve">three-dimensional printing (3D </w:t>
      </w:r>
      <w:r w:rsidR="00B20391">
        <w:t>printing), Internet of Things (</w:t>
      </w:r>
      <w:proofErr w:type="spellStart"/>
      <w:r w:rsidR="00B20391">
        <w:t>IoT</w:t>
      </w:r>
      <w:proofErr w:type="spellEnd"/>
      <w:r w:rsidR="00B20391">
        <w:t xml:space="preserve">), Fifth Generation mobile broadband (5G), Automation &amp; Robotics, and Cloud computing are the new technologies that have fueled the digital economy's expansion (Ahmad et al., 2021). The digital economy has the potential to provide significant benefits to emerging economies. </w:t>
      </w:r>
      <w:r w:rsidR="00B20391">
        <w:lastRenderedPageBreak/>
        <w:t xml:space="preserve">Because access to digital </w:t>
      </w:r>
      <w:r w:rsidR="00C71F50">
        <w:t xml:space="preserve">products and services can help </w:t>
      </w:r>
      <w:r w:rsidR="00B20391">
        <w:t>optimize processes and production, provide employment, reduce transactio</w:t>
      </w:r>
      <w:r w:rsidR="00D53132">
        <w:t xml:space="preserve">n costs, transform </w:t>
      </w:r>
      <w:r w:rsidR="00B20391">
        <w:t>supply chains, and increase revenue that can be used to accel</w:t>
      </w:r>
      <w:r w:rsidR="00D53132">
        <w:t xml:space="preserve">erate development, it can have </w:t>
      </w:r>
      <w:r w:rsidR="00B20391">
        <w:t>significant competitiveness and productivity-boosting opp</w:t>
      </w:r>
      <w:r w:rsidR="00D53132">
        <w:t xml:space="preserve">ortunities. Businesses can now </w:t>
      </w:r>
      <w:r w:rsidR="00B20391">
        <w:t>transact online thanks to the digital economy (</w:t>
      </w:r>
      <w:proofErr w:type="spellStart"/>
      <w:r w:rsidR="00B20391">
        <w:t>Triwibowo</w:t>
      </w:r>
      <w:proofErr w:type="spellEnd"/>
      <w:r w:rsidR="00B20391">
        <w:t>, 202</w:t>
      </w:r>
      <w:r w:rsidR="00D53132">
        <w:t xml:space="preserve">0). Business transactions that </w:t>
      </w:r>
      <w:r w:rsidR="00B20391">
        <w:t>take place through the internet are referred to as digital transaction</w:t>
      </w:r>
      <w:r w:rsidR="00D53132">
        <w:t xml:space="preserve">s. Traditional businesses that </w:t>
      </w:r>
      <w:r w:rsidR="00B20391">
        <w:t>offer online service options to their consumers, as well as g</w:t>
      </w:r>
      <w:r w:rsidR="00D866CF">
        <w:t xml:space="preserve">overnment services provided to </w:t>
      </w:r>
      <w:r w:rsidR="00B20391">
        <w:t xml:space="preserve">citizens via this electronic medium, fall into this category. </w:t>
      </w:r>
      <w:r w:rsidR="00D866CF">
        <w:t xml:space="preserve">Existing and startup firms can </w:t>
      </w:r>
      <w:r w:rsidR="00B20391">
        <w:t xml:space="preserve">benefit from the digital economy's increased potential </w:t>
      </w:r>
      <w:r w:rsidR="00D12116">
        <w:t xml:space="preserve">for digital transactions. Many </w:t>
      </w:r>
      <w:r w:rsidR="00B20391">
        <w:t>entrepreneurs took advantage of these opportunities to launc</w:t>
      </w:r>
      <w:r w:rsidR="00D12116">
        <w:t xml:space="preserve">h new enterprises and business </w:t>
      </w:r>
      <w:r w:rsidR="00B20391">
        <w:t>models that could not have existed before to the digital e</w:t>
      </w:r>
      <w:r w:rsidR="00D12116">
        <w:t xml:space="preserve">conomy, or at least not at the </w:t>
      </w:r>
      <w:r w:rsidR="00B20391">
        <w:t>magnitude and scope that they do now (</w:t>
      </w:r>
      <w:proofErr w:type="spellStart"/>
      <w:r w:rsidR="00B20391">
        <w:t>Mirolyubova</w:t>
      </w:r>
      <w:proofErr w:type="spellEnd"/>
      <w:r w:rsidR="00B20391">
        <w:t xml:space="preserve"> et al., 2020). This includes content-</w:t>
      </w:r>
      <w:proofErr w:type="spellStart"/>
      <w:r w:rsidR="00B20391">
        <w:t>ondemand</w:t>
      </w:r>
      <w:proofErr w:type="spellEnd"/>
      <w:r w:rsidR="00B20391">
        <w:t xml:space="preserve"> services such as Netflix, Spotify, and </w:t>
      </w:r>
      <w:proofErr w:type="spellStart"/>
      <w:r w:rsidR="00B20391">
        <w:t>Arewa</w:t>
      </w:r>
      <w:proofErr w:type="spellEnd"/>
      <w:r w:rsidR="00B20391">
        <w:t xml:space="preserve"> on Demand; home rental platfo</w:t>
      </w:r>
      <w:r w:rsidR="00D12116">
        <w:t xml:space="preserve">rms such </w:t>
      </w:r>
      <w:r w:rsidR="00B20391">
        <w:t xml:space="preserve">as Airbnb, </w:t>
      </w:r>
      <w:proofErr w:type="spellStart"/>
      <w:r w:rsidR="00B20391">
        <w:t>Flatfy</w:t>
      </w:r>
      <w:proofErr w:type="spellEnd"/>
      <w:r w:rsidR="00B20391">
        <w:t xml:space="preserve">, Expedia Group, and </w:t>
      </w:r>
      <w:proofErr w:type="spellStart"/>
      <w:r w:rsidR="00B20391">
        <w:t>Tripadvisor</w:t>
      </w:r>
      <w:proofErr w:type="spellEnd"/>
      <w:r w:rsidR="00B20391">
        <w:t>; ride-sharin</w:t>
      </w:r>
      <w:r w:rsidR="00274625">
        <w:t xml:space="preserve">g services such as Uber, Lyft, </w:t>
      </w:r>
      <w:proofErr w:type="spellStart"/>
      <w:r w:rsidR="00B20391">
        <w:t>Taxify</w:t>
      </w:r>
      <w:proofErr w:type="spellEnd"/>
      <w:r w:rsidR="00B20391">
        <w:t xml:space="preserve">, </w:t>
      </w:r>
      <w:proofErr w:type="spellStart"/>
      <w:r w:rsidR="00B20391">
        <w:t>Opay</w:t>
      </w:r>
      <w:proofErr w:type="spellEnd"/>
      <w:r w:rsidR="00B20391">
        <w:t xml:space="preserve">, </w:t>
      </w:r>
      <w:proofErr w:type="spellStart"/>
      <w:r w:rsidR="00B20391">
        <w:t>Carma</w:t>
      </w:r>
      <w:proofErr w:type="spellEnd"/>
      <w:r w:rsidR="00B20391">
        <w:t xml:space="preserve">, </w:t>
      </w:r>
      <w:proofErr w:type="spellStart"/>
      <w:r w:rsidR="00B20391">
        <w:t>BlaBlaCar</w:t>
      </w:r>
      <w:proofErr w:type="spellEnd"/>
      <w:r w:rsidR="00B20391">
        <w:t xml:space="preserve">, Relay Rides, Sidecar, </w:t>
      </w:r>
      <w:proofErr w:type="spellStart"/>
      <w:r w:rsidR="00A22EBE">
        <w:t>Ridejoy</w:t>
      </w:r>
      <w:proofErr w:type="spellEnd"/>
      <w:r w:rsidR="00A22EBE">
        <w:t xml:space="preserve">, </w:t>
      </w:r>
      <w:proofErr w:type="spellStart"/>
      <w:r w:rsidR="00A22EBE">
        <w:t>Getaround</w:t>
      </w:r>
      <w:proofErr w:type="spellEnd"/>
      <w:r w:rsidR="00A22EBE">
        <w:t xml:space="preserve">, </w:t>
      </w:r>
      <w:proofErr w:type="spellStart"/>
      <w:r w:rsidR="00A22EBE">
        <w:t>Opay</w:t>
      </w:r>
      <w:proofErr w:type="spellEnd"/>
      <w:r w:rsidR="00A22EBE">
        <w:t>; and e-commerce companies</w:t>
      </w:r>
      <w:r w:rsidR="00FB70C2">
        <w:t xml:space="preserve"> </w:t>
      </w:r>
      <w:r w:rsidR="00FB70C2" w:rsidRPr="00FB70C2">
        <w:t xml:space="preserve"> such as </w:t>
      </w:r>
      <w:proofErr w:type="spellStart"/>
      <w:r w:rsidR="00FB70C2" w:rsidRPr="00FB70C2">
        <w:t>Aliexpress</w:t>
      </w:r>
      <w:proofErr w:type="spellEnd"/>
      <w:r w:rsidR="00FB70C2" w:rsidRPr="00FB70C2">
        <w:t xml:space="preserve">, </w:t>
      </w:r>
      <w:proofErr w:type="spellStart"/>
      <w:r w:rsidR="00FB70C2" w:rsidRPr="00FB70C2">
        <w:t>Jumia</w:t>
      </w:r>
      <w:proofErr w:type="spellEnd"/>
      <w:r w:rsidR="00FB70C2" w:rsidRPr="00FB70C2">
        <w:t xml:space="preserve">, and </w:t>
      </w:r>
      <w:proofErr w:type="spellStart"/>
      <w:r w:rsidR="00FB70C2" w:rsidRPr="00FB70C2">
        <w:t>Konga</w:t>
      </w:r>
      <w:proofErr w:type="spellEnd"/>
      <w:r w:rsidR="00FB70C2" w:rsidRPr="00FB70C2">
        <w:t>.</w:t>
      </w:r>
    </w:p>
    <w:p w:rsidR="00BD61E2" w:rsidRPr="00BD61E2" w:rsidRDefault="00083A26" w:rsidP="00BD61E2">
      <w:pPr>
        <w:rPr>
          <w:b/>
        </w:rPr>
      </w:pPr>
      <w:r>
        <w:rPr>
          <w:b/>
        </w:rPr>
        <w:t xml:space="preserve">                          </w:t>
      </w:r>
      <w:r w:rsidR="00BD61E2" w:rsidRPr="00BD61E2">
        <w:rPr>
          <w:b/>
        </w:rPr>
        <w:t xml:space="preserve">Global Digital Taxation </w:t>
      </w:r>
    </w:p>
    <w:p w:rsidR="00BD61E2" w:rsidRPr="00083A26" w:rsidRDefault="00BD61E2" w:rsidP="00BD61E2">
      <w:r w:rsidRPr="00083A26">
        <w:t>There is no worldwide agreement on the definition of dig</w:t>
      </w:r>
      <w:r w:rsidR="00AF0C99">
        <w:t xml:space="preserve">ital economy taxation, and the </w:t>
      </w:r>
      <w:r w:rsidRPr="00083A26">
        <w:t>Organization for Economic Cooperation and Development</w:t>
      </w:r>
      <w:r w:rsidR="00AF0C99">
        <w:t xml:space="preserve"> (OECD), of which Nigeria is a </w:t>
      </w:r>
      <w:r w:rsidRPr="00083A26">
        <w:t>member, has yet to come up with a proposal that all of its countri</w:t>
      </w:r>
      <w:r w:rsidR="00AF0C99">
        <w:t xml:space="preserve">es can agree on. As a result </w:t>
      </w:r>
      <w:r w:rsidRPr="00083A26">
        <w:t>of the lack of a global agreement, countries are now at co</w:t>
      </w:r>
      <w:r w:rsidR="00AF0C99">
        <w:t xml:space="preserve">nflict over how to tax revenue </w:t>
      </w:r>
      <w:r w:rsidRPr="00083A26">
        <w:t>generated by digital businesses (</w:t>
      </w:r>
      <w:proofErr w:type="spellStart"/>
      <w:r w:rsidRPr="00083A26">
        <w:t>Abendin</w:t>
      </w:r>
      <w:proofErr w:type="spellEnd"/>
      <w:r w:rsidRPr="00083A26">
        <w:t xml:space="preserve"> &amp; </w:t>
      </w:r>
      <w:proofErr w:type="spellStart"/>
      <w:r w:rsidRPr="00083A26">
        <w:t>Duan</w:t>
      </w:r>
      <w:proofErr w:type="spellEnd"/>
      <w:r w:rsidRPr="00083A26">
        <w:t>, 2021). T</w:t>
      </w:r>
      <w:r w:rsidR="00AF0C99">
        <w:t xml:space="preserve">he conflict between the United </w:t>
      </w:r>
      <w:r w:rsidRPr="00083A26">
        <w:t>States (US) and the European Union (EU) is an example of t</w:t>
      </w:r>
      <w:r w:rsidR="00AF0C99">
        <w:t xml:space="preserve">his, with the US claiming that </w:t>
      </w:r>
      <w:r w:rsidRPr="00083A26">
        <w:t>digital taxes unfairly discriminate against US enterprises and threa</w:t>
      </w:r>
      <w:r w:rsidR="00AF0C99">
        <w:t xml:space="preserve">tening tariffs in retaliation. </w:t>
      </w:r>
      <w:r w:rsidRPr="00083A26">
        <w:t>As a result of the sensitive nature of the digital economy, w</w:t>
      </w:r>
      <w:r w:rsidR="00AF0C99">
        <w:t xml:space="preserve">hich disregards jurisdictional </w:t>
      </w:r>
      <w:r w:rsidRPr="00083A26">
        <w:t>boundaries, worldwide agreement on its taxes is critical for a f</w:t>
      </w:r>
      <w:r w:rsidR="00AF0C99">
        <w:t xml:space="preserve">unctioning tax system (Bunn et </w:t>
      </w:r>
      <w:r w:rsidRPr="00083A26">
        <w:t>al., 2020). Despite the lack of an international agreement, n</w:t>
      </w:r>
      <w:r w:rsidR="00E02371">
        <w:t xml:space="preserve">umerous governments have taken </w:t>
      </w:r>
      <w:r w:rsidRPr="00083A26">
        <w:t>comparable unilateral actions to address the digi</w:t>
      </w:r>
      <w:r w:rsidR="00E02371">
        <w:t xml:space="preserve">tal economy's tax </w:t>
      </w:r>
      <w:proofErr w:type="spellStart"/>
      <w:r w:rsidR="00E02371">
        <w:t>difficulties.</w:t>
      </w:r>
      <w:r w:rsidRPr="00083A26">
        <w:t>The</w:t>
      </w:r>
      <w:proofErr w:type="spellEnd"/>
      <w:r w:rsidRPr="00083A26">
        <w:t xml:space="preserve"> importance of the relationship between the electronic and </w:t>
      </w:r>
      <w:r w:rsidR="00E02371">
        <w:t xml:space="preserve">physical worlds for tax policy </w:t>
      </w:r>
      <w:r w:rsidRPr="00083A26">
        <w:t xml:space="preserve">creation was highlighted by </w:t>
      </w:r>
      <w:proofErr w:type="spellStart"/>
      <w:r w:rsidRPr="00083A26">
        <w:t>Zulma</w:t>
      </w:r>
      <w:proofErr w:type="spellEnd"/>
      <w:r w:rsidRPr="00083A26">
        <w:t xml:space="preserve"> and </w:t>
      </w:r>
      <w:proofErr w:type="spellStart"/>
      <w:r w:rsidRPr="00083A26">
        <w:t>Hizazi</w:t>
      </w:r>
      <w:proofErr w:type="spellEnd"/>
      <w:r w:rsidRPr="00083A26">
        <w:t xml:space="preserve"> (2020) who stated</w:t>
      </w:r>
      <w:r w:rsidR="00E02371">
        <w:t xml:space="preserve">, "The greatest challenge to a </w:t>
      </w:r>
      <w:r w:rsidRPr="00083A26">
        <w:t xml:space="preserve">tax regime's ability to adjust and adapt to a changing world is its </w:t>
      </w:r>
      <w:r w:rsidR="00E02371">
        <w:t xml:space="preserve">ability to adjust and adapt to </w:t>
      </w:r>
      <w:r w:rsidRPr="00083A26">
        <w:t>a changing world." The emergence of Internet commerce</w:t>
      </w:r>
      <w:r w:rsidR="00E02371">
        <w:t xml:space="preserve">, with its higher mobility for </w:t>
      </w:r>
      <w:r w:rsidRPr="00083A26">
        <w:t>businesses and better flexibility for transaction and communication met</w:t>
      </w:r>
      <w:r w:rsidR="00E02371">
        <w:t xml:space="preserve">hods, is possibly the </w:t>
      </w:r>
      <w:r w:rsidRPr="00083A26">
        <w:t>most demanding of these challenges.” In response, the Organiz</w:t>
      </w:r>
      <w:r w:rsidR="00E02371">
        <w:t xml:space="preserve">ation for Economic Cooperation </w:t>
      </w:r>
      <w:r w:rsidRPr="00083A26">
        <w:t xml:space="preserve">and Development (OECD) sponsored a conference on electronic taxation in 1998, which was </w:t>
      </w:r>
    </w:p>
    <w:p w:rsidR="00443324" w:rsidRDefault="00BD61E2" w:rsidP="00B20391">
      <w:r w:rsidRPr="00083A26">
        <w:t xml:space="preserve">the first of its type in this field. In October 1998, the OECD conference in Ottawa presented a natural break in the evolution of global thinking in this area (Jones, 2021). </w:t>
      </w:r>
      <w:r w:rsidRPr="00083A26">
        <w:lastRenderedPageBreak/>
        <w:t>According to Jones (2021) the discussion centered on the most appropriate tax system</w:t>
      </w:r>
      <w:r w:rsidR="00D72381">
        <w:t xml:space="preserve"> for dealing with the internet </w:t>
      </w:r>
      <w:r w:rsidRPr="00083A26">
        <w:t xml:space="preserve">environment. </w:t>
      </w:r>
    </w:p>
    <w:p w:rsidR="00651DBA" w:rsidRPr="00651DBA" w:rsidRDefault="00651DBA" w:rsidP="00651DBA">
      <w:pPr>
        <w:rPr>
          <w:b/>
        </w:rPr>
      </w:pPr>
      <w:r>
        <w:rPr>
          <w:b/>
        </w:rPr>
        <w:t xml:space="preserve">                      </w:t>
      </w:r>
      <w:r w:rsidRPr="00651DBA">
        <w:rPr>
          <w:b/>
        </w:rPr>
        <w:t>Digital Taxation in Nigeria</w:t>
      </w:r>
    </w:p>
    <w:p w:rsidR="0074367C" w:rsidRDefault="00651DBA" w:rsidP="0074367C">
      <w:r>
        <w:t>Prior to the introduction of e-taxation, Nigeria's tax systems were manually administered, which resulted in tax evasion and avoidance, improper segregation of duties, and other corruption practices, all of which resulted in high financial losses for the government and, as a result, low revenue generation. Electronic taxation is intended to assist alleviate all of these issues, provide convenience, save time and money for both the tax administrator and the taxpayer, be transparent, and, most importantly, increase revenue generation (</w:t>
      </w:r>
      <w:proofErr w:type="spellStart"/>
      <w:r>
        <w:t>Okafor</w:t>
      </w:r>
      <w:proofErr w:type="spellEnd"/>
      <w:r>
        <w:t>, 2012b). In 2011, the CBN announced its Cashless Policy for Nigeria, and in April 2012, it formally inaugurated a test program in Lagos State. Cash transactions accounted for approximately 99 percent of client activity in banks prior to the implementation of the Cashless Policy. In-branch</w:t>
      </w:r>
      <w:r w:rsidR="00A03E25">
        <w:t xml:space="preserve"> </w:t>
      </w:r>
      <w:r w:rsidR="0074367C">
        <w:t xml:space="preserve">bank cash withdrawals were worth less than ₦100,000 in almost 86 percent </w:t>
      </w:r>
      <w:r w:rsidR="00C4258D">
        <w:t xml:space="preserve">of cases. Only </w:t>
      </w:r>
      <w:r w:rsidR="0074367C">
        <w:t xml:space="preserve">about ten percent of transactions exceeded ₦100,000. According to the CBN, only 10% of </w:t>
      </w:r>
      <w:proofErr w:type="spellStart"/>
      <w:r w:rsidR="0074367C">
        <w:t>inbranch</w:t>
      </w:r>
      <w:proofErr w:type="spellEnd"/>
      <w:r w:rsidR="0074367C">
        <w:t xml:space="preserve"> transactions were over ₦150,000 (</w:t>
      </w:r>
      <w:proofErr w:type="spellStart"/>
      <w:r w:rsidR="0074367C">
        <w:t>Ndajiwo</w:t>
      </w:r>
      <w:proofErr w:type="spellEnd"/>
      <w:r w:rsidR="0074367C">
        <w:t xml:space="preserve">, 2020). </w:t>
      </w:r>
    </w:p>
    <w:p w:rsidR="0074367C" w:rsidRDefault="0074367C" w:rsidP="0074367C">
      <w:r>
        <w:t xml:space="preserve">The CBN's Cashless Policy aimed to reduce, rather than </w:t>
      </w:r>
      <w:r w:rsidR="00C4258D">
        <w:t xml:space="preserve">eliminate, the amount of paper </w:t>
      </w:r>
      <w:r>
        <w:t>currency in circulation. The policy's main goal was to encoura</w:t>
      </w:r>
      <w:r w:rsidR="00C4258D">
        <w:t xml:space="preserve">ge the use of other electronic </w:t>
      </w:r>
      <w:r>
        <w:t xml:space="preserve">payment platforms while discouraging the use of cash. </w:t>
      </w:r>
      <w:r w:rsidR="00C4258D">
        <w:t xml:space="preserve">Failure to comply with the new </w:t>
      </w:r>
      <w:r>
        <w:t>regulation would result in heavy penalties (</w:t>
      </w:r>
      <w:proofErr w:type="spellStart"/>
      <w:r>
        <w:t>Okah-Avae</w:t>
      </w:r>
      <w:proofErr w:type="spellEnd"/>
      <w:r>
        <w:t xml:space="preserve"> &amp; </w:t>
      </w:r>
      <w:proofErr w:type="spellStart"/>
      <w:r>
        <w:t>Mukoro</w:t>
      </w:r>
      <w:proofErr w:type="spellEnd"/>
      <w:r>
        <w:t xml:space="preserve">, 2020). Banks were </w:t>
      </w:r>
      <w:r w:rsidR="00C4258D">
        <w:t xml:space="preserve">given </w:t>
      </w:r>
      <w:r>
        <w:t>permission to deduct 3% for every ₦1,000 over ₦500,000 cond</w:t>
      </w:r>
      <w:r w:rsidR="00C4258D">
        <w:t xml:space="preserve">ucted by individual customers, </w:t>
      </w:r>
      <w:r>
        <w:t>and 5% for every ₦1,000 over ₦3 million handled by corporate</w:t>
      </w:r>
      <w:r w:rsidR="00C4258D">
        <w:t xml:space="preserve"> clients. If the bank violates </w:t>
      </w:r>
      <w:r>
        <w:t>this provision for the first time, the bank will be fined five times</w:t>
      </w:r>
      <w:r w:rsidR="00C4258D">
        <w:t xml:space="preserve"> the amount waived, and if the </w:t>
      </w:r>
      <w:r>
        <w:t>bank violates this provision again, the bank will be fined ten t</w:t>
      </w:r>
      <w:r w:rsidR="00C4258D">
        <w:t xml:space="preserve">imes the charges waived. It is </w:t>
      </w:r>
      <w:r>
        <w:t>important to keep in mind that the limit was established to appl</w:t>
      </w:r>
      <w:r w:rsidR="00DB7CE4">
        <w:t xml:space="preserve">y to the account regardless of </w:t>
      </w:r>
      <w:r>
        <w:t>how the money was withdrawn or deposited. The cumulative l</w:t>
      </w:r>
      <w:r w:rsidR="00DB7CE4">
        <w:t xml:space="preserve">imit is made up of withdrawals </w:t>
      </w:r>
      <w:r>
        <w:t>or deposits made over the counter, ATM withdrawals, and 3r</w:t>
      </w:r>
      <w:r w:rsidR="00DB7CE4">
        <w:t xml:space="preserve">d party checks cashed over the </w:t>
      </w:r>
      <w:r>
        <w:t>counter. The limit also applies to cash brought through Cash-in-Transit (CIT</w:t>
      </w:r>
      <w:r w:rsidR="00DB7CE4">
        <w:t xml:space="preserve">) firms, as CIT </w:t>
      </w:r>
      <w:r>
        <w:t xml:space="preserve">companies just provide transportation, according to the CBN </w:t>
      </w:r>
      <w:r w:rsidR="00DB7CE4">
        <w:t xml:space="preserve">(2011). Third-party </w:t>
      </w:r>
      <w:proofErr w:type="spellStart"/>
      <w:r w:rsidR="00DB7CE4">
        <w:t>cheques</w:t>
      </w:r>
      <w:proofErr w:type="spellEnd"/>
      <w:r w:rsidR="00DB7CE4">
        <w:t xml:space="preserve"> in </w:t>
      </w:r>
      <w:r>
        <w:t>excess of ₦150,000 are not eligible for encashment over the cou</w:t>
      </w:r>
      <w:r w:rsidR="00DB7CE4">
        <w:t xml:space="preserve">nter under the policy. Rather, </w:t>
      </w:r>
      <w:r>
        <w:t>the clearing house will get the value of such checks. As a result, an</w:t>
      </w:r>
      <w:r w:rsidR="00DB7CE4">
        <w:t xml:space="preserve">y cheque sent to a third party </w:t>
      </w:r>
      <w:r>
        <w:t>with a value greater than ₦150,000 can only be deposited into</w:t>
      </w:r>
      <w:r w:rsidR="00DB7CE4">
        <w:t xml:space="preserve"> an account; </w:t>
      </w:r>
      <w:proofErr w:type="spellStart"/>
      <w:r w:rsidR="00DB7CE4">
        <w:t>cheques</w:t>
      </w:r>
      <w:proofErr w:type="spellEnd"/>
      <w:r w:rsidR="00DB7CE4">
        <w:t xml:space="preserve"> cannot be </w:t>
      </w:r>
      <w:r>
        <w:t>cashed. If a bank enables third-party cheque encashment, it wil</w:t>
      </w:r>
      <w:r w:rsidR="00DB7CE4">
        <w:t xml:space="preserve">l face a penalty of 10% of the </w:t>
      </w:r>
      <w:proofErr w:type="spellStart"/>
      <w:r>
        <w:t>cheque's</w:t>
      </w:r>
      <w:proofErr w:type="spellEnd"/>
      <w:r>
        <w:t xml:space="preserve"> face value or ₦100,000, whichever is larger.</w:t>
      </w:r>
    </w:p>
    <w:p w:rsidR="0074367C" w:rsidRDefault="0074367C" w:rsidP="0074367C">
      <w:r>
        <w:t>This set-in motion initiatives to boost the use of electronic pla</w:t>
      </w:r>
      <w:r w:rsidR="00800A06">
        <w:t xml:space="preserve">tforms for payment in Nigeria. </w:t>
      </w:r>
      <w:r>
        <w:t xml:space="preserve">Banks in Nigeria responded by introducing a variety of electronic payment platforms in large numbers, aided by the larger capital base generated by the consolidation. However, financial records in Nigeria suggest that there is a mixed </w:t>
      </w:r>
      <w:r>
        <w:lastRenderedPageBreak/>
        <w:t>response</w:t>
      </w:r>
      <w:r w:rsidR="00800A06">
        <w:t xml:space="preserve"> to and use of these platforms </w:t>
      </w:r>
      <w:r>
        <w:t>(</w:t>
      </w:r>
      <w:proofErr w:type="spellStart"/>
      <w:r>
        <w:t>Ogunbela</w:t>
      </w:r>
      <w:proofErr w:type="spellEnd"/>
      <w:r>
        <w:t xml:space="preserve"> et al., 2021). According to a report published by </w:t>
      </w:r>
      <w:r w:rsidR="00800A06">
        <w:t xml:space="preserve">KPMG (2019), Nigeria had a POS </w:t>
      </w:r>
      <w:r>
        <w:t>adoption rate of 27% in 2017, up by12% in 2012. The surv</w:t>
      </w:r>
      <w:r w:rsidR="00800A06">
        <w:t xml:space="preserve">ey also discovered that 91% of </w:t>
      </w:r>
      <w:r>
        <w:t>Nigerians have used ATMs, up from 86 percent in 201</w:t>
      </w:r>
      <w:r w:rsidR="00800A06">
        <w:t xml:space="preserve">7 and 82 percent in 2012. This </w:t>
      </w:r>
      <w:r>
        <w:t>demonstrates that, while many customers have adopted the A</w:t>
      </w:r>
      <w:r w:rsidR="006F25C6">
        <w:t xml:space="preserve">TM, they are still hesitant to </w:t>
      </w:r>
      <w:r>
        <w:t>utilize the POS. Similar patterns were also observed in the NIB</w:t>
      </w:r>
      <w:r w:rsidR="006F25C6">
        <w:t xml:space="preserve">SS (2019) report. According to </w:t>
      </w:r>
      <w:r>
        <w:t>NIBSS (2019), while POS is the most popular non-cash payment</w:t>
      </w:r>
      <w:r w:rsidR="006F25C6">
        <w:t xml:space="preserve"> channel, with 93.6 percent of </w:t>
      </w:r>
      <w:r>
        <w:t>retailers preferring it over other non-cash payment alternatives, just 35.8</w:t>
      </w:r>
      <w:r w:rsidR="006F25C6">
        <w:t xml:space="preserve">% of customers use it. </w:t>
      </w:r>
      <w:r>
        <w:t>Only 3.1 percent of consumers say Card/POS is their prefer</w:t>
      </w:r>
      <w:r w:rsidR="006F25C6">
        <w:t xml:space="preserve">red payment method, indicating </w:t>
      </w:r>
      <w:r>
        <w:t>that POS is underutilized. The issue of connectivity is one of t</w:t>
      </w:r>
      <w:r w:rsidR="006F25C6">
        <w:t xml:space="preserve">he major issues that have been </w:t>
      </w:r>
      <w:r>
        <w:t>highlighted as impeding POS utilization. The report recommende</w:t>
      </w:r>
      <w:r w:rsidR="006F25C6">
        <w:t xml:space="preserve">d that technical features that </w:t>
      </w:r>
      <w:r>
        <w:t>are connectivity-based be improved, that a focus be placed</w:t>
      </w:r>
      <w:r w:rsidR="006F25C6">
        <w:t xml:space="preserve"> on deploying POS terminals to </w:t>
      </w:r>
      <w:r>
        <w:t>informal/open-air or unstructured markets where adoption and u</w:t>
      </w:r>
      <w:r w:rsidR="006F25C6">
        <w:t xml:space="preserve">se are extremely low, and that </w:t>
      </w:r>
      <w:r>
        <w:t xml:space="preserve">the timeframe for resolving POS complaints be shortened. </w:t>
      </w:r>
      <w:r w:rsidR="006F25C6">
        <w:t>According to (</w:t>
      </w:r>
      <w:proofErr w:type="spellStart"/>
      <w:r w:rsidR="006F25C6">
        <w:t>Alao</w:t>
      </w:r>
      <w:proofErr w:type="spellEnd"/>
      <w:r w:rsidR="006F25C6">
        <w:t xml:space="preserve"> &amp; </w:t>
      </w:r>
      <w:proofErr w:type="spellStart"/>
      <w:r w:rsidR="006F25C6">
        <w:t>Sorinola</w:t>
      </w:r>
      <w:proofErr w:type="spellEnd"/>
      <w:r w:rsidR="006F25C6">
        <w:t xml:space="preserve">, </w:t>
      </w:r>
      <w:r>
        <w:t>2015), Nigeria is a heavily cash-oriented economy partly due to l</w:t>
      </w:r>
      <w:r w:rsidR="00A70817">
        <w:t xml:space="preserve">ack of basic infrastructure to </w:t>
      </w:r>
      <w:r>
        <w:t xml:space="preserve">support a cashless economy, with the majority of retail and commercial payments made in cash. </w:t>
      </w:r>
    </w:p>
    <w:p w:rsidR="005B0F84" w:rsidRDefault="0074367C" w:rsidP="005B0F84">
      <w:r>
        <w:t>In Nigeria's predominantly informal economy, money is a po</w:t>
      </w:r>
      <w:r w:rsidR="00A70817">
        <w:t xml:space="preserve">werful motivator. As a result, </w:t>
      </w:r>
      <w:r>
        <w:t>Nigeria is moving slowly toward alternate payment methods. The failure to sustain a significant</w:t>
      </w:r>
      <w:r w:rsidR="00A70817">
        <w:t xml:space="preserve"> </w:t>
      </w:r>
      <w:r w:rsidR="005B0F84">
        <w:t>increase in the use of electronic payment cards for financial transactions in Nigeria is due not only to the risk of insecurity, but also to Nigerians' cultural penchant for carrying and displaying cash (Joe et al., 2013). This has resulted in the countr</w:t>
      </w:r>
      <w:r w:rsidR="00B042CB">
        <w:t xml:space="preserve">y becoming a cash-based </w:t>
      </w:r>
      <w:r w:rsidR="005B0F84">
        <w:t>economy, in contrast to the United Kingdom and the United S</w:t>
      </w:r>
      <w:r w:rsidR="00B042CB">
        <w:t xml:space="preserve">tates, where only 4% and 9% of </w:t>
      </w:r>
      <w:r w:rsidR="005B0F84">
        <w:t xml:space="preserve">the money in their respective economies is held outside of </w:t>
      </w:r>
      <w:r w:rsidR="00B042CB">
        <w:t>banks, respectively (</w:t>
      </w:r>
      <w:proofErr w:type="spellStart"/>
      <w:r w:rsidR="00B042CB">
        <w:t>Adebanjo</w:t>
      </w:r>
      <w:proofErr w:type="spellEnd"/>
      <w:r w:rsidR="00B042CB">
        <w:t xml:space="preserve">, </w:t>
      </w:r>
      <w:r w:rsidR="005B0F84">
        <w:t>2021).</w:t>
      </w:r>
    </w:p>
    <w:p w:rsidR="00F4131C" w:rsidRPr="009C7D47" w:rsidRDefault="009C7D47" w:rsidP="00F4131C">
      <w:pPr>
        <w:rPr>
          <w:b/>
        </w:rPr>
      </w:pPr>
      <w:r>
        <w:rPr>
          <w:b/>
        </w:rPr>
        <w:t xml:space="preserve">       </w:t>
      </w:r>
      <w:r w:rsidR="00F4131C" w:rsidRPr="009C7D47">
        <w:rPr>
          <w:b/>
        </w:rPr>
        <w:t>Digital Permanent Establishment Rules (Finance Act 2020)</w:t>
      </w:r>
    </w:p>
    <w:p w:rsidR="00F4131C" w:rsidRDefault="00F4131C" w:rsidP="00F4131C">
      <w:r>
        <w:t>The Company Income Tax Act (CITA) in Nigeria, prior to th</w:t>
      </w:r>
      <w:r w:rsidR="009C7D47">
        <w:t xml:space="preserve">e Finance Act of 2020, limited </w:t>
      </w:r>
      <w:r>
        <w:t>the taxation of income of corporate bodies that are not completely e</w:t>
      </w:r>
      <w:r w:rsidR="009C7D47">
        <w:t xml:space="preserve">stablished in Nigeria (i.e. </w:t>
      </w:r>
      <w:r>
        <w:t>non-resident companies NRCs) to situations where such</w:t>
      </w:r>
      <w:r w:rsidR="009C7D47">
        <w:t xml:space="preserve"> NRCs have a permanent base in </w:t>
      </w:r>
      <w:r>
        <w:t>Nigeria. That is, before its income is taxed in Nigeria, NRC mus</w:t>
      </w:r>
      <w:r w:rsidR="009C7D47">
        <w:t xml:space="preserve">t have a permanent base in the </w:t>
      </w:r>
      <w:r>
        <w:t xml:space="preserve">country, or conclude contracts through a dependent agent in </w:t>
      </w:r>
      <w:r w:rsidR="009C7D47">
        <w:t xml:space="preserve">Nigeria, or engage in turn-key </w:t>
      </w:r>
      <w:r>
        <w:t xml:space="preserve">projects in Nigeria, or carry on trade or business with persons </w:t>
      </w:r>
      <w:r w:rsidR="009C7D47">
        <w:t xml:space="preserve">who have controlling interests </w:t>
      </w:r>
      <w:r>
        <w:t>in the NRC, and the conditions made or imposed between the</w:t>
      </w:r>
      <w:r w:rsidR="009C7D47">
        <w:t xml:space="preserve"> NRC and such persons in their </w:t>
      </w:r>
      <w:r>
        <w:t>commercial or financial dealings with the NRC (</w:t>
      </w:r>
      <w:proofErr w:type="spellStart"/>
      <w:r>
        <w:t>Ogunbela</w:t>
      </w:r>
      <w:proofErr w:type="spellEnd"/>
      <w:r>
        <w:t xml:space="preserve"> et al.</w:t>
      </w:r>
      <w:r w:rsidR="009C7D47">
        <w:t xml:space="preserve">, 2021). The Finance Act, 2020 </w:t>
      </w:r>
      <w:r>
        <w:t xml:space="preserve">now serves as the primary enactment in the Nigerian tax regime, </w:t>
      </w:r>
      <w:r w:rsidR="009C7D47">
        <w:t xml:space="preserve">as it has brought together all </w:t>
      </w:r>
      <w:r>
        <w:t>other tax-related legislations along the path of acceptable taxation of digital transactio</w:t>
      </w:r>
      <w:r w:rsidR="004217A2">
        <w:t xml:space="preserve">ns in </w:t>
      </w:r>
      <w:r>
        <w:t xml:space="preserve">Nigeria. This was achieved due to the necessary changes and substitutions of outmoded tax </w:t>
      </w:r>
    </w:p>
    <w:p w:rsidR="00F4131C" w:rsidRDefault="00F4131C" w:rsidP="00F4131C">
      <w:r>
        <w:lastRenderedPageBreak/>
        <w:t>laws. The Finance Act, which takes effect on January 13, 2020 a</w:t>
      </w:r>
      <w:r w:rsidR="004217A2">
        <w:t xml:space="preserve">mends the Companies Income Tax </w:t>
      </w:r>
      <w:r>
        <w:t>Act, Cap. C21, the Value Added Tax Act, Cap. VI, and the Stamp</w:t>
      </w:r>
      <w:r w:rsidR="004217A2">
        <w:t xml:space="preserve"> Duties Act, Cap. S8 Laws </w:t>
      </w:r>
      <w:r>
        <w:t>of the Federation of Nigeria, 2004, as well as other tax laws (Ad</w:t>
      </w:r>
      <w:r w:rsidR="004217A2">
        <w:t xml:space="preserve">ebayo et al., 2021). Section 4 </w:t>
      </w:r>
      <w:r>
        <w:t>of the Finance Act explains how to establish a "Digital Permanen</w:t>
      </w:r>
      <w:r w:rsidR="004217A2">
        <w:t xml:space="preserve">t Establishment," stating that </w:t>
      </w:r>
      <w:r>
        <w:t>the non-resident company is assumed to be operating in Nigeria's</w:t>
      </w:r>
      <w:r w:rsidR="002B50E4">
        <w:t xml:space="preserve"> digital economy if it engages </w:t>
      </w:r>
      <w:r>
        <w:t>in any of the acts listed in the section. Second, the activity t</w:t>
      </w:r>
      <w:r w:rsidR="002B50E4">
        <w:t xml:space="preserve">hat manifests the non-resident </w:t>
      </w:r>
      <w:r>
        <w:t xml:space="preserve">Company's operation in the Nigerian digital economy must be of </w:t>
      </w:r>
      <w:r w:rsidR="002B50E4">
        <w:t xml:space="preserve">the type that can be linked to </w:t>
      </w:r>
      <w:r>
        <w:t>profit. Third, the list of activities includes all technical, profess</w:t>
      </w:r>
      <w:r w:rsidR="002B50E4">
        <w:t xml:space="preserve">ional, and management services </w:t>
      </w:r>
      <w:r>
        <w:t xml:space="preserve">provided in Nigeria via any of the listed activities. Fourth, the </w:t>
      </w:r>
      <w:r w:rsidR="002B50E4">
        <w:t xml:space="preserve">activity's conduct must have a </w:t>
      </w:r>
      <w:r>
        <w:t>considerable economic footprint in Nigeria (</w:t>
      </w:r>
      <w:proofErr w:type="spellStart"/>
      <w:r>
        <w:t>Adebanjo</w:t>
      </w:r>
      <w:proofErr w:type="spellEnd"/>
      <w:r>
        <w:t>, 2021).</w:t>
      </w:r>
    </w:p>
    <w:p w:rsidR="00F4131C" w:rsidRDefault="00BD08E6" w:rsidP="00F4131C">
      <w:pPr>
        <w:rPr>
          <w:b/>
        </w:rPr>
      </w:pPr>
      <w:r>
        <w:t xml:space="preserve">              </w:t>
      </w:r>
      <w:r w:rsidR="00F4131C">
        <w:t xml:space="preserve"> </w:t>
      </w:r>
      <w:r w:rsidR="00F4131C" w:rsidRPr="00BD08E6">
        <w:rPr>
          <w:b/>
        </w:rPr>
        <w:t>Companies Income Tax (CIT) and E-commerce</w:t>
      </w:r>
    </w:p>
    <w:p w:rsidR="000D643C" w:rsidRDefault="00DC21BF" w:rsidP="00F4131C">
      <w:r w:rsidRPr="00DC21BF">
        <w:t>Income or profit derived from, accumulated in, received in, or b</w:t>
      </w:r>
      <w:r>
        <w:t xml:space="preserve">rought into Nigeria is subject </w:t>
      </w:r>
      <w:r w:rsidRPr="00DC21BF">
        <w:t>to taxation. These terms are used in the CITA's charging c</w:t>
      </w:r>
      <w:r>
        <w:t xml:space="preserve">lause to describe the tax that </w:t>
      </w:r>
      <w:r w:rsidRPr="00DC21BF">
        <w:t>companies in Nigeria must pay. Many common wealth countries</w:t>
      </w:r>
      <w:r>
        <w:t xml:space="preserve">' tax legislation includes the </w:t>
      </w:r>
      <w:r w:rsidRPr="00DC21BF">
        <w:t>phrase "accruing in," which has historically been interpreted</w:t>
      </w:r>
      <w:r>
        <w:t xml:space="preserve"> to indicate "becoming due and </w:t>
      </w:r>
      <w:r w:rsidRPr="00DC21BF">
        <w:t>payable" (</w:t>
      </w:r>
      <w:proofErr w:type="spellStart"/>
      <w:r w:rsidRPr="00DC21BF">
        <w:t>Adebanjo</w:t>
      </w:r>
      <w:proofErr w:type="spellEnd"/>
      <w:r w:rsidRPr="00DC21BF">
        <w:t>, 2021). Unless they are exempt, each income due and p</w:t>
      </w:r>
      <w:r>
        <w:t xml:space="preserve">ayable in Nigeria </w:t>
      </w:r>
      <w:r w:rsidRPr="00DC21BF">
        <w:t>is subject to taxation. Companies that want to stay current with g</w:t>
      </w:r>
      <w:r w:rsidR="00D36535">
        <w:t xml:space="preserve">lobal trends have gone online. </w:t>
      </w:r>
      <w:r w:rsidRPr="00DC21BF">
        <w:t>Some companies have launched new products to their clients tha</w:t>
      </w:r>
      <w:r w:rsidR="00D36535">
        <w:t xml:space="preserve">t were not planned at the time </w:t>
      </w:r>
      <w:r w:rsidRPr="00DC21BF">
        <w:t>of their formation. Internet banking is an example of e-comm</w:t>
      </w:r>
      <w:r w:rsidR="00D36535">
        <w:t xml:space="preserve">erce, and these businesses are </w:t>
      </w:r>
      <w:r w:rsidRPr="00DC21BF">
        <w:t>taxed on their profits cumulatively, whether they wer</w:t>
      </w:r>
      <w:r w:rsidR="00D36535">
        <w:t xml:space="preserve">e earned through an e-commerce </w:t>
      </w:r>
      <w:r w:rsidRPr="00DC21BF">
        <w:t>transaction o</w:t>
      </w:r>
      <w:r w:rsidR="00195964">
        <w:t>r not (</w:t>
      </w:r>
      <w:proofErr w:type="spellStart"/>
      <w:r w:rsidR="00195964">
        <w:t>Akintoye</w:t>
      </w:r>
      <w:proofErr w:type="spellEnd"/>
      <w:r w:rsidR="00195964">
        <w:t xml:space="preserve"> et al., 2019). </w:t>
      </w:r>
      <w:r w:rsidRPr="00DC21BF">
        <w:t>The extent to which e-commerce taxation will be relevant to enterprises already</w:t>
      </w:r>
      <w:r w:rsidR="00195964">
        <w:t xml:space="preserve"> paying </w:t>
      </w:r>
      <w:r w:rsidRPr="00DC21BF">
        <w:t xml:space="preserve">company tax is for the purpose of determining the profits </w:t>
      </w:r>
      <w:r w:rsidR="00195964">
        <w:t xml:space="preserve">they generated from e-commerce </w:t>
      </w:r>
      <w:r w:rsidRPr="00DC21BF">
        <w:t>particularly. Companies formed purely for the purpose o</w:t>
      </w:r>
      <w:r w:rsidR="00195964">
        <w:t xml:space="preserve">f conducting e-commerce face a </w:t>
      </w:r>
      <w:r w:rsidRPr="00DC21BF">
        <w:t>greater hurdle, as the majority of them lack a physical address that t</w:t>
      </w:r>
      <w:r w:rsidR="00195964">
        <w:t xml:space="preserve">he taxation authority can </w:t>
      </w:r>
      <w:r w:rsidRPr="00DC21BF">
        <w:t>use to locate them for the purpose of remitting company income</w:t>
      </w:r>
      <w:r w:rsidR="007309BA">
        <w:t xml:space="preserve"> tax. Only through partnership </w:t>
      </w:r>
      <w:r w:rsidRPr="00DC21BF">
        <w:t>between the taxing authorities and NITDA can this latter category be brought into the tax net.</w:t>
      </w:r>
    </w:p>
    <w:p w:rsidR="0091751D" w:rsidRDefault="0091751D" w:rsidP="0091751D">
      <w:r>
        <w:t>Section 13 (1) states that earnings generated by a Nigerian com</w:t>
      </w:r>
      <w:r w:rsidR="00186300">
        <w:t xml:space="preserve">pany are presumed to accrue in </w:t>
      </w:r>
      <w:r>
        <w:t>Nigeria regardless of where they were earned or whether they wer</w:t>
      </w:r>
      <w:r w:rsidR="00186300">
        <w:t xml:space="preserve">e transported into or received </w:t>
      </w:r>
      <w:r>
        <w:t>in Nigeria (</w:t>
      </w:r>
      <w:proofErr w:type="spellStart"/>
      <w:r>
        <w:t>Odumosu</w:t>
      </w:r>
      <w:proofErr w:type="spellEnd"/>
      <w:r>
        <w:t>, 2021). Prior to the passage of the Finance</w:t>
      </w:r>
      <w:r w:rsidR="00186300">
        <w:t xml:space="preserve"> Act, a non-Nigerian company's </w:t>
      </w:r>
      <w:r>
        <w:t>profit was only subject to taxation in Nigeria if it had a fixed base</w:t>
      </w:r>
      <w:r w:rsidR="00186300">
        <w:t xml:space="preserve"> in Nigeria. Given the virtual </w:t>
      </w:r>
      <w:r>
        <w:t>character of ecommerce, the requirement of a fixed basis au</w:t>
      </w:r>
      <w:r w:rsidR="00E460C3">
        <w:t xml:space="preserve">tomatically precludes earnings </w:t>
      </w:r>
      <w:r>
        <w:t>produced through it. To address this, Section 4 of the Finance Act added a</w:t>
      </w:r>
      <w:r w:rsidR="00E460C3">
        <w:t xml:space="preserve"> new paragraph (c) </w:t>
      </w:r>
      <w:r>
        <w:t xml:space="preserve">to Section 13 of the CITA, which brings a non-Nigerian company's profit into the Nigerian tax </w:t>
      </w:r>
    </w:p>
    <w:p w:rsidR="0091751D" w:rsidRDefault="0091751D" w:rsidP="0091751D">
      <w:r>
        <w:lastRenderedPageBreak/>
        <w:t>net if it transmits, emits, or receives signals, sounds, messages, images, or data of any kind to Nigeria via cable, radio, electromagnetic systems, or any other wi</w:t>
      </w:r>
      <w:r w:rsidR="00E460C3">
        <w:t xml:space="preserve">reless apparatus in respect of </w:t>
      </w:r>
      <w:r>
        <w:t>any activity including electroplating (</w:t>
      </w:r>
      <w:proofErr w:type="spellStart"/>
      <w:r>
        <w:t>Okesola</w:t>
      </w:r>
      <w:proofErr w:type="spellEnd"/>
      <w:r>
        <w:t xml:space="preserve">, 2020). </w:t>
      </w:r>
    </w:p>
    <w:p w:rsidR="0091751D" w:rsidRDefault="0091751D" w:rsidP="0091751D">
      <w:r>
        <w:t>In Nigeria, e-commerce between Nigerians, Nigerian firms,</w:t>
      </w:r>
      <w:r w:rsidR="00E460C3">
        <w:t xml:space="preserve"> and non-Nigerian companies is </w:t>
      </w:r>
      <w:r>
        <w:t>taxable. Profits from such businesses, as mentioned above, are liab</w:t>
      </w:r>
      <w:r w:rsidR="00E460C3">
        <w:t xml:space="preserve">le to taxation as long as they </w:t>
      </w:r>
      <w:r>
        <w:t>have a significant economic presence. Although the Act does n</w:t>
      </w:r>
      <w:r w:rsidR="00E460C3">
        <w:t xml:space="preserve">ot define significant economic </w:t>
      </w:r>
      <w:r>
        <w:t>presence, the Minister of Finance is empowered under the Act to</w:t>
      </w:r>
      <w:r w:rsidR="00E460C3">
        <w:t xml:space="preserve"> establish guidelines for what </w:t>
      </w:r>
      <w:r>
        <w:t>constitutes significant economic presence, which will almost ce</w:t>
      </w:r>
      <w:r w:rsidR="00E460C3">
        <w:t xml:space="preserve">rtainly involve a large number </w:t>
      </w:r>
      <w:r>
        <w:t>of transactions that provide some economic benefit or profit (</w:t>
      </w:r>
      <w:proofErr w:type="spellStart"/>
      <w:r>
        <w:t>Ogunbela</w:t>
      </w:r>
      <w:proofErr w:type="spellEnd"/>
      <w:r>
        <w:t xml:space="preserve"> et al., 2021).</w:t>
      </w:r>
    </w:p>
    <w:p w:rsidR="0091751D" w:rsidRDefault="0091751D" w:rsidP="0091751D">
      <w:r w:rsidRPr="00980B3E">
        <w:rPr>
          <w:b/>
        </w:rPr>
        <w:t>Challenges:</w:t>
      </w:r>
      <w:r>
        <w:t xml:space="preserve"> “The uncertainty of how the FIRS will enforc</w:t>
      </w:r>
      <w:r w:rsidR="00980B3E">
        <w:t xml:space="preserve">e the order, as well as how to </w:t>
      </w:r>
      <w:r>
        <w:t>determine the amount of profit that is taxable is a maj</w:t>
      </w:r>
      <w:r w:rsidR="00980B3E">
        <w:t xml:space="preserve">or challenge. According to the </w:t>
      </w:r>
      <w:r>
        <w:t>Organization for Economic Cooperation and Development (</w:t>
      </w:r>
      <w:r w:rsidR="00980B3E">
        <w:t xml:space="preserve">OCED) consultation document on </w:t>
      </w:r>
      <w:r>
        <w:t>tax challenges of the digitalization of the economy, only a portion of profit shou</w:t>
      </w:r>
      <w:r w:rsidR="00980B3E">
        <w:t xml:space="preserve">ld be taxed in </w:t>
      </w:r>
      <w:r>
        <w:t>jurisdictions where the NRC has significant economic presence.</w:t>
      </w:r>
      <w:r w:rsidR="00980B3E">
        <w:t xml:space="preserve"> There are also rising worries </w:t>
      </w:r>
      <w:r>
        <w:t>about the interaction between the Nigerian double taxation trea</w:t>
      </w:r>
      <w:r w:rsidR="00980B3E">
        <w:t xml:space="preserve">ties (DTT) and the Minister of </w:t>
      </w:r>
      <w:r>
        <w:t>Finance's Order, because the DTT transcend the Order and sh</w:t>
      </w:r>
      <w:r w:rsidR="00980B3E">
        <w:t xml:space="preserve">ould not apply to nations have </w:t>
      </w:r>
      <w:r>
        <w:t>DTT with Nigeria, according to international standards” (</w:t>
      </w:r>
      <w:proofErr w:type="spellStart"/>
      <w:r>
        <w:t>Yahaya</w:t>
      </w:r>
      <w:proofErr w:type="spellEnd"/>
      <w:r>
        <w:t>, 2021).</w:t>
      </w:r>
    </w:p>
    <w:p w:rsidR="00A927C2" w:rsidRPr="004532A6" w:rsidRDefault="004532A6" w:rsidP="00A927C2">
      <w:pPr>
        <w:rPr>
          <w:b/>
        </w:rPr>
      </w:pPr>
      <w:r>
        <w:rPr>
          <w:b/>
        </w:rPr>
        <w:t xml:space="preserve">                    </w:t>
      </w:r>
      <w:r w:rsidR="00A927C2" w:rsidRPr="004532A6">
        <w:rPr>
          <w:b/>
        </w:rPr>
        <w:t>Personal Income Tax and E-commerce</w:t>
      </w:r>
    </w:p>
    <w:p w:rsidR="00F21D2B" w:rsidRDefault="00A927C2" w:rsidP="00F4131C">
      <w:r>
        <w:t xml:space="preserve">Personal Income Tax is governed by the Personal Income Tax </w:t>
      </w:r>
      <w:r w:rsidR="004532A6">
        <w:t xml:space="preserve">Act, which taxes the income of </w:t>
      </w:r>
      <w:r>
        <w:t>all taxable persons, including individuals, communities, and inco</w:t>
      </w:r>
      <w:r w:rsidR="004532A6">
        <w:t xml:space="preserve">me arising or due to a trustee </w:t>
      </w:r>
      <w:r>
        <w:t>or estate, as determined by and subject to the Act's provis</w:t>
      </w:r>
      <w:r w:rsidR="00522C59">
        <w:t>ions (</w:t>
      </w:r>
      <w:proofErr w:type="spellStart"/>
      <w:r w:rsidR="00522C59">
        <w:t>Yahaya</w:t>
      </w:r>
      <w:proofErr w:type="spellEnd"/>
      <w:r w:rsidR="00522C59">
        <w:t xml:space="preserve">, 2021). The Act's </w:t>
      </w:r>
      <w:r>
        <w:t>charging provision is found in Section 3 and reads as follows: 3(1) Subject to the pr</w:t>
      </w:r>
      <w:r w:rsidR="00522C59">
        <w:t xml:space="preserve">ovisions of </w:t>
      </w:r>
      <w:r>
        <w:t>this Act, tax shall be payable for each year of assessment on</w:t>
      </w:r>
      <w:r w:rsidR="00522C59">
        <w:t xml:space="preserve"> the aggregate amounts each of </w:t>
      </w:r>
      <w:r>
        <w:t>which is the income of every taxable person for the year, f</w:t>
      </w:r>
      <w:r w:rsidR="00522C59">
        <w:t xml:space="preserve">rom a source inside or outside </w:t>
      </w:r>
      <w:r>
        <w:t>Nigeria, including, without limiting the generality of the fore</w:t>
      </w:r>
      <w:r w:rsidR="00522C59">
        <w:t xml:space="preserve">going, gain or profit from any </w:t>
      </w:r>
      <w:r>
        <w:t>trade, business, profession or vocation, for whatever period</w:t>
      </w:r>
      <w:r w:rsidR="00522C59">
        <w:t xml:space="preserve"> of time such trade, business, </w:t>
      </w:r>
      <w:r>
        <w:t>profession or vocation is carried on (</w:t>
      </w:r>
      <w:proofErr w:type="spellStart"/>
      <w:r>
        <w:t>Umenweke</w:t>
      </w:r>
      <w:proofErr w:type="spellEnd"/>
      <w:r>
        <w:t xml:space="preserve">, &amp; </w:t>
      </w:r>
      <w:proofErr w:type="spellStart"/>
      <w:r>
        <w:t>Onyenu</w:t>
      </w:r>
      <w:r w:rsidR="00522C59">
        <w:t>kporo</w:t>
      </w:r>
      <w:proofErr w:type="spellEnd"/>
      <w:r w:rsidR="00522C59">
        <w:t xml:space="preserve">, 2020).” PITA's charging </w:t>
      </w:r>
      <w:r>
        <w:t xml:space="preserve">provision made no mention of profits or gains derived from </w:t>
      </w:r>
      <w:r w:rsidR="00522C59">
        <w:t xml:space="preserve">e-commerce, and the wording of </w:t>
      </w:r>
      <w:r>
        <w:t>the provision was clear. Since the Act was enacted before e-c</w:t>
      </w:r>
      <w:r w:rsidR="00522C59">
        <w:t xml:space="preserve">ommerce, it can be argued that </w:t>
      </w:r>
      <w:r>
        <w:t>any gain or profit derived from a trade or business that is not co</w:t>
      </w:r>
      <w:r w:rsidR="00522C59">
        <w:t xml:space="preserve">vered by the Act should not be </w:t>
      </w:r>
      <w:r>
        <w:t>taxed. Despite the fact that the Finance Act made changes to PITA, none of them pertain to ecommerce revenue generated by individuals (</w:t>
      </w:r>
      <w:proofErr w:type="spellStart"/>
      <w:r>
        <w:t>Yahaya</w:t>
      </w:r>
      <w:proofErr w:type="spellEnd"/>
      <w:r>
        <w:t>, 2021). Reg</w:t>
      </w:r>
      <w:r w:rsidR="00522C59">
        <w:t xml:space="preserve">ardless, gains or profits made </w:t>
      </w:r>
      <w:r>
        <w:t xml:space="preserve">by an individual in trade or business, whether through traditional trade methods or </w:t>
      </w:r>
      <w:r w:rsidR="007323CB">
        <w:t xml:space="preserve">through </w:t>
      </w:r>
      <w:r w:rsidR="008E7C02">
        <w:t>e</w:t>
      </w:r>
      <w:r w:rsidR="008E7C02" w:rsidRPr="007323CB">
        <w:t>-commerce</w:t>
      </w:r>
      <w:r w:rsidR="007323CB" w:rsidRPr="007323CB">
        <w:t>, are still subject to personal income tax (</w:t>
      </w:r>
      <w:proofErr w:type="spellStart"/>
      <w:r w:rsidR="007323CB" w:rsidRPr="007323CB">
        <w:t>Agbo</w:t>
      </w:r>
      <w:proofErr w:type="spellEnd"/>
      <w:r w:rsidR="007323CB" w:rsidRPr="007323CB">
        <w:t xml:space="preserve"> &amp; </w:t>
      </w:r>
      <w:proofErr w:type="spellStart"/>
      <w:r w:rsidR="007323CB" w:rsidRPr="007323CB">
        <w:t>Nwadialor</w:t>
      </w:r>
      <w:proofErr w:type="spellEnd"/>
      <w:r w:rsidR="007323CB" w:rsidRPr="007323CB">
        <w:t>, 2015).</w:t>
      </w:r>
    </w:p>
    <w:p w:rsidR="00B13047" w:rsidRPr="00B13047" w:rsidRDefault="00B13047" w:rsidP="00B13047">
      <w:pPr>
        <w:rPr>
          <w:b/>
        </w:rPr>
      </w:pPr>
      <w:r>
        <w:rPr>
          <w:b/>
        </w:rPr>
        <w:t xml:space="preserve">             </w:t>
      </w:r>
      <w:r w:rsidRPr="00B13047">
        <w:rPr>
          <w:b/>
        </w:rPr>
        <w:t>Value Added Tax (VAT) on Electronic Commerce</w:t>
      </w:r>
    </w:p>
    <w:p w:rsidR="00B13047" w:rsidRDefault="00B13047" w:rsidP="00B13047">
      <w:r>
        <w:lastRenderedPageBreak/>
        <w:t xml:space="preserve">The Finance Act is well known for raising the VAT rate in Nigeria to 7.5 percent, but it also broadened the definition of </w:t>
      </w:r>
      <w:proofErr w:type="spellStart"/>
      <w:r>
        <w:t>VATable</w:t>
      </w:r>
      <w:proofErr w:type="spellEnd"/>
      <w:r>
        <w:t xml:space="preserve"> commodities to include intangible things, which include digital activities. Prior to the enactment of the Finance Act, the Nigerian government faced the question of whether it could tax cross-border supplies delivered to a customer in Nigeria by a supplier with no physical presence in Nigeria (</w:t>
      </w:r>
      <w:proofErr w:type="spellStart"/>
      <w:r>
        <w:t>Yahaya</w:t>
      </w:r>
      <w:proofErr w:type="spellEnd"/>
      <w:r>
        <w:t xml:space="preserve">, 2021). This was due to a conflict between provisions of the VATA, which did not allow for the taxing of cross-border supplies by a supplier with no physical presence in Nigeria. The VATA was amended in the Finance Act to reflect the destination concept, which eliminated the problem. As a result, if an NRC sells digital goods to Nigerians, the commodities are now subject to VAT </w:t>
      </w:r>
      <w:r w:rsidR="00DF1D5B">
        <w:t>(</w:t>
      </w:r>
      <w:proofErr w:type="spellStart"/>
      <w:r w:rsidR="00DF1D5B">
        <w:t>Umenweke</w:t>
      </w:r>
      <w:proofErr w:type="spellEnd"/>
      <w:r w:rsidR="00DF1D5B">
        <w:t xml:space="preserve"> &amp; </w:t>
      </w:r>
      <w:proofErr w:type="spellStart"/>
      <w:r>
        <w:t>Onyenukporo</w:t>
      </w:r>
      <w:proofErr w:type="spellEnd"/>
      <w:r>
        <w:t>, 2020).”</w:t>
      </w:r>
    </w:p>
    <w:p w:rsidR="00BC6694" w:rsidRDefault="00B13047" w:rsidP="00F4131C">
      <w:r>
        <w:t>VAT is a consumption tax that is levied on all goods an</w:t>
      </w:r>
      <w:r w:rsidR="00DF1D5B">
        <w:t xml:space="preserve">d services consumed by anyone, </w:t>
      </w:r>
      <w:r>
        <w:t>whether government agencies, businesses, or individuals, with t</w:t>
      </w:r>
      <w:r w:rsidR="00DF1D5B">
        <w:t xml:space="preserve">he exception of those exempted </w:t>
      </w:r>
      <w:r>
        <w:t>under the VAT Act. Section 2 of the VAT Act did not mention t</w:t>
      </w:r>
      <w:r w:rsidR="00DF1D5B">
        <w:t xml:space="preserve">he mode in which the provision </w:t>
      </w:r>
      <w:r>
        <w:t>of goods and services should be carried out prior to the introduct</w:t>
      </w:r>
      <w:r w:rsidR="000959AB">
        <w:t xml:space="preserve">ion of the Finance Act, and so </w:t>
      </w:r>
      <w:r>
        <w:t>there was no duty for e-commerce enterprises to charge an</w:t>
      </w:r>
      <w:r w:rsidR="000959AB">
        <w:t xml:space="preserve">d pay VAT, at least not by the </w:t>
      </w:r>
      <w:r>
        <w:t xml:space="preserve">structure of the VAT Act. As a result, Nigerian businesses that </w:t>
      </w:r>
      <w:r w:rsidR="000959AB">
        <w:t xml:space="preserve">received products and services </w:t>
      </w:r>
      <w:r>
        <w:t xml:space="preserve">from non-resident businesses always claimed that no </w:t>
      </w:r>
      <w:r w:rsidR="000959AB">
        <w:t xml:space="preserve">VAT should be charged on those </w:t>
      </w:r>
      <w:r>
        <w:t>transactions (</w:t>
      </w:r>
      <w:proofErr w:type="spellStart"/>
      <w:r>
        <w:t>Etim</w:t>
      </w:r>
      <w:proofErr w:type="spellEnd"/>
      <w:r>
        <w:t xml:space="preserve"> et al., 2020). These problems were argu</w:t>
      </w:r>
      <w:r w:rsidR="000959AB">
        <w:t xml:space="preserve">ed in FIRS v Gazprom, in which </w:t>
      </w:r>
      <w:r>
        <w:t>Gazprom got ongoing consultancy and advisory services from no</w:t>
      </w:r>
      <w:r w:rsidR="000959AB">
        <w:t xml:space="preserve">n-resident firms regarding its </w:t>
      </w:r>
      <w:r>
        <w:t>economic interests in various African countries, for wh</w:t>
      </w:r>
      <w:r w:rsidR="009649CC">
        <w:t xml:space="preserve">ich they paid the non-resident </w:t>
      </w:r>
      <w:r>
        <w:t>corporations. Gazprom failed to remit VAT on the transactions to FIRS, and whe</w:t>
      </w:r>
      <w:r w:rsidR="009649CC">
        <w:t xml:space="preserve">n FIRS </w:t>
      </w:r>
      <w:r>
        <w:t>asserted VAT liabilities, Gazprom claimed it was not liable</w:t>
      </w:r>
      <w:r w:rsidR="009649CC">
        <w:t xml:space="preserve"> to pay VAT on the transaction </w:t>
      </w:r>
      <w:r>
        <w:t>because the non-resident companies were not conducting busi</w:t>
      </w:r>
      <w:r w:rsidR="009649CC">
        <w:t xml:space="preserve">ness in Nigeria, and thus they </w:t>
      </w:r>
      <w:r>
        <w:t>could not be held liable for VAT on their transactions with non-re</w:t>
      </w:r>
      <w:r w:rsidR="009649CC">
        <w:t xml:space="preserve">sident companies. The Tax </w:t>
      </w:r>
      <w:r>
        <w:t>Appeal Tribunal agreed with them and granted them a favora</w:t>
      </w:r>
      <w:r w:rsidR="009649CC">
        <w:t>ble decision (</w:t>
      </w:r>
      <w:proofErr w:type="spellStart"/>
      <w:r w:rsidR="009649CC">
        <w:t>Odubunmi</w:t>
      </w:r>
      <w:proofErr w:type="spellEnd"/>
      <w:r w:rsidR="009649CC">
        <w:t xml:space="preserve">, 2017). </w:t>
      </w:r>
      <w:r>
        <w:t>The FIRS appealed the Tribunal's decision to the Federa</w:t>
      </w:r>
      <w:r w:rsidR="00797E53">
        <w:t xml:space="preserve">l High Court, which upheld the </w:t>
      </w:r>
      <w:r>
        <w:t>Tribunal's decision, ruling that the parties did not contest that t</w:t>
      </w:r>
      <w:r w:rsidR="00797E53">
        <w:t xml:space="preserve">he services were provided to a </w:t>
      </w:r>
      <w:r>
        <w:t>Nigerian company and that, because Section 12 of the VA</w:t>
      </w:r>
      <w:r w:rsidR="00797E53">
        <w:t xml:space="preserve">T Act imposes VAT on the final </w:t>
      </w:r>
      <w:r>
        <w:t>consumer, the company, Gazprom, should bear the VAT liab</w:t>
      </w:r>
      <w:r w:rsidR="00797E53">
        <w:t xml:space="preserve">ility. Similarly, in Vodacom v </w:t>
      </w:r>
      <w:r>
        <w:t>FIRS, a Netherlands-based company provided bandwi</w:t>
      </w:r>
      <w:r w:rsidR="00797E53">
        <w:t xml:space="preserve">dth capacities to Vodacom, and </w:t>
      </w:r>
      <w:r>
        <w:t>Vodacom claimed that it was not responsible to pay VAT on the</w:t>
      </w:r>
      <w:r w:rsidR="00797E53">
        <w:t xml:space="preserve"> service since it was received </w:t>
      </w:r>
      <w:r>
        <w:t>through its transponders, which sent bandwidth from orbit</w:t>
      </w:r>
      <w:r w:rsidR="00895DA2">
        <w:t xml:space="preserve"> without any physical presence (</w:t>
      </w:r>
      <w:proofErr w:type="spellStart"/>
      <w:r w:rsidR="00895DA2">
        <w:t>Odumosu</w:t>
      </w:r>
      <w:proofErr w:type="spellEnd"/>
      <w:r w:rsidR="00895DA2">
        <w:t>, 2021).</w:t>
      </w:r>
      <w:r>
        <w:t>The Court disagreed with them, holding that "provided in Niger</w:t>
      </w:r>
      <w:r w:rsidR="00895DA2">
        <w:t xml:space="preserve">ia" under Sections 2 and 10 of </w:t>
      </w:r>
      <w:r>
        <w:t xml:space="preserve">the VAT Act does not have to indicate physical presence and </w:t>
      </w:r>
      <w:r w:rsidR="00895DA2">
        <w:t xml:space="preserve">can include situations where a </w:t>
      </w:r>
      <w:r>
        <w:t>supply is made in Nigeria without physical presence. It is wor</w:t>
      </w:r>
      <w:r w:rsidR="00895DA2">
        <w:t xml:space="preserve">th noting that the courts were </w:t>
      </w:r>
      <w:r>
        <w:t>taking the initiative in these cases because the VAT Act didn't s</w:t>
      </w:r>
      <w:r w:rsidR="00895DA2">
        <w:t xml:space="preserve">pecify the type of supply that </w:t>
      </w:r>
      <w:r>
        <w:t>should be subject to VAT. Section 2 of the VAT Act was amended by</w:t>
      </w:r>
      <w:r w:rsidR="00895DA2">
        <w:t xml:space="preserve"> section 33 of the Finance </w:t>
      </w:r>
      <w:r>
        <w:t>Act, which filled in the gap (</w:t>
      </w:r>
      <w:proofErr w:type="spellStart"/>
      <w:r>
        <w:t>Adebanjo</w:t>
      </w:r>
      <w:proofErr w:type="spellEnd"/>
      <w:r>
        <w:t>, 2021). Nigeria, like several other countries, has made</w:t>
      </w:r>
    </w:p>
    <w:p w:rsidR="008E7C02" w:rsidRDefault="00B13047" w:rsidP="00F4131C">
      <w:r>
        <w:lastRenderedPageBreak/>
        <w:t>provisions in the Finance Act for the taxation of e-commerce within their borders, based on the</w:t>
      </w:r>
      <w:r w:rsidR="00BC6694">
        <w:t xml:space="preserve"> </w:t>
      </w:r>
      <w:r w:rsidR="00A02CD1">
        <w:t>place of supply principle and has successfully overcome the challenge of taxation where ecommerce is conducted between Nigerian residents and non-</w:t>
      </w:r>
      <w:r w:rsidR="00EF5B9A">
        <w:t xml:space="preserve">residents. As a result, when a </w:t>
      </w:r>
      <w:r w:rsidR="00A02CD1">
        <w:t xml:space="preserve">service is provided and enjoyed by a consumer in Nigeria, it </w:t>
      </w:r>
      <w:r w:rsidR="00EF5B9A">
        <w:t>is subject to VAT (</w:t>
      </w:r>
      <w:proofErr w:type="spellStart"/>
      <w:r w:rsidR="00EF5B9A">
        <w:t>Ogunbela</w:t>
      </w:r>
      <w:proofErr w:type="spellEnd"/>
      <w:r w:rsidR="00EF5B9A">
        <w:t xml:space="preserve"> et </w:t>
      </w:r>
      <w:r w:rsidR="00A02CD1">
        <w:t>al., 2021). However, there is a case to be made for situations w</w:t>
      </w:r>
      <w:r w:rsidR="00EF5B9A">
        <w:t xml:space="preserve">here services begin in Nigeria </w:t>
      </w:r>
      <w:r w:rsidR="00A02CD1">
        <w:t>and end outside of Nigeria, or if a service is wholly performed out</w:t>
      </w:r>
      <w:r w:rsidR="00EF5B9A">
        <w:t xml:space="preserve">side of Nigeria. In any event, </w:t>
      </w:r>
      <w:r w:rsidR="00A02CD1">
        <w:t>once business activities cross into another country, they are subject to that jur</w:t>
      </w:r>
      <w:r w:rsidR="00EF5B9A">
        <w:t xml:space="preserve">isdiction's taxes. </w:t>
      </w:r>
      <w:r w:rsidR="00A02CD1">
        <w:t>If Nigerian VAT is applied to services provided outside of the coun</w:t>
      </w:r>
      <w:r w:rsidR="00EF5B9A">
        <w:t xml:space="preserve">try, it could result in double </w:t>
      </w:r>
      <w:r w:rsidR="00A02CD1">
        <w:t>taxation and the expansion of the Nigerian VAT Act. The aut</w:t>
      </w:r>
      <w:r w:rsidR="00163B89">
        <w:t xml:space="preserve">hor believes that the Nigerian </w:t>
      </w:r>
      <w:r w:rsidR="00A02CD1">
        <w:t>VAT should place a greater emphasis on capturing services pro</w:t>
      </w:r>
      <w:r w:rsidR="00163B89">
        <w:t xml:space="preserve">vided in Nigeria, whether such </w:t>
      </w:r>
      <w:r w:rsidR="00A02CD1">
        <w:t>services are provided physically in Nigeria or virtually withi</w:t>
      </w:r>
      <w:r w:rsidR="00163B89">
        <w:t xml:space="preserve">n Nigerian space or cyberspace </w:t>
      </w:r>
      <w:r w:rsidR="00A02CD1">
        <w:t>(</w:t>
      </w:r>
      <w:proofErr w:type="spellStart"/>
      <w:r w:rsidR="00A02CD1">
        <w:t>Okah-Avae</w:t>
      </w:r>
      <w:proofErr w:type="spellEnd"/>
      <w:r w:rsidR="00A02CD1">
        <w:t xml:space="preserve"> &amp; </w:t>
      </w:r>
      <w:proofErr w:type="spellStart"/>
      <w:r w:rsidR="00A02CD1">
        <w:t>Mukoro</w:t>
      </w:r>
      <w:proofErr w:type="spellEnd"/>
      <w:r w:rsidR="00A02CD1">
        <w:t>, 2020).</w:t>
      </w:r>
    </w:p>
    <w:p w:rsidR="00095F78" w:rsidRPr="00243284" w:rsidRDefault="00095F78" w:rsidP="00095F78">
      <w:pPr>
        <w:rPr>
          <w:b/>
        </w:rPr>
      </w:pPr>
      <w:r w:rsidRPr="00243284">
        <w:rPr>
          <w:b/>
        </w:rPr>
        <w:t>Challenges of Value Added Tax (VAT) on Electronic Commerce</w:t>
      </w:r>
    </w:p>
    <w:p w:rsidR="00163B89" w:rsidRDefault="00095F78" w:rsidP="00F4131C">
      <w:r>
        <w:t xml:space="preserve">The VATA's considerable improvement has not been without its </w:t>
      </w:r>
      <w:r w:rsidR="00243284">
        <w:t xml:space="preserve">difficulties. A key concern is </w:t>
      </w:r>
      <w:r>
        <w:t xml:space="preserve">the potential of double taxation, as well as the necessity that all </w:t>
      </w:r>
      <w:r w:rsidR="00243284">
        <w:t xml:space="preserve">NRCs doing business in Nigeria </w:t>
      </w:r>
      <w:r>
        <w:t>register for VAT, which is both inefficient and unnecessary (</w:t>
      </w:r>
      <w:proofErr w:type="spellStart"/>
      <w:r>
        <w:t>Yahaya</w:t>
      </w:r>
      <w:proofErr w:type="spellEnd"/>
      <w:r>
        <w:t>, 2021).</w:t>
      </w:r>
    </w:p>
    <w:p w:rsidR="00995DED" w:rsidRPr="00E42A98" w:rsidRDefault="00E42A98" w:rsidP="00995DED">
      <w:pPr>
        <w:rPr>
          <w:b/>
        </w:rPr>
      </w:pPr>
      <w:r>
        <w:rPr>
          <w:b/>
        </w:rPr>
        <w:t xml:space="preserve">       </w:t>
      </w:r>
      <w:r w:rsidR="00995DED" w:rsidRPr="00E42A98">
        <w:rPr>
          <w:b/>
        </w:rPr>
        <w:t>DIGITAL TAXATION AND REVENUE GENERATION</w:t>
      </w:r>
    </w:p>
    <w:p w:rsidR="00995DED" w:rsidRDefault="00995DED" w:rsidP="00995DED">
      <w:r>
        <w:t xml:space="preserve">According to </w:t>
      </w:r>
      <w:proofErr w:type="spellStart"/>
      <w:r>
        <w:t>Okafor</w:t>
      </w:r>
      <w:proofErr w:type="spellEnd"/>
      <w:r>
        <w:t xml:space="preserve"> (2012a), the manual taxation system which </w:t>
      </w:r>
      <w:r w:rsidR="00E42A98">
        <w:t xml:space="preserve">operates in a physical setting </w:t>
      </w:r>
      <w:r>
        <w:t>is inefficient and yields poor revenue. This is due to tax payer no</w:t>
      </w:r>
      <w:r w:rsidR="00E42A98">
        <w:t xml:space="preserve">n-compliance, as well as abuse </w:t>
      </w:r>
      <w:r>
        <w:t>of authority and corruption among tax officials. To addres</w:t>
      </w:r>
      <w:r w:rsidR="00E42A98">
        <w:t xml:space="preserve">s these issues, </w:t>
      </w:r>
      <w:proofErr w:type="spellStart"/>
      <w:r w:rsidR="00E42A98">
        <w:t>Okafor</w:t>
      </w:r>
      <w:proofErr w:type="spellEnd"/>
      <w:r w:rsidR="00E42A98">
        <w:t xml:space="preserve"> (2012a) </w:t>
      </w:r>
      <w:r>
        <w:t>advises using electronic taxation. The problem of low revenue</w:t>
      </w:r>
      <w:r w:rsidR="00E42A98">
        <w:t xml:space="preserve"> collection from states with a </w:t>
      </w:r>
      <w:r>
        <w:t>high incidence of tax evasion and avoidance will persist until ef</w:t>
      </w:r>
      <w:r w:rsidR="006A6A83">
        <w:t xml:space="preserve">forts are taken to replace the </w:t>
      </w:r>
      <w:r>
        <w:t>manual system of tax administration with an el</w:t>
      </w:r>
      <w:r w:rsidR="006A6A83">
        <w:t xml:space="preserve">ectronic system. The following </w:t>
      </w:r>
      <w:r>
        <w:t>recommendations were made based on the find</w:t>
      </w:r>
      <w:r w:rsidR="006A6A83">
        <w:t xml:space="preserve">ings made throughout the </w:t>
      </w:r>
      <w:proofErr w:type="spellStart"/>
      <w:r w:rsidR="006A6A83">
        <w:t>study:</w:t>
      </w:r>
      <w:r>
        <w:t>State</w:t>
      </w:r>
      <w:proofErr w:type="spellEnd"/>
      <w:r>
        <w:t xml:space="preserve"> governments should make every effort to launch their c</w:t>
      </w:r>
      <w:r w:rsidR="006A6A83">
        <w:t xml:space="preserve">omputerized tax administration </w:t>
      </w:r>
      <w:r>
        <w:t>so that they may begin to reap the benefits; state governments</w:t>
      </w:r>
      <w:r w:rsidR="006A6A83">
        <w:t xml:space="preserve"> should make computer literacy </w:t>
      </w:r>
      <w:r>
        <w:t>a requirement for working in all government enterprises, particu</w:t>
      </w:r>
      <w:r w:rsidR="006A6A83">
        <w:t xml:space="preserve">larly tax and revenue offices, </w:t>
      </w:r>
      <w:r>
        <w:t>as soon as possible. The government should guarantee that vital information is available and accessible to rural residents by encouraging the adaption of</w:t>
      </w:r>
      <w:r w:rsidR="00E46DFD">
        <w:t xml:space="preserve"> information into formulas and </w:t>
      </w:r>
      <w:r>
        <w:t>languages that are understandable to them. Supporting tec</w:t>
      </w:r>
      <w:r w:rsidR="00E46DFD">
        <w:t xml:space="preserve">hnological innovation in rural </w:t>
      </w:r>
      <w:r>
        <w:t>connectivity, such as WIFI, wide-band connections, and solar-pow</w:t>
      </w:r>
      <w:r w:rsidR="00E46DFD">
        <w:t xml:space="preserve">ered systems. It is also vital </w:t>
      </w:r>
      <w:r>
        <w:t>for the government to allow the construction of searchable web</w:t>
      </w:r>
      <w:r w:rsidR="00E46DFD">
        <w:t xml:space="preserve">sites revealing state spending </w:t>
      </w:r>
      <w:r>
        <w:t xml:space="preserve">in order to boost revenue production through e-taxation. Finally, </w:t>
      </w:r>
      <w:r w:rsidR="00E46DFD">
        <w:t xml:space="preserve">computerized record keeping </w:t>
      </w:r>
      <w:r>
        <w:t>of births, employments, new businesses, residency, and deaths w</w:t>
      </w:r>
      <w:r w:rsidR="00E46DFD">
        <w:t xml:space="preserve">ill provide the essential data </w:t>
      </w:r>
      <w:r>
        <w:t>foundation for better revenue through electronic taxation (</w:t>
      </w:r>
      <w:proofErr w:type="spellStart"/>
      <w:r>
        <w:t>Okafor</w:t>
      </w:r>
      <w:proofErr w:type="spellEnd"/>
      <w:r>
        <w:t xml:space="preserve">, 2012a). </w:t>
      </w:r>
    </w:p>
    <w:p w:rsidR="001955A3" w:rsidRDefault="00995DED" w:rsidP="00B20391">
      <w:r>
        <w:t xml:space="preserve">The rise of e-commerce as a result of the development of the internet has resulted in a slew of legal, budgetary, and socioeconomic difficulties. </w:t>
      </w:r>
      <w:proofErr w:type="spellStart"/>
      <w:r>
        <w:t>Odubunmi</w:t>
      </w:r>
      <w:proofErr w:type="spellEnd"/>
      <w:r>
        <w:t xml:space="preserve"> </w:t>
      </w:r>
      <w:r w:rsidR="001955A3">
        <w:t xml:space="preserve">(2017) stated that </w:t>
      </w:r>
      <w:r w:rsidR="001955A3">
        <w:lastRenderedPageBreak/>
        <w:t xml:space="preserve">new types of </w:t>
      </w:r>
      <w:r>
        <w:t>contracts, goods, and services are being established as a resul</w:t>
      </w:r>
      <w:r w:rsidR="001955A3">
        <w:t xml:space="preserve">t of the growth of information </w:t>
      </w:r>
      <w:r>
        <w:t>technologies as alternatives to paper-based enterprises, such as virtual goods, digital contracts,</w:t>
      </w:r>
      <w:r w:rsidR="007110E7">
        <w:t xml:space="preserve"> </w:t>
      </w:r>
      <w:r w:rsidR="00943B53">
        <w:t>and online transactions. As businesses and customers participate in an increasingly virtual or electronic market, new types of economic relationships are emerging, aided by technology. New technology has made it feasible to pay for goods and services over the internet, removing the need for real cash in many cases. As a result, several basic aspects in the traditional way of doing business, such as the transaction medium or the partie</w:t>
      </w:r>
      <w:r w:rsidR="00E303AF">
        <w:t xml:space="preserve">s' geographical location, have </w:t>
      </w:r>
      <w:r w:rsidR="00943B53">
        <w:t>become obsolete (</w:t>
      </w:r>
      <w:proofErr w:type="spellStart"/>
      <w:r w:rsidR="00943B53">
        <w:t>Odubunmi</w:t>
      </w:r>
      <w:proofErr w:type="spellEnd"/>
      <w:r w:rsidR="00943B53">
        <w:t>, 2017). The rise of electro</w:t>
      </w:r>
      <w:r w:rsidR="00E303AF">
        <w:t xml:space="preserve">nic trade (e-commerce) poses a </w:t>
      </w:r>
      <w:r w:rsidR="00943B53">
        <w:t>significant challenge to tax administrators' traditional direct a</w:t>
      </w:r>
      <w:r w:rsidR="00E303AF">
        <w:t xml:space="preserve">nd indirect taxing procedures. </w:t>
      </w:r>
      <w:r w:rsidR="00943B53">
        <w:t>Unlike traditional commercial activities, where transaction detail</w:t>
      </w:r>
      <w:r w:rsidR="00E303AF">
        <w:t xml:space="preserve">s such as the amount involved, </w:t>
      </w:r>
      <w:r w:rsidR="00943B53">
        <w:t>parties to the transaction, and the location in which the transaction</w:t>
      </w:r>
      <w:r w:rsidR="00E303AF">
        <w:t xml:space="preserve"> was carried out can be easily </w:t>
      </w:r>
      <w:r w:rsidR="00943B53">
        <w:t>established, e-commerce takes place primarily in the virtu</w:t>
      </w:r>
      <w:r w:rsidR="00E303AF">
        <w:t xml:space="preserve">al and borderless world of the </w:t>
      </w:r>
      <w:r w:rsidR="00943B53">
        <w:t>Internet, using a network of computers to carry on untra</w:t>
      </w:r>
      <w:r w:rsidR="00F75C06">
        <w:t xml:space="preserve">ceable trade from obscenity to </w:t>
      </w:r>
      <w:r w:rsidR="00943B53">
        <w:t>obscenity</w:t>
      </w:r>
    </w:p>
    <w:p w:rsidR="00F75C06" w:rsidRDefault="00995DED" w:rsidP="00F75C06">
      <w:pPr>
        <w:rPr>
          <w:b/>
        </w:rPr>
      </w:pPr>
      <w:r>
        <w:t xml:space="preserve"> </w:t>
      </w:r>
      <w:r w:rsidR="00F21D2B">
        <w:rPr>
          <w:b/>
        </w:rPr>
        <w:t>2.2</w:t>
      </w:r>
      <w:r w:rsidR="000E1877" w:rsidRPr="00DD5EFD">
        <w:rPr>
          <w:b/>
        </w:rPr>
        <w:t xml:space="preserve"> Theoretical Framework</w:t>
      </w:r>
    </w:p>
    <w:p w:rsidR="00F75C06" w:rsidRDefault="000E1877" w:rsidP="00F75C06">
      <w:r w:rsidRPr="0019304B">
        <w:t xml:space="preserve">2.2.1 Tax Compliance Theory Allingham and </w:t>
      </w:r>
      <w:proofErr w:type="spellStart"/>
      <w:r w:rsidRPr="0019304B">
        <w:t>Sandmo</w:t>
      </w:r>
      <w:proofErr w:type="spellEnd"/>
      <w:r w:rsidRPr="0019304B">
        <w:t xml:space="preserve"> (1972) introduced the Tax Compliance Theory to explain the behavioral dynamics behind tax adherence. The model suggests that compliance is influenced by the probability of detection and the severity of penalties. In the digital space, cross-border enforcement is difficult, making voluntary compliance essential but challenging for SMEs without legal and financial resources.</w:t>
      </w:r>
    </w:p>
    <w:p w:rsidR="000D2000" w:rsidRDefault="000E1877" w:rsidP="000D2000">
      <w:r w:rsidRPr="0019304B">
        <w:t>2.2.2 Disruptive Innovation Theory Christensen (1997) proposed that innovations disrupting existing markets often face backlash from traditional institutions. E-commerce disrupted physical retail, prompting new forms of regulation such as digital taxation. However, the lag in policy development often causes conflict between innovation and compliance requirements, placing digital firms in a regulatory gray area.</w:t>
      </w:r>
    </w:p>
    <w:p w:rsidR="000D2000" w:rsidRDefault="000E1877" w:rsidP="000D2000">
      <w:r w:rsidRPr="0019304B">
        <w:t>2.3 Evolution of Global Digital Tax Policy Over the past decade, the global tax environment has shifted rapidly due to the explosion of digital trade. OECD’s Base Erosion and Profit Shifting (BEPS) project initiated global conversations about fair taxation in the digital age. Countries like France (3% DST), India (2% Equalization Levy), and the UK (2% DST) implemented unilateral digital taxes pending a multilateral agreement (OECD, 2021). These policies were developed in response to growing dissatisfaction over tech giants profiting from foreign markets without paying corresponding taxes.</w:t>
      </w:r>
    </w:p>
    <w:p w:rsidR="008750BD" w:rsidRDefault="000E1877" w:rsidP="008750BD">
      <w:pPr>
        <w:rPr>
          <w:b/>
        </w:rPr>
      </w:pPr>
      <w:r w:rsidRPr="000D2000">
        <w:rPr>
          <w:b/>
        </w:rPr>
        <w:t>2.4 Empirical Review</w:t>
      </w:r>
    </w:p>
    <w:p w:rsidR="008750BD" w:rsidRDefault="000E1877" w:rsidP="008750BD">
      <w:r w:rsidRPr="0019304B">
        <w:t>2.4.1 Global Perspective Studies show that while digital taxation increases state revenue, it also imposes operational and financial strain on businesses. For example, after the UK introduced DST in 2020, Amazon reportedly adjusted fees charged to sellers, passing the</w:t>
      </w:r>
    </w:p>
    <w:p w:rsidR="008750BD" w:rsidRDefault="000E1877" w:rsidP="008750BD">
      <w:r w:rsidRPr="0019304B">
        <w:lastRenderedPageBreak/>
        <w:t>tax burden to small businesses and consumers (Deloitte, 2021). In the U.S., tech firms have criticized these taxes as discriminatory, leading to trade tensions.</w:t>
      </w:r>
    </w:p>
    <w:p w:rsidR="008750BD" w:rsidRDefault="000E1877" w:rsidP="008750BD">
      <w:r w:rsidRPr="0019304B">
        <w:t xml:space="preserve">2.4.2 African Context In Africa, digital taxation is relatively new but growing. Nigeria’s Finance Act 2020 imposes VAT on non-resident digital service providers, while Kenya introduced a 1.5% DST. </w:t>
      </w:r>
      <w:proofErr w:type="spellStart"/>
      <w:r w:rsidRPr="0019304B">
        <w:t>Adegoke</w:t>
      </w:r>
      <w:proofErr w:type="spellEnd"/>
      <w:r w:rsidRPr="0019304B">
        <w:t xml:space="preserve"> (2021) found that many SMEs lack the infrastructure to handle these new tax obligations. The ATAF (2022) warned that fragmented tax systems risk double taxation and could discourage foreign investment in African tech sectors.</w:t>
      </w:r>
    </w:p>
    <w:p w:rsidR="00794FB0" w:rsidRDefault="000E1877" w:rsidP="00794FB0">
      <w:r w:rsidRPr="0019304B">
        <w:t>2.4.3 Comparative Impact: Developed vs. Developing Countries In developed nations, large corporations often have the infrastructure to comply with digital tax laws. In contrast, businesses in developing countries face steep challenges including poor tax education, lack of skilled personnel, and weak IT systems. SMEs are disproportionately affected as they operate on thinner margins and have limited bargaining power (KPMG, 2022).</w:t>
      </w:r>
    </w:p>
    <w:p w:rsidR="00794FB0" w:rsidRDefault="000E1877" w:rsidP="00794FB0">
      <w:r w:rsidRPr="0019304B">
        <w:t xml:space="preserve">2.5 Impact on E-Commerce Sales Digital taxes often lead to price increases, especially when companies pass the cost onto consumers. Research in India showed a dip in online sales following the introduction of DST, particularly for low-cost goods (Tiwari &amp; Kumar, 2020). </w:t>
      </w:r>
      <w:proofErr w:type="spellStart"/>
      <w:r w:rsidRPr="0019304B">
        <w:t>Desvine</w:t>
      </w:r>
      <w:proofErr w:type="spellEnd"/>
      <w:r w:rsidRPr="0019304B">
        <w:t xml:space="preserve"> Global, as an SME, may struggle to maintain competitive pricing in such environments, leading to reduced market share.</w:t>
      </w:r>
    </w:p>
    <w:p w:rsidR="00794FB0" w:rsidRDefault="000E1877" w:rsidP="00794FB0">
      <w:r w:rsidRPr="0019304B">
        <w:t>2.6 Digital Taxation and Consumer Behavior Consumer behavior is sensitive to digital pricing. When taxes lead to price increases, consumers may delay purchases, seek cheaper alternatives, or abandon carts. The uncertainty created by frequent tax law changes also erodes trust in digital platforms (</w:t>
      </w:r>
      <w:proofErr w:type="spellStart"/>
      <w:r w:rsidRPr="0019304B">
        <w:t>Chukwuma</w:t>
      </w:r>
      <w:proofErr w:type="spellEnd"/>
      <w:r w:rsidRPr="0019304B">
        <w:t xml:space="preserve"> &amp; Ojo, 2021). Firms with less brand loyalty may experience customer attrition.</w:t>
      </w:r>
    </w:p>
    <w:p w:rsidR="00794FB0" w:rsidRDefault="000E1877" w:rsidP="00794FB0">
      <w:r w:rsidRPr="0019304B">
        <w:t xml:space="preserve">2.7 Operational Compliance Challenges Digital firms must navigate multiple jurisdictions with varied tax laws. This includes tax registration, return filing, audit management, and penalties for non-compliance. PwC (2021) notes that tax compliance is a top deterrent for SMEs looking to expand internationally. </w:t>
      </w:r>
      <w:proofErr w:type="spellStart"/>
      <w:r w:rsidRPr="0019304B">
        <w:t>Desvine</w:t>
      </w:r>
      <w:proofErr w:type="spellEnd"/>
      <w:r w:rsidRPr="0019304B">
        <w:t xml:space="preserve"> Global may face high legal costs, reduced efficiency, and increased financial risk if these challenges are not addressed effectively.</w:t>
      </w:r>
    </w:p>
    <w:p w:rsidR="00794FB0" w:rsidRDefault="000E1877" w:rsidP="00794FB0">
      <w:r w:rsidRPr="0019304B">
        <w:t xml:space="preserve">2.8 Strategic Responses by E-Commerce Firms </w:t>
      </w:r>
      <w:proofErr w:type="spellStart"/>
      <w:r w:rsidRPr="0019304B">
        <w:t>Firms</w:t>
      </w:r>
      <w:proofErr w:type="spellEnd"/>
      <w:r w:rsidRPr="0019304B">
        <w:t xml:space="preserve"> adopt several strategies to cope with digital tax burdens:</w:t>
      </w:r>
    </w:p>
    <w:p w:rsidR="00794FB0" w:rsidRDefault="000E1877" w:rsidP="00794FB0">
      <w:r w:rsidRPr="0019304B">
        <w:t>- **Absorption vs. Transfer Pricing:** Some absorb the tax to protect customer relationships, while others increase prices.</w:t>
      </w:r>
    </w:p>
    <w:p w:rsidR="001D435B" w:rsidRDefault="000E1877" w:rsidP="001D435B">
      <w:r w:rsidRPr="0019304B">
        <w:t>- **Geo-filtering:** Avoiding or limiting exposure in high-tax jurisdictions.</w:t>
      </w:r>
    </w:p>
    <w:p w:rsidR="001D435B" w:rsidRDefault="000E1877" w:rsidP="001D435B">
      <w:r w:rsidRPr="0019304B">
        <w:t xml:space="preserve">- **Technology Investment:** Utilizing tax automation tools (e.g., Avalara, </w:t>
      </w:r>
      <w:proofErr w:type="spellStart"/>
      <w:r w:rsidRPr="0019304B">
        <w:t>TaxJar</w:t>
      </w:r>
      <w:proofErr w:type="spellEnd"/>
      <w:r w:rsidRPr="0019304B">
        <w:t>).</w:t>
      </w:r>
    </w:p>
    <w:p w:rsidR="001D435B" w:rsidRDefault="000E1877" w:rsidP="001D435B">
      <w:r w:rsidRPr="0019304B">
        <w:lastRenderedPageBreak/>
        <w:t>- **Legal Structuring:** Registering subsidiaries in low-tax jurisdictions or consolidating operations.</w:t>
      </w:r>
    </w:p>
    <w:p w:rsidR="001D435B" w:rsidRDefault="000E1877" w:rsidP="001D435B">
      <w:proofErr w:type="spellStart"/>
      <w:r w:rsidRPr="0019304B">
        <w:t>Desvine</w:t>
      </w:r>
      <w:proofErr w:type="spellEnd"/>
      <w:r w:rsidRPr="0019304B">
        <w:t xml:space="preserve"> Global should consider combining tech-driven compliance, strategic pricing, and expert consultation to optimize operations and reduce tax exposure.</w:t>
      </w:r>
    </w:p>
    <w:p w:rsidR="00F421DA" w:rsidRDefault="000E1877" w:rsidP="001D435B">
      <w:r w:rsidRPr="0019304B">
        <w:t xml:space="preserve">2.9 Research Gap Most existing research emphasizes multinational corporations or regulatory overviews. There is limited focus on how mid-sized, digitally-native firms in emerging markets adapt to and are affected by digital taxation. This study bridges this gap by focusing on </w:t>
      </w:r>
      <w:proofErr w:type="spellStart"/>
      <w:r w:rsidRPr="0019304B">
        <w:t>Desvine</w:t>
      </w:r>
      <w:proofErr w:type="spellEnd"/>
      <w:r w:rsidRPr="0019304B">
        <w:t xml:space="preserve"> Global, exploring its operational re</w:t>
      </w:r>
      <w:r w:rsidR="001D435B">
        <w:t>alities and strategic responsibilities</w:t>
      </w:r>
      <w:r w:rsidRPr="0019304B">
        <w:t xml:space="preserve">   </w:t>
      </w:r>
    </w:p>
    <w:p w:rsidR="00F421DA" w:rsidRDefault="00F421DA" w:rsidP="00F421DA">
      <w:pPr>
        <w:rPr>
          <w:b/>
        </w:rPr>
      </w:pPr>
      <w:r>
        <w:t xml:space="preserve">                                       </w:t>
      </w:r>
      <w:r w:rsidR="000E1877" w:rsidRPr="0019304B">
        <w:t xml:space="preserve"> </w:t>
      </w:r>
      <w:r w:rsidR="000E1877" w:rsidRPr="00F421DA">
        <w:rPr>
          <w:b/>
        </w:rPr>
        <w:t xml:space="preserve">CHAPTER </w:t>
      </w:r>
      <w:r>
        <w:rPr>
          <w:b/>
        </w:rPr>
        <w:t>THREE</w:t>
      </w:r>
    </w:p>
    <w:p w:rsidR="004D32D3" w:rsidRDefault="004D32D3" w:rsidP="004D32D3">
      <w:pPr>
        <w:rPr>
          <w:b/>
        </w:rPr>
      </w:pPr>
      <w:r>
        <w:rPr>
          <w:b/>
        </w:rPr>
        <w:t xml:space="preserve">                            </w:t>
      </w:r>
      <w:r w:rsidR="000E1877" w:rsidRPr="00B3388B">
        <w:t xml:space="preserve"> </w:t>
      </w:r>
      <w:r w:rsidR="000E1877" w:rsidRPr="004D32D3">
        <w:rPr>
          <w:b/>
        </w:rPr>
        <w:t>RESEARCH METHODOLOGY</w:t>
      </w:r>
    </w:p>
    <w:p w:rsidR="000421F7" w:rsidRDefault="000E1877" w:rsidP="004D32D3">
      <w:pPr>
        <w:rPr>
          <w:b/>
        </w:rPr>
      </w:pPr>
      <w:r w:rsidRPr="004D32D3">
        <w:rPr>
          <w:b/>
        </w:rPr>
        <w:t>3.0 Introduction</w:t>
      </w:r>
    </w:p>
    <w:p w:rsidR="000421F7" w:rsidRDefault="000E1877" w:rsidP="000421F7">
      <w:r w:rsidRPr="0019304B">
        <w:t xml:space="preserve">This chapter outlines the methodology adopted for the study on the impact of digital taxation on e-commerce sales, using </w:t>
      </w:r>
      <w:proofErr w:type="spellStart"/>
      <w:r w:rsidRPr="0019304B">
        <w:t>Desvine</w:t>
      </w:r>
      <w:proofErr w:type="spellEnd"/>
      <w:r w:rsidRPr="0019304B">
        <w:t xml:space="preserve"> Global as a case study. Research methodology refers to the systematic procedures used in collecting, analyzing, and interpreting data to answer research questions or test hypotheses. It ensures that the research is conducted in a logical, structured, and scientifically sound manner. This chapter discusses the research design, population of the study, sample size and sampling technique, sources of data, research instruments, procedures for data collection, methods of data analysis, ethical considerations, and limitations of the study.</w:t>
      </w:r>
    </w:p>
    <w:p w:rsidR="000421F7" w:rsidRDefault="000E1877" w:rsidP="000421F7">
      <w:pPr>
        <w:rPr>
          <w:b/>
        </w:rPr>
      </w:pPr>
      <w:r w:rsidRPr="000421F7">
        <w:rPr>
          <w:b/>
        </w:rPr>
        <w:t>3.1 Research Design</w:t>
      </w:r>
    </w:p>
    <w:p w:rsidR="000421F7" w:rsidRDefault="000E1877" w:rsidP="000421F7">
      <w:r w:rsidRPr="000421F7">
        <w:rPr>
          <w:b/>
        </w:rPr>
        <w:t>A descriptive surv</w:t>
      </w:r>
      <w:r w:rsidRPr="0019304B">
        <w:t xml:space="preserve">ey research design is employed in this study. This design is appropriate because it allows the researcher to systematically describe the situation as it exists, and to explore the relationship between digital taxation and e-commerce performance. The case study approach is also incorporated, focusing on </w:t>
      </w:r>
      <w:proofErr w:type="spellStart"/>
      <w:r w:rsidRPr="0019304B">
        <w:t>Desvine</w:t>
      </w:r>
      <w:proofErr w:type="spellEnd"/>
      <w:r w:rsidRPr="0019304B">
        <w:t xml:space="preserve"> Global to allow for in-depth examination of the company’s operations, responses to digital tax policies, and observed changes in sales patterns.</w:t>
      </w:r>
    </w:p>
    <w:p w:rsidR="000421F7" w:rsidRDefault="000E1877" w:rsidP="000421F7">
      <w:r w:rsidRPr="0019304B">
        <w:t xml:space="preserve">Descriptive survey design is commonly used in business and social science research as it permits the gathering of both qualitative and quantitative data to understand attitudes, opinions, behaviors, and characteristics of a population. In this study, the design enables the collection of data from employees and customers of </w:t>
      </w:r>
      <w:proofErr w:type="spellStart"/>
      <w:r w:rsidRPr="0019304B">
        <w:t>Desvine</w:t>
      </w:r>
      <w:proofErr w:type="spellEnd"/>
      <w:r w:rsidRPr="0019304B">
        <w:t xml:space="preserve"> Global regarding their perceptions and experiences of digital taxation.</w:t>
      </w:r>
    </w:p>
    <w:p w:rsidR="004510EC" w:rsidRDefault="000E1877" w:rsidP="004510EC">
      <w:pPr>
        <w:rPr>
          <w:b/>
        </w:rPr>
      </w:pPr>
      <w:r w:rsidRPr="004510EC">
        <w:rPr>
          <w:b/>
        </w:rPr>
        <w:t>3.2 Population of the Study</w:t>
      </w:r>
    </w:p>
    <w:p w:rsidR="004510EC" w:rsidRDefault="000E1877" w:rsidP="004510EC">
      <w:r w:rsidRPr="0019304B">
        <w:t>The population of the study consists of two main groups:</w:t>
      </w:r>
    </w:p>
    <w:p w:rsidR="004510EC" w:rsidRDefault="000E1877" w:rsidP="004510EC">
      <w:r w:rsidRPr="0019304B">
        <w:lastRenderedPageBreak/>
        <w:t xml:space="preserve">1. Employees of </w:t>
      </w:r>
      <w:proofErr w:type="spellStart"/>
      <w:r w:rsidRPr="0019304B">
        <w:t>Desvine</w:t>
      </w:r>
      <w:proofErr w:type="spellEnd"/>
      <w:r w:rsidRPr="0019304B">
        <w:t xml:space="preserve"> Global: Including management staff, financial analysts, digital marketing personnel, legal and compliance officers, IT personnel, and logistics coordinators.</w:t>
      </w:r>
    </w:p>
    <w:p w:rsidR="00934873" w:rsidRDefault="000E1877" w:rsidP="00934873">
      <w:r w:rsidRPr="0019304B">
        <w:t xml:space="preserve">2. Customers of </w:t>
      </w:r>
      <w:proofErr w:type="spellStart"/>
      <w:r w:rsidRPr="0019304B">
        <w:t>Desvine</w:t>
      </w:r>
      <w:proofErr w:type="spellEnd"/>
      <w:r w:rsidRPr="0019304B">
        <w:t xml:space="preserve"> Global: These include frequent online shoppers who have used the company’s digital platform in the last 12 months and are affected by changes in pricing, delivery timelines, and purchasing processes.</w:t>
      </w:r>
    </w:p>
    <w:p w:rsidR="00934873" w:rsidRDefault="000E1877" w:rsidP="00934873">
      <w:r w:rsidRPr="0019304B">
        <w:t>This population is chosen because it comprises individuals with firsthand knowledge of the company’s operations and how digital taxation may have impacted sales, operations, and customer satisfaction.</w:t>
      </w:r>
    </w:p>
    <w:p w:rsidR="00934873" w:rsidRDefault="000E1877" w:rsidP="00934873">
      <w:pPr>
        <w:rPr>
          <w:b/>
        </w:rPr>
      </w:pPr>
      <w:r w:rsidRPr="00934873">
        <w:rPr>
          <w:b/>
        </w:rPr>
        <w:t>3.3 Sample Size and Sampling Technique</w:t>
      </w:r>
    </w:p>
    <w:p w:rsidR="00463656" w:rsidRDefault="000E1877" w:rsidP="00463656">
      <w:r w:rsidRPr="0019304B">
        <w:t xml:space="preserve">Given the scope and timeframe of the study, a total of 50 participants will be selected:20 employees from various departments including finance, operations, marketing, and compliance.30 customers who have engaged in online transactions through </w:t>
      </w:r>
      <w:proofErr w:type="spellStart"/>
      <w:r w:rsidRPr="0019304B">
        <w:t>Desvine</w:t>
      </w:r>
      <w:proofErr w:type="spellEnd"/>
      <w:r w:rsidRPr="0019304B">
        <w:t xml:space="preserve"> </w:t>
      </w:r>
      <w:proofErr w:type="spellStart"/>
      <w:r w:rsidRPr="0019304B">
        <w:t>Global’s</w:t>
      </w:r>
      <w:proofErr w:type="spellEnd"/>
      <w:r w:rsidRPr="0019304B">
        <w:t xml:space="preserve"> platform.</w:t>
      </w:r>
    </w:p>
    <w:p w:rsidR="00DE0A0D" w:rsidRDefault="000E1877" w:rsidP="00DE0A0D">
      <w:r w:rsidRPr="0019304B">
        <w:t xml:space="preserve">A purposive sampling technique is used for employee selection to ensure that only individuals with relevant responsibilities in taxation, pricing, customer relations, or strategic planning are involved. For customers, convenience sampling is applied, targeting those who are available and willing to </w:t>
      </w:r>
      <w:proofErr w:type="spellStart"/>
      <w:r w:rsidRPr="0019304B">
        <w:t>participate.While</w:t>
      </w:r>
      <w:proofErr w:type="spellEnd"/>
      <w:r w:rsidRPr="0019304B">
        <w:t xml:space="preserve"> not random, these sampling methods are practical for case study research and enable focused insights from participants with the most relevant experiences.</w:t>
      </w:r>
    </w:p>
    <w:p w:rsidR="00DE0A0D" w:rsidRDefault="000E1877" w:rsidP="00DE0A0D">
      <w:pPr>
        <w:rPr>
          <w:b/>
        </w:rPr>
      </w:pPr>
      <w:r w:rsidRPr="00DE0A0D">
        <w:rPr>
          <w:b/>
        </w:rPr>
        <w:t>3.4 Sources of Data</w:t>
      </w:r>
    </w:p>
    <w:p w:rsidR="00BD5786" w:rsidRDefault="000E1877" w:rsidP="00BD5786">
      <w:r w:rsidRPr="0019304B">
        <w:t>The study relies on both primary and secondary data:</w:t>
      </w:r>
    </w:p>
    <w:p w:rsidR="00BD5786" w:rsidRDefault="000E1877" w:rsidP="00BD5786">
      <w:r w:rsidRPr="0019304B">
        <w:t xml:space="preserve">Primary Data: Collected through structured questionnaires and semi-structured interviews with selected employees and customers of </w:t>
      </w:r>
      <w:proofErr w:type="spellStart"/>
      <w:r w:rsidRPr="0019304B">
        <w:t>Desvine</w:t>
      </w:r>
      <w:proofErr w:type="spellEnd"/>
      <w:r w:rsidRPr="0019304B">
        <w:t xml:space="preserve"> Global.</w:t>
      </w:r>
    </w:p>
    <w:p w:rsidR="00846421" w:rsidRDefault="000E1877" w:rsidP="00846421">
      <w:r w:rsidRPr="0019304B">
        <w:t xml:space="preserve">Secondary Data: Includes academic journals, textbooks, previous research studies, government policy documents, digital taxation laws, company reports, and financial records. These materials help provide context and support for analyzing the effects of digital </w:t>
      </w:r>
      <w:proofErr w:type="spellStart"/>
      <w:r w:rsidRPr="0019304B">
        <w:t>taxation.Using</w:t>
      </w:r>
      <w:proofErr w:type="spellEnd"/>
      <w:r w:rsidRPr="0019304B">
        <w:t xml:space="preserve"> both sources of data allows for triangulation, improving the validity and reliability of the research findings.</w:t>
      </w:r>
    </w:p>
    <w:p w:rsidR="00FB4072" w:rsidRDefault="000E1877" w:rsidP="00FB4072">
      <w:pPr>
        <w:rPr>
          <w:b/>
        </w:rPr>
      </w:pPr>
      <w:r w:rsidRPr="00846421">
        <w:rPr>
          <w:b/>
        </w:rPr>
        <w:t>3.5 Instrument for Data Collection</w:t>
      </w:r>
    </w:p>
    <w:p w:rsidR="00AE5526" w:rsidRDefault="000E1877" w:rsidP="00FB4072">
      <w:r w:rsidRPr="00FB4072">
        <w:t>The main data collection instrument is a structured questionnaire designed to elicit information from both staff and customers. The questionnaire uses a combination of closed-ended (Likert scale, multiple choice) and open-ended questions to balance quantitative and qualitative data.</w:t>
      </w:r>
    </w:p>
    <w:p w:rsidR="00AE5526" w:rsidRDefault="000E1877" w:rsidP="00AE5526">
      <w:r w:rsidRPr="00AE5526">
        <w:lastRenderedPageBreak/>
        <w:t>Additionally, semi-structured interviews will be conducted with management-level staff, particularly those involved in finance and compliance, to gain deeper insights into the company’s strategic response to taxation.</w:t>
      </w:r>
    </w:p>
    <w:p w:rsidR="00D92244" w:rsidRDefault="000E1877" w:rsidP="00AE5526">
      <w:pPr>
        <w:rPr>
          <w:b/>
        </w:rPr>
      </w:pPr>
      <w:r w:rsidRPr="00AE5526">
        <w:rPr>
          <w:b/>
        </w:rPr>
        <w:t>3.6 Validity and Reliability of the Instrument</w:t>
      </w:r>
    </w:p>
    <w:p w:rsidR="00D92244" w:rsidRDefault="000E1877" w:rsidP="00D92244">
      <w:r w:rsidRPr="0019304B">
        <w:t>To ensure validity, the questionnaire will be subjected to expert review by two university lecturers and one industry professional with expertise in taxation and e-commerce. Their feedback will help refine question wording, sequence, and clarity.</w:t>
      </w:r>
    </w:p>
    <w:p w:rsidR="00D92244" w:rsidRDefault="000E1877" w:rsidP="00D92244">
      <w:r w:rsidRPr="0019304B">
        <w:t>A pilot test involving 5 respondents (2 staff and 3 customers) will be conducted. This will help identify any ambiguity or confusion in the questions, and adjustments will be made based on the feedback.</w:t>
      </w:r>
    </w:p>
    <w:p w:rsidR="00D92244" w:rsidRDefault="000E1877" w:rsidP="00D92244">
      <w:r w:rsidRPr="0019304B">
        <w:t>Reliability will be tested using Cronbach’s Alpha, a statistical measure used to assess the internal consistency of the questionnaire. A reliability coefficient of 0.7 or above will be considered acceptable for this study.</w:t>
      </w:r>
    </w:p>
    <w:p w:rsidR="004B6931" w:rsidRDefault="000E1877" w:rsidP="004B6931">
      <w:pPr>
        <w:rPr>
          <w:b/>
        </w:rPr>
      </w:pPr>
      <w:r w:rsidRPr="004B6931">
        <w:rPr>
          <w:b/>
        </w:rPr>
        <w:t>3.7 Method of Data Collection</w:t>
      </w:r>
    </w:p>
    <w:p w:rsidR="004B6931" w:rsidRDefault="000E1877" w:rsidP="004B6931">
      <w:r w:rsidRPr="0019304B">
        <w:t>Data collection will take place in two phases:</w:t>
      </w:r>
    </w:p>
    <w:p w:rsidR="004B6931" w:rsidRDefault="000E1877" w:rsidP="004B6931">
      <w:r w:rsidRPr="0019304B">
        <w:t>1. Phase One: Distribution of questionnaires to selected employees and customers. The questionnaires will be delivered via email, WhatsApp, and printed copies where necessary. Participants will be given one week to respond.</w:t>
      </w:r>
    </w:p>
    <w:p w:rsidR="009E53E9" w:rsidRDefault="000E1877" w:rsidP="009E53E9">
      <w:r w:rsidRPr="0019304B">
        <w:t xml:space="preserve">2. Phase Two: Conducting semi-structured interviews with at least 5 senior staff members. These interviews will be conducted in person or via Zoom/phone calls, depending on </w:t>
      </w:r>
      <w:proofErr w:type="spellStart"/>
      <w:r w:rsidRPr="0019304B">
        <w:t>availability.Data</w:t>
      </w:r>
      <w:proofErr w:type="spellEnd"/>
      <w:r w:rsidRPr="0019304B">
        <w:t xml:space="preserve"> collection is expected to take approximately three weeks, including follow-ups and scheduling interviews.</w:t>
      </w:r>
    </w:p>
    <w:p w:rsidR="009E53E9" w:rsidRDefault="000E1877" w:rsidP="009E53E9">
      <w:pPr>
        <w:rPr>
          <w:b/>
        </w:rPr>
      </w:pPr>
      <w:r w:rsidRPr="009E53E9">
        <w:rPr>
          <w:b/>
        </w:rPr>
        <w:t>3.8 Method of Data Analysis</w:t>
      </w:r>
    </w:p>
    <w:p w:rsidR="009E53E9" w:rsidRDefault="000E1877" w:rsidP="009E53E9">
      <w:r w:rsidRPr="0019304B">
        <w:t>Data analysis will be both quantitative and qualitative:</w:t>
      </w:r>
    </w:p>
    <w:p w:rsidR="009E53E9" w:rsidRDefault="000E1877" w:rsidP="009E53E9">
      <w:r w:rsidRPr="0019304B">
        <w:t>Quantitative data (from the questionnaires) will be analyzed using descriptive statistics such as frequency distribution, percentages, mean scores, and standard deviation. SPSS or Microsoft Excel will be used to manage and process this data.</w:t>
      </w:r>
    </w:p>
    <w:p w:rsidR="009E53E9" w:rsidRDefault="000E1877" w:rsidP="009E53E9">
      <w:r w:rsidRPr="0019304B">
        <w:t>Inferential statistics such as correlation analysis and regression analysis may be used to determine the relationship between digital taxation and e-commerce sales performance.</w:t>
      </w:r>
    </w:p>
    <w:p w:rsidR="00C53CEE" w:rsidRDefault="000E1877" w:rsidP="00C53CEE">
      <w:r w:rsidRPr="0019304B">
        <w:t xml:space="preserve">Qualitative data (from interviews and open-ended responses) will be analyzed using thematic analysis, which involves identifying recurring themes, patterns, and meanings from participants’ </w:t>
      </w:r>
      <w:proofErr w:type="spellStart"/>
      <w:r w:rsidRPr="0019304B">
        <w:t>responses.The</w:t>
      </w:r>
      <w:proofErr w:type="spellEnd"/>
      <w:r w:rsidRPr="0019304B">
        <w:t xml:space="preserve"> use of both methods ensures a richer understanding of the problem and provides more comprehensive insights</w:t>
      </w:r>
      <w:r w:rsidR="000427F6">
        <w:t>.</w:t>
      </w:r>
    </w:p>
    <w:p w:rsidR="00BE1D12" w:rsidRDefault="00C53CEE" w:rsidP="00BE1D12">
      <w:pPr>
        <w:rPr>
          <w:b/>
        </w:rPr>
      </w:pPr>
      <w:r>
        <w:lastRenderedPageBreak/>
        <w:t xml:space="preserve">                         </w:t>
      </w:r>
      <w:r w:rsidR="00234558">
        <w:t xml:space="preserve">    </w:t>
      </w:r>
      <w:r w:rsidR="00234558" w:rsidRPr="00C53CEE">
        <w:rPr>
          <w:b/>
        </w:rPr>
        <w:t>CHAPTER FOUR</w:t>
      </w:r>
    </w:p>
    <w:p w:rsidR="00BD2BE3" w:rsidRPr="00BE1D12" w:rsidRDefault="00234558" w:rsidP="00BE1D12">
      <w:pPr>
        <w:rPr>
          <w:b/>
        </w:rPr>
      </w:pPr>
      <w:r w:rsidRPr="00BE1D12">
        <w:rPr>
          <w:b/>
        </w:rPr>
        <w:t>DATA PRESENTATION, ANALYSIS, AND INTERPRETATION</w:t>
      </w:r>
    </w:p>
    <w:p w:rsidR="00BD2BE3" w:rsidRPr="00620EEC" w:rsidRDefault="00234558">
      <w:pPr>
        <w:spacing w:after="240" w:line="360" w:lineRule="auto"/>
        <w:rPr>
          <w:b/>
        </w:rPr>
      </w:pPr>
      <w:r w:rsidRPr="00620EEC">
        <w:rPr>
          <w:b/>
        </w:rPr>
        <w:t>4.0 Introduction</w:t>
      </w:r>
    </w:p>
    <w:p w:rsidR="00BD2BE3" w:rsidRDefault="00234558">
      <w:pPr>
        <w:spacing w:after="240" w:line="360" w:lineRule="auto"/>
      </w:pPr>
      <w:r>
        <w:t xml:space="preserve">This chapter presents and interprets the data gathered to investigate the impact of digital taxation on </w:t>
      </w:r>
      <w:proofErr w:type="spellStart"/>
      <w:r>
        <w:t>Desvine</w:t>
      </w:r>
      <w:proofErr w:type="spellEnd"/>
      <w:r>
        <w:t xml:space="preserve"> </w:t>
      </w:r>
      <w:proofErr w:type="spellStart"/>
      <w:r>
        <w:t>Global’s</w:t>
      </w:r>
      <w:proofErr w:type="spellEnd"/>
      <w:r>
        <w:t xml:space="preserve"> e-commerce operations. The data was collected through structured questionnaires distributed to 50 participants (30 customers and 20 staff), out of which 47 valid responses were received. Additionally, semi-structured interviews were conducted with five senior staff members. This chapter is structured around the research questions and objectives of the study, and findings are presented in a comprehensive manner for analysis and interpretation.</w:t>
      </w:r>
    </w:p>
    <w:p w:rsidR="00BD2BE3" w:rsidRDefault="00234558">
      <w:pPr>
        <w:spacing w:after="240" w:line="360" w:lineRule="auto"/>
      </w:pPr>
      <w:r>
        <w:t>4.1 Response Rate</w:t>
      </w:r>
    </w:p>
    <w:p w:rsidR="00BD2BE3" w:rsidRDefault="00234558">
      <w:pPr>
        <w:spacing w:after="240" w:line="360" w:lineRule="auto"/>
      </w:pPr>
      <w:r>
        <w:t>A response rate of 94% indicates a high level of participation, enhancing the reliability of the data. High response rates are essential in ensuring that the findings are representative of the target population. In this study, the majority of those contacted were willing to provide feedback, which supports the credibility of the analysis.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2"/>
        <w:gridCol w:w="1567"/>
        <w:gridCol w:w="1466"/>
        <w:gridCol w:w="1469"/>
      </w:tblGrid>
      <w:tr w:rsidR="00BD2BE3">
        <w:trPr>
          <w:trHeight w:val="1784"/>
        </w:trPr>
        <w:tc>
          <w:tcPr>
            <w:tcW w:w="149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Respondent category</w:t>
            </w:r>
          </w:p>
        </w:tc>
        <w:tc>
          <w:tcPr>
            <w:tcW w:w="1567"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proofErr w:type="spellStart"/>
            <w:r>
              <w:t>Questionaire</w:t>
            </w:r>
            <w:proofErr w:type="spellEnd"/>
            <w:r>
              <w:t xml:space="preserve"> distributed</w:t>
            </w:r>
          </w:p>
        </w:tc>
        <w:tc>
          <w:tcPr>
            <w:tcW w:w="1466"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Returned</w:t>
            </w:r>
          </w:p>
        </w:tc>
        <w:tc>
          <w:tcPr>
            <w:tcW w:w="1469"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Response rate (%)</w:t>
            </w:r>
          </w:p>
        </w:tc>
      </w:tr>
      <w:tr w:rsidR="00BD2BE3">
        <w:tc>
          <w:tcPr>
            <w:tcW w:w="149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Staff</w:t>
            </w:r>
          </w:p>
        </w:tc>
        <w:tc>
          <w:tcPr>
            <w:tcW w:w="1567"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30</w:t>
            </w:r>
          </w:p>
        </w:tc>
        <w:tc>
          <w:tcPr>
            <w:tcW w:w="1466"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19</w:t>
            </w:r>
          </w:p>
        </w:tc>
        <w:tc>
          <w:tcPr>
            <w:tcW w:w="1469"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95</w:t>
            </w:r>
          </w:p>
        </w:tc>
      </w:tr>
      <w:tr w:rsidR="00BD2BE3">
        <w:tc>
          <w:tcPr>
            <w:tcW w:w="149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Customers</w:t>
            </w:r>
          </w:p>
        </w:tc>
        <w:tc>
          <w:tcPr>
            <w:tcW w:w="1567"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30</w:t>
            </w:r>
          </w:p>
        </w:tc>
        <w:tc>
          <w:tcPr>
            <w:tcW w:w="1466"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28</w:t>
            </w:r>
          </w:p>
        </w:tc>
        <w:tc>
          <w:tcPr>
            <w:tcW w:w="1469"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93</w:t>
            </w:r>
          </w:p>
        </w:tc>
      </w:tr>
      <w:tr w:rsidR="00BD2BE3">
        <w:tc>
          <w:tcPr>
            <w:tcW w:w="149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Total</w:t>
            </w:r>
          </w:p>
        </w:tc>
        <w:tc>
          <w:tcPr>
            <w:tcW w:w="1567"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50</w:t>
            </w:r>
          </w:p>
        </w:tc>
        <w:tc>
          <w:tcPr>
            <w:tcW w:w="1466"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47</w:t>
            </w:r>
          </w:p>
        </w:tc>
        <w:tc>
          <w:tcPr>
            <w:tcW w:w="1469"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94</w:t>
            </w:r>
          </w:p>
        </w:tc>
      </w:tr>
    </w:tbl>
    <w:p w:rsidR="00BD2BE3" w:rsidRDefault="00A677E6">
      <w:pPr>
        <w:spacing w:after="240" w:line="360" w:lineRule="auto"/>
      </w:pPr>
      <w:r>
        <w:t>SURVEY STUDY 2025</w:t>
      </w:r>
    </w:p>
    <w:p w:rsidR="00BD2BE3" w:rsidRDefault="00234558">
      <w:pPr>
        <w:spacing w:after="240" w:line="360" w:lineRule="auto"/>
      </w:pPr>
      <w:r>
        <w:t>4.2 Demographic Characteristics of Respondents</w:t>
      </w:r>
    </w:p>
    <w:p w:rsidR="00BD2BE3" w:rsidRDefault="00234558">
      <w:pPr>
        <w:spacing w:after="240" w:line="360" w:lineRule="auto"/>
      </w:pPr>
      <w:r>
        <w:t>4.2.1 Gender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lastRenderedPageBreak/>
              <w:t>Gender</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Percentage</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Male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27</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57.4%</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Female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20</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42.6%</w:t>
            </w:r>
          </w:p>
        </w:tc>
      </w:tr>
    </w:tbl>
    <w:p w:rsidR="00BD2BE3" w:rsidRDefault="000C7DFD">
      <w:pPr>
        <w:spacing w:after="240" w:line="360" w:lineRule="auto"/>
      </w:pPr>
      <w:r>
        <w:t>SURVEY STUDY 2025</w:t>
      </w:r>
    </w:p>
    <w:p w:rsidR="00BD2BE3" w:rsidRDefault="00BD2BE3">
      <w:pPr>
        <w:spacing w:after="240" w:line="360" w:lineRule="auto"/>
      </w:pPr>
    </w:p>
    <w:p w:rsidR="00BD2BE3" w:rsidRDefault="00234558">
      <w:pPr>
        <w:spacing w:after="240" w:line="360" w:lineRule="auto"/>
      </w:pPr>
      <w:r>
        <w:t>4.2.2 Age Range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1"/>
        <w:gridCol w:w="1322"/>
        <w:gridCol w:w="2022"/>
      </w:tblGrid>
      <w:tr w:rsidR="00BD2BE3">
        <w:tc>
          <w:tcPr>
            <w:tcW w:w="128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Age group</w:t>
            </w:r>
          </w:p>
        </w:tc>
        <w:tc>
          <w:tcPr>
            <w:tcW w:w="13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c>
          <w:tcPr>
            <w:tcW w:w="20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Percentage</w:t>
            </w:r>
          </w:p>
        </w:tc>
      </w:tr>
      <w:tr w:rsidR="00BD2BE3">
        <w:trPr>
          <w:trHeight w:val="656"/>
        </w:trPr>
        <w:tc>
          <w:tcPr>
            <w:tcW w:w="128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18-25</w:t>
            </w:r>
          </w:p>
        </w:tc>
        <w:tc>
          <w:tcPr>
            <w:tcW w:w="13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10</w:t>
            </w:r>
          </w:p>
        </w:tc>
        <w:tc>
          <w:tcPr>
            <w:tcW w:w="20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21.3%</w:t>
            </w:r>
          </w:p>
        </w:tc>
      </w:tr>
      <w:tr w:rsidR="00BD2BE3">
        <w:tc>
          <w:tcPr>
            <w:tcW w:w="128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26-35</w:t>
            </w:r>
          </w:p>
        </w:tc>
        <w:tc>
          <w:tcPr>
            <w:tcW w:w="13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23</w:t>
            </w:r>
          </w:p>
        </w:tc>
        <w:tc>
          <w:tcPr>
            <w:tcW w:w="20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48.9%</w:t>
            </w:r>
          </w:p>
        </w:tc>
      </w:tr>
      <w:tr w:rsidR="00BD2BE3">
        <w:tc>
          <w:tcPr>
            <w:tcW w:w="128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36-45</w:t>
            </w:r>
          </w:p>
        </w:tc>
        <w:tc>
          <w:tcPr>
            <w:tcW w:w="13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w:t>
            </w:r>
          </w:p>
        </w:tc>
        <w:tc>
          <w:tcPr>
            <w:tcW w:w="20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19.1%</w:t>
            </w:r>
          </w:p>
        </w:tc>
      </w:tr>
      <w:tr w:rsidR="00BD2BE3">
        <w:tc>
          <w:tcPr>
            <w:tcW w:w="128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45+</w:t>
            </w:r>
          </w:p>
        </w:tc>
        <w:tc>
          <w:tcPr>
            <w:tcW w:w="13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5</w:t>
            </w:r>
          </w:p>
        </w:tc>
        <w:tc>
          <w:tcPr>
            <w:tcW w:w="2022"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10.6%</w:t>
            </w:r>
          </w:p>
        </w:tc>
      </w:tr>
    </w:tbl>
    <w:p w:rsidR="00BD2BE3" w:rsidRDefault="000C7DFD">
      <w:pPr>
        <w:spacing w:after="240" w:line="360" w:lineRule="auto"/>
      </w:pPr>
      <w:r>
        <w:t>SURVEY</w:t>
      </w:r>
      <w:r w:rsidR="003678D2">
        <w:t xml:space="preserve"> STUDY 2025</w:t>
      </w:r>
    </w:p>
    <w:p w:rsidR="00BD2BE3" w:rsidRDefault="00234558">
      <w:pPr>
        <w:spacing w:after="240" w:line="360" w:lineRule="auto"/>
      </w:pPr>
      <w:r>
        <w:t>4.2.3 Role in Company or Customer Type: Among the staff respondents, departments were represented as follows: Finance – 6, Operations – 4, Marketing – 5, and Management – 4. Customer respondents included 18 regular buyers and 10 occasional buyers. This diversity in role and usage pattern provided a holistic view of the impact of digital taxation from various operational and consumer standpoints.</w:t>
      </w:r>
    </w:p>
    <w:p w:rsidR="00BD2BE3" w:rsidRDefault="00234558">
      <w:pPr>
        <w:spacing w:after="240" w:line="360" w:lineRule="auto"/>
      </w:pPr>
      <w:r>
        <w:t>4.3 Analysis Based on Research Questions</w:t>
      </w:r>
    </w:p>
    <w:p w:rsidR="00BD2BE3" w:rsidRDefault="00234558">
      <w:pPr>
        <w:spacing w:after="240" w:line="360" w:lineRule="auto"/>
      </w:pPr>
      <w:r>
        <w:t xml:space="preserve">4.3.1 To what Extent Does </w:t>
      </w:r>
      <w:proofErr w:type="spellStart"/>
      <w:r>
        <w:t>Ddigital</w:t>
      </w:r>
      <w:proofErr w:type="spellEnd"/>
      <w:r>
        <w:t xml:space="preserve"> Taxation influence Devine's </w:t>
      </w:r>
      <w:proofErr w:type="spellStart"/>
      <w:r>
        <w:t>Global's</w:t>
      </w:r>
      <w:proofErr w:type="spellEnd"/>
      <w:r>
        <w:t xml:space="preserve"> E-commerce sale's?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gridCol w:w="1771"/>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Response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Percentage</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lastRenderedPageBreak/>
              <w:t>Strongly 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20</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42.6%</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15</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31.9%</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Neutral</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5</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10.6%</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Disagree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4</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8.5</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Strongly 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6.4%</w:t>
            </w: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c>
          <w:tcPr>
            <w:tcW w:w="1771" w:type="dxa"/>
            <w:tcBorders>
              <w:top w:val="single" w:sz="4" w:space="0" w:color="auto"/>
              <w:left w:val="single" w:sz="4" w:space="0" w:color="auto"/>
              <w:bottom w:val="single" w:sz="4" w:space="0" w:color="auto"/>
              <w:right w:val="single" w:sz="4" w:space="0" w:color="auto"/>
            </w:tcBorders>
          </w:tcPr>
          <w:p w:rsidR="00BD2BE3" w:rsidRDefault="00BD2BE3">
            <w:pPr>
              <w:spacing w:after="240" w:line="360" w:lineRule="auto"/>
            </w:pPr>
          </w:p>
        </w:tc>
      </w:tr>
    </w:tbl>
    <w:p w:rsidR="00BD2BE3" w:rsidRDefault="003678D2">
      <w:pPr>
        <w:spacing w:after="240" w:line="360" w:lineRule="auto"/>
      </w:pPr>
      <w:r>
        <w:t>SURVEY STUDY 2025</w:t>
      </w:r>
    </w:p>
    <w:p w:rsidR="00BD2BE3" w:rsidRDefault="00234558">
      <w:pPr>
        <w:spacing w:after="240" w:line="360" w:lineRule="auto"/>
      </w:pPr>
      <w:proofErr w:type="spellStart"/>
      <w:r>
        <w:t>Interpretation:A</w:t>
      </w:r>
      <w:proofErr w:type="spellEnd"/>
      <w:r>
        <w:t xml:space="preserve"> combined 74.5% of a participants believe that digital taxation significantly reduces </w:t>
      </w:r>
      <w:proofErr w:type="spellStart"/>
      <w:r>
        <w:t>sales.staff</w:t>
      </w:r>
      <w:proofErr w:type="spellEnd"/>
      <w:r>
        <w:t xml:space="preserve"> confirmed lower international </w:t>
      </w:r>
      <w:proofErr w:type="spellStart"/>
      <w:r>
        <w:t>convertions</w:t>
      </w:r>
      <w:proofErr w:type="spellEnd"/>
      <w:r>
        <w:t xml:space="preserve"> in market where new tax law have recently been enacted.</w:t>
      </w:r>
    </w:p>
    <w:p w:rsidR="00BD2BE3" w:rsidRDefault="00234558">
      <w:pPr>
        <w:spacing w:after="240" w:line="360" w:lineRule="auto"/>
      </w:pPr>
      <w:r>
        <w:t>4.3.2 How Does Digital taxation affect consumer behavior?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Response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Percentage</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Yes</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38</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80.9%</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No</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19.1%</w:t>
            </w:r>
          </w:p>
        </w:tc>
      </w:tr>
    </w:tbl>
    <w:p w:rsidR="0054521F" w:rsidRDefault="0054521F">
      <w:pPr>
        <w:spacing w:after="240" w:line="360" w:lineRule="auto"/>
      </w:pPr>
      <w:r>
        <w:t>SURVEY STUDY 2025</w:t>
      </w:r>
    </w:p>
    <w:p w:rsidR="00BD2BE3" w:rsidRDefault="00234558">
      <w:pPr>
        <w:spacing w:after="240" w:line="360" w:lineRule="auto"/>
      </w:pPr>
      <w:r>
        <w:t xml:space="preserve">Interpretation:80.9% of customers indicated  that taxes negatively </w:t>
      </w:r>
      <w:proofErr w:type="spellStart"/>
      <w:r>
        <w:t>infuence</w:t>
      </w:r>
      <w:proofErr w:type="spellEnd"/>
      <w:r>
        <w:t xml:space="preserve"> their purchasing </w:t>
      </w:r>
      <w:proofErr w:type="spellStart"/>
      <w:r>
        <w:t>decisions.Interview</w:t>
      </w:r>
      <w:proofErr w:type="spellEnd"/>
      <w:r>
        <w:t xml:space="preserve"> data shows customers are more likely abandon cart when tax is added at the final checkout stage.</w:t>
      </w:r>
    </w:p>
    <w:p w:rsidR="00BD2BE3" w:rsidRDefault="00234558">
      <w:pPr>
        <w:spacing w:after="240" w:line="360" w:lineRule="auto"/>
      </w:pPr>
      <w:r>
        <w:t xml:space="preserve">4.3.3 What operational challenges does </w:t>
      </w:r>
      <w:proofErr w:type="spellStart"/>
      <w:r>
        <w:t>Desvine</w:t>
      </w:r>
      <w:proofErr w:type="spellEnd"/>
      <w:r>
        <w:t xml:space="preserve"> Global Face?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Challenge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Complex multi-country compliance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14</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lastRenderedPageBreak/>
              <w:t>High cost of compliance software/tools</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11</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Lack of in-house tax expertise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Risk of double taxation</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7</w:t>
            </w:r>
          </w:p>
        </w:tc>
      </w:tr>
    </w:tbl>
    <w:p w:rsidR="00E2537E" w:rsidRDefault="00E2537E">
      <w:pPr>
        <w:spacing w:after="240" w:line="360" w:lineRule="auto"/>
      </w:pPr>
      <w:r>
        <w:t>SURVEY STUDY 2025</w:t>
      </w:r>
    </w:p>
    <w:p w:rsidR="00BD2BE3" w:rsidRDefault="00234558">
      <w:pPr>
        <w:spacing w:after="240" w:line="360" w:lineRule="auto"/>
      </w:pPr>
      <w:proofErr w:type="spellStart"/>
      <w:r>
        <w:t>Interpretation:the</w:t>
      </w:r>
      <w:proofErr w:type="spellEnd"/>
      <w:r>
        <w:t xml:space="preserve"> firm struggle with navigating inconsistent rule across different </w:t>
      </w:r>
      <w:proofErr w:type="spellStart"/>
      <w:r>
        <w:t>jurisdiction.These</w:t>
      </w:r>
      <w:proofErr w:type="spellEnd"/>
      <w:r>
        <w:t xml:space="preserve"> regulatory discrepancies increase financial and operational strain.</w:t>
      </w:r>
    </w:p>
    <w:p w:rsidR="00BD2BE3" w:rsidRDefault="00234558">
      <w:pPr>
        <w:spacing w:after="240" w:line="360" w:lineRule="auto"/>
      </w:pPr>
      <w:r>
        <w:t xml:space="preserve">4.3.4 What strategies  can </w:t>
      </w:r>
      <w:proofErr w:type="spellStart"/>
      <w:r>
        <w:t>Desvine</w:t>
      </w:r>
      <w:proofErr w:type="spellEnd"/>
      <w:r>
        <w:t xml:space="preserve"> Global implement?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 xml:space="preserve">Proposed strategy </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Frequency</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 xml:space="preserve">Invest in automated tax system </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18</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Reduce market exposure in high tax zone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12</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Increase engagement with policy makers</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9</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 xml:space="preserve">Provide staff training in tax </w:t>
            </w:r>
            <w:proofErr w:type="spellStart"/>
            <w:r>
              <w:lastRenderedPageBreak/>
              <w:t>comoliance</w:t>
            </w:r>
            <w:proofErr w:type="spellEnd"/>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lastRenderedPageBreak/>
              <w:t>8</w:t>
            </w:r>
          </w:p>
        </w:tc>
      </w:tr>
    </w:tbl>
    <w:p w:rsidR="00BD2BE3" w:rsidRDefault="00043E8C">
      <w:pPr>
        <w:spacing w:after="240" w:line="360" w:lineRule="auto"/>
      </w:pPr>
      <w:r>
        <w:t>SURVEY STUDY 2025</w:t>
      </w:r>
    </w:p>
    <w:p w:rsidR="00BD2BE3" w:rsidRDefault="00234558">
      <w:pPr>
        <w:spacing w:after="240" w:line="360" w:lineRule="auto"/>
      </w:pPr>
      <w:r>
        <w:t>Interpretation: participants agree that strategic realignment-focusing on tax- efficient region and enhancing internal capacity -is essential.</w:t>
      </w:r>
    </w:p>
    <w:p w:rsidR="00BD2BE3" w:rsidRDefault="00234558">
      <w:pPr>
        <w:spacing w:after="240" w:line="360" w:lineRule="auto"/>
      </w:pPr>
      <w:r>
        <w:t>4.4 Summary of Interview Insights</w:t>
      </w:r>
    </w:p>
    <w:p w:rsidR="00BD2BE3" w:rsidRDefault="00234558">
      <w:pPr>
        <w:spacing w:after="240" w:line="360" w:lineRule="auto"/>
      </w:pPr>
      <w:r>
        <w:t>Key insights from the interviews with senior staff members underscored that digital taxation has contributed to a 12% decline in online sales over the past fiscal year. The cost of implementing tax software has risen, and more staff time is now allocated to ensure compliance with tax obligations, delaying some business expansion efforts.</w:t>
      </w:r>
    </w:p>
    <w:p w:rsidR="00BD2BE3" w:rsidRDefault="00234558">
      <w:pPr>
        <w:spacing w:after="240" w:line="360" w:lineRule="auto"/>
      </w:pPr>
      <w:r>
        <w:t xml:space="preserve">4.5 Cross </w:t>
      </w:r>
      <w:proofErr w:type="spellStart"/>
      <w:r>
        <w:t>analysis:Role</w:t>
      </w:r>
      <w:proofErr w:type="spellEnd"/>
      <w:r>
        <w:t xml:space="preserve"> vs .</w:t>
      </w:r>
      <w:proofErr w:type="spellStart"/>
      <w:r>
        <w:t>impsct</w:t>
      </w:r>
      <w:proofErr w:type="spellEnd"/>
      <w:r>
        <w:t xml:space="preserve"> perception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1"/>
        <w:gridCol w:w="1771"/>
        <w:gridCol w:w="1771"/>
        <w:gridCol w:w="1771"/>
      </w:tblGrid>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Staff role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Strongly 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Agree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 xml:space="preserve">Neutral </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Finance</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6</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0</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0</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Operations</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0</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Marketing</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0</w:t>
            </w:r>
          </w:p>
        </w:tc>
      </w:tr>
      <w:tr w:rsidR="00BD2BE3">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Management</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2</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3</w:t>
            </w:r>
          </w:p>
        </w:tc>
        <w:tc>
          <w:tcPr>
            <w:tcW w:w="1771" w:type="dxa"/>
            <w:tcBorders>
              <w:top w:val="single" w:sz="4" w:space="0" w:color="auto"/>
              <w:left w:val="single" w:sz="4" w:space="0" w:color="auto"/>
              <w:bottom w:val="single" w:sz="4" w:space="0" w:color="auto"/>
              <w:right w:val="single" w:sz="4" w:space="0" w:color="auto"/>
            </w:tcBorders>
          </w:tcPr>
          <w:p w:rsidR="00BD2BE3" w:rsidRDefault="00234558">
            <w:pPr>
              <w:spacing w:after="240" w:line="360" w:lineRule="auto"/>
            </w:pPr>
            <w:r>
              <w:t>1</w:t>
            </w:r>
          </w:p>
        </w:tc>
      </w:tr>
    </w:tbl>
    <w:p w:rsidR="00145AF1" w:rsidRDefault="00E35B9F">
      <w:pPr>
        <w:spacing w:after="240" w:line="360" w:lineRule="auto"/>
      </w:pPr>
      <w:r>
        <w:t>SURVEY STUDY 2025</w:t>
      </w:r>
    </w:p>
    <w:p w:rsidR="00BD2BE3" w:rsidRDefault="00234558">
      <w:pPr>
        <w:spacing w:after="240" w:line="360" w:lineRule="auto"/>
      </w:pPr>
      <w:r>
        <w:t>Cross-Analysis: Role vs. Impact Perception</w:t>
      </w:r>
    </w:p>
    <w:p w:rsidR="00BD2BE3" w:rsidRDefault="00234558">
      <w:pPr>
        <w:spacing w:after="240" w:line="360" w:lineRule="auto"/>
      </w:pPr>
      <w:r>
        <w:t xml:space="preserve">A comparative analysis based on respondent roles revealed that finance staff unanimously viewed digital taxation as a critical operational challenge. Marketing and operations teams also </w:t>
      </w:r>
      <w:proofErr w:type="spellStart"/>
      <w:r>
        <w:t>alostcknowledged</w:t>
      </w:r>
      <w:proofErr w:type="spellEnd"/>
      <w:r>
        <w:t xml:space="preserve"> the adverse impact, particularly in terms of  customers and longer conversion cycles. Management shared a broader strategic concern, emphasizing how taxation reduces the firm’s competitive edge in digital marketplaces.</w:t>
      </w:r>
    </w:p>
    <w:p w:rsidR="00BD2BE3" w:rsidRDefault="00234558">
      <w:pPr>
        <w:spacing w:after="240" w:line="360" w:lineRule="auto"/>
      </w:pPr>
      <w:r>
        <w:t>4.6 Comparative Market Analysis</w:t>
      </w:r>
    </w:p>
    <w:p w:rsidR="00BD2BE3" w:rsidRDefault="00234558">
      <w:pPr>
        <w:spacing w:after="240" w:line="360" w:lineRule="auto"/>
      </w:pPr>
      <w:proofErr w:type="spellStart"/>
      <w:r>
        <w:lastRenderedPageBreak/>
        <w:t>Desvine</w:t>
      </w:r>
      <w:proofErr w:type="spellEnd"/>
      <w:r>
        <w:t xml:space="preserve"> Global operates in multiple markets, and comparative analysis revealed that countries with straightforward and harmonized tax systems demonstrated higher performance in sales and customer retention. Conversely, jurisdictions with ambiguous or rapidly changing digital tax laws experienced reduced activity and customer dissatisfaction.</w:t>
      </w:r>
    </w:p>
    <w:p w:rsidR="00BD2BE3" w:rsidRDefault="00234558">
      <w:pPr>
        <w:spacing w:after="240" w:line="360" w:lineRule="auto"/>
      </w:pPr>
      <w:r>
        <w:t>4.7 Observed Operational Adjustments</w:t>
      </w:r>
    </w:p>
    <w:p w:rsidR="00BD2BE3" w:rsidRDefault="00234558">
      <w:pPr>
        <w:spacing w:after="240" w:line="360" w:lineRule="auto"/>
      </w:pPr>
      <w:r>
        <w:t xml:space="preserve">To manage digital taxation requirements, </w:t>
      </w:r>
      <w:proofErr w:type="spellStart"/>
      <w:r>
        <w:t>Desvine</w:t>
      </w:r>
      <w:proofErr w:type="spellEnd"/>
      <w:r>
        <w:t xml:space="preserve"> Global implemented enterprise-level tax automation systems, reassessed its regional pricing strategies, and developed tailored training for sales staff to handle customer inquiries related to tax. These changes aimed to enhance compliance and improve the customer experience.</w:t>
      </w:r>
    </w:p>
    <w:p w:rsidR="00BD2BE3" w:rsidRDefault="00234558">
      <w:pPr>
        <w:spacing w:after="240" w:line="360" w:lineRule="auto"/>
      </w:pPr>
      <w:r>
        <w:t>4.8 Consumer Behavior Trends</w:t>
      </w:r>
    </w:p>
    <w:p w:rsidR="00BD2BE3" w:rsidRDefault="00234558">
      <w:pPr>
        <w:spacing w:after="240" w:line="360" w:lineRule="auto"/>
      </w:pPr>
      <w:r>
        <w:t>Notable behavioral trends included a high incidence of cart abandonment when taxes were displayed at checkout, especially among price-sensitive consumers. Many customers also expressed a preference for platforms with transparent, tax-inclusive pricing models. These insights point to the growing need for clearer communication and education around digital taxation among users.</w:t>
      </w:r>
    </w:p>
    <w:p w:rsidR="00BD2BE3" w:rsidRDefault="00234558">
      <w:pPr>
        <w:spacing w:after="240" w:line="360" w:lineRule="auto"/>
      </w:pPr>
      <w:r>
        <w:t>4.9 Staff Views on Compliance Burden</w:t>
      </w:r>
    </w:p>
    <w:p w:rsidR="00BD2BE3" w:rsidRDefault="00234558">
      <w:pPr>
        <w:spacing w:after="240" w:line="360" w:lineRule="auto"/>
      </w:pPr>
      <w:r>
        <w:t>Feedback from staff emphasized the growing burden of compliance. The finance team, in particular, highlighted the time-consuming nature of ensuring up-to-date compliance with multiple tax jurisdictions, managing tax audits, and reconciling online payments with tax obligations. These challenges are exacerbated by frequent policy updates.</w:t>
      </w:r>
    </w:p>
    <w:p w:rsidR="00BD2BE3" w:rsidRDefault="00234558">
      <w:pPr>
        <w:spacing w:after="240" w:line="360" w:lineRule="auto"/>
      </w:pPr>
      <w:r>
        <w:t>4.10 Lessons and Strategic Insights</w:t>
      </w:r>
    </w:p>
    <w:p w:rsidR="00BD2BE3" w:rsidRDefault="00234558">
      <w:pPr>
        <w:spacing w:after="240" w:line="360" w:lineRule="auto"/>
      </w:pPr>
      <w:r>
        <w:t xml:space="preserve">The data suggest that early investment in tax technology, proactive staff training, and continuous monitoring of global tax policies are essential to mitigating the negative effects of digital taxation. </w:t>
      </w:r>
      <w:proofErr w:type="spellStart"/>
      <w:r>
        <w:t>Desvine</w:t>
      </w:r>
      <w:proofErr w:type="spellEnd"/>
      <w:r>
        <w:t xml:space="preserve"> Global also identified the importance of lobbying for simplified tax laws through trade associations and government partnerships.</w:t>
      </w:r>
    </w:p>
    <w:p w:rsidR="00BD2BE3" w:rsidRDefault="00234558">
      <w:pPr>
        <w:spacing w:after="240" w:line="360" w:lineRule="auto"/>
      </w:pPr>
      <w:r>
        <w:t>4.11 Summary of Findings</w:t>
      </w:r>
    </w:p>
    <w:p w:rsidR="00BD2BE3" w:rsidRDefault="00234558">
      <w:pPr>
        <w:spacing w:after="240" w:line="360" w:lineRule="auto"/>
      </w:pPr>
      <w:r>
        <w:lastRenderedPageBreak/>
        <w:t xml:space="preserve">In conclusion, the data analysis reveals that digital taxation significantly influences both the internal operations and external customer engagement of </w:t>
      </w:r>
      <w:proofErr w:type="spellStart"/>
      <w:r>
        <w:t>Desvine</w:t>
      </w:r>
      <w:proofErr w:type="spellEnd"/>
      <w:r>
        <w:t xml:space="preserve"> Global. It has led to a measurable drop in sales, changed consumer purchasing patterns, and introduced new administrative burdens. While the company has adopted several strategic responses, the need for further policy clarity and technological innovation remains crucial.</w:t>
      </w:r>
    </w:p>
    <w:p w:rsidR="00B318C1" w:rsidRDefault="00B318C1" w:rsidP="00B318C1">
      <w:pPr>
        <w:spacing w:after="240" w:line="360" w:lineRule="auto"/>
      </w:pPr>
    </w:p>
    <w:p w:rsidR="00B318C1" w:rsidRDefault="00B318C1" w:rsidP="00B318C1">
      <w:pPr>
        <w:spacing w:after="240" w:line="360" w:lineRule="auto"/>
      </w:pPr>
    </w:p>
    <w:p w:rsidR="00B318C1" w:rsidRPr="00A77DA8" w:rsidRDefault="00B318C1" w:rsidP="00B318C1">
      <w:pPr>
        <w:spacing w:after="240" w:line="360" w:lineRule="auto"/>
        <w:rPr>
          <w:b/>
        </w:rPr>
      </w:pPr>
      <w:r w:rsidRPr="00A77DA8">
        <w:rPr>
          <w:b/>
        </w:rPr>
        <w:t>CHAPTER FIVE</w:t>
      </w:r>
    </w:p>
    <w:p w:rsidR="00B318C1" w:rsidRPr="00A77DA8" w:rsidRDefault="00B318C1" w:rsidP="00B318C1">
      <w:pPr>
        <w:spacing w:after="240" w:line="360" w:lineRule="auto"/>
        <w:rPr>
          <w:b/>
        </w:rPr>
      </w:pPr>
      <w:r w:rsidRPr="00A77DA8">
        <w:rPr>
          <w:b/>
        </w:rPr>
        <w:t>SUMMARY, CONCLUSION, AND RECOMMENDATIONS</w:t>
      </w:r>
    </w:p>
    <w:p w:rsidR="00B318C1" w:rsidRPr="00A77DA8" w:rsidRDefault="00B318C1" w:rsidP="00B318C1">
      <w:pPr>
        <w:spacing w:after="240" w:line="360" w:lineRule="auto"/>
        <w:rPr>
          <w:b/>
        </w:rPr>
      </w:pPr>
    </w:p>
    <w:p w:rsidR="00B318C1" w:rsidRPr="00A77DA8" w:rsidRDefault="00B318C1" w:rsidP="00B318C1">
      <w:pPr>
        <w:spacing w:after="240" w:line="360" w:lineRule="auto"/>
        <w:rPr>
          <w:b/>
        </w:rPr>
      </w:pPr>
      <w:r w:rsidRPr="00A77DA8">
        <w:rPr>
          <w:b/>
        </w:rPr>
        <w:t>5.0 Introduction</w:t>
      </w:r>
    </w:p>
    <w:p w:rsidR="00B318C1" w:rsidRDefault="00B318C1" w:rsidP="00B318C1">
      <w:pPr>
        <w:spacing w:after="240" w:line="360" w:lineRule="auto"/>
      </w:pPr>
      <w:r>
        <w:t xml:space="preserve">This chapter provides a comprehensive summary of the study’s findings, draws conclusions based on those findings, and offers well-grounded recommendations for </w:t>
      </w:r>
      <w:proofErr w:type="spellStart"/>
      <w:r>
        <w:t>Desvine</w:t>
      </w:r>
      <w:proofErr w:type="spellEnd"/>
      <w:r>
        <w:t xml:space="preserve"> Global and similar firms dealing with the realities of digital taxation. Furthermore, it presents the study’s contributions to academic knowledge and outlines areas that warrant future research. The intention is to present actionable insights that not only answer the research questions but also support business sustainability in the evolving digital economy.</w:t>
      </w:r>
    </w:p>
    <w:p w:rsidR="00B318C1" w:rsidRDefault="00B318C1" w:rsidP="00B318C1">
      <w:pPr>
        <w:spacing w:after="240" w:line="360" w:lineRule="auto"/>
      </w:pPr>
    </w:p>
    <w:p w:rsidR="00B318C1" w:rsidRDefault="00B318C1" w:rsidP="00B318C1">
      <w:pPr>
        <w:spacing w:after="240" w:line="360" w:lineRule="auto"/>
      </w:pPr>
    </w:p>
    <w:p w:rsidR="00B318C1" w:rsidRDefault="00B318C1" w:rsidP="00B318C1">
      <w:pPr>
        <w:spacing w:after="240" w:line="360" w:lineRule="auto"/>
      </w:pPr>
      <w:r>
        <w:t>---</w:t>
      </w:r>
    </w:p>
    <w:p w:rsidR="00B318C1" w:rsidRDefault="00B318C1" w:rsidP="00B318C1">
      <w:pPr>
        <w:spacing w:after="240" w:line="360" w:lineRule="auto"/>
      </w:pPr>
    </w:p>
    <w:p w:rsidR="00B318C1" w:rsidRPr="00B05951" w:rsidRDefault="00B318C1" w:rsidP="00B318C1">
      <w:pPr>
        <w:spacing w:after="240" w:line="360" w:lineRule="auto"/>
        <w:rPr>
          <w:b/>
        </w:rPr>
      </w:pPr>
      <w:r w:rsidRPr="00B05951">
        <w:rPr>
          <w:b/>
        </w:rPr>
        <w:t>5.1 Summary of the Study</w:t>
      </w:r>
    </w:p>
    <w:p w:rsidR="00B318C1" w:rsidRDefault="00B318C1" w:rsidP="00B318C1">
      <w:pPr>
        <w:spacing w:after="240" w:line="360" w:lineRule="auto"/>
      </w:pPr>
      <w:r>
        <w:t xml:space="preserve">The central focus of this study was to investigate the impact of digital taxation on e-commerce sales and operations, using </w:t>
      </w:r>
      <w:proofErr w:type="spellStart"/>
      <w:r>
        <w:t>Desvine</w:t>
      </w:r>
      <w:proofErr w:type="spellEnd"/>
      <w:r>
        <w:t xml:space="preserve"> Global as a case study. Digital taxation, </w:t>
      </w:r>
      <w:r>
        <w:lastRenderedPageBreak/>
        <w:t>including digital services tax (DST) and value-added tax (VAT) on digital goods and services, is a rapidly evolving regulatory framework implemented by many countries to ensure fair revenue from the digital economy.</w:t>
      </w:r>
    </w:p>
    <w:p w:rsidR="00B318C1" w:rsidRDefault="00B318C1" w:rsidP="00B318C1">
      <w:pPr>
        <w:spacing w:after="240" w:line="360" w:lineRule="auto"/>
      </w:pPr>
      <w:r>
        <w:t>The study was premised on the understanding that while digital taxes are necessary for modern economic governance, they can adversely affect e-commerce platforms, particularly small and medium-sized enterprises (SMEs) operating across multiple jurisdictions.</w:t>
      </w:r>
    </w:p>
    <w:p w:rsidR="00B318C1" w:rsidRDefault="00B318C1" w:rsidP="00B318C1">
      <w:pPr>
        <w:spacing w:after="240" w:line="360" w:lineRule="auto"/>
      </w:pPr>
      <w:r>
        <w:t xml:space="preserve">A mixed-methods approach was used, involving questionnaires and semi-structured interviews with staff and customers of </w:t>
      </w:r>
      <w:proofErr w:type="spellStart"/>
      <w:r>
        <w:t>Desvine</w:t>
      </w:r>
      <w:proofErr w:type="spellEnd"/>
      <w:r>
        <w:t xml:space="preserve"> Global. A total of 47 valid responses were received and analyzed using descriptive and thematic methods.</w:t>
      </w:r>
    </w:p>
    <w:p w:rsidR="00B318C1" w:rsidRDefault="00B318C1" w:rsidP="00B318C1">
      <w:pPr>
        <w:spacing w:after="240" w:line="360" w:lineRule="auto"/>
      </w:pPr>
    </w:p>
    <w:p w:rsidR="00B318C1" w:rsidRDefault="00B318C1" w:rsidP="00B318C1">
      <w:pPr>
        <w:spacing w:after="240" w:line="360" w:lineRule="auto"/>
      </w:pPr>
    </w:p>
    <w:p w:rsidR="00B318C1" w:rsidRDefault="00B318C1" w:rsidP="00B318C1">
      <w:pPr>
        <w:spacing w:after="240" w:line="360" w:lineRule="auto"/>
      </w:pPr>
      <w:r>
        <w:t>---</w:t>
      </w:r>
    </w:p>
    <w:p w:rsidR="00B318C1" w:rsidRDefault="00B318C1" w:rsidP="00B318C1">
      <w:pPr>
        <w:spacing w:after="240" w:line="360" w:lineRule="auto"/>
      </w:pPr>
    </w:p>
    <w:p w:rsidR="00B318C1" w:rsidRPr="00B05951" w:rsidRDefault="00B318C1" w:rsidP="00B318C1">
      <w:pPr>
        <w:spacing w:after="240" w:line="360" w:lineRule="auto"/>
        <w:rPr>
          <w:b/>
        </w:rPr>
      </w:pPr>
      <w:r w:rsidRPr="00B05951">
        <w:rPr>
          <w:b/>
        </w:rPr>
        <w:t>5.2 Summary of Key Findings</w:t>
      </w:r>
    </w:p>
    <w:p w:rsidR="00B318C1" w:rsidRDefault="00B318C1" w:rsidP="00B318C1">
      <w:pPr>
        <w:spacing w:after="240" w:line="360" w:lineRule="auto"/>
      </w:pPr>
      <w:r>
        <w:t>The analysis of responses and interviews led to the following key findings:</w:t>
      </w:r>
    </w:p>
    <w:p w:rsidR="000D69A1" w:rsidRDefault="00B318C1" w:rsidP="00B318C1">
      <w:pPr>
        <w:spacing w:after="240" w:line="360" w:lineRule="auto"/>
      </w:pPr>
      <w:r>
        <w:t xml:space="preserve">Sales Decline: Over 74% of respondents agreed that digital taxation has directly reduced </w:t>
      </w:r>
      <w:proofErr w:type="spellStart"/>
      <w:r>
        <w:t>Desvine</w:t>
      </w:r>
      <w:proofErr w:type="spellEnd"/>
      <w:r>
        <w:t xml:space="preserve"> </w:t>
      </w:r>
      <w:proofErr w:type="spellStart"/>
      <w:r>
        <w:t>Global’s</w:t>
      </w:r>
      <w:proofErr w:type="spellEnd"/>
      <w:r>
        <w:t xml:space="preserve"> online sales. This was attributed to customer attrition, price sensitivity, and reduced cross-border transactions.</w:t>
      </w:r>
    </w:p>
    <w:p w:rsidR="00B318C1" w:rsidRDefault="00B318C1" w:rsidP="00B318C1">
      <w:pPr>
        <w:spacing w:after="240" w:line="360" w:lineRule="auto"/>
      </w:pPr>
      <w:r>
        <w:t>Consumer Behavior Impact: 81% of respondents indicated that digital taxation has changed their purchasing habits. Customers often abandon their carts when taxes are added at checkout, demonstrating price elasticity and the importance of transparent pricing.</w:t>
      </w:r>
    </w:p>
    <w:p w:rsidR="00B318C1" w:rsidRDefault="00B318C1" w:rsidP="00B318C1">
      <w:pPr>
        <w:spacing w:after="240" w:line="360" w:lineRule="auto"/>
      </w:pPr>
      <w:r>
        <w:t>Compliance Challenges: The firm faces substantial difficulties in adhering to varied tax regulations in multiple countries. These include legal complexity, high costs of software and consultants, and the potential for double taxation.</w:t>
      </w:r>
    </w:p>
    <w:p w:rsidR="00B318C1" w:rsidRDefault="00B318C1" w:rsidP="00B318C1">
      <w:pPr>
        <w:spacing w:after="240" w:line="360" w:lineRule="auto"/>
      </w:pPr>
      <w:r>
        <w:lastRenderedPageBreak/>
        <w:t>Strategic Gaps: The company has taken some initial steps, such as subscribing to compliance tools and adjusting prices. However, staff and customers agree that more strategic planning is needed, particularly in market selection and customer education.</w:t>
      </w:r>
    </w:p>
    <w:p w:rsidR="00B318C1" w:rsidRPr="001A5FBF" w:rsidRDefault="00B318C1" w:rsidP="00B318C1">
      <w:pPr>
        <w:spacing w:after="240" w:line="360" w:lineRule="auto"/>
        <w:rPr>
          <w:b/>
        </w:rPr>
      </w:pPr>
      <w:r w:rsidRPr="001A5FBF">
        <w:rPr>
          <w:b/>
        </w:rPr>
        <w:t>5.3 Conclusion</w:t>
      </w:r>
    </w:p>
    <w:p w:rsidR="00B318C1" w:rsidRDefault="00B318C1" w:rsidP="00B318C1">
      <w:pPr>
        <w:spacing w:after="240" w:line="360" w:lineRule="auto"/>
      </w:pPr>
      <w:r>
        <w:t xml:space="preserve">The study concludes that digital taxation, though a logical evolution in global revenue collection, has created tangible and often severe complications for digitally driven businesses like </w:t>
      </w:r>
      <w:proofErr w:type="spellStart"/>
      <w:r>
        <w:t>Desvine</w:t>
      </w:r>
      <w:proofErr w:type="spellEnd"/>
      <w:r>
        <w:t xml:space="preserve"> Global. The current tax landscape introduces a new layer of complexity that SMEs are often ill-equipped to handle.</w:t>
      </w:r>
    </w:p>
    <w:p w:rsidR="00B318C1" w:rsidRDefault="00B318C1" w:rsidP="00B318C1">
      <w:pPr>
        <w:spacing w:after="240" w:line="360" w:lineRule="auto"/>
      </w:pPr>
      <w:proofErr w:type="spellStart"/>
      <w:r>
        <w:t>Desvine</w:t>
      </w:r>
      <w:proofErr w:type="spellEnd"/>
      <w:r>
        <w:t xml:space="preserve"> Global has already experienced measurable consequences—lower sales, strained customer trust, increased operational costs, and postponed market expansion efforts. However, the study affirms that with the right mix of technology, strategy, and internal preparedness, the firm can navigate and possibly benefit from these changes by outperforming less adaptive competitors.</w:t>
      </w:r>
    </w:p>
    <w:p w:rsidR="00B318C1" w:rsidRPr="001A5FBF" w:rsidRDefault="00B318C1" w:rsidP="00B318C1">
      <w:pPr>
        <w:spacing w:after="240" w:line="360" w:lineRule="auto"/>
        <w:rPr>
          <w:b/>
        </w:rPr>
      </w:pPr>
      <w:r w:rsidRPr="001A5FBF">
        <w:rPr>
          <w:b/>
        </w:rPr>
        <w:t>5.4 Recommendations</w:t>
      </w:r>
    </w:p>
    <w:p w:rsidR="00B318C1" w:rsidRDefault="00B318C1" w:rsidP="00B318C1">
      <w:pPr>
        <w:spacing w:after="240" w:line="360" w:lineRule="auto"/>
      </w:pPr>
      <w:r>
        <w:t>5.4.1 Invest in Digital Tax Compliance Tools</w:t>
      </w:r>
    </w:p>
    <w:p w:rsidR="0037088D" w:rsidRDefault="00B318C1" w:rsidP="00B318C1">
      <w:pPr>
        <w:spacing w:after="240" w:line="360" w:lineRule="auto"/>
      </w:pPr>
      <w:r>
        <w:t xml:space="preserve">The first and most pressing need is for </w:t>
      </w:r>
      <w:proofErr w:type="spellStart"/>
      <w:r>
        <w:t>Desvine</w:t>
      </w:r>
      <w:proofErr w:type="spellEnd"/>
      <w:r>
        <w:t xml:space="preserve"> Global to adopt automated tax compliance solutions. Platforms like Avalara, </w:t>
      </w:r>
      <w:proofErr w:type="spellStart"/>
      <w:r>
        <w:t>TaxJar</w:t>
      </w:r>
      <w:proofErr w:type="spellEnd"/>
      <w:r>
        <w:t xml:space="preserve">, and </w:t>
      </w:r>
      <w:proofErr w:type="spellStart"/>
      <w:r>
        <w:t>Sovos</w:t>
      </w:r>
      <w:proofErr w:type="spellEnd"/>
      <w:r>
        <w:t xml:space="preserve"> provide reliable systems that can calculate taxes in real-time across jurisdictions, generate reports, and manage remittance deadlines. This reduces human error, enhances reporting accuracy, and frees internal staff for more strategic tasks.</w:t>
      </w:r>
    </w:p>
    <w:p w:rsidR="00B318C1" w:rsidRDefault="00B318C1" w:rsidP="00B318C1">
      <w:pPr>
        <w:spacing w:after="240" w:line="360" w:lineRule="auto"/>
      </w:pPr>
      <w:r>
        <w:t>5.4.2 Display Tax-Inclusive Prices Transparently</w:t>
      </w:r>
    </w:p>
    <w:p w:rsidR="00B318C1" w:rsidRDefault="00B318C1" w:rsidP="00B318C1">
      <w:pPr>
        <w:spacing w:after="240" w:line="360" w:lineRule="auto"/>
      </w:pPr>
      <w:r>
        <w:t>To improve customer trust and reduce cart abandonment, the company must implement systems that show final tax-inclusive prices before checkout. This simple interface update can significantly increase conversion rates by eliminating hidden fees.</w:t>
      </w:r>
    </w:p>
    <w:p w:rsidR="00B318C1" w:rsidRDefault="00B318C1" w:rsidP="00B318C1">
      <w:pPr>
        <w:spacing w:after="240" w:line="360" w:lineRule="auto"/>
      </w:pPr>
      <w:r>
        <w:t>5.4.3 Conduct Pre-Market Entry Tax Assessments</w:t>
      </w:r>
    </w:p>
    <w:p w:rsidR="00B318C1" w:rsidRDefault="00B318C1" w:rsidP="00B318C1">
      <w:pPr>
        <w:spacing w:after="240" w:line="360" w:lineRule="auto"/>
      </w:pPr>
      <w:r>
        <w:lastRenderedPageBreak/>
        <w:t xml:space="preserve">Before entering new international markets, </w:t>
      </w:r>
      <w:proofErr w:type="spellStart"/>
      <w:r>
        <w:t>Desvine</w:t>
      </w:r>
      <w:proofErr w:type="spellEnd"/>
      <w:r>
        <w:t xml:space="preserve"> Global should include tax burden analysis as a key decision criterion. Markets with high or unclear tax structures should be avoided or approached cautiously, with robust compliance plans in place.</w:t>
      </w:r>
    </w:p>
    <w:p w:rsidR="00B318C1" w:rsidRDefault="00B318C1" w:rsidP="00B318C1">
      <w:pPr>
        <w:spacing w:after="240" w:line="360" w:lineRule="auto"/>
      </w:pPr>
      <w:r>
        <w:t>5.4.4 Join Industry Advocacy Groups</w:t>
      </w:r>
    </w:p>
    <w:p w:rsidR="00B318C1" w:rsidRDefault="00B318C1" w:rsidP="00B318C1">
      <w:pPr>
        <w:spacing w:after="240" w:line="360" w:lineRule="auto"/>
      </w:pPr>
      <w:r>
        <w:t xml:space="preserve">By becoming a member of national and international digital commerce associations, </w:t>
      </w:r>
      <w:proofErr w:type="spellStart"/>
      <w:r>
        <w:t>Desvine</w:t>
      </w:r>
      <w:proofErr w:type="spellEnd"/>
      <w:r>
        <w:t xml:space="preserve"> Global can gain a voice in policy development and stay informed of pending regulatory changes. This also provides a network of support and shared resources among similar firms.</w:t>
      </w:r>
    </w:p>
    <w:p w:rsidR="00B318C1" w:rsidRDefault="00B318C1" w:rsidP="00B318C1">
      <w:pPr>
        <w:spacing w:after="240" w:line="360" w:lineRule="auto"/>
      </w:pPr>
      <w:r>
        <w:t>5.4.5 Regular Staff Training and Internal Audits</w:t>
      </w:r>
    </w:p>
    <w:p w:rsidR="00B318C1" w:rsidRDefault="00B318C1" w:rsidP="00B318C1">
      <w:pPr>
        <w:spacing w:after="240" w:line="360" w:lineRule="auto"/>
      </w:pPr>
      <w:proofErr w:type="spellStart"/>
      <w:r>
        <w:t>Desvine</w:t>
      </w:r>
      <w:proofErr w:type="spellEnd"/>
      <w:r>
        <w:t xml:space="preserve"> Global should institutionalize periodic training for finance, operations, and marketing teams on digital tax regulations and reporting protocols. In addition, internal audits should be conducted quarterly to identify compliance gaps and avoid penalties.</w:t>
      </w:r>
    </w:p>
    <w:p w:rsidR="00B318C1" w:rsidRDefault="00B318C1" w:rsidP="00B318C1">
      <w:pPr>
        <w:spacing w:after="240" w:line="360" w:lineRule="auto"/>
      </w:pPr>
      <w:r>
        <w:t>5.4.6 Customer Education Campaigns</w:t>
      </w:r>
    </w:p>
    <w:p w:rsidR="00B318C1" w:rsidRDefault="00B318C1" w:rsidP="00B318C1">
      <w:pPr>
        <w:spacing w:after="240" w:line="360" w:lineRule="auto"/>
      </w:pPr>
      <w:r>
        <w:t>Misunderstandings about digital tax policies often lead to customer dissatisfaction. The company should provide FAQs, blog posts, and in-app explanations to educate buyers on why taxes are charged and how the firm complies with international rules. Informed customers are less likely to perceive tax-inclusive prices as exploitative.</w:t>
      </w:r>
    </w:p>
    <w:p w:rsidR="00B318C1" w:rsidRDefault="00B318C1" w:rsidP="00B318C1">
      <w:pPr>
        <w:spacing w:after="240" w:line="360" w:lineRule="auto"/>
      </w:pPr>
      <w:r>
        <w:t>5.4.7 Product and Pricing Segmentation</w:t>
      </w:r>
    </w:p>
    <w:p w:rsidR="008973A8" w:rsidRDefault="00B318C1" w:rsidP="00B318C1">
      <w:pPr>
        <w:spacing w:after="240" w:line="360" w:lineRule="auto"/>
      </w:pPr>
      <w:r>
        <w:t>Tailoring products, services, and promotional strategies by region can help the company cope with local tax structures. This might mean pricing high-demand items higher in taxed regions while offering tax-free or discounted alternatives elsewhere.</w:t>
      </w:r>
    </w:p>
    <w:p w:rsidR="00B318C1" w:rsidRPr="008973A8" w:rsidRDefault="00B318C1" w:rsidP="00B318C1">
      <w:pPr>
        <w:spacing w:after="240" w:line="360" w:lineRule="auto"/>
        <w:rPr>
          <w:b/>
        </w:rPr>
      </w:pPr>
      <w:r w:rsidRPr="008973A8">
        <w:rPr>
          <w:b/>
        </w:rPr>
        <w:t>5.7 Suggestions for Further Studies</w:t>
      </w:r>
    </w:p>
    <w:p w:rsidR="00B318C1" w:rsidRDefault="00B318C1" w:rsidP="00B318C1">
      <w:pPr>
        <w:spacing w:after="240" w:line="360" w:lineRule="auto"/>
      </w:pPr>
      <w:r>
        <w:t>1. Comparative Case Studies: Future researchers can explore multiple companies across regions to validate or refine this study’s findings.</w:t>
      </w:r>
    </w:p>
    <w:p w:rsidR="00B318C1" w:rsidRDefault="00B318C1" w:rsidP="00B318C1">
      <w:pPr>
        <w:spacing w:after="240" w:line="360" w:lineRule="auto"/>
      </w:pPr>
      <w:r>
        <w:t>2. Longitudinal Research: Observing the long-term impact of digital tax laws on SME performance over multiple fiscal years can provide deeper insights.</w:t>
      </w:r>
    </w:p>
    <w:p w:rsidR="00B318C1" w:rsidRDefault="00B318C1" w:rsidP="00B318C1">
      <w:pPr>
        <w:spacing w:after="240" w:line="360" w:lineRule="auto"/>
      </w:pPr>
      <w:r>
        <w:lastRenderedPageBreak/>
        <w:t>3. Policy Analysis Studies: Scholars can investigate the effectiveness, fairness, and consequences of DST laws in various jurisdictions.</w:t>
      </w:r>
    </w:p>
    <w:p w:rsidR="00B318C1" w:rsidRDefault="00B318C1" w:rsidP="00B318C1">
      <w:pPr>
        <w:spacing w:after="240" w:line="360" w:lineRule="auto"/>
      </w:pPr>
      <w:r>
        <w:t>4. Consumer Psychology and Taxation: There is a need for more detailed studies into how digital buyers perceive tax inclusion, transparency, and fairness.</w:t>
      </w:r>
    </w:p>
    <w:p w:rsidR="00B318C1" w:rsidRDefault="00B318C1" w:rsidP="00B318C1">
      <w:pPr>
        <w:spacing w:after="240" w:line="360" w:lineRule="auto"/>
      </w:pPr>
      <w:r>
        <w:t>5. Technological Adoption in Tax Compliance: A study focused purely on evaluating the impact of compliance automation tools on firm performance would be beneficial.</w:t>
      </w:r>
    </w:p>
    <w:p w:rsidR="00AB46BB" w:rsidRDefault="00AB46BB" w:rsidP="00B318C1">
      <w:pPr>
        <w:spacing w:after="240" w:line="360" w:lineRule="auto"/>
        <w:rPr>
          <w:b/>
        </w:rPr>
      </w:pPr>
      <w:r>
        <w:t xml:space="preserve">                                      </w:t>
      </w:r>
      <w:r>
        <w:rPr>
          <w:b/>
        </w:rPr>
        <w:t>REFERENCES</w:t>
      </w:r>
    </w:p>
    <w:p w:rsidR="009E37BB" w:rsidRDefault="009E37BB" w:rsidP="009E37BB">
      <w:pPr>
        <w:pStyle w:val="ListParagraph"/>
        <w:numPr>
          <w:ilvl w:val="0"/>
          <w:numId w:val="11"/>
        </w:numPr>
        <w:spacing w:after="240" w:line="360" w:lineRule="auto"/>
      </w:pPr>
      <w:proofErr w:type="spellStart"/>
      <w:r>
        <w:t>Abendin</w:t>
      </w:r>
      <w:proofErr w:type="spellEnd"/>
      <w:r>
        <w:t xml:space="preserve">, S., &amp; </w:t>
      </w:r>
      <w:proofErr w:type="spellStart"/>
      <w:r>
        <w:t>Duan</w:t>
      </w:r>
      <w:proofErr w:type="spellEnd"/>
      <w:r>
        <w:t>, P. (2021). Global e-commerce talks at the WTO: Positions on selected issues of the United States, European Union, China, and Japan. World Trade Review, 1-18.</w:t>
      </w:r>
    </w:p>
    <w:p w:rsidR="009E37BB" w:rsidRDefault="009E37BB" w:rsidP="009E37BB">
      <w:pPr>
        <w:pStyle w:val="ListParagraph"/>
        <w:numPr>
          <w:ilvl w:val="0"/>
          <w:numId w:val="11"/>
        </w:numPr>
        <w:spacing w:after="240" w:line="360" w:lineRule="auto"/>
      </w:pPr>
      <w:proofErr w:type="spellStart"/>
      <w:r>
        <w:t>Adebanjo</w:t>
      </w:r>
      <w:proofErr w:type="spellEnd"/>
      <w:r>
        <w:t>, A. (2021). Taxing Nigeria’s emerging digital economy: A vital buffer to an ailing economy. Journal of Business Diversity, 21(3).</w:t>
      </w:r>
    </w:p>
    <w:p w:rsidR="009E37BB" w:rsidRDefault="009E37BB" w:rsidP="009E37BB">
      <w:pPr>
        <w:pStyle w:val="ListParagraph"/>
        <w:numPr>
          <w:ilvl w:val="0"/>
          <w:numId w:val="11"/>
        </w:numPr>
        <w:spacing w:after="240" w:line="360" w:lineRule="auto"/>
      </w:pPr>
      <w:r>
        <w:t xml:space="preserve">Adebayo, A., </w:t>
      </w:r>
      <w:proofErr w:type="spellStart"/>
      <w:r>
        <w:t>Olowookere</w:t>
      </w:r>
      <w:proofErr w:type="spellEnd"/>
      <w:r>
        <w:t xml:space="preserve">, J., &amp; </w:t>
      </w:r>
      <w:proofErr w:type="spellStart"/>
      <w:r>
        <w:t>Oyekanmi</w:t>
      </w:r>
      <w:proofErr w:type="spellEnd"/>
      <w:r>
        <w:t xml:space="preserve">, M. (2021). Influence of technology adoption on tax audit in Osun state, Nigeria. </w:t>
      </w:r>
      <w:proofErr w:type="spellStart"/>
      <w:r>
        <w:t>Вестник</w:t>
      </w:r>
      <w:proofErr w:type="spellEnd"/>
      <w:r>
        <w:t xml:space="preserve"> </w:t>
      </w:r>
      <w:proofErr w:type="spellStart"/>
      <w:r>
        <w:t>КазНУ</w:t>
      </w:r>
      <w:proofErr w:type="spellEnd"/>
      <w:r>
        <w:t xml:space="preserve">. </w:t>
      </w:r>
      <w:proofErr w:type="spellStart"/>
      <w:r>
        <w:t>Серия</w:t>
      </w:r>
      <w:proofErr w:type="spellEnd"/>
      <w:r>
        <w:t xml:space="preserve"> </w:t>
      </w:r>
      <w:proofErr w:type="spellStart"/>
      <w:r>
        <w:t>Экономическая</w:t>
      </w:r>
      <w:proofErr w:type="spellEnd"/>
      <w:r>
        <w:t>, 135(1), 45-52.</w:t>
      </w:r>
    </w:p>
    <w:p w:rsidR="009E37BB" w:rsidRDefault="009E37BB" w:rsidP="006E7F94">
      <w:pPr>
        <w:pStyle w:val="ListParagraph"/>
        <w:numPr>
          <w:ilvl w:val="0"/>
          <w:numId w:val="11"/>
        </w:numPr>
        <w:spacing w:after="240" w:line="360" w:lineRule="auto"/>
      </w:pPr>
      <w:proofErr w:type="spellStart"/>
      <w:r>
        <w:t>Agbo</w:t>
      </w:r>
      <w:proofErr w:type="spellEnd"/>
      <w:r>
        <w:t xml:space="preserve">, E. I., &amp; </w:t>
      </w:r>
      <w:proofErr w:type="spellStart"/>
      <w:r>
        <w:t>Nwadialor</w:t>
      </w:r>
      <w:proofErr w:type="spellEnd"/>
      <w:r>
        <w:t>, E. O. (2015). Global tax issues–lessons from Nigeria.</w:t>
      </w:r>
    </w:p>
    <w:p w:rsidR="009E37BB" w:rsidRDefault="009E37BB" w:rsidP="009E37BB">
      <w:pPr>
        <w:pStyle w:val="ListParagraph"/>
        <w:numPr>
          <w:ilvl w:val="0"/>
          <w:numId w:val="11"/>
        </w:numPr>
        <w:spacing w:after="240" w:line="360" w:lineRule="auto"/>
      </w:pPr>
      <w:proofErr w:type="spellStart"/>
      <w:r>
        <w:t>Agyapong</w:t>
      </w:r>
      <w:proofErr w:type="spellEnd"/>
      <w:r>
        <w:t>, D. (2021). Implications of digital economy for financial institutions in Ghana: An exploratory inquiry. Transnational Corporations Review, 13(1), 51-61.</w:t>
      </w:r>
    </w:p>
    <w:p w:rsidR="009E37BB" w:rsidRDefault="009E37BB" w:rsidP="009E37BB">
      <w:pPr>
        <w:pStyle w:val="ListParagraph"/>
        <w:numPr>
          <w:ilvl w:val="0"/>
          <w:numId w:val="11"/>
        </w:numPr>
        <w:spacing w:after="240" w:line="360" w:lineRule="auto"/>
      </w:pPr>
      <w:r>
        <w:t xml:space="preserve">Ahmad, T. H., Farouk, A. U., &amp; </w:t>
      </w:r>
      <w:proofErr w:type="spellStart"/>
      <w:r>
        <w:t>Jibril</w:t>
      </w:r>
      <w:proofErr w:type="spellEnd"/>
      <w:r>
        <w:t>, R. S. (2021). Broadening Nigeria’s tax base: Focusing on the taxation of digital transactions. Financing for Development, 1(3), 65-76.</w:t>
      </w:r>
    </w:p>
    <w:p w:rsidR="009E37BB" w:rsidRDefault="009E37BB" w:rsidP="009E37BB">
      <w:pPr>
        <w:pStyle w:val="ListParagraph"/>
        <w:numPr>
          <w:ilvl w:val="0"/>
          <w:numId w:val="11"/>
        </w:numPr>
        <w:spacing w:after="240" w:line="360" w:lineRule="auto"/>
      </w:pPr>
      <w:r>
        <w:t xml:space="preserve">Ahmad, N., &amp; </w:t>
      </w:r>
      <w:proofErr w:type="spellStart"/>
      <w:r>
        <w:t>Ribarsky</w:t>
      </w:r>
      <w:proofErr w:type="spellEnd"/>
      <w:r>
        <w:t>, J. (2018). Towards a framework for measuring the digital economy. In 16th Conference of the International Association of Official Statisticians.</w:t>
      </w:r>
    </w:p>
    <w:p w:rsidR="00FC45BB" w:rsidRDefault="009E37BB" w:rsidP="009E37BB">
      <w:pPr>
        <w:pStyle w:val="ListParagraph"/>
        <w:numPr>
          <w:ilvl w:val="0"/>
          <w:numId w:val="11"/>
        </w:numPr>
        <w:spacing w:after="240" w:line="360" w:lineRule="auto"/>
      </w:pPr>
      <w:proofErr w:type="spellStart"/>
      <w:r>
        <w:t>Akintoye</w:t>
      </w:r>
      <w:proofErr w:type="spellEnd"/>
      <w:r>
        <w:t xml:space="preserve">, P., </w:t>
      </w:r>
      <w:proofErr w:type="spellStart"/>
      <w:r>
        <w:t>Ishola</w:t>
      </w:r>
      <w:proofErr w:type="spellEnd"/>
      <w:r>
        <w:t xml:space="preserve">, R., </w:t>
      </w:r>
      <w:proofErr w:type="spellStart"/>
      <w:r>
        <w:t>Abiahu</w:t>
      </w:r>
      <w:proofErr w:type="spellEnd"/>
      <w:r>
        <w:t xml:space="preserve">, M. F. C., &amp; </w:t>
      </w:r>
      <w:proofErr w:type="spellStart"/>
      <w:r>
        <w:t>Awogbade</w:t>
      </w:r>
      <w:proofErr w:type="spellEnd"/>
      <w:r>
        <w:t>, A. (2019). The Nigerian 2019 Finance Act: The Good and the Flip Sides.</w:t>
      </w:r>
    </w:p>
    <w:p w:rsidR="002A1989" w:rsidRDefault="009E37BB" w:rsidP="009E37BB">
      <w:pPr>
        <w:pStyle w:val="ListParagraph"/>
        <w:numPr>
          <w:ilvl w:val="0"/>
          <w:numId w:val="11"/>
        </w:numPr>
        <w:spacing w:after="240" w:line="360" w:lineRule="auto"/>
      </w:pPr>
      <w:proofErr w:type="spellStart"/>
      <w:r>
        <w:t>Alao</w:t>
      </w:r>
      <w:proofErr w:type="spellEnd"/>
      <w:r>
        <w:t xml:space="preserve">, A. A., &amp; </w:t>
      </w:r>
      <w:proofErr w:type="spellStart"/>
      <w:r>
        <w:t>Sorinola</w:t>
      </w:r>
      <w:proofErr w:type="spellEnd"/>
      <w:r>
        <w:t>, O. O. (2015). Cashless policy and customers’ satisfaction: A study of commercial banks in Ogun State, Nigeria. Research Journal of Finance and Accounting, 6(2), 37-47.</w:t>
      </w:r>
    </w:p>
    <w:p w:rsidR="009E37BB" w:rsidRDefault="009E37BB" w:rsidP="009E37BB">
      <w:pPr>
        <w:pStyle w:val="ListParagraph"/>
        <w:numPr>
          <w:ilvl w:val="0"/>
          <w:numId w:val="11"/>
        </w:numPr>
        <w:spacing w:after="240" w:line="360" w:lineRule="auto"/>
      </w:pPr>
      <w:r>
        <w:lastRenderedPageBreak/>
        <w:t xml:space="preserve">Arinze, U. C., </w:t>
      </w:r>
      <w:proofErr w:type="spellStart"/>
      <w:r>
        <w:t>Eneh</w:t>
      </w:r>
      <w:proofErr w:type="spellEnd"/>
      <w:r>
        <w:t xml:space="preserve">, A. H., </w:t>
      </w:r>
      <w:proofErr w:type="spellStart"/>
      <w:r>
        <w:t>Ezema</w:t>
      </w:r>
      <w:proofErr w:type="spellEnd"/>
      <w:r>
        <w:t>, M. E., &amp; Wisdom, D. D. (2021). Framework for electronic taxation of e-commerce and digital economy business segment in Nigeria: Policy implications, challenges and opportunities.</w:t>
      </w:r>
    </w:p>
    <w:p w:rsidR="009E37BB" w:rsidRDefault="009E37BB" w:rsidP="009E37BB">
      <w:pPr>
        <w:pStyle w:val="ListParagraph"/>
        <w:numPr>
          <w:ilvl w:val="0"/>
          <w:numId w:val="11"/>
        </w:numPr>
        <w:spacing w:after="240" w:line="360" w:lineRule="auto"/>
      </w:pPr>
      <w:proofErr w:type="spellStart"/>
      <w:r>
        <w:t>Asen</w:t>
      </w:r>
      <w:proofErr w:type="spellEnd"/>
      <w:r>
        <w:t>, E. (2020). What European OECD countries are doing about digital services taxes. Tax Foundation.</w:t>
      </w:r>
    </w:p>
    <w:p w:rsidR="009E37BB" w:rsidRDefault="009E37BB" w:rsidP="009E37BB">
      <w:pPr>
        <w:pStyle w:val="ListParagraph"/>
        <w:numPr>
          <w:ilvl w:val="0"/>
          <w:numId w:val="11"/>
        </w:numPr>
        <w:spacing w:after="240" w:line="360" w:lineRule="auto"/>
      </w:pPr>
      <w:r>
        <w:t xml:space="preserve">Barefoot, K., Curtis, D., </w:t>
      </w:r>
      <w:proofErr w:type="spellStart"/>
      <w:r>
        <w:t>Jolliff</w:t>
      </w:r>
      <w:proofErr w:type="spellEnd"/>
      <w:r>
        <w:t xml:space="preserve">, W., Nicholson, J. R., &amp; </w:t>
      </w:r>
      <w:proofErr w:type="spellStart"/>
      <w:r>
        <w:t>Omohundro</w:t>
      </w:r>
      <w:proofErr w:type="spellEnd"/>
      <w:r>
        <w:t>, R. (2018). Defining and measuring the digital economy. US Department of Commerce Bureau of Economic Analysis, Washington, DC, 15.</w:t>
      </w:r>
    </w:p>
    <w:p w:rsidR="009E37BB" w:rsidRDefault="009E37BB" w:rsidP="000F2717">
      <w:pPr>
        <w:pStyle w:val="ListParagraph"/>
        <w:numPr>
          <w:ilvl w:val="0"/>
          <w:numId w:val="11"/>
        </w:numPr>
        <w:spacing w:after="240" w:line="360" w:lineRule="auto"/>
      </w:pPr>
      <w:r>
        <w:t>Bunn, D. (2018). A summary of criticisms of the EU digital tax. Tax Foundation, (618).</w:t>
      </w:r>
    </w:p>
    <w:p w:rsidR="009E37BB" w:rsidRDefault="009E37BB" w:rsidP="000F2717">
      <w:pPr>
        <w:pStyle w:val="ListParagraph"/>
        <w:numPr>
          <w:ilvl w:val="0"/>
          <w:numId w:val="11"/>
        </w:numPr>
        <w:spacing w:after="240" w:line="360" w:lineRule="auto"/>
      </w:pPr>
      <w:r>
        <w:t xml:space="preserve">Bunn, D., </w:t>
      </w:r>
      <w:proofErr w:type="spellStart"/>
      <w:r>
        <w:t>Asen</w:t>
      </w:r>
      <w:proofErr w:type="spellEnd"/>
      <w:r>
        <w:t xml:space="preserve">, E., &amp; Enache, C. (2020). Digital taxation around the world. Tax Foundation. </w:t>
      </w:r>
    </w:p>
    <w:p w:rsidR="009E37BB" w:rsidRDefault="009E37BB" w:rsidP="007E56F4">
      <w:pPr>
        <w:pStyle w:val="ListParagraph"/>
        <w:numPr>
          <w:ilvl w:val="0"/>
          <w:numId w:val="11"/>
        </w:numPr>
        <w:spacing w:after="240" w:line="360" w:lineRule="auto"/>
      </w:pPr>
      <w:proofErr w:type="spellStart"/>
      <w:r>
        <w:t>Washingtion</w:t>
      </w:r>
      <w:proofErr w:type="spellEnd"/>
      <w:r>
        <w:t xml:space="preserve">. https://files. </w:t>
      </w:r>
      <w:proofErr w:type="spellStart"/>
      <w:r>
        <w:t>taxfoundation</w:t>
      </w:r>
      <w:proofErr w:type="spellEnd"/>
      <w:r>
        <w:t>. org/20200527192056/Digital-</w:t>
      </w:r>
      <w:proofErr w:type="spellStart"/>
      <w:r>
        <w:t>TaxationAround</w:t>
      </w:r>
      <w:proofErr w:type="spellEnd"/>
      <w:r>
        <w:t>-the-World. pdf.</w:t>
      </w:r>
    </w:p>
    <w:p w:rsidR="009E37BB" w:rsidRDefault="009E37BB" w:rsidP="009E37BB">
      <w:pPr>
        <w:pStyle w:val="ListParagraph"/>
        <w:numPr>
          <w:ilvl w:val="0"/>
          <w:numId w:val="11"/>
        </w:numPr>
        <w:spacing w:after="240" w:line="360" w:lineRule="auto"/>
      </w:pPr>
      <w:proofErr w:type="spellStart"/>
      <w:r>
        <w:t>Etim</w:t>
      </w:r>
      <w:proofErr w:type="spellEnd"/>
      <w:r>
        <w:t>, R. S., Jeremiah, M. S., &amp; Dan, P. B. (2020). Tax compliance and digitalization of Nigerian economy: The empirical review.</w:t>
      </w:r>
    </w:p>
    <w:p w:rsidR="009E37BB" w:rsidRDefault="009E37BB" w:rsidP="002D29A0">
      <w:pPr>
        <w:pStyle w:val="ListParagraph"/>
        <w:numPr>
          <w:ilvl w:val="0"/>
          <w:numId w:val="11"/>
        </w:numPr>
        <w:spacing w:after="240" w:line="360" w:lineRule="auto"/>
      </w:pPr>
      <w:proofErr w:type="spellStart"/>
      <w:r>
        <w:t>Emenyi</w:t>
      </w:r>
      <w:proofErr w:type="spellEnd"/>
      <w:r>
        <w:t xml:space="preserve">, E. O. (2013). The impact of e-commerce on tax revenue in Nigeria: A study of the </w:t>
      </w:r>
    </w:p>
    <w:p w:rsidR="009E37BB" w:rsidRDefault="009E37BB" w:rsidP="009E37BB">
      <w:pPr>
        <w:pStyle w:val="ListParagraph"/>
        <w:numPr>
          <w:ilvl w:val="0"/>
          <w:numId w:val="11"/>
        </w:numPr>
        <w:spacing w:after="240" w:line="360" w:lineRule="auto"/>
      </w:pPr>
      <w:r>
        <w:t xml:space="preserve">Federal Inland Revenue Service in South-South states of Nigeria (Unpublished master’s thesis). University of </w:t>
      </w:r>
      <w:proofErr w:type="spellStart"/>
      <w:r>
        <w:t>Calabar</w:t>
      </w:r>
      <w:proofErr w:type="spellEnd"/>
      <w:r>
        <w:t>.</w:t>
      </w:r>
    </w:p>
    <w:p w:rsidR="009E37BB" w:rsidRDefault="009E37BB" w:rsidP="009E37BB">
      <w:pPr>
        <w:pStyle w:val="ListParagraph"/>
        <w:numPr>
          <w:ilvl w:val="0"/>
          <w:numId w:val="11"/>
        </w:numPr>
        <w:spacing w:after="240" w:line="360" w:lineRule="auto"/>
      </w:pPr>
      <w:r>
        <w:t xml:space="preserve">European Commission (2015). European Commission (EC), Digital transformation of European industry and enterprises: A report of the strategic policy forum on digital entrepreneurship. </w:t>
      </w:r>
    </w:p>
    <w:p w:rsidR="009E37BB" w:rsidRDefault="009E37BB" w:rsidP="009E37BB">
      <w:pPr>
        <w:pStyle w:val="ListParagraph"/>
        <w:numPr>
          <w:ilvl w:val="0"/>
          <w:numId w:val="11"/>
        </w:numPr>
        <w:spacing w:after="240" w:line="360" w:lineRule="auto"/>
      </w:pPr>
      <w:r>
        <w:t>http://ec.europa.eu/DocsRoom/documents/9462/attachments/1/translations/en/renditions/native Retrieved; 3/11/2021.</w:t>
      </w:r>
    </w:p>
    <w:p w:rsidR="009E37BB" w:rsidRDefault="009E37BB" w:rsidP="009E37BB">
      <w:pPr>
        <w:pStyle w:val="ListParagraph"/>
        <w:numPr>
          <w:ilvl w:val="0"/>
          <w:numId w:val="11"/>
        </w:numPr>
        <w:spacing w:after="240" w:line="360" w:lineRule="auto"/>
      </w:pPr>
      <w:r>
        <w:t>G20 DETF, (2016). G20 Digital economy development and cooperation initiative, G20 digital economy task force. http://www.g20.utoronto.ca/2016/g20-digital-economydevelopment-and-cooperation.pdf</w:t>
      </w:r>
    </w:p>
    <w:p w:rsidR="00747B4B" w:rsidRPr="00891EA6" w:rsidRDefault="009E37BB" w:rsidP="00E85E9D">
      <w:pPr>
        <w:pStyle w:val="ListParagraph"/>
        <w:numPr>
          <w:ilvl w:val="0"/>
          <w:numId w:val="11"/>
        </w:numPr>
        <w:spacing w:after="240" w:line="360" w:lineRule="auto"/>
      </w:pPr>
      <w:proofErr w:type="spellStart"/>
      <w:r>
        <w:t>Jinyan</w:t>
      </w:r>
      <w:proofErr w:type="spellEnd"/>
      <w:r>
        <w:t xml:space="preserve"> Li. (2014). Protecting the tax base in the digital economy. 1–49</w:t>
      </w:r>
    </w:p>
    <w:p w:rsidR="00B318C1" w:rsidRDefault="00B318C1" w:rsidP="00B318C1">
      <w:pPr>
        <w:spacing w:after="240" w:line="360" w:lineRule="auto"/>
      </w:pPr>
    </w:p>
    <w:p w:rsidR="00B318C1" w:rsidRDefault="00B318C1" w:rsidP="00B318C1">
      <w:pPr>
        <w:spacing w:after="240" w:line="360" w:lineRule="auto"/>
      </w:pPr>
    </w:p>
    <w:p w:rsidR="00B318C1" w:rsidRDefault="00B318C1" w:rsidP="00B318C1">
      <w:pPr>
        <w:spacing w:after="240" w:line="360" w:lineRule="auto"/>
      </w:pPr>
    </w:p>
    <w:p w:rsidR="00B318C1" w:rsidRDefault="00B318C1" w:rsidP="00B318C1">
      <w:pPr>
        <w:spacing w:after="240" w:line="360" w:lineRule="auto"/>
      </w:pPr>
    </w:p>
    <w:p w:rsidR="00B318C1" w:rsidRDefault="00B318C1" w:rsidP="00B318C1">
      <w:pPr>
        <w:spacing w:after="240" w:line="360" w:lineRule="auto"/>
      </w:pPr>
      <w:r>
        <w:t>---</w:t>
      </w:r>
    </w:p>
    <w:p w:rsidR="00B318C1" w:rsidRDefault="00B318C1" w:rsidP="00B318C1">
      <w:pPr>
        <w:spacing w:after="240" w:line="360" w:lineRule="auto"/>
      </w:pPr>
    </w:p>
    <w:sectPr w:rsidR="00B318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2EA36E44"/>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423" w:hanging="42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E85023"/>
    <w:multiLevelType w:val="hybridMultilevel"/>
    <w:tmpl w:val="40C65A0E"/>
    <w:lvl w:ilvl="0" w:tplc="FFFFFFFF">
      <w:start w:val="3"/>
      <w:numFmt w:val="bullet"/>
      <w:lvlText w:val=""/>
      <w:lvlJc w:val="left"/>
      <w:pPr>
        <w:ind w:left="720" w:hanging="360"/>
      </w:pPr>
      <w:rPr>
        <w:rFonts w:ascii="Symbol" w:eastAsia="MS Mincho"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82E7D"/>
    <w:multiLevelType w:val="singleLevel"/>
    <w:tmpl w:val="C310EC42"/>
    <w:lvl w:ilvl="0">
      <w:start w:val="1"/>
      <w:numFmt w:val="decimal"/>
      <w:lvlText w:val="%1."/>
      <w:lvlJc w:val="left"/>
      <w:pPr>
        <w:tabs>
          <w:tab w:val="left" w:pos="1800"/>
        </w:tabs>
        <w:ind w:left="1800" w:hanging="360"/>
      </w:pPr>
    </w:lvl>
  </w:abstractNum>
  <w:abstractNum w:abstractNumId="11" w15:restartNumberingAfterBreak="0">
    <w:nsid w:val="5F1B55CC"/>
    <w:multiLevelType w:val="multilevel"/>
    <w:tmpl w:val="FFFFFFFF"/>
    <w:lvl w:ilvl="0">
      <w:start w:val="1"/>
      <w:numFmt w:val="decimal"/>
      <w:lvlText w:val="%1.0"/>
      <w:lvlJc w:val="left"/>
      <w:pPr>
        <w:ind w:left="612" w:hanging="423"/>
      </w:pPr>
      <w:rPr>
        <w:rFonts w:hint="default"/>
      </w:rPr>
    </w:lvl>
    <w:lvl w:ilvl="1">
      <w:start w:val="1"/>
      <w:numFmt w:val="decimal"/>
      <w:lvlText w:val="%1.%2"/>
      <w:lvlJc w:val="left"/>
      <w:pPr>
        <w:ind w:left="1332" w:hanging="423"/>
      </w:pPr>
      <w:rPr>
        <w:rFonts w:hint="default"/>
      </w:rPr>
    </w:lvl>
    <w:lvl w:ilvl="2">
      <w:start w:val="1"/>
      <w:numFmt w:val="decimal"/>
      <w:lvlText w:val="%1.%2.%3"/>
      <w:lvlJc w:val="left"/>
      <w:pPr>
        <w:ind w:left="2349"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149" w:hanging="1080"/>
      </w:pPr>
      <w:rPr>
        <w:rFonts w:hint="default"/>
      </w:rPr>
    </w:lvl>
    <w:lvl w:ilvl="5">
      <w:start w:val="1"/>
      <w:numFmt w:val="decimal"/>
      <w:lvlText w:val="%1.%2.%3.%4.%5.%6"/>
      <w:lvlJc w:val="left"/>
      <w:pPr>
        <w:ind w:left="5229" w:hanging="1440"/>
      </w:pPr>
      <w:rPr>
        <w:rFonts w:hint="default"/>
      </w:rPr>
    </w:lvl>
    <w:lvl w:ilvl="6">
      <w:start w:val="1"/>
      <w:numFmt w:val="decimal"/>
      <w:lvlText w:val="%1.%2.%3.%4.%5.%6.%7"/>
      <w:lvlJc w:val="left"/>
      <w:pPr>
        <w:ind w:left="5949" w:hanging="1440"/>
      </w:pPr>
      <w:rPr>
        <w:rFonts w:hint="default"/>
      </w:rPr>
    </w:lvl>
    <w:lvl w:ilvl="7">
      <w:start w:val="1"/>
      <w:numFmt w:val="decimal"/>
      <w:lvlText w:val="%1.%2.%3.%4.%5.%6.%7.%8"/>
      <w:lvlJc w:val="left"/>
      <w:pPr>
        <w:ind w:left="7029" w:hanging="1800"/>
      </w:pPr>
      <w:rPr>
        <w:rFonts w:hint="default"/>
      </w:rPr>
    </w:lvl>
    <w:lvl w:ilvl="8">
      <w:start w:val="1"/>
      <w:numFmt w:val="decimal"/>
      <w:lvlText w:val="%1.%2.%3.%4.%5.%6.%7.%8.%9"/>
      <w:lvlJc w:val="left"/>
      <w:pPr>
        <w:ind w:left="8109" w:hanging="2160"/>
      </w:pPr>
      <w:rPr>
        <w:rFonts w:hint="default"/>
      </w:r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1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E3"/>
    <w:rsid w:val="00001951"/>
    <w:rsid w:val="0001187A"/>
    <w:rsid w:val="000421F7"/>
    <w:rsid w:val="000427F6"/>
    <w:rsid w:val="00043E8C"/>
    <w:rsid w:val="00057893"/>
    <w:rsid w:val="00073A55"/>
    <w:rsid w:val="00083A26"/>
    <w:rsid w:val="000959AB"/>
    <w:rsid w:val="00095F78"/>
    <w:rsid w:val="000A32BD"/>
    <w:rsid w:val="000C0B5A"/>
    <w:rsid w:val="000C354E"/>
    <w:rsid w:val="000C6659"/>
    <w:rsid w:val="000C7DFD"/>
    <w:rsid w:val="000D2000"/>
    <w:rsid w:val="000D643C"/>
    <w:rsid w:val="000D69A1"/>
    <w:rsid w:val="000E1877"/>
    <w:rsid w:val="000F2717"/>
    <w:rsid w:val="000F6E02"/>
    <w:rsid w:val="00100242"/>
    <w:rsid w:val="00111A84"/>
    <w:rsid w:val="00120CDA"/>
    <w:rsid w:val="0013698C"/>
    <w:rsid w:val="00145AF1"/>
    <w:rsid w:val="001516BC"/>
    <w:rsid w:val="00157CAD"/>
    <w:rsid w:val="00161B38"/>
    <w:rsid w:val="001621AD"/>
    <w:rsid w:val="00163B89"/>
    <w:rsid w:val="0017741A"/>
    <w:rsid w:val="00186300"/>
    <w:rsid w:val="0019140C"/>
    <w:rsid w:val="0019304B"/>
    <w:rsid w:val="0019359E"/>
    <w:rsid w:val="00194FBB"/>
    <w:rsid w:val="001955A3"/>
    <w:rsid w:val="00195964"/>
    <w:rsid w:val="00195D5E"/>
    <w:rsid w:val="001A5FBF"/>
    <w:rsid w:val="001B70C9"/>
    <w:rsid w:val="001C3B60"/>
    <w:rsid w:val="001D435B"/>
    <w:rsid w:val="001D5FFB"/>
    <w:rsid w:val="001E243B"/>
    <w:rsid w:val="001E33C9"/>
    <w:rsid w:val="0023173F"/>
    <w:rsid w:val="00234558"/>
    <w:rsid w:val="00237427"/>
    <w:rsid w:val="00243284"/>
    <w:rsid w:val="00245087"/>
    <w:rsid w:val="002534E9"/>
    <w:rsid w:val="00274625"/>
    <w:rsid w:val="002A1989"/>
    <w:rsid w:val="002B50E4"/>
    <w:rsid w:val="002C6B86"/>
    <w:rsid w:val="002C782B"/>
    <w:rsid w:val="002D29A0"/>
    <w:rsid w:val="002F7448"/>
    <w:rsid w:val="003029FB"/>
    <w:rsid w:val="00315510"/>
    <w:rsid w:val="003156B8"/>
    <w:rsid w:val="00316E31"/>
    <w:rsid w:val="00320B0D"/>
    <w:rsid w:val="00321359"/>
    <w:rsid w:val="00344064"/>
    <w:rsid w:val="00345D29"/>
    <w:rsid w:val="00346E58"/>
    <w:rsid w:val="00346F55"/>
    <w:rsid w:val="00347637"/>
    <w:rsid w:val="003678D2"/>
    <w:rsid w:val="0037088D"/>
    <w:rsid w:val="00374CA1"/>
    <w:rsid w:val="00387345"/>
    <w:rsid w:val="00390D94"/>
    <w:rsid w:val="0039472A"/>
    <w:rsid w:val="003E0642"/>
    <w:rsid w:val="00406647"/>
    <w:rsid w:val="004067B7"/>
    <w:rsid w:val="004217A2"/>
    <w:rsid w:val="00437F5E"/>
    <w:rsid w:val="0044264F"/>
    <w:rsid w:val="00443324"/>
    <w:rsid w:val="004510EC"/>
    <w:rsid w:val="004532A6"/>
    <w:rsid w:val="00454ABA"/>
    <w:rsid w:val="00463656"/>
    <w:rsid w:val="004704E8"/>
    <w:rsid w:val="00495944"/>
    <w:rsid w:val="004B4B1F"/>
    <w:rsid w:val="004B6931"/>
    <w:rsid w:val="004D25C0"/>
    <w:rsid w:val="004D32D3"/>
    <w:rsid w:val="004E5CA0"/>
    <w:rsid w:val="004F1B69"/>
    <w:rsid w:val="00500AE4"/>
    <w:rsid w:val="00506BDC"/>
    <w:rsid w:val="00522C59"/>
    <w:rsid w:val="0054521F"/>
    <w:rsid w:val="005706CF"/>
    <w:rsid w:val="00581743"/>
    <w:rsid w:val="00583611"/>
    <w:rsid w:val="0058438A"/>
    <w:rsid w:val="00586B09"/>
    <w:rsid w:val="005A1CCB"/>
    <w:rsid w:val="005B0F84"/>
    <w:rsid w:val="005B1F96"/>
    <w:rsid w:val="005B53CB"/>
    <w:rsid w:val="005C0F22"/>
    <w:rsid w:val="005D3D7F"/>
    <w:rsid w:val="005D43A4"/>
    <w:rsid w:val="005F07B1"/>
    <w:rsid w:val="006141FB"/>
    <w:rsid w:val="006147AF"/>
    <w:rsid w:val="00620EEC"/>
    <w:rsid w:val="00625F2B"/>
    <w:rsid w:val="00636330"/>
    <w:rsid w:val="0064246D"/>
    <w:rsid w:val="00651DBA"/>
    <w:rsid w:val="006549D6"/>
    <w:rsid w:val="00657938"/>
    <w:rsid w:val="00666DF9"/>
    <w:rsid w:val="00680EA4"/>
    <w:rsid w:val="0068288A"/>
    <w:rsid w:val="0069386C"/>
    <w:rsid w:val="00695767"/>
    <w:rsid w:val="006A6A83"/>
    <w:rsid w:val="006B1F76"/>
    <w:rsid w:val="006C6493"/>
    <w:rsid w:val="006E7F94"/>
    <w:rsid w:val="006F1028"/>
    <w:rsid w:val="006F25C6"/>
    <w:rsid w:val="007001D3"/>
    <w:rsid w:val="0070092A"/>
    <w:rsid w:val="007110E7"/>
    <w:rsid w:val="00713E81"/>
    <w:rsid w:val="00721085"/>
    <w:rsid w:val="00723AA2"/>
    <w:rsid w:val="0072405B"/>
    <w:rsid w:val="007309BA"/>
    <w:rsid w:val="007323CB"/>
    <w:rsid w:val="0074367C"/>
    <w:rsid w:val="00747B4B"/>
    <w:rsid w:val="00756C4C"/>
    <w:rsid w:val="00757BA0"/>
    <w:rsid w:val="00766F79"/>
    <w:rsid w:val="00783F58"/>
    <w:rsid w:val="00794FB0"/>
    <w:rsid w:val="00797D19"/>
    <w:rsid w:val="00797E53"/>
    <w:rsid w:val="007B58AC"/>
    <w:rsid w:val="007B5EA0"/>
    <w:rsid w:val="007B78CA"/>
    <w:rsid w:val="007C3A6D"/>
    <w:rsid w:val="007D300E"/>
    <w:rsid w:val="007E56F4"/>
    <w:rsid w:val="007E61E5"/>
    <w:rsid w:val="00800A06"/>
    <w:rsid w:val="0080104E"/>
    <w:rsid w:val="00805E1C"/>
    <w:rsid w:val="00821A3B"/>
    <w:rsid w:val="00836C9C"/>
    <w:rsid w:val="00840A6C"/>
    <w:rsid w:val="00846421"/>
    <w:rsid w:val="0085495F"/>
    <w:rsid w:val="00855275"/>
    <w:rsid w:val="008569FD"/>
    <w:rsid w:val="008750BD"/>
    <w:rsid w:val="00876023"/>
    <w:rsid w:val="00882447"/>
    <w:rsid w:val="00883178"/>
    <w:rsid w:val="00891EA6"/>
    <w:rsid w:val="00895DA2"/>
    <w:rsid w:val="008973A8"/>
    <w:rsid w:val="008A60F6"/>
    <w:rsid w:val="008A70F7"/>
    <w:rsid w:val="008B2A53"/>
    <w:rsid w:val="008C08DA"/>
    <w:rsid w:val="008E4F20"/>
    <w:rsid w:val="008E781B"/>
    <w:rsid w:val="008E7C02"/>
    <w:rsid w:val="00902479"/>
    <w:rsid w:val="0091751D"/>
    <w:rsid w:val="0093166E"/>
    <w:rsid w:val="00934873"/>
    <w:rsid w:val="0094161E"/>
    <w:rsid w:val="009418B3"/>
    <w:rsid w:val="00943B53"/>
    <w:rsid w:val="009444F3"/>
    <w:rsid w:val="009649CC"/>
    <w:rsid w:val="00980B3E"/>
    <w:rsid w:val="00995DED"/>
    <w:rsid w:val="009A61A9"/>
    <w:rsid w:val="009A6640"/>
    <w:rsid w:val="009A7979"/>
    <w:rsid w:val="009C7D47"/>
    <w:rsid w:val="009D7DAF"/>
    <w:rsid w:val="009E37BB"/>
    <w:rsid w:val="009E53E9"/>
    <w:rsid w:val="009E7FFC"/>
    <w:rsid w:val="009F28F7"/>
    <w:rsid w:val="00A02CD1"/>
    <w:rsid w:val="00A03E25"/>
    <w:rsid w:val="00A065E6"/>
    <w:rsid w:val="00A17CE2"/>
    <w:rsid w:val="00A22EBE"/>
    <w:rsid w:val="00A2537B"/>
    <w:rsid w:val="00A2610B"/>
    <w:rsid w:val="00A26853"/>
    <w:rsid w:val="00A33106"/>
    <w:rsid w:val="00A47062"/>
    <w:rsid w:val="00A56F4D"/>
    <w:rsid w:val="00A66653"/>
    <w:rsid w:val="00A677E6"/>
    <w:rsid w:val="00A70817"/>
    <w:rsid w:val="00A77DA8"/>
    <w:rsid w:val="00A8647A"/>
    <w:rsid w:val="00A927C2"/>
    <w:rsid w:val="00AA50B4"/>
    <w:rsid w:val="00AA539B"/>
    <w:rsid w:val="00AB2BDD"/>
    <w:rsid w:val="00AB46BB"/>
    <w:rsid w:val="00AB6741"/>
    <w:rsid w:val="00AD142D"/>
    <w:rsid w:val="00AE5526"/>
    <w:rsid w:val="00AF0C99"/>
    <w:rsid w:val="00B042CB"/>
    <w:rsid w:val="00B05951"/>
    <w:rsid w:val="00B13047"/>
    <w:rsid w:val="00B17234"/>
    <w:rsid w:val="00B20391"/>
    <w:rsid w:val="00B21DDA"/>
    <w:rsid w:val="00B318C1"/>
    <w:rsid w:val="00B3388B"/>
    <w:rsid w:val="00B53678"/>
    <w:rsid w:val="00B572FB"/>
    <w:rsid w:val="00B6403B"/>
    <w:rsid w:val="00BB2143"/>
    <w:rsid w:val="00BB26A0"/>
    <w:rsid w:val="00BB7A58"/>
    <w:rsid w:val="00BC6694"/>
    <w:rsid w:val="00BD08E6"/>
    <w:rsid w:val="00BD2BE3"/>
    <w:rsid w:val="00BD5786"/>
    <w:rsid w:val="00BD61E2"/>
    <w:rsid w:val="00BE1D12"/>
    <w:rsid w:val="00C05F13"/>
    <w:rsid w:val="00C21678"/>
    <w:rsid w:val="00C24960"/>
    <w:rsid w:val="00C35492"/>
    <w:rsid w:val="00C41E61"/>
    <w:rsid w:val="00C4258D"/>
    <w:rsid w:val="00C4762C"/>
    <w:rsid w:val="00C53CEE"/>
    <w:rsid w:val="00C6133D"/>
    <w:rsid w:val="00C71F50"/>
    <w:rsid w:val="00C8007A"/>
    <w:rsid w:val="00C94E55"/>
    <w:rsid w:val="00CB1D81"/>
    <w:rsid w:val="00CD202F"/>
    <w:rsid w:val="00CE4B50"/>
    <w:rsid w:val="00CE6743"/>
    <w:rsid w:val="00D03CE9"/>
    <w:rsid w:val="00D105E4"/>
    <w:rsid w:val="00D10B71"/>
    <w:rsid w:val="00D12116"/>
    <w:rsid w:val="00D134A6"/>
    <w:rsid w:val="00D20867"/>
    <w:rsid w:val="00D26C16"/>
    <w:rsid w:val="00D36535"/>
    <w:rsid w:val="00D53132"/>
    <w:rsid w:val="00D72381"/>
    <w:rsid w:val="00D866CF"/>
    <w:rsid w:val="00D92244"/>
    <w:rsid w:val="00D92CE6"/>
    <w:rsid w:val="00D943D2"/>
    <w:rsid w:val="00D95AEC"/>
    <w:rsid w:val="00DB7CE4"/>
    <w:rsid w:val="00DC093A"/>
    <w:rsid w:val="00DC21BF"/>
    <w:rsid w:val="00DD02D9"/>
    <w:rsid w:val="00DD5EFD"/>
    <w:rsid w:val="00DD6863"/>
    <w:rsid w:val="00DE0A0D"/>
    <w:rsid w:val="00DE0B0A"/>
    <w:rsid w:val="00DF1D5B"/>
    <w:rsid w:val="00DF4055"/>
    <w:rsid w:val="00E02371"/>
    <w:rsid w:val="00E032E4"/>
    <w:rsid w:val="00E039E1"/>
    <w:rsid w:val="00E119A9"/>
    <w:rsid w:val="00E15DF0"/>
    <w:rsid w:val="00E2537E"/>
    <w:rsid w:val="00E303AF"/>
    <w:rsid w:val="00E35B9F"/>
    <w:rsid w:val="00E42158"/>
    <w:rsid w:val="00E42A98"/>
    <w:rsid w:val="00E460C3"/>
    <w:rsid w:val="00E46DFD"/>
    <w:rsid w:val="00E4753A"/>
    <w:rsid w:val="00E751BB"/>
    <w:rsid w:val="00E81D58"/>
    <w:rsid w:val="00E85E9D"/>
    <w:rsid w:val="00E92524"/>
    <w:rsid w:val="00EA1578"/>
    <w:rsid w:val="00EA66DF"/>
    <w:rsid w:val="00EB541E"/>
    <w:rsid w:val="00EB5F0A"/>
    <w:rsid w:val="00EE778F"/>
    <w:rsid w:val="00EF5B9A"/>
    <w:rsid w:val="00F006EE"/>
    <w:rsid w:val="00F03176"/>
    <w:rsid w:val="00F21D2B"/>
    <w:rsid w:val="00F25E9E"/>
    <w:rsid w:val="00F3701C"/>
    <w:rsid w:val="00F4131C"/>
    <w:rsid w:val="00F421DA"/>
    <w:rsid w:val="00F628F4"/>
    <w:rsid w:val="00F75C06"/>
    <w:rsid w:val="00F83B53"/>
    <w:rsid w:val="00F90276"/>
    <w:rsid w:val="00FB4072"/>
    <w:rsid w:val="00FB70C2"/>
    <w:rsid w:val="00FC2B8D"/>
    <w:rsid w:val="00FC45BB"/>
    <w:rsid w:val="00FD7714"/>
    <w:rsid w:val="00FF414C"/>
    <w:rsid w:val="00FF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D99B1F"/>
  <w15:docId w15:val="{B0FD0123-13CA-4C46-96DD-546A7008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05C1-9E33-CB4B-8242-CCD3B6EA8E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41</Pages>
  <Words>11044</Words>
  <Characters>62951</Characters>
  <Application>Microsoft Office Word</Application>
  <DocSecurity>0</DocSecurity>
  <Lines>524</Lines>
  <Paragraphs>147</Paragraphs>
  <ScaleCrop>false</ScaleCrop>
  <Company/>
  <LinksUpToDate>false</LinksUpToDate>
  <CharactersWithSpaces>73848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
  <cp:revision>311</cp:revision>
  <dcterms:created xsi:type="dcterms:W3CDTF">2025-06-01T17:09:00Z</dcterms:created>
  <dcterms:modified xsi:type="dcterms:W3CDTF">2025-06-17T05:11:00Z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ac244ecf23f449bbaa46b2afae42b1e7</vt:lpwstr>
  </property>
</Properties>
</file>