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cs="Times New Roman"/>
          <w:b/>
          <w:sz w:val="24"/>
          <w:szCs w:val="24"/>
          <w:lang w:val="en-GB"/>
        </w:rPr>
      </w:pPr>
      <w:r>
        <w:rPr>
          <w:rFonts w:ascii="Times New Roman" w:hAnsi="Times New Roman" w:cs="Times New Roman"/>
          <w:b/>
          <w:sz w:val="24"/>
          <w:szCs w:val="24"/>
        </w:rPr>
        <w:t xml:space="preserve">COMPARATIVE </w:t>
      </w:r>
      <w:r>
        <w:rPr>
          <w:rFonts w:ascii="Times New Roman" w:hAnsi="Times New Roman" w:cs="Times New Roman"/>
          <w:b/>
          <w:sz w:val="24"/>
          <w:szCs w:val="24"/>
          <w:lang w:val="en-GB"/>
        </w:rPr>
        <w:t>ANALYSIS OF HOUSING CONDITIONS AND NEIGHBORHOOD QUALITY O</w:t>
      </w:r>
      <w:r>
        <w:rPr>
          <w:rFonts w:ascii="Times New Roman" w:hAnsi="Times New Roman" w:cs="Times New Roman"/>
          <w:b/>
          <w:sz w:val="24"/>
          <w:szCs w:val="24"/>
        </w:rPr>
        <w:t>N</w:t>
      </w:r>
      <w:r>
        <w:rPr>
          <w:rFonts w:ascii="Times New Roman" w:hAnsi="Times New Roman" w:cs="Times New Roman"/>
          <w:b/>
          <w:sz w:val="24"/>
          <w:szCs w:val="24"/>
          <w:lang w:val="en-GB"/>
        </w:rPr>
        <w:t xml:space="preserve"> RESIDENTIAL </w:t>
      </w:r>
      <w:r>
        <w:rPr>
          <w:rFonts w:ascii="Times New Roman" w:hAnsi="Times New Roman" w:cs="Times New Roman"/>
          <w:b/>
          <w:sz w:val="24"/>
          <w:szCs w:val="24"/>
        </w:rPr>
        <w:t xml:space="preserve">PROPERTY VALUE </w:t>
      </w:r>
      <w:r>
        <w:rPr>
          <w:rFonts w:ascii="Times New Roman" w:hAnsi="Times New Roman" w:cs="Times New Roman"/>
          <w:b/>
          <w:sz w:val="24"/>
          <w:szCs w:val="24"/>
          <w:lang w:val="en-GB"/>
        </w:rPr>
        <w:t xml:space="preserve">IN NIGERIA </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en-GB"/>
        </w:rPr>
        <w:t>(A CASE STUDY OF OKE-OYI AND TANKE, ILORIN, KWARA STATE)</w:t>
      </w:r>
    </w:p>
    <w:p>
      <w:pPr>
        <w:spacing w:line="360" w:lineRule="auto"/>
        <w:ind w:left="720" w:hanging="720"/>
        <w:jc w:val="center"/>
        <w:rPr>
          <w:rFonts w:ascii="Times New Roman" w:hAnsi="Times New Roman" w:cs="Times New Roman"/>
          <w:b/>
          <w:sz w:val="24"/>
          <w:szCs w:val="24"/>
        </w:rPr>
      </w:pPr>
    </w:p>
    <w:p>
      <w:pPr>
        <w:spacing w:line="360" w:lineRule="auto"/>
        <w:ind w:left="720" w:hanging="720"/>
        <w:jc w:val="center"/>
        <w:rPr>
          <w:rFonts w:ascii="Times New Roman" w:hAnsi="Times New Roman" w:cs="Times New Roman"/>
          <w:b/>
          <w:sz w:val="24"/>
          <w:szCs w:val="24"/>
        </w:rPr>
      </w:pPr>
    </w:p>
    <w:p>
      <w:pPr>
        <w:spacing w:line="36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BY</w:t>
      </w:r>
    </w:p>
    <w:p>
      <w:pPr>
        <w:spacing w:line="240" w:lineRule="auto"/>
        <w:ind w:left="720" w:hanging="720"/>
        <w:jc w:val="center"/>
        <w:rPr>
          <w:rFonts w:ascii="Times New Roman" w:hAnsi="Times New Roman" w:cs="Times New Roman"/>
          <w:b/>
          <w:sz w:val="26"/>
          <w:szCs w:val="24"/>
        </w:rPr>
      </w:pPr>
      <w:r>
        <w:rPr>
          <w:rFonts w:ascii="Times New Roman" w:hAnsi="Times New Roman" w:cs="Times New Roman"/>
          <w:b/>
          <w:sz w:val="26"/>
          <w:szCs w:val="24"/>
        </w:rPr>
        <w:t>AMUNEGA JOSHUA OLAMILEKAN</w:t>
      </w:r>
    </w:p>
    <w:p>
      <w:pPr>
        <w:spacing w:line="36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t>HND/23/ETM/FT/0042</w:t>
      </w:r>
    </w:p>
    <w:p>
      <w:pPr>
        <w:spacing w:line="360" w:lineRule="auto"/>
        <w:ind w:left="720" w:hanging="720"/>
        <w:jc w:val="center"/>
        <w:rPr>
          <w:rFonts w:ascii="Times New Roman" w:hAnsi="Times New Roman" w:cs="Times New Roman"/>
          <w:b/>
          <w:sz w:val="24"/>
          <w:szCs w:val="24"/>
        </w:rPr>
      </w:pPr>
    </w:p>
    <w:p>
      <w:pPr>
        <w:spacing w:line="360" w:lineRule="auto"/>
        <w:ind w:left="720" w:hanging="720"/>
        <w:jc w:val="center"/>
        <w:rPr>
          <w:rFonts w:ascii="Times New Roman" w:hAnsi="Times New Roman" w:cs="Times New Roman"/>
          <w:b/>
          <w:sz w:val="24"/>
          <w:szCs w:val="24"/>
        </w:rPr>
      </w:pPr>
    </w:p>
    <w:p>
      <w:pPr>
        <w:spacing w:line="240" w:lineRule="auto"/>
        <w:ind w:left="720" w:hanging="720"/>
        <w:jc w:val="center"/>
        <w:rPr>
          <w:rFonts w:ascii="Times New Roman" w:hAnsi="Times New Roman" w:cs="Times New Roman"/>
          <w:b/>
          <w:szCs w:val="24"/>
        </w:rPr>
      </w:pPr>
      <w:r>
        <w:rPr>
          <w:rFonts w:ascii="Times New Roman" w:hAnsi="Times New Roman" w:cs="Times New Roman"/>
          <w:b/>
          <w:szCs w:val="24"/>
        </w:rPr>
        <w:t xml:space="preserve">BEING A PROJECT SUBMITTED TO THE </w:t>
      </w:r>
    </w:p>
    <w:p>
      <w:pPr>
        <w:spacing w:line="240" w:lineRule="auto"/>
        <w:ind w:left="720" w:hanging="720"/>
        <w:jc w:val="center"/>
        <w:rPr>
          <w:rFonts w:ascii="Times New Roman" w:hAnsi="Times New Roman" w:cs="Times New Roman"/>
          <w:b/>
          <w:szCs w:val="24"/>
        </w:rPr>
      </w:pPr>
      <w:r>
        <w:rPr>
          <w:rFonts w:ascii="Times New Roman" w:hAnsi="Times New Roman" w:cs="Times New Roman"/>
          <w:b/>
          <w:szCs w:val="24"/>
        </w:rPr>
        <w:t>DEPARTMENT OF ESTATE MANAGEMENT AND VALUATION,</w:t>
      </w:r>
    </w:p>
    <w:p>
      <w:pPr>
        <w:spacing w:line="240" w:lineRule="auto"/>
        <w:ind w:left="720" w:hanging="720"/>
        <w:jc w:val="center"/>
        <w:rPr>
          <w:rFonts w:ascii="Times New Roman" w:hAnsi="Times New Roman" w:cs="Times New Roman"/>
          <w:b/>
          <w:szCs w:val="24"/>
        </w:rPr>
      </w:pPr>
      <w:r>
        <w:rPr>
          <w:rFonts w:ascii="Times New Roman" w:hAnsi="Times New Roman" w:cs="Times New Roman"/>
          <w:b/>
          <w:szCs w:val="24"/>
        </w:rPr>
        <w:t>INSTITUTE OF ENVIRONMENTAL STUDIES (IES),</w:t>
      </w:r>
    </w:p>
    <w:p>
      <w:pPr>
        <w:spacing w:line="240" w:lineRule="auto"/>
        <w:ind w:left="720" w:hanging="720"/>
        <w:jc w:val="center"/>
        <w:rPr>
          <w:rFonts w:ascii="Times New Roman" w:hAnsi="Times New Roman" w:cs="Times New Roman"/>
          <w:b/>
          <w:szCs w:val="24"/>
        </w:rPr>
      </w:pPr>
      <w:r>
        <w:rPr>
          <w:rFonts w:ascii="Times New Roman" w:hAnsi="Times New Roman" w:cs="Times New Roman"/>
          <w:b/>
          <w:szCs w:val="24"/>
        </w:rPr>
        <w:t>KWARA STATE POLYTECHNIC, ILORIN, KWARA STATE</w:t>
      </w:r>
    </w:p>
    <w:p>
      <w:pPr>
        <w:spacing w:line="360" w:lineRule="auto"/>
        <w:ind w:left="720" w:hanging="720"/>
        <w:jc w:val="center"/>
        <w:rPr>
          <w:rFonts w:ascii="Times New Roman" w:hAnsi="Times New Roman" w:cs="Times New Roman"/>
          <w:b/>
          <w:sz w:val="24"/>
          <w:szCs w:val="24"/>
        </w:rPr>
      </w:pPr>
    </w:p>
    <w:p>
      <w:pPr>
        <w:spacing w:line="240" w:lineRule="auto"/>
        <w:ind w:left="90" w:hanging="90"/>
        <w:jc w:val="center"/>
        <w:rPr>
          <w:rFonts w:ascii="Times New Roman" w:hAnsi="Times New Roman" w:cs="Times New Roman"/>
          <w:b/>
          <w:szCs w:val="24"/>
        </w:rPr>
      </w:pPr>
      <w:r>
        <w:rPr>
          <w:rFonts w:ascii="Times New Roman" w:hAnsi="Times New Roman" w:cs="Times New Roman"/>
          <w:b/>
          <w:szCs w:val="24"/>
        </w:rPr>
        <w:t xml:space="preserve">IN PARTIAL FULFILMENT OF THE REQUIREMENT FOR THE AWARD OF </w:t>
      </w:r>
    </w:p>
    <w:p>
      <w:pPr>
        <w:spacing w:line="240" w:lineRule="auto"/>
        <w:ind w:left="90" w:hanging="90"/>
        <w:jc w:val="center"/>
        <w:rPr>
          <w:rFonts w:ascii="Times New Roman" w:hAnsi="Times New Roman" w:cs="Times New Roman"/>
          <w:b/>
          <w:szCs w:val="24"/>
        </w:rPr>
      </w:pPr>
      <w:r>
        <w:rPr>
          <w:rFonts w:ascii="Times New Roman" w:hAnsi="Times New Roman" w:cs="Times New Roman"/>
          <w:b/>
          <w:szCs w:val="24"/>
        </w:rPr>
        <w:t>HIGHER NATIONAL DIPLOMA (HND) IN</w:t>
      </w:r>
    </w:p>
    <w:p>
      <w:pPr>
        <w:spacing w:line="240" w:lineRule="auto"/>
        <w:ind w:left="720" w:hanging="720"/>
        <w:jc w:val="center"/>
        <w:rPr>
          <w:rFonts w:ascii="Times New Roman" w:hAnsi="Times New Roman" w:cs="Times New Roman"/>
          <w:b/>
          <w:szCs w:val="24"/>
        </w:rPr>
      </w:pPr>
      <w:r>
        <w:rPr>
          <w:rFonts w:ascii="Times New Roman" w:hAnsi="Times New Roman" w:cs="Times New Roman"/>
          <w:b/>
          <w:szCs w:val="24"/>
        </w:rPr>
        <w:t>ESTATE MANAGEMENT AND VALUATION</w:t>
      </w:r>
    </w:p>
    <w:p>
      <w:pPr>
        <w:spacing w:line="360" w:lineRule="auto"/>
        <w:ind w:left="720" w:hanging="720"/>
        <w:jc w:val="center"/>
        <w:rPr>
          <w:rFonts w:ascii="Times New Roman" w:hAnsi="Times New Roman" w:cs="Times New Roman"/>
          <w:b/>
          <w:sz w:val="24"/>
          <w:szCs w:val="24"/>
        </w:rPr>
      </w:pPr>
    </w:p>
    <w:p>
      <w:pPr>
        <w:spacing w:line="36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JULY, 2025</w:t>
      </w:r>
    </w:p>
    <w:p>
      <w:pPr>
        <w:spacing w:after="160" w:line="259" w:lineRule="auto"/>
        <w:rPr>
          <w:rFonts w:ascii="Times New Roman" w:hAnsi="Times New Roman" w:cs="Times New Roman"/>
          <w:b/>
        </w:rPr>
      </w:pPr>
      <w:r>
        <w:rPr>
          <w:rFonts w:ascii="Times New Roman" w:hAnsi="Times New Roman" w:cs="Times New Roman"/>
          <w:b/>
        </w:rPr>
        <w:br w:type="page"/>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CERTIFICATION</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is to certify that this project is original work carried out by </w:t>
      </w:r>
      <w:r>
        <w:rPr>
          <w:rFonts w:ascii="Times New Roman" w:hAnsi="Times New Roman" w:cs="Times New Roman"/>
          <w:b/>
          <w:sz w:val="24"/>
          <w:szCs w:val="24"/>
        </w:rPr>
        <w:t>AMUNEGA JOSHUA OLAMILEKAN</w:t>
      </w:r>
      <w:r>
        <w:rPr>
          <w:rFonts w:ascii="Times New Roman" w:hAnsi="Times New Roman" w:cs="Times New Roman"/>
          <w:sz w:val="24"/>
          <w:szCs w:val="24"/>
        </w:rPr>
        <w:t xml:space="preserve"> with matric No </w:t>
      </w:r>
      <w:r>
        <w:rPr>
          <w:rFonts w:ascii="Times New Roman" w:hAnsi="Times New Roman" w:cs="Times New Roman"/>
          <w:b/>
          <w:sz w:val="24"/>
          <w:szCs w:val="24"/>
        </w:rPr>
        <w:t>HND/23/ETM/FT/0042</w:t>
      </w:r>
      <w:r>
        <w:rPr>
          <w:rFonts w:ascii="Times New Roman" w:hAnsi="Times New Roman" w:cs="Times New Roman"/>
          <w:sz w:val="24"/>
          <w:szCs w:val="24"/>
        </w:rPr>
        <w:t xml:space="preserve"> of Estate Management and Valuation Department and has been prepared in accordance with the regulations governing the preparation and presentation of project in Kwara State Polytechnic, Ilorin.</w:t>
      </w:r>
    </w:p>
    <w:p>
      <w:pPr>
        <w:spacing w:line="240" w:lineRule="auto"/>
        <w:rPr>
          <w:rFonts w:ascii="Times New Roman" w:hAnsi="Times New Roman" w:cs="Times New Roman"/>
          <w:sz w:val="24"/>
          <w:szCs w:val="24"/>
        </w:rPr>
      </w:pPr>
      <w:r>
        <w:rPr>
          <w:rFonts w:ascii="Times New Roman" w:hAnsi="Times New Roman" w:cs="Times New Roman"/>
          <w:sz w:val="24"/>
          <w:szCs w:val="24"/>
        </w:rPr>
        <w:drawing>
          <wp:anchor distT="0" distB="0" distL="114300" distR="114300" simplePos="0" relativeHeight="251663360" behindDoc="1" locked="0" layoutInCell="1" allowOverlap="1">
            <wp:simplePos x="0" y="0"/>
            <wp:positionH relativeFrom="column">
              <wp:posOffset>78105</wp:posOffset>
            </wp:positionH>
            <wp:positionV relativeFrom="paragraph">
              <wp:posOffset>231775</wp:posOffset>
            </wp:positionV>
            <wp:extent cx="6018530" cy="552450"/>
            <wp:effectExtent l="19050" t="0" r="1270" b="0"/>
            <wp:wrapNone/>
            <wp:docPr id="104" name="Picture 3" descr="C:\Users\HP\Downloads\WhatsApp Image 2025-07-25 at 2.09.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3" descr="C:\Users\HP\Downloads\WhatsApp Image 2025-07-25 at 2.09.08 PM.jpeg"/>
                    <pic:cNvPicPr>
                      <a:picLocks noChangeAspect="1" noChangeArrowheads="1"/>
                    </pic:cNvPicPr>
                  </pic:nvPicPr>
                  <pic:blipFill>
                    <a:blip r:embed="rId5">
                      <a:lum bright="20000" contrast="40000"/>
                    </a:blip>
                    <a:srcRect l="9163" t="51724" b="33341"/>
                    <a:stretch>
                      <a:fillRect/>
                    </a:stretch>
                  </pic:blipFill>
                  <pic:spPr>
                    <a:xfrm>
                      <a:off x="0" y="0"/>
                      <a:ext cx="6018530" cy="552450"/>
                    </a:xfrm>
                    <a:prstGeom prst="rect">
                      <a:avLst/>
                    </a:prstGeom>
                    <a:noFill/>
                    <a:ln w="9525">
                      <a:noFill/>
                      <a:miter lim="800000"/>
                      <a:headEnd/>
                      <a:tailEnd/>
                    </a:ln>
                  </pic:spPr>
                </pic:pic>
              </a:graphicData>
            </a:graphic>
          </wp:anchor>
        </w:drawing>
      </w:r>
    </w:p>
    <w:p>
      <w:pPr>
        <w:spacing w:line="240" w:lineRule="auto"/>
        <w:rPr>
          <w:rFonts w:ascii="Times New Roman" w:hAnsi="Times New Roman" w:cs="Times New Roman"/>
          <w:b/>
          <w:sz w:val="24"/>
          <w:szCs w:val="24"/>
        </w:rPr>
      </w:pPr>
    </w:p>
    <w:p>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_______________________</w:t>
      </w:r>
    </w:p>
    <w:p>
      <w:pPr>
        <w:spacing w:after="0" w:line="240" w:lineRule="auto"/>
        <w:rPr>
          <w:rFonts w:ascii="Times New Roman" w:hAnsi="Times New Roman" w:cs="Times New Roman"/>
          <w:b/>
          <w:sz w:val="24"/>
          <w:szCs w:val="24"/>
        </w:rPr>
      </w:pPr>
      <w:r>
        <w:rPr>
          <w:rFonts w:ascii="Times New Roman" w:hAnsi="Times New Roman" w:cs="Times New Roman"/>
          <w:b/>
          <w:sz w:val="24"/>
          <w:szCs w:val="24"/>
          <w:lang w:val="en-US"/>
        </w:rPr>
        <w:t>ESV</w:t>
      </w:r>
      <w:bookmarkStart w:id="0" w:name="_GoBack"/>
      <w:bookmarkEnd w:id="0"/>
      <w:r>
        <w:rPr>
          <w:rFonts w:ascii="Times New Roman" w:hAnsi="Times New Roman" w:cs="Times New Roman"/>
          <w:b/>
          <w:sz w:val="24"/>
          <w:szCs w:val="24"/>
        </w:rPr>
        <w:t>. AFOLAYAN ABEL O.</w:t>
      </w:r>
      <w:r>
        <w:rPr>
          <w:rFonts w:ascii="Times New Roman" w:hAnsi="Times New Roman" w:cs="Times New Roman"/>
          <w:b/>
          <w:sz w:val="24"/>
          <w:szCs w:val="24"/>
          <w:lang w:val="en-US"/>
        </w:rPr>
        <w:t>(FNIVS,RSV)</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Date</w:t>
      </w:r>
    </w:p>
    <w:p>
      <w:pPr>
        <w:spacing w:after="0" w:line="240" w:lineRule="auto"/>
        <w:rPr>
          <w:rFonts w:ascii="Times New Roman" w:hAnsi="Times New Roman" w:cs="Times New Roman"/>
          <w:b/>
          <w:sz w:val="24"/>
          <w:szCs w:val="24"/>
        </w:rPr>
      </w:pPr>
      <w:r>
        <w:rPr>
          <w:rFonts w:ascii="Times New Roman" w:hAnsi="Times New Roman" w:cs="Times New Roman"/>
          <w:b/>
          <w:sz w:val="24"/>
          <w:szCs w:val="24"/>
        </w:rPr>
        <w:t>Project Supervisor</w:t>
      </w:r>
    </w:p>
    <w:p>
      <w:pPr>
        <w:spacing w:after="0" w:line="240" w:lineRule="auto"/>
        <w:rPr>
          <w:rFonts w:ascii="Times New Roman" w:hAnsi="Times New Roman" w:cs="Times New Roman"/>
          <w:b/>
          <w:sz w:val="24"/>
          <w:szCs w:val="24"/>
        </w:rPr>
      </w:pPr>
    </w:p>
    <w:p>
      <w:pPr>
        <w:spacing w:after="0" w:line="240" w:lineRule="auto"/>
        <w:rPr>
          <w:rFonts w:ascii="Times New Roman" w:hAnsi="Times New Roman" w:cs="Times New Roman"/>
          <w:b/>
          <w:sz w:val="24"/>
          <w:szCs w:val="24"/>
        </w:rPr>
      </w:pPr>
      <w:r>
        <w:rPr>
          <w:rFonts w:ascii="Times New Roman" w:hAnsi="Times New Roman" w:cs="Times New Roman"/>
          <w:b/>
          <w:sz w:val="24"/>
          <w:szCs w:val="24"/>
        </w:rPr>
        <w:drawing>
          <wp:anchor distT="0" distB="0" distL="114300" distR="114300" simplePos="0" relativeHeight="251660288" behindDoc="1" locked="0" layoutInCell="1" allowOverlap="1">
            <wp:simplePos x="0" y="0"/>
            <wp:positionH relativeFrom="column">
              <wp:posOffset>-931545</wp:posOffset>
            </wp:positionH>
            <wp:positionV relativeFrom="paragraph">
              <wp:posOffset>126365</wp:posOffset>
            </wp:positionV>
            <wp:extent cx="8337550" cy="619125"/>
            <wp:effectExtent l="19050" t="0" r="6350" b="0"/>
            <wp:wrapNone/>
            <wp:docPr id="105" name="Picture 1" descr="C:\Users\HP\Documents\Scanned Documents\Image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 descr="C:\Users\HP\Documents\Scanned Documents\Image (57).jpg"/>
                    <pic:cNvPicPr>
                      <a:picLocks noChangeAspect="1" noChangeArrowheads="1"/>
                    </pic:cNvPicPr>
                  </pic:nvPicPr>
                  <pic:blipFill>
                    <a:blip r:embed="rId6">
                      <a:lum bright="10000" contrast="10000"/>
                    </a:blip>
                    <a:srcRect l="2508" t="41256" b="53578"/>
                    <a:stretch>
                      <a:fillRect/>
                    </a:stretch>
                  </pic:blipFill>
                  <pic:spPr>
                    <a:xfrm>
                      <a:off x="0" y="0"/>
                      <a:ext cx="8337550" cy="619125"/>
                    </a:xfrm>
                    <a:prstGeom prst="rect">
                      <a:avLst/>
                    </a:prstGeom>
                    <a:noFill/>
                    <a:ln w="9525">
                      <a:noFill/>
                      <a:miter lim="800000"/>
                      <a:headEnd/>
                      <a:tailEnd/>
                    </a:ln>
                  </pic:spPr>
                </pic:pic>
              </a:graphicData>
            </a:graphic>
          </wp:anchor>
        </w:drawing>
      </w:r>
    </w:p>
    <w:p>
      <w:pPr>
        <w:spacing w:after="0" w:line="240" w:lineRule="auto"/>
        <w:rPr>
          <w:rFonts w:ascii="Times New Roman" w:hAnsi="Times New Roman" w:cs="Times New Roman"/>
          <w:b/>
          <w:sz w:val="24"/>
          <w:szCs w:val="24"/>
        </w:rPr>
      </w:pPr>
    </w:p>
    <w:p>
      <w:pPr>
        <w:spacing w:after="0" w:line="240" w:lineRule="auto"/>
        <w:rPr>
          <w:rFonts w:ascii="Times New Roman" w:hAnsi="Times New Roman" w:cs="Times New Roman"/>
          <w:b/>
          <w:sz w:val="24"/>
          <w:szCs w:val="24"/>
        </w:rPr>
      </w:pPr>
    </w:p>
    <w:p>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_______________________</w:t>
      </w:r>
    </w:p>
    <w:p>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ESV DR. MRS. UWAEZUOKE N. I (ANIVS) (RSV)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Date</w:t>
      </w:r>
    </w:p>
    <w:p>
      <w:pPr>
        <w:spacing w:after="0" w:line="240" w:lineRule="auto"/>
        <w:rPr>
          <w:rFonts w:ascii="Times New Roman" w:hAnsi="Times New Roman" w:cs="Times New Roman"/>
          <w:b/>
          <w:sz w:val="24"/>
          <w:szCs w:val="24"/>
        </w:rPr>
      </w:pPr>
      <w:r>
        <w:rPr>
          <w:rFonts w:ascii="Times New Roman" w:hAnsi="Times New Roman" w:cs="Times New Roman"/>
          <w:b/>
          <w:sz w:val="24"/>
          <w:szCs w:val="24"/>
        </w:rPr>
        <w:t>Project Coordinator</w:t>
      </w:r>
    </w:p>
    <w:p>
      <w:pPr>
        <w:spacing w:after="0" w:line="240" w:lineRule="auto"/>
        <w:rPr>
          <w:rFonts w:ascii="Times New Roman" w:hAnsi="Times New Roman" w:cs="Times New Roman"/>
          <w:b/>
          <w:sz w:val="24"/>
          <w:szCs w:val="24"/>
        </w:rPr>
      </w:pPr>
      <w:r>
        <w:rPr>
          <w:rFonts w:ascii="Times New Roman" w:hAnsi="Times New Roman" w:cs="Times New Roman"/>
          <w:b/>
          <w:sz w:val="24"/>
          <w:szCs w:val="24"/>
        </w:rPr>
        <w:drawing>
          <wp:anchor distT="0" distB="0" distL="114300" distR="114300" simplePos="0" relativeHeight="251661312" behindDoc="1" locked="0" layoutInCell="1" allowOverlap="1">
            <wp:simplePos x="0" y="0"/>
            <wp:positionH relativeFrom="column">
              <wp:posOffset>-845820</wp:posOffset>
            </wp:positionH>
            <wp:positionV relativeFrom="paragraph">
              <wp:posOffset>161925</wp:posOffset>
            </wp:positionV>
            <wp:extent cx="7859395" cy="659130"/>
            <wp:effectExtent l="19050" t="0" r="8169" b="0"/>
            <wp:wrapNone/>
            <wp:docPr id="106" name="Picture 1" descr="C:\Users\HP\Documents\Scanned Documents\Image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 descr="C:\Users\HP\Documents\Scanned Documents\Image (57).jpg"/>
                    <pic:cNvPicPr>
                      <a:picLocks noChangeAspect="1" noChangeArrowheads="1"/>
                    </pic:cNvPicPr>
                  </pic:nvPicPr>
                  <pic:blipFill>
                    <a:blip r:embed="rId6">
                      <a:lum contrast="30000"/>
                    </a:blip>
                    <a:srcRect t="52475" b="41470"/>
                    <a:stretch>
                      <a:fillRect/>
                    </a:stretch>
                  </pic:blipFill>
                  <pic:spPr>
                    <a:xfrm>
                      <a:off x="0" y="0"/>
                      <a:ext cx="7859481" cy="659027"/>
                    </a:xfrm>
                    <a:prstGeom prst="rect">
                      <a:avLst/>
                    </a:prstGeom>
                    <a:noFill/>
                    <a:ln w="9525">
                      <a:noFill/>
                      <a:miter lim="800000"/>
                      <a:headEnd/>
                      <a:tailEnd/>
                    </a:ln>
                  </pic:spPr>
                </pic:pic>
              </a:graphicData>
            </a:graphic>
          </wp:anchor>
        </w:drawing>
      </w:r>
    </w:p>
    <w:p>
      <w:pPr>
        <w:spacing w:after="0" w:line="240" w:lineRule="auto"/>
        <w:rPr>
          <w:rFonts w:ascii="Times New Roman" w:hAnsi="Times New Roman" w:cs="Times New Roman"/>
          <w:b/>
          <w:sz w:val="24"/>
          <w:szCs w:val="24"/>
        </w:rPr>
      </w:pPr>
    </w:p>
    <w:p>
      <w:pPr>
        <w:spacing w:after="0" w:line="240" w:lineRule="auto"/>
        <w:rPr>
          <w:rFonts w:ascii="Times New Roman" w:hAnsi="Times New Roman" w:cs="Times New Roman"/>
          <w:b/>
          <w:sz w:val="24"/>
          <w:szCs w:val="24"/>
        </w:rPr>
      </w:pPr>
    </w:p>
    <w:p>
      <w:pPr>
        <w:spacing w:after="0" w:line="240" w:lineRule="auto"/>
        <w:rPr>
          <w:rFonts w:ascii="Times New Roman" w:hAnsi="Times New Roman" w:cs="Times New Roman"/>
          <w:b/>
          <w:sz w:val="24"/>
          <w:szCs w:val="24"/>
        </w:rPr>
      </w:pPr>
    </w:p>
    <w:p>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xml:space="preserve">    _______________________</w:t>
      </w:r>
    </w:p>
    <w:p>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ESV ABDULKAREEM RASHIDAT A. (ANIVS) (RSV) </w:t>
      </w:r>
      <w:r>
        <w:rPr>
          <w:rFonts w:ascii="Times New Roman" w:hAnsi="Times New Roman" w:cs="Times New Roman"/>
          <w:b/>
          <w:sz w:val="24"/>
          <w:szCs w:val="24"/>
        </w:rPr>
        <w:tab/>
      </w:r>
      <w:r>
        <w:rPr>
          <w:rFonts w:ascii="Times New Roman" w:hAnsi="Times New Roman" w:cs="Times New Roman"/>
          <w:b/>
          <w:sz w:val="24"/>
          <w:szCs w:val="24"/>
        </w:rPr>
        <w:t>Date</w:t>
      </w:r>
    </w:p>
    <w:p>
      <w:pPr>
        <w:spacing w:after="0" w:line="240" w:lineRule="auto"/>
        <w:rPr>
          <w:rFonts w:ascii="Times New Roman" w:hAnsi="Times New Roman" w:cs="Times New Roman"/>
          <w:b/>
          <w:sz w:val="24"/>
          <w:szCs w:val="24"/>
        </w:rPr>
      </w:pPr>
      <w:r>
        <w:rPr>
          <w:rFonts w:ascii="Times New Roman" w:hAnsi="Times New Roman" w:cs="Times New Roman"/>
          <w:b/>
          <w:sz w:val="24"/>
          <w:szCs w:val="24"/>
        </w:rPr>
        <w:t>Head of Department</w:t>
      </w:r>
      <w:r>
        <w:rPr>
          <w:rFonts w:ascii="Times New Roman" w:hAnsi="Times New Roman" w:cs="Times New Roman"/>
          <w:b/>
          <w:sz w:val="24"/>
          <w:szCs w:val="24"/>
        </w:rPr>
        <w:tab/>
      </w:r>
    </w:p>
    <w:p>
      <w:pPr>
        <w:spacing w:after="0" w:line="240" w:lineRule="auto"/>
        <w:rPr>
          <w:rFonts w:ascii="Times New Roman" w:hAnsi="Times New Roman" w:cs="Times New Roman"/>
          <w:b/>
          <w:sz w:val="24"/>
          <w:szCs w:val="24"/>
        </w:rPr>
      </w:pPr>
    </w:p>
    <w:p>
      <w:pPr>
        <w:spacing w:after="0" w:line="240" w:lineRule="auto"/>
        <w:rPr>
          <w:rFonts w:ascii="Times New Roman" w:hAnsi="Times New Roman" w:cs="Times New Roman"/>
          <w:b/>
          <w:sz w:val="24"/>
          <w:szCs w:val="24"/>
        </w:rPr>
      </w:pPr>
      <w:r>
        <w:rPr>
          <w:rFonts w:ascii="Times New Roman" w:hAnsi="Times New Roman" w:cs="Times New Roman"/>
          <w:b/>
          <w:sz w:val="24"/>
          <w:szCs w:val="24"/>
        </w:rPr>
        <w:drawing>
          <wp:anchor distT="0" distB="0" distL="114300" distR="114300" simplePos="0" relativeHeight="251659264" behindDoc="1" locked="0" layoutInCell="1" allowOverlap="1">
            <wp:simplePos x="0" y="0"/>
            <wp:positionH relativeFrom="column">
              <wp:posOffset>-274320</wp:posOffset>
            </wp:positionH>
            <wp:positionV relativeFrom="paragraph">
              <wp:posOffset>-4445</wp:posOffset>
            </wp:positionV>
            <wp:extent cx="2312035" cy="930275"/>
            <wp:effectExtent l="19050" t="0" r="0" b="0"/>
            <wp:wrapNone/>
            <wp:docPr id="107" name="Picture 2" descr="C:\Users\HP\Downloads\WhatsApp Image 2025-07-25 at 1.11.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2" descr="C:\Users\HP\Downloads\WhatsApp Image 2025-07-25 at 1.11.29 PM.jpeg"/>
                    <pic:cNvPicPr>
                      <a:picLocks noChangeAspect="1" noChangeArrowheads="1"/>
                    </pic:cNvPicPr>
                  </pic:nvPicPr>
                  <pic:blipFill>
                    <a:blip r:embed="rId7"/>
                    <a:srcRect l="14106" r="6270" b="11111"/>
                    <a:stretch>
                      <a:fillRect/>
                    </a:stretch>
                  </pic:blipFill>
                  <pic:spPr>
                    <a:xfrm>
                      <a:off x="0" y="0"/>
                      <a:ext cx="2312035" cy="930275"/>
                    </a:xfrm>
                    <a:prstGeom prst="rect">
                      <a:avLst/>
                    </a:prstGeom>
                    <a:noFill/>
                    <a:ln w="9525">
                      <a:noFill/>
                      <a:miter lim="800000"/>
                      <a:headEnd/>
                      <a:tailEnd/>
                    </a:ln>
                  </pic:spPr>
                </pic:pic>
              </a:graphicData>
            </a:graphic>
          </wp:anchor>
        </w:drawing>
      </w:r>
    </w:p>
    <w:p>
      <w:pPr>
        <w:spacing w:after="0" w:line="240" w:lineRule="auto"/>
        <w:rPr>
          <w:rFonts w:ascii="Times New Roman" w:hAnsi="Times New Roman" w:cs="Times New Roman"/>
          <w:b/>
          <w:sz w:val="24"/>
          <w:szCs w:val="24"/>
        </w:rPr>
      </w:pPr>
      <w:r>
        <w:rPr>
          <w:rFonts w:ascii="Times New Roman" w:hAnsi="Times New Roman" w:cs="Times New Roman"/>
          <w:b/>
          <w:sz w:val="24"/>
          <w:szCs w:val="24"/>
        </w:rPr>
        <w:drawing>
          <wp:anchor distT="0" distB="0" distL="114300" distR="114300" simplePos="0" relativeHeight="251662336" behindDoc="1" locked="0" layoutInCell="1" allowOverlap="1">
            <wp:simplePos x="0" y="0"/>
            <wp:positionH relativeFrom="column">
              <wp:posOffset>3692525</wp:posOffset>
            </wp:positionH>
            <wp:positionV relativeFrom="paragraph">
              <wp:posOffset>135890</wp:posOffset>
            </wp:positionV>
            <wp:extent cx="2369820" cy="617220"/>
            <wp:effectExtent l="19050" t="0" r="0" b="0"/>
            <wp:wrapNone/>
            <wp:docPr id="108" name="Picture 1" descr="C:\Users\HP\Documents\Scanned Documents\Image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 descr="C:\Users\HP\Documents\Scanned Documents\Image (57).jpg"/>
                    <pic:cNvPicPr>
                      <a:picLocks noChangeAspect="1" noChangeArrowheads="1"/>
                    </pic:cNvPicPr>
                  </pic:nvPicPr>
                  <pic:blipFill>
                    <a:blip r:embed="rId6">
                      <a:lum bright="10000" contrast="10000"/>
                    </a:blip>
                    <a:srcRect l="57959" t="41256" r="14339" b="53578"/>
                    <a:stretch>
                      <a:fillRect/>
                    </a:stretch>
                  </pic:blipFill>
                  <pic:spPr>
                    <a:xfrm>
                      <a:off x="0" y="0"/>
                      <a:ext cx="2369820" cy="617220"/>
                    </a:xfrm>
                    <a:prstGeom prst="rect">
                      <a:avLst/>
                    </a:prstGeom>
                    <a:noFill/>
                    <a:ln w="9525">
                      <a:noFill/>
                      <a:miter lim="800000"/>
                      <a:headEnd/>
                      <a:tailEnd/>
                    </a:ln>
                  </pic:spPr>
                </pic:pic>
              </a:graphicData>
            </a:graphic>
          </wp:anchor>
        </w:drawing>
      </w:r>
    </w:p>
    <w:p>
      <w:pPr>
        <w:spacing w:after="0" w:line="240" w:lineRule="auto"/>
        <w:rPr>
          <w:rFonts w:ascii="Times New Roman" w:hAnsi="Times New Roman" w:cs="Times New Roman"/>
          <w:b/>
          <w:sz w:val="24"/>
          <w:szCs w:val="24"/>
        </w:rPr>
      </w:pPr>
    </w:p>
    <w:p>
      <w:pPr>
        <w:spacing w:after="0" w:line="240" w:lineRule="auto"/>
        <w:rPr>
          <w:rFonts w:ascii="Times New Roman" w:hAnsi="Times New Roman" w:cs="Times New Roman"/>
          <w:b/>
          <w:sz w:val="24"/>
          <w:szCs w:val="24"/>
        </w:rPr>
      </w:pPr>
    </w:p>
    <w:p>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_______________________</w:t>
      </w:r>
    </w:p>
    <w:p>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pPr>
        <w:spacing w:after="0" w:line="240" w:lineRule="auto"/>
        <w:rPr>
          <w:rFonts w:ascii="Times New Roman" w:hAnsi="Times New Roman" w:cs="Times New Roman"/>
          <w:b/>
          <w:sz w:val="24"/>
          <w:szCs w:val="24"/>
        </w:rPr>
      </w:pPr>
      <w:r>
        <w:rPr>
          <w:rFonts w:ascii="Times New Roman" w:hAnsi="Times New Roman" w:cs="Times New Roman"/>
          <w:b/>
          <w:sz w:val="24"/>
          <w:szCs w:val="24"/>
        </w:rPr>
        <w:t>ESV. DR. LUKMAN MUSIBAU Ph.D (ANIVS) RSV</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Date</w:t>
      </w:r>
    </w:p>
    <w:p>
      <w:pPr>
        <w:spacing w:after="0" w:line="240" w:lineRule="auto"/>
        <w:rPr>
          <w:rFonts w:ascii="Times New Roman" w:hAnsi="Times New Roman" w:cs="Times New Roman"/>
          <w:b/>
          <w:sz w:val="24"/>
          <w:szCs w:val="24"/>
        </w:rPr>
      </w:pPr>
      <w:r>
        <w:rPr>
          <w:rFonts w:ascii="Times New Roman" w:hAnsi="Times New Roman" w:cs="Times New Roman"/>
          <w:b/>
          <w:sz w:val="24"/>
          <w:szCs w:val="24"/>
        </w:rPr>
        <w:t>External Examiner</w:t>
      </w:r>
    </w:p>
    <w:p>
      <w:pPr>
        <w:spacing w:line="240" w:lineRule="auto"/>
        <w:rPr>
          <w:rFonts w:ascii="Times New Roman" w:hAnsi="Times New Roman" w:cs="Times New Roman"/>
          <w:b/>
          <w:sz w:val="24"/>
          <w:szCs w:val="24"/>
        </w:rPr>
      </w:pPr>
    </w:p>
    <w:p>
      <w:pPr>
        <w:spacing w:line="240" w:lineRule="auto"/>
        <w:rPr>
          <w:rFonts w:ascii="Times New Roman" w:hAnsi="Times New Roman" w:cs="Times New Roman"/>
          <w:b/>
          <w:sz w:val="24"/>
          <w:szCs w:val="24"/>
        </w:rPr>
      </w:pPr>
    </w:p>
    <w:p>
      <w:pPr>
        <w:spacing w:line="240" w:lineRule="auto"/>
        <w:rPr>
          <w:rFonts w:ascii="Times New Roman" w:hAnsi="Times New Roman" w:cs="Times New Roman"/>
          <w:b/>
          <w:sz w:val="24"/>
          <w:szCs w:val="24"/>
        </w:rPr>
      </w:pPr>
    </w:p>
    <w:p>
      <w:pPr>
        <w:rPr>
          <w:rFonts w:ascii="Times New Roman" w:hAnsi="Times New Roman" w:cs="Times New Roman"/>
          <w:b/>
          <w:szCs w:val="24"/>
        </w:rPr>
      </w:pPr>
      <w:r>
        <w:rPr>
          <w:rFonts w:ascii="Times New Roman" w:hAnsi="Times New Roman" w:cs="Times New Roman"/>
          <w:b/>
          <w:szCs w:val="24"/>
        </w:rPr>
        <w:br w:type="page"/>
      </w:r>
    </w:p>
    <w:p>
      <w:pPr>
        <w:spacing w:line="360" w:lineRule="auto"/>
        <w:jc w:val="center"/>
        <w:rPr>
          <w:rFonts w:ascii="Times New Roman" w:hAnsi="Times New Roman" w:cs="Times New Roman"/>
          <w:b/>
          <w:szCs w:val="24"/>
        </w:rPr>
      </w:pPr>
      <w:r>
        <w:rPr>
          <w:rFonts w:ascii="Times New Roman" w:hAnsi="Times New Roman" w:cs="Times New Roman"/>
          <w:b/>
          <w:szCs w:val="24"/>
        </w:rPr>
        <w:t>DEDICATION</w:t>
      </w:r>
    </w:p>
    <w:p>
      <w:pPr>
        <w:spacing w:line="360" w:lineRule="auto"/>
        <w:ind w:firstLine="720"/>
        <w:jc w:val="both"/>
        <w:rPr>
          <w:rFonts w:ascii="Times New Roman" w:hAnsi="Times New Roman" w:cs="Times New Roman"/>
          <w:szCs w:val="24"/>
        </w:rPr>
      </w:pPr>
      <w:r>
        <w:rPr>
          <w:rFonts w:ascii="Times New Roman" w:hAnsi="Times New Roman" w:cs="Times New Roman"/>
          <w:szCs w:val="24"/>
        </w:rPr>
        <w:t>This project is dedicated to Almighty God, the giver of knowledge and understanding; who stood by me throughout my stay at Kwara State Polytechnic, Ilorin in the pursuit of acquiring my Higher National Diploma (HND).</w:t>
      </w:r>
    </w:p>
    <w:p>
      <w:pPr>
        <w:rPr>
          <w:rFonts w:ascii="Times New Roman" w:hAnsi="Times New Roman" w:cs="Times New Roman"/>
          <w:b/>
          <w:sz w:val="24"/>
          <w:szCs w:val="24"/>
        </w:rPr>
      </w:pPr>
    </w:p>
    <w:p>
      <w:pPr>
        <w:rPr>
          <w:rFonts w:ascii="Times New Roman" w:hAnsi="Times New Roman" w:cs="Times New Roman"/>
          <w:b/>
          <w:sz w:val="24"/>
          <w:szCs w:val="24"/>
        </w:rPr>
      </w:pPr>
      <w:r>
        <w:rPr>
          <w:rFonts w:ascii="Times New Roman" w:hAnsi="Times New Roman" w:cs="Times New Roman"/>
          <w:b/>
          <w:sz w:val="24"/>
          <w:szCs w:val="24"/>
        </w:rPr>
        <w:br w:type="page"/>
      </w:r>
    </w:p>
    <w:p>
      <w:pPr>
        <w:jc w:val="center"/>
        <w:rPr>
          <w:rFonts w:ascii="Times New Roman" w:hAnsi="Times New Roman" w:cs="Times New Roman"/>
          <w:b/>
          <w:sz w:val="24"/>
          <w:szCs w:val="24"/>
        </w:rPr>
      </w:pPr>
      <w:r>
        <w:rPr>
          <w:rFonts w:ascii="Times New Roman" w:hAnsi="Times New Roman" w:cs="Times New Roman"/>
          <w:b/>
          <w:sz w:val="24"/>
          <w:szCs w:val="24"/>
        </w:rPr>
        <w:t>ACKNOWLEDGEMENTS</w:t>
      </w:r>
    </w:p>
    <w:p>
      <w:pPr>
        <w:ind w:firstLine="720"/>
        <w:jc w:val="both"/>
        <w:rPr>
          <w:rFonts w:ascii="Times New Roman" w:hAnsi="Times New Roman" w:cs="Times New Roman"/>
          <w:sz w:val="24"/>
        </w:rPr>
      </w:pPr>
      <w:r>
        <w:rPr>
          <w:rFonts w:ascii="Times New Roman" w:hAnsi="Times New Roman" w:cs="Times New Roman"/>
          <w:sz w:val="24"/>
        </w:rPr>
        <w:t xml:space="preserve">To the source that create life, I call him Abba father, Arugbo ojo, the way maker, the source of my living,  wisdom of the wise, the only true God for His consistent in all my doings thanks to that father for His sufficient blessings. </w:t>
      </w:r>
    </w:p>
    <w:p>
      <w:pPr>
        <w:ind w:firstLine="720"/>
        <w:jc w:val="both"/>
        <w:rPr>
          <w:rFonts w:ascii="Times New Roman" w:hAnsi="Times New Roman" w:cs="Times New Roman"/>
          <w:sz w:val="24"/>
        </w:rPr>
      </w:pPr>
      <w:r>
        <w:rPr>
          <w:rFonts w:ascii="Times New Roman" w:hAnsi="Times New Roman" w:cs="Times New Roman"/>
          <w:sz w:val="24"/>
        </w:rPr>
        <w:t>My profound gratitude also goes to my project supervisors MR. ESV. AFOLAYAN who took their precious time to have painstakingly corrected the this work before having it printed.  I pray may the good Lord bless you richly in Name.</w:t>
      </w:r>
    </w:p>
    <w:p>
      <w:pPr>
        <w:ind w:firstLine="720"/>
        <w:jc w:val="both"/>
        <w:rPr>
          <w:rFonts w:ascii="Times New Roman" w:hAnsi="Times New Roman" w:cs="Times New Roman"/>
          <w:sz w:val="24"/>
        </w:rPr>
      </w:pPr>
      <w:r>
        <w:rPr>
          <w:rFonts w:ascii="Times New Roman" w:hAnsi="Times New Roman" w:cs="Times New Roman"/>
          <w:sz w:val="24"/>
        </w:rPr>
        <w:t>My immeasurable gratitude goes to my parents, my advisor, my mentor,  thanks for not giving up despite the challenges, you're a strong parents, I pray you eat the fruits of your labor in Jesus Name.</w:t>
      </w:r>
    </w:p>
    <w:p>
      <w:pPr>
        <w:jc w:val="both"/>
        <w:rPr>
          <w:rFonts w:ascii="Times New Roman" w:hAnsi="Times New Roman" w:cs="Times New Roman"/>
          <w:sz w:val="24"/>
        </w:rPr>
      </w:pPr>
      <w:r>
        <w:rPr>
          <w:rFonts w:ascii="Times New Roman" w:hAnsi="Times New Roman" w:cs="Times New Roman"/>
          <w:sz w:val="24"/>
        </w:rPr>
        <w:t>I will be ungrateful if I didn't mention my brother's and sisters,  you are indeed a great family members, thank you all for your support, advice and other things I cannot mention.</w:t>
      </w:r>
    </w:p>
    <w:p>
      <w:pPr>
        <w:jc w:val="both"/>
        <w:rPr>
          <w:rFonts w:ascii="Times New Roman" w:hAnsi="Times New Roman" w:cs="Times New Roman"/>
          <w:sz w:val="24"/>
        </w:rPr>
      </w:pPr>
      <w:r>
        <w:rPr>
          <w:rFonts w:ascii="Times New Roman" w:hAnsi="Times New Roman" w:cs="Times New Roman"/>
          <w:sz w:val="24"/>
        </w:rPr>
        <w:t>Lastly,  my appreciation  goes to all who had contributed in me in one or two ways till the completion of this work I say a very big thanks.</w:t>
      </w:r>
    </w:p>
    <w:p>
      <w:pPr>
        <w:rPr>
          <w:rFonts w:ascii="Times New Roman" w:hAnsi="Times New Roman" w:cs="Times New Roman"/>
          <w:b/>
          <w:sz w:val="24"/>
          <w:szCs w:val="24"/>
        </w:rPr>
      </w:pPr>
      <w:r>
        <w:rPr>
          <w:rFonts w:ascii="Times New Roman" w:hAnsi="Times New Roman" w:cs="Times New Roman"/>
          <w:b/>
          <w:sz w:val="24"/>
          <w:szCs w:val="24"/>
        </w:rPr>
        <w:br w:type="page"/>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OF CONTENTS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Title page ……………………………………………………………………………..i</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Certification ………………………………………………………………………….ii</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Dedication …………………………………………………………………………...iii</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Acknowledgement …………………………………………………………………..iv</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Table of Contents …………………………………………………………………….v</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Abstract ………………………………………………………………………….….vii </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Chapter One: INTRODUCTION</w:t>
      </w:r>
    </w:p>
    <w:p>
      <w:pPr>
        <w:pStyle w:val="24"/>
        <w:numPr>
          <w:ilvl w:val="0"/>
          <w:numId w:val="1"/>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Introduction …………………………………………………………………1</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sz w:val="24"/>
          <w:szCs w:val="24"/>
        </w:rPr>
        <w:tab/>
      </w:r>
      <w:r>
        <w:rPr>
          <w:rFonts w:ascii="Times New Roman" w:hAnsi="Times New Roman" w:cs="Times New Roman"/>
          <w:sz w:val="24"/>
          <w:szCs w:val="24"/>
        </w:rPr>
        <w:t>Background to the study……………………………………………………...1</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r>
        <w:rPr>
          <w:rFonts w:ascii="Times New Roman" w:hAnsi="Times New Roman" w:cs="Times New Roman"/>
          <w:sz w:val="24"/>
          <w:szCs w:val="24"/>
        </w:rPr>
        <w:t>Statement of problem ………………………………………….……………..2</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r>
      <w:r>
        <w:rPr>
          <w:rFonts w:ascii="Times New Roman" w:hAnsi="Times New Roman" w:cs="Times New Roman"/>
          <w:sz w:val="24"/>
          <w:szCs w:val="24"/>
        </w:rPr>
        <w:t>Research Questions …………………………………………………………..3</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r>
      <w:r>
        <w:rPr>
          <w:rFonts w:ascii="Times New Roman" w:hAnsi="Times New Roman" w:cs="Times New Roman"/>
          <w:sz w:val="24"/>
          <w:szCs w:val="24"/>
        </w:rPr>
        <w:t>Aim and Objectives ………………………………………………………….3</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r>
      <w:r>
        <w:rPr>
          <w:rFonts w:ascii="Times New Roman" w:hAnsi="Times New Roman" w:cs="Times New Roman"/>
          <w:sz w:val="24"/>
          <w:szCs w:val="24"/>
        </w:rPr>
        <w:t>Justification of the study …………………………………………………….4</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r>
      <w:r>
        <w:rPr>
          <w:rFonts w:ascii="Times New Roman" w:hAnsi="Times New Roman" w:cs="Times New Roman"/>
          <w:sz w:val="24"/>
          <w:szCs w:val="24"/>
        </w:rPr>
        <w:t>Scope of Study ………………………………………………………………4</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r>
      <w:r>
        <w:rPr>
          <w:rFonts w:ascii="Times New Roman" w:hAnsi="Times New Roman" w:cs="Times New Roman"/>
          <w:sz w:val="24"/>
          <w:szCs w:val="24"/>
        </w:rPr>
        <w:t>Study Area …………………………………………………………………..5</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r>
      <w:r>
        <w:rPr>
          <w:rFonts w:ascii="Times New Roman" w:hAnsi="Times New Roman" w:cs="Times New Roman"/>
          <w:sz w:val="24"/>
          <w:szCs w:val="24"/>
        </w:rPr>
        <w:t>Definition of term …………………………………………………………...8</w:t>
      </w:r>
    </w:p>
    <w:p>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Chapter Two: LITERATURE REVIEW/CONCCEPTUAL FRAMEWORK. </w:t>
      </w:r>
    </w:p>
    <w:p>
      <w:pPr>
        <w:spacing w:line="360" w:lineRule="auto"/>
        <w:jc w:val="both"/>
        <w:rPr>
          <w:rFonts w:ascii="Times New Roman" w:hAnsi="Times New Roman" w:cs="Times New Roman"/>
        </w:rPr>
      </w:pPr>
      <w:r>
        <w:rPr>
          <w:rFonts w:ascii="Times New Roman" w:hAnsi="Times New Roman" w:cs="Times New Roman"/>
        </w:rPr>
        <w:t xml:space="preserve">2.0 </w:t>
      </w:r>
      <w:r>
        <w:rPr>
          <w:rFonts w:ascii="Times New Roman" w:hAnsi="Times New Roman" w:cs="Times New Roman"/>
        </w:rPr>
        <w:tab/>
      </w:r>
      <w:r>
        <w:rPr>
          <w:rFonts w:ascii="Times New Roman" w:hAnsi="Times New Roman" w:cs="Times New Roman"/>
        </w:rPr>
        <w:t>Introduction (the chapter should be introduced before other sub heading to be review)</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4"/>
          <w:szCs w:val="24"/>
        </w:rPr>
        <w:tab/>
      </w:r>
      <w:r>
        <w:rPr>
          <w:rFonts w:ascii="Times New Roman" w:hAnsi="Times New Roman" w:cs="Times New Roman"/>
          <w:sz w:val="24"/>
          <w:szCs w:val="24"/>
        </w:rPr>
        <w:t>Literature Review………………………………………………………..…10</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Conceptual Framework ……………………………………………………11</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Theoretical Framework …………………………………………………...17</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r>
      <w:r>
        <w:rPr>
          <w:rFonts w:ascii="Times New Roman" w:hAnsi="Times New Roman" w:cs="Times New Roman"/>
          <w:sz w:val="24"/>
          <w:szCs w:val="24"/>
        </w:rPr>
        <w:t>Summary of Literature Review …………………………………………...19</w:t>
      </w:r>
    </w:p>
    <w:p>
      <w:pPr>
        <w:spacing w:line="360" w:lineRule="auto"/>
        <w:jc w:val="both"/>
        <w:rPr>
          <w:rFonts w:ascii="Times New Roman" w:hAnsi="Times New Roman" w:cs="Times New Roman"/>
          <w:sz w:val="24"/>
          <w:szCs w:val="24"/>
        </w:rPr>
      </w:pPr>
      <w:r>
        <w:rPr>
          <w:rFonts w:ascii="Times New Roman" w:hAnsi="Times New Roman" w:cs="Times New Roman"/>
          <w:b/>
          <w:sz w:val="24"/>
          <w:szCs w:val="24"/>
        </w:rPr>
        <w:t>Chapter Three: RESEARCH METHODOLOGY</w:t>
      </w:r>
    </w:p>
    <w:p>
      <w:pPr>
        <w:pStyle w:val="24"/>
        <w:numPr>
          <w:ilvl w:val="0"/>
          <w:numId w:val="2"/>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Research Methodology ……………………………………………………21</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Pr>
          <w:rFonts w:ascii="Times New Roman" w:hAnsi="Times New Roman" w:cs="Times New Roman"/>
          <w:sz w:val="24"/>
          <w:szCs w:val="24"/>
        </w:rPr>
        <w:t>Introduction ………………………………………………………………..21</w:t>
      </w:r>
    </w:p>
    <w:p>
      <w:pPr>
        <w:pStyle w:val="24"/>
        <w:numPr>
          <w:ilvl w:val="1"/>
          <w:numId w:val="3"/>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Research Design …………………………………………………………...21</w:t>
      </w:r>
    </w:p>
    <w:p>
      <w:pPr>
        <w:pStyle w:val="24"/>
        <w:numPr>
          <w:ilvl w:val="1"/>
          <w:numId w:val="3"/>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Data Types and Source ……………………………………………….…..21</w:t>
      </w:r>
    </w:p>
    <w:p>
      <w:pPr>
        <w:pStyle w:val="24"/>
        <w:numPr>
          <w:ilvl w:val="1"/>
          <w:numId w:val="3"/>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Instrument for data collection…………………………………………….22</w:t>
      </w:r>
    </w:p>
    <w:p>
      <w:pPr>
        <w:pStyle w:val="24"/>
        <w:numPr>
          <w:ilvl w:val="1"/>
          <w:numId w:val="3"/>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Target population …………………………………………………….…….22</w:t>
      </w:r>
    </w:p>
    <w:p>
      <w:pPr>
        <w:pStyle w:val="24"/>
        <w:numPr>
          <w:ilvl w:val="1"/>
          <w:numId w:val="3"/>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Sample frame ………………………………………………………………22</w:t>
      </w:r>
    </w:p>
    <w:p>
      <w:pPr>
        <w:pStyle w:val="24"/>
        <w:numPr>
          <w:ilvl w:val="1"/>
          <w:numId w:val="3"/>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sample size …………………………………………………………………22</w:t>
      </w:r>
    </w:p>
    <w:p>
      <w:pPr>
        <w:pStyle w:val="24"/>
        <w:numPr>
          <w:ilvl w:val="1"/>
          <w:numId w:val="3"/>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sampling procedure ………………………………………………………...22</w:t>
      </w:r>
    </w:p>
    <w:p>
      <w:pPr>
        <w:pStyle w:val="24"/>
        <w:numPr>
          <w:ilvl w:val="1"/>
          <w:numId w:val="3"/>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Method of data analysis ………………………………………………...…23</w:t>
      </w:r>
    </w:p>
    <w:p>
      <w:pPr>
        <w:pStyle w:val="24"/>
        <w:numPr>
          <w:ilvl w:val="1"/>
          <w:numId w:val="3"/>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Summary of data analysis for each objective ……………………………...23</w:t>
      </w:r>
    </w:p>
    <w:p>
      <w:pPr>
        <w:spacing w:line="360" w:lineRule="auto"/>
        <w:jc w:val="both"/>
        <w:rPr>
          <w:rFonts w:ascii="Times New Roman" w:hAnsi="Times New Roman" w:cs="Times New Roman"/>
          <w:sz w:val="24"/>
          <w:szCs w:val="24"/>
        </w:rPr>
      </w:pPr>
      <w:r>
        <w:rPr>
          <w:rFonts w:ascii="Times New Roman" w:hAnsi="Times New Roman" w:cs="Times New Roman"/>
          <w:b/>
          <w:sz w:val="24"/>
          <w:szCs w:val="24"/>
        </w:rPr>
        <w:t>Chapter four: DATA PRESENTATION ANALYSIS AND INTERPRETATION</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4.0 Introduction ……………………………………………………………..…….28</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4.1 Data presentation, Analysis and interpretation of results ……………………..28</w:t>
      </w:r>
    </w:p>
    <w:p>
      <w:pPr>
        <w:spacing w:line="360" w:lineRule="auto"/>
        <w:jc w:val="both"/>
        <w:rPr>
          <w:rFonts w:ascii="Times New Roman" w:hAnsi="Times New Roman" w:cs="Times New Roman"/>
          <w:b/>
          <w:szCs w:val="24"/>
        </w:rPr>
      </w:pPr>
      <w:r>
        <w:rPr>
          <w:rFonts w:ascii="Times New Roman" w:hAnsi="Times New Roman" w:cs="Times New Roman"/>
          <w:b/>
          <w:sz w:val="24"/>
          <w:szCs w:val="24"/>
        </w:rPr>
        <w:t xml:space="preserve">Chapter five: </w:t>
      </w:r>
      <w:r>
        <w:rPr>
          <w:rFonts w:ascii="Times New Roman" w:hAnsi="Times New Roman" w:cs="Times New Roman"/>
          <w:b/>
          <w:szCs w:val="24"/>
        </w:rPr>
        <w:t>SUMMARY OF FINDINGS, CONCLUSION AND RECOMMEDATIONS</w:t>
      </w:r>
    </w:p>
    <w:p>
      <w:pPr>
        <w:pStyle w:val="24"/>
        <w:spacing w:line="360" w:lineRule="auto"/>
        <w:ind w:left="0"/>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r>
      <w:r>
        <w:rPr>
          <w:rFonts w:ascii="Times New Roman" w:hAnsi="Times New Roman" w:cs="Times New Roman"/>
          <w:sz w:val="24"/>
          <w:szCs w:val="24"/>
        </w:rPr>
        <w:t>Introduction ………………………………………………………………36</w:t>
      </w:r>
    </w:p>
    <w:p>
      <w:pPr>
        <w:pStyle w:val="24"/>
        <w:numPr>
          <w:ilvl w:val="1"/>
          <w:numId w:val="4"/>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Summary of findings. ………………………………………………….…36</w:t>
      </w:r>
    </w:p>
    <w:p>
      <w:pPr>
        <w:pStyle w:val="24"/>
        <w:numPr>
          <w:ilvl w:val="1"/>
          <w:numId w:val="4"/>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Conclusion …………………………………………………………….….36</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5.3 </w:t>
      </w:r>
      <w:r>
        <w:rPr>
          <w:rFonts w:ascii="Times New Roman" w:hAnsi="Times New Roman" w:cs="Times New Roman"/>
          <w:sz w:val="24"/>
          <w:szCs w:val="24"/>
        </w:rPr>
        <w:tab/>
      </w:r>
      <w:r>
        <w:rPr>
          <w:rFonts w:ascii="Times New Roman" w:hAnsi="Times New Roman" w:cs="Times New Roman"/>
          <w:sz w:val="24"/>
          <w:szCs w:val="24"/>
        </w:rPr>
        <w:t>Recommendations ………………………………………………….…….37</w:t>
      </w:r>
    </w:p>
    <w:p>
      <w:pPr>
        <w:spacing w:line="240" w:lineRule="auto"/>
        <w:ind w:left="720"/>
        <w:jc w:val="both"/>
        <w:rPr>
          <w:rFonts w:ascii="Times New Roman" w:hAnsi="Times New Roman" w:cs="Times New Roman"/>
          <w:sz w:val="24"/>
          <w:szCs w:val="24"/>
        </w:rPr>
      </w:pPr>
      <w:r>
        <w:rPr>
          <w:rFonts w:ascii="Times New Roman" w:hAnsi="Times New Roman" w:cs="Times New Roman"/>
          <w:b/>
          <w:sz w:val="24"/>
          <w:szCs w:val="24"/>
        </w:rPr>
        <w:t>References</w:t>
      </w:r>
    </w:p>
    <w:p>
      <w:pPr>
        <w:spacing w:before="240" w:line="240" w:lineRule="auto"/>
        <w:ind w:left="720"/>
        <w:jc w:val="both"/>
        <w:rPr>
          <w:rFonts w:ascii="Times New Roman" w:hAnsi="Times New Roman" w:cs="Times New Roman"/>
          <w:bCs/>
          <w:color w:val="000000" w:themeColor="text1"/>
          <w:sz w:val="26"/>
          <w:szCs w:val="26"/>
        </w:rPr>
      </w:pPr>
      <w:r>
        <w:rPr>
          <w:rFonts w:ascii="Times New Roman" w:hAnsi="Times New Roman" w:cs="Times New Roman"/>
          <w:b/>
          <w:sz w:val="24"/>
          <w:szCs w:val="24"/>
        </w:rPr>
        <w:t>Appendices</w:t>
      </w:r>
    </w:p>
    <w:p>
      <w:pP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br w:type="page"/>
      </w:r>
    </w:p>
    <w:p>
      <w:pPr>
        <w:spacing w:after="0"/>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ABSTRACT</w:t>
      </w:r>
    </w:p>
    <w:p>
      <w:pPr>
        <w:spacing w:after="0"/>
        <w:jc w:val="both"/>
        <w:rPr>
          <w:rFonts w:ascii="Times New Roman" w:hAnsi="Times New Roman" w:cs="Times New Roman"/>
          <w:i/>
          <w:color w:val="000000" w:themeColor="text1"/>
          <w:sz w:val="26"/>
          <w:szCs w:val="26"/>
        </w:rPr>
      </w:pPr>
    </w:p>
    <w:p>
      <w:pPr>
        <w:spacing w:after="0" w:line="360" w:lineRule="auto"/>
        <w:jc w:val="both"/>
        <w:rPr>
          <w:rFonts w:asciiTheme="majorBidi" w:hAnsiTheme="majorBidi" w:cstheme="majorBidi"/>
          <w:i/>
          <w:iCs/>
        </w:rPr>
      </w:pPr>
      <w:r>
        <w:rPr>
          <w:rFonts w:asciiTheme="majorBidi" w:hAnsiTheme="majorBidi" w:cstheme="majorBidi"/>
          <w:i/>
          <w:iCs/>
        </w:rPr>
        <w:t>This study examines the comparative impact of house conditions and neighborhood quality on residential property values in Nigeria, using Oke-Oyi and Tanke areas of Ilorin as case studies. The research was conducted to understand how variations in physical housing conditions and the overall neighborhood environment influence the market value of residential properties. A structured questionnaire was used to collect data from residents, property owners, and real estate practitioners in both study areas. The data collected covered aspects such as the structural integrity of buildings, access to basic amenities, level of infrastructural development, security, environmental cleanliness, and social facilities available in each neighborhood. Descriptive statistics, frequency tables, and comparative analysis techniques were used to analyze the data.  The findings reveal that residential property values in Tanke are significantly higher than in Oke-Oyi, largely due to better neighborhood quality, proximity to the University of Ilorin, and more developed infrastructure. In contrast, Oke-Oyi, although more affordable, suffers from weaker infrastructure and limited access to amenities, which negatively affects property values. House condition was found to have a direct correlation with value, but neighborhood quality played a stronger role in influencing demand and price appreciation. The study concludes that neighborhood quality has a substantial impact on residential property values and recommends that urban planners and policymakers prioritize infrastructure development, environmental management, and service delivery in suburban and developing areas to enhance property market performance.</w:t>
      </w:r>
    </w:p>
    <w:p>
      <w:pPr>
        <w:spacing w:after="0"/>
        <w:jc w:val="both"/>
        <w:rPr>
          <w:rFonts w:asciiTheme="majorBidi" w:hAnsiTheme="majorBidi" w:cstheme="majorBidi"/>
          <w:i/>
          <w:iCs/>
        </w:rPr>
        <w:sectPr>
          <w:footerReference r:id="rId3" w:type="default"/>
          <w:pgSz w:w="12240" w:h="15840"/>
          <w:pgMar w:top="1440" w:right="1440" w:bottom="1440" w:left="1872" w:header="720" w:footer="720" w:gutter="0"/>
          <w:pgNumType w:fmt="lowerRoman" w:start="1"/>
          <w:cols w:space="720" w:num="1"/>
          <w:docGrid w:linePitch="360" w:charSpace="0"/>
        </w:sectPr>
      </w:pPr>
    </w:p>
    <w:p>
      <w:pPr>
        <w:shd w:val="clear" w:color="auto" w:fill="FEFEFE"/>
        <w:spacing w:after="0"/>
        <w:jc w:val="center"/>
        <w:rPr>
          <w:rFonts w:ascii="Times New Roman" w:hAnsi="Times New Roman" w:eastAsia="Times New Roman" w:cs="Times New Roman"/>
          <w:b/>
          <w:color w:val="000000" w:themeColor="text1"/>
          <w:sz w:val="24"/>
          <w:szCs w:val="24"/>
        </w:rPr>
      </w:pPr>
      <w:r>
        <w:rPr>
          <w:rFonts w:ascii="Times New Roman" w:hAnsi="Times New Roman" w:eastAsia="Times New Roman" w:cs="Times New Roman"/>
          <w:b/>
          <w:color w:val="000000" w:themeColor="text1"/>
          <w:sz w:val="24"/>
          <w:szCs w:val="24"/>
        </w:rPr>
        <w:t>CHAPTER ONE</w:t>
      </w:r>
    </w:p>
    <w:p>
      <w:pPr>
        <w:shd w:val="clear" w:color="auto" w:fill="FEFEFE"/>
        <w:spacing w:after="0"/>
        <w:jc w:val="both"/>
        <w:rPr>
          <w:rFonts w:ascii="Times New Roman" w:hAnsi="Times New Roman" w:eastAsia="Times New Roman" w:cs="Times New Roman"/>
          <w:b/>
          <w:color w:val="000000" w:themeColor="text1"/>
          <w:sz w:val="24"/>
          <w:szCs w:val="24"/>
        </w:rPr>
      </w:pPr>
      <w:r>
        <w:rPr>
          <w:rFonts w:ascii="Times New Roman" w:hAnsi="Times New Roman" w:eastAsia="Times New Roman" w:cs="Times New Roman"/>
          <w:b/>
          <w:color w:val="000000" w:themeColor="text1"/>
          <w:sz w:val="24"/>
          <w:szCs w:val="24"/>
        </w:rPr>
        <w:t>1.0</w:t>
      </w:r>
      <w:r>
        <w:rPr>
          <w:rFonts w:ascii="Times New Roman" w:hAnsi="Times New Roman" w:eastAsia="Times New Roman" w:cs="Times New Roman"/>
          <w:b/>
          <w:color w:val="000000" w:themeColor="text1"/>
          <w:sz w:val="24"/>
          <w:szCs w:val="24"/>
        </w:rPr>
        <w:tab/>
      </w:r>
      <w:r>
        <w:rPr>
          <w:rFonts w:ascii="Times New Roman" w:hAnsi="Times New Roman" w:eastAsia="Times New Roman" w:cs="Times New Roman"/>
          <w:b/>
          <w:color w:val="000000" w:themeColor="text1"/>
          <w:sz w:val="24"/>
          <w:szCs w:val="24"/>
        </w:rPr>
        <w:t>INTRODUCTION</w:t>
      </w:r>
    </w:p>
    <w:p>
      <w:pPr>
        <w:shd w:val="clear" w:color="auto" w:fill="FEFEFE"/>
        <w:spacing w:after="0"/>
        <w:jc w:val="both"/>
        <w:rPr>
          <w:rFonts w:ascii="Times New Roman" w:hAnsi="Times New Roman" w:eastAsia="Times New Roman" w:cs="Times New Roman"/>
          <w:b/>
          <w:color w:val="000000" w:themeColor="text1"/>
          <w:sz w:val="24"/>
          <w:szCs w:val="24"/>
        </w:rPr>
      </w:pPr>
      <w:r>
        <w:rPr>
          <w:rFonts w:ascii="Times New Roman" w:hAnsi="Times New Roman" w:eastAsia="Times New Roman" w:cs="Times New Roman"/>
          <w:b/>
          <w:color w:val="000000" w:themeColor="text1"/>
          <w:sz w:val="24"/>
          <w:szCs w:val="24"/>
        </w:rPr>
        <w:t>1.1</w:t>
      </w:r>
      <w:r>
        <w:rPr>
          <w:rFonts w:ascii="Times New Roman" w:hAnsi="Times New Roman" w:eastAsia="Times New Roman" w:cs="Times New Roman"/>
          <w:b/>
          <w:color w:val="000000" w:themeColor="text1"/>
          <w:sz w:val="24"/>
          <w:szCs w:val="24"/>
        </w:rPr>
        <w:tab/>
      </w:r>
      <w:r>
        <w:rPr>
          <w:rFonts w:ascii="Times New Roman" w:hAnsi="Times New Roman" w:eastAsia="Times New Roman" w:cs="Times New Roman"/>
          <w:b/>
          <w:color w:val="000000" w:themeColor="text1"/>
          <w:sz w:val="24"/>
          <w:szCs w:val="24"/>
        </w:rPr>
        <w:t>BACKGROUND TO THE STUDY</w:t>
      </w:r>
    </w:p>
    <w:p>
      <w:pPr>
        <w:spacing w:after="0" w:line="360" w:lineRule="auto"/>
        <w:ind w:firstLine="720"/>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Housing refers to the provision of shelter or accommodation for individuals or </w:t>
      </w:r>
      <w:r>
        <w:rPr>
          <w:rFonts w:ascii="Times New Roman" w:hAnsi="Times New Roman" w:eastAsia="Times New Roman" w:cs="Times New Roman"/>
          <w:color w:val="000000" w:themeColor="text1"/>
          <w:sz w:val="24"/>
          <w:szCs w:val="24"/>
        </w:rPr>
        <w:t>families. It encompasses a broad range of physical structures, including houses, apartments, condominiums, and other types of dwellings (Mchi, 2016).</w:t>
      </w:r>
    </w:p>
    <w:p>
      <w:pPr>
        <w:shd w:val="clear" w:color="auto" w:fill="FEFEFE"/>
        <w:spacing w:after="0" w:line="360" w:lineRule="auto"/>
        <w:ind w:firstLine="720"/>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Housing condition and environmental qualities are largely responsible for neighbourhood attributes on real</w:t>
      </w:r>
      <w:r>
        <w:rPr>
          <w:rFonts w:ascii="Times New Roman" w:hAnsi="Times New Roman" w:eastAsia="Times New Roman" w:cs="Times New Roman"/>
          <w:color w:val="000000" w:themeColor="text1"/>
          <w:sz w:val="24"/>
          <w:szCs w:val="24"/>
        </w:rPr>
        <w:t xml:space="preserve"> estate values Mchi (2016) therefore noted that man’s attitude towards the surrounding environment based on a search for location that deliver a high quality of life. As the qualities of that environment largely affect the decision made on real estate mark</w:t>
      </w:r>
      <w:r>
        <w:rPr>
          <w:rFonts w:ascii="Times New Roman" w:hAnsi="Times New Roman" w:eastAsia="Times New Roman" w:cs="Times New Roman"/>
          <w:color w:val="000000" w:themeColor="text1"/>
          <w:sz w:val="24"/>
          <w:szCs w:val="24"/>
        </w:rPr>
        <w:t>et value, there are particular concern about man’s daily surrounding and its condition.</w:t>
      </w:r>
    </w:p>
    <w:p>
      <w:pPr>
        <w:shd w:val="clear" w:color="auto" w:fill="FEFEFE"/>
        <w:spacing w:after="0" w:line="360" w:lineRule="auto"/>
        <w:ind w:firstLine="720"/>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Housing condition and environmental qualities are numerous and its’ effect are in various ways, such as physical and socio-economic obsolescence and environmental probl</w:t>
      </w:r>
      <w:r>
        <w:rPr>
          <w:rFonts w:ascii="Times New Roman" w:hAnsi="Times New Roman" w:eastAsia="Times New Roman" w:cs="Times New Roman"/>
          <w:color w:val="000000" w:themeColor="text1"/>
          <w:sz w:val="24"/>
          <w:szCs w:val="24"/>
        </w:rPr>
        <w:t>em and a host of others with different consequences on human (Mchi, 2018). Efforts directed towards the alleviation of environmental problems have commanded global attention because of the increasing number of the world’s population being affected by envir</w:t>
      </w:r>
      <w:r>
        <w:rPr>
          <w:rFonts w:ascii="Times New Roman" w:hAnsi="Times New Roman" w:eastAsia="Times New Roman" w:cs="Times New Roman"/>
          <w:color w:val="000000" w:themeColor="text1"/>
          <w:sz w:val="24"/>
          <w:szCs w:val="24"/>
        </w:rPr>
        <w:t xml:space="preserve">onmental issues and environmental crisis. It is thus argued those Nigerian environmental problems are either unprecedented or over-whelming. Therefore the role of government in the management of environment and sustainability of the environment has become </w:t>
      </w:r>
      <w:r>
        <w:rPr>
          <w:rFonts w:ascii="Times New Roman" w:hAnsi="Times New Roman" w:eastAsia="Times New Roman" w:cs="Times New Roman"/>
          <w:color w:val="000000" w:themeColor="text1"/>
          <w:sz w:val="24"/>
          <w:szCs w:val="24"/>
        </w:rPr>
        <w:t>increasingly important.</w:t>
      </w:r>
    </w:p>
    <w:p>
      <w:pPr>
        <w:shd w:val="clear" w:color="auto" w:fill="FEFEFE"/>
        <w:spacing w:after="0" w:line="360" w:lineRule="auto"/>
        <w:ind w:firstLine="720"/>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VanKamp (2017) also noted the growing recognition of efficient and sustainable management of environmental resources which are critical for economic growth and development. The nature of the environment also invariably affects the c</w:t>
      </w:r>
      <w:r>
        <w:rPr>
          <w:rFonts w:ascii="Times New Roman" w:hAnsi="Times New Roman" w:eastAsia="Times New Roman" w:cs="Times New Roman"/>
          <w:color w:val="000000" w:themeColor="text1"/>
          <w:sz w:val="24"/>
          <w:szCs w:val="24"/>
        </w:rPr>
        <w:t>ondition of houses in the area.</w:t>
      </w:r>
    </w:p>
    <w:p>
      <w:pPr>
        <w:shd w:val="clear" w:color="auto" w:fill="FEFEFE"/>
        <w:spacing w:after="0" w:line="360" w:lineRule="auto"/>
        <w:ind w:firstLine="720"/>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Therefore, Olotuah and Taiwo (2013) noted that housing conditions, in terms of housing patterns, roofing, walling, flooring materials and other infrastructural facilities that make up the house, play diverse roles in measuri</w:t>
      </w:r>
      <w:r>
        <w:rPr>
          <w:rFonts w:ascii="Times New Roman" w:hAnsi="Times New Roman" w:eastAsia="Times New Roman" w:cs="Times New Roman"/>
          <w:color w:val="000000" w:themeColor="text1"/>
          <w:sz w:val="24"/>
          <w:szCs w:val="24"/>
        </w:rPr>
        <w:t>ng the standard of living/dwelling and has significant impact on residential property values. The study  noticed rapid deterioration of housing situation in the Nigerian urban centers due mainly to population explosion and massive rural-to-urban migration.</w:t>
      </w:r>
      <w:r>
        <w:rPr>
          <w:rFonts w:ascii="Times New Roman" w:hAnsi="Times New Roman" w:eastAsia="Times New Roman" w:cs="Times New Roman"/>
          <w:color w:val="000000" w:themeColor="text1"/>
          <w:sz w:val="24"/>
          <w:szCs w:val="24"/>
        </w:rPr>
        <w:t xml:space="preserve"> Thus, housing condition and environmental qualities matter to human life as they play role in assimilating waste products and providing life </w:t>
      </w:r>
      <w:r>
        <w:rPr>
          <w:rFonts w:ascii="Times New Roman" w:hAnsi="Times New Roman" w:eastAsia="Times New Roman" w:cs="Times New Roman"/>
          <w:color w:val="000000" w:themeColor="text1"/>
          <w:sz w:val="24"/>
          <w:szCs w:val="24"/>
        </w:rPr>
        <w:t>support amenities such as forests provide fresh air, water catchments Areas and prevention of soil erosion (Turner</w:t>
      </w:r>
      <w:r>
        <w:rPr>
          <w:rFonts w:ascii="Times New Roman" w:hAnsi="Times New Roman" w:eastAsia="Times New Roman" w:cs="Times New Roman"/>
          <w:color w:val="000000" w:themeColor="text1"/>
          <w:sz w:val="24"/>
          <w:szCs w:val="24"/>
        </w:rPr>
        <w:t>, 2015).</w:t>
      </w:r>
    </w:p>
    <w:p>
      <w:pPr>
        <w:shd w:val="clear" w:color="auto" w:fill="FEFEFE"/>
        <w:spacing w:after="0" w:line="360" w:lineRule="auto"/>
        <w:ind w:firstLine="720"/>
        <w:jc w:val="both"/>
        <w:rPr>
          <w:rFonts w:ascii="Times New Roman" w:hAnsi="Times New Roman" w:eastAsia="Times New Roman" w:cs="Times New Roman"/>
          <w:color w:val="000000" w:themeColor="text1"/>
          <w:sz w:val="24"/>
          <w:szCs w:val="24"/>
        </w:rPr>
      </w:pPr>
      <w:r>
        <w:rPr>
          <w:rFonts w:ascii="Times New Roman" w:hAnsi="Times New Roman" w:cs="Times New Roman"/>
          <w:color w:val="000000" w:themeColor="text1"/>
          <w:sz w:val="24"/>
          <w:szCs w:val="24"/>
        </w:rPr>
        <w:t>Wahab (2019) has succinctly shown that most urban centres in Nigeria are characterized by high densities of buildings, the crowding of large numbers of people into those buildings, lack of space for open air living between houses, poor health, sub</w:t>
      </w:r>
      <w:r>
        <w:rPr>
          <w:rFonts w:ascii="Times New Roman" w:hAnsi="Times New Roman" w:cs="Times New Roman"/>
          <w:color w:val="000000" w:themeColor="text1"/>
          <w:sz w:val="24"/>
          <w:szCs w:val="24"/>
        </w:rPr>
        <w:t>standard housing, and acute environmental and sanitary problems. Therefore, resulting to shortage of affordable and decent accommodation for the urban poor is thus a major housing problem in Nigeria. Studies have shown the deplorable conditions of urban ho</w:t>
      </w:r>
      <w:r>
        <w:rPr>
          <w:rFonts w:ascii="Times New Roman" w:hAnsi="Times New Roman" w:cs="Times New Roman"/>
          <w:color w:val="000000" w:themeColor="text1"/>
          <w:sz w:val="24"/>
          <w:szCs w:val="24"/>
        </w:rPr>
        <w:t>using in Nigeria (Egunjobi, 2012).</w:t>
      </w:r>
    </w:p>
    <w:p>
      <w:pPr>
        <w:shd w:val="clear" w:color="auto" w:fill="FEFEFE"/>
        <w:spacing w:after="0" w:line="360" w:lineRule="auto"/>
        <w:ind w:firstLine="720"/>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Despite the essential role played by environment resources in developing countries little is known about the economic development and impact on property value (Turner, 2015). For instance the development of industries and</w:t>
      </w:r>
      <w:r>
        <w:rPr>
          <w:rFonts w:ascii="Times New Roman" w:hAnsi="Times New Roman" w:eastAsia="Times New Roman" w:cs="Times New Roman"/>
          <w:color w:val="000000" w:themeColor="text1"/>
          <w:sz w:val="24"/>
          <w:szCs w:val="24"/>
        </w:rPr>
        <w:t xml:space="preserve"> increased human population has greatly led to environment deterioration, which in turn affects the quality and property value of settlements. The Nigeria population is growing at the rate of approximately eight percent per annum, it is estimated that abou</w:t>
      </w:r>
      <w:r>
        <w:rPr>
          <w:rFonts w:ascii="Times New Roman" w:hAnsi="Times New Roman" w:eastAsia="Times New Roman" w:cs="Times New Roman"/>
          <w:color w:val="000000" w:themeColor="text1"/>
          <w:sz w:val="24"/>
          <w:szCs w:val="24"/>
        </w:rPr>
        <w:t>t 70 percent of populations live in poor, unplanned settlements (Turner, 2015). Until mid- 1990 the overall urban environment had deteriorated to the extent that less than 5 percent of solid and liquid waste was collected (Nkya 2019). In line with the fore</w:t>
      </w:r>
      <w:r>
        <w:rPr>
          <w:rFonts w:ascii="Times New Roman" w:hAnsi="Times New Roman" w:eastAsia="Times New Roman" w:cs="Times New Roman"/>
          <w:color w:val="000000" w:themeColor="text1"/>
          <w:sz w:val="24"/>
          <w:szCs w:val="24"/>
        </w:rPr>
        <w:t>going, it was noted that the lack of knowledge of the people towards the importance of environmental quality, has lead to deterioration of the environment to such an extent that in some it has decreased property and rental values of prosperities in differe</w:t>
      </w:r>
      <w:r>
        <w:rPr>
          <w:rFonts w:ascii="Times New Roman" w:hAnsi="Times New Roman" w:eastAsia="Times New Roman" w:cs="Times New Roman"/>
          <w:color w:val="000000" w:themeColor="text1"/>
          <w:sz w:val="24"/>
          <w:szCs w:val="24"/>
        </w:rPr>
        <w:t>nt areas irrespective of the other attributes available.</w:t>
      </w:r>
    </w:p>
    <w:p>
      <w:pPr>
        <w:shd w:val="clear" w:color="auto" w:fill="FEFEFE"/>
        <w:spacing w:after="0" w:line="360" w:lineRule="auto"/>
        <w:ind w:firstLine="720"/>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Norman (2018) earlier noted that environmental qualities, physical attributes and location can influences property value because all users of such property get utility or disutility from these fundam</w:t>
      </w:r>
      <w:r>
        <w:rPr>
          <w:rFonts w:ascii="Times New Roman" w:hAnsi="Times New Roman" w:eastAsia="Times New Roman" w:cs="Times New Roman"/>
          <w:color w:val="000000" w:themeColor="text1"/>
          <w:sz w:val="24"/>
          <w:szCs w:val="24"/>
        </w:rPr>
        <w:t>ental factors over their expected tenure. While physical attributes include building area, type of structure and all that is attached thereof, locational influences are off-site neighbourhood attributes like healthcare facilities, parks, schools etc. There</w:t>
      </w:r>
      <w:r>
        <w:rPr>
          <w:rFonts w:ascii="Times New Roman" w:hAnsi="Times New Roman" w:eastAsia="Times New Roman" w:cs="Times New Roman"/>
          <w:color w:val="000000" w:themeColor="text1"/>
          <w:sz w:val="24"/>
          <w:szCs w:val="24"/>
        </w:rPr>
        <w:t>fore real estate value will be locational dependent due to the attributes with respect to specific desirable services. Since locational influences on the value of residential property can come up from a number of sources such as accessibility to shopping c</w:t>
      </w:r>
      <w:r>
        <w:rPr>
          <w:rFonts w:ascii="Times New Roman" w:hAnsi="Times New Roman" w:eastAsia="Times New Roman" w:cs="Times New Roman"/>
          <w:color w:val="000000" w:themeColor="text1"/>
          <w:sz w:val="24"/>
          <w:szCs w:val="24"/>
        </w:rPr>
        <w:t xml:space="preserve">entre, air quality, drainage system availability, pollution, noise, security, and availability of refuse disposal facilities etc. Based on the foregoing this research work examined the impact of housing </w:t>
      </w:r>
      <w:r>
        <w:rPr>
          <w:rFonts w:ascii="Times New Roman" w:hAnsi="Times New Roman" w:eastAsia="Times New Roman" w:cs="Times New Roman"/>
          <w:color w:val="000000" w:themeColor="text1"/>
          <w:sz w:val="24"/>
          <w:szCs w:val="24"/>
        </w:rPr>
        <w:t>condition and environmental quality on residential pr</w:t>
      </w:r>
      <w:r>
        <w:rPr>
          <w:rFonts w:ascii="Times New Roman" w:hAnsi="Times New Roman" w:eastAsia="Times New Roman" w:cs="Times New Roman"/>
          <w:color w:val="000000" w:themeColor="text1"/>
          <w:sz w:val="24"/>
          <w:szCs w:val="24"/>
        </w:rPr>
        <w:t>operty value in Asa-Dam area, Ilorin Metropolis.</w:t>
      </w:r>
    </w:p>
    <w:p>
      <w:pPr>
        <w:shd w:val="clear" w:color="auto" w:fill="FEFEFE"/>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b/>
          <w:bCs/>
          <w:color w:val="000000" w:themeColor="text1"/>
          <w:sz w:val="24"/>
          <w:szCs w:val="24"/>
        </w:rPr>
        <w:t>1.2.      STATEMENT OF THE PROBLEM</w:t>
      </w:r>
    </w:p>
    <w:p>
      <w:pPr>
        <w:shd w:val="clear" w:color="auto" w:fill="FEFEFE"/>
        <w:spacing w:after="0" w:line="360" w:lineRule="auto"/>
        <w:ind w:firstLine="720"/>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Most Nigeria‘s major cities have been experiencing rapid urbanization and rapid development due to urban-urban or rural urban migration which have resulted in the deteriora</w:t>
      </w:r>
      <w:r>
        <w:rPr>
          <w:rFonts w:ascii="Times New Roman" w:hAnsi="Times New Roman" w:eastAsia="Times New Roman" w:cs="Times New Roman"/>
          <w:color w:val="000000" w:themeColor="text1"/>
          <w:sz w:val="24"/>
          <w:szCs w:val="24"/>
        </w:rPr>
        <w:t xml:space="preserve">tion of the environment, failure of urban infrastructure and services amongst others, therefore having a significant impact on the overall growth of the economy. In addition to rising urban poverty, there is an increased urban environmental problems. </w:t>
      </w:r>
    </w:p>
    <w:p>
      <w:pPr>
        <w:shd w:val="clear" w:color="auto" w:fill="FEFEFE"/>
        <w:spacing w:after="0" w:line="360" w:lineRule="auto"/>
        <w:ind w:firstLine="720"/>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These challenges are poor solid waste management, uncontrolled housing and neighbourhood development, flooding, traffic congestion, poor state of the urban physical environment and rising crime rates have been documented (Mchi, 2016; Ugwuorah, 2018). </w:t>
      </w:r>
    </w:p>
    <w:p>
      <w:pPr>
        <w:shd w:val="clear" w:color="auto" w:fill="FEFEFE"/>
        <w:spacing w:after="0" w:line="360" w:lineRule="auto"/>
        <w:ind w:firstLine="720"/>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Obin</w:t>
      </w:r>
      <w:r>
        <w:rPr>
          <w:rFonts w:ascii="Times New Roman" w:hAnsi="Times New Roman" w:eastAsia="Times New Roman" w:cs="Times New Roman"/>
          <w:color w:val="000000" w:themeColor="text1"/>
          <w:sz w:val="24"/>
          <w:szCs w:val="24"/>
        </w:rPr>
        <w:t>na, Owei and Mark (2020) have also noted the deplorable housing, inadequate space, and absence of basic services in the informal settlements of the city. This state of affairs triggered the desire to examine the impact of housing condition and environmenta</w:t>
      </w:r>
      <w:r>
        <w:rPr>
          <w:rFonts w:ascii="Times New Roman" w:hAnsi="Times New Roman" w:eastAsia="Times New Roman" w:cs="Times New Roman"/>
          <w:color w:val="000000" w:themeColor="text1"/>
          <w:sz w:val="24"/>
          <w:szCs w:val="24"/>
        </w:rPr>
        <w:t>l quality on residential property value in Oke-oyi and Tanke, Ilorin.</w:t>
      </w:r>
    </w:p>
    <w:p>
      <w:pPr>
        <w:shd w:val="clear" w:color="auto" w:fill="FEFEFE"/>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b/>
          <w:bCs/>
          <w:color w:val="000000" w:themeColor="text1"/>
          <w:sz w:val="24"/>
          <w:szCs w:val="24"/>
        </w:rPr>
        <w:t>1.3       RESEARCH QUESTIONS</w:t>
      </w:r>
    </w:p>
    <w:p>
      <w:pPr>
        <w:numPr>
          <w:ilvl w:val="0"/>
          <w:numId w:val="5"/>
        </w:numPr>
        <w:shd w:val="clear" w:color="auto" w:fill="FEFEFE"/>
        <w:spacing w:after="0" w:line="360" w:lineRule="auto"/>
        <w:ind w:left="0"/>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What are the current housing and environmental condition of residential properties in the study area?</w:t>
      </w:r>
    </w:p>
    <w:p>
      <w:pPr>
        <w:numPr>
          <w:ilvl w:val="0"/>
          <w:numId w:val="5"/>
        </w:numPr>
        <w:shd w:val="clear" w:color="auto" w:fill="FEFEFE"/>
        <w:spacing w:after="0" w:line="360" w:lineRule="auto"/>
        <w:ind w:left="0"/>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What is the impact of housing condition and environment</w:t>
      </w:r>
      <w:r>
        <w:rPr>
          <w:rFonts w:ascii="Times New Roman" w:hAnsi="Times New Roman" w:eastAsia="Times New Roman" w:cs="Times New Roman"/>
          <w:color w:val="000000" w:themeColor="text1"/>
          <w:sz w:val="24"/>
          <w:szCs w:val="24"/>
        </w:rPr>
        <w:t>al qualities on residential property values in the study area?</w:t>
      </w:r>
    </w:p>
    <w:p>
      <w:pPr>
        <w:numPr>
          <w:ilvl w:val="0"/>
          <w:numId w:val="5"/>
        </w:numPr>
        <w:shd w:val="clear" w:color="auto" w:fill="FEFEFE"/>
        <w:spacing w:after="0" w:line="360" w:lineRule="auto"/>
        <w:ind w:left="0"/>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What is the trend in residential property values in the study area between 2015 – 2024.</w:t>
      </w:r>
    </w:p>
    <w:p>
      <w:pPr>
        <w:shd w:val="clear" w:color="auto" w:fill="FEFEFE"/>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b/>
          <w:bCs/>
          <w:color w:val="000000" w:themeColor="text1"/>
          <w:sz w:val="24"/>
          <w:szCs w:val="24"/>
        </w:rPr>
        <w:t>1.4      AIM AND OBJECTIVES OF THE STUDY</w:t>
      </w:r>
    </w:p>
    <w:p>
      <w:pPr>
        <w:shd w:val="clear" w:color="auto" w:fill="FEFEFE"/>
        <w:spacing w:after="0" w:line="360" w:lineRule="auto"/>
        <w:ind w:firstLine="720"/>
        <w:jc w:val="both"/>
        <w:rPr>
          <w:rFonts w:ascii="Times New Roman" w:hAnsi="Times New Roman" w:eastAsia="Times New Roman" w:cs="Times New Roman"/>
          <w:color w:val="000000" w:themeColor="text1"/>
          <w:sz w:val="24"/>
          <w:szCs w:val="24"/>
        </w:rPr>
      </w:pPr>
      <w:r>
        <w:rPr>
          <w:rFonts w:hint="eastAsia"/>
        </w:rPr>
        <w:t>To examine and compare how housing conditions and neighborhood quality influence residential property values in Oke-Oyi and Tanke areas of Ilorin, Nigeria.</w:t>
      </w:r>
    </w:p>
    <w:p>
      <w:pPr>
        <w:shd w:val="clear" w:color="auto" w:fill="FEFEFE"/>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The specific objectives are as followings:</w:t>
      </w:r>
    </w:p>
    <w:p>
      <w:pPr>
        <w:numPr>
          <w:ilvl w:val="0"/>
          <w:numId w:val="6"/>
        </w:numPr>
        <w:shd w:val="clear" w:color="auto" w:fill="FEFEFE"/>
        <w:spacing w:after="0" w:line="360" w:lineRule="auto"/>
        <w:ind w:left="0"/>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To identify the housing and environmental conditions on residential properties in the study area.</w:t>
      </w:r>
    </w:p>
    <w:p>
      <w:pPr>
        <w:numPr>
          <w:ilvl w:val="0"/>
          <w:numId w:val="6"/>
        </w:numPr>
        <w:shd w:val="clear" w:color="auto" w:fill="FEFEFE"/>
        <w:spacing w:after="0" w:line="360" w:lineRule="auto"/>
        <w:ind w:left="0"/>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To identify factors inf</w:t>
      </w:r>
      <w:r>
        <w:rPr>
          <w:rFonts w:ascii="Times New Roman" w:hAnsi="Times New Roman" w:eastAsia="Times New Roman" w:cs="Times New Roman"/>
          <w:color w:val="000000" w:themeColor="text1"/>
          <w:sz w:val="24"/>
          <w:szCs w:val="24"/>
        </w:rPr>
        <w:t>luencing housing conditions such as social economics status &amp; government policies</w:t>
      </w:r>
    </w:p>
    <w:p>
      <w:pPr>
        <w:numPr>
          <w:ilvl w:val="0"/>
          <w:numId w:val="6"/>
        </w:numPr>
        <w:shd w:val="clear" w:color="auto" w:fill="FEFEFE"/>
        <w:spacing w:after="0" w:line="360" w:lineRule="auto"/>
        <w:ind w:left="0"/>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To examine the impact of housing condition and environmental qualities on residential property values in the study area</w:t>
      </w:r>
    </w:p>
    <w:p>
      <w:pPr>
        <w:numPr>
          <w:ilvl w:val="0"/>
          <w:numId w:val="6"/>
        </w:numPr>
        <w:shd w:val="clear" w:color="auto" w:fill="FEFEFE"/>
        <w:spacing w:after="0" w:line="360" w:lineRule="auto"/>
        <w:ind w:left="0"/>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To assess the trend in residential property values in </w:t>
      </w:r>
      <w:r>
        <w:rPr>
          <w:rFonts w:ascii="Times New Roman" w:hAnsi="Times New Roman" w:eastAsia="Times New Roman" w:cs="Times New Roman"/>
          <w:color w:val="000000" w:themeColor="text1"/>
          <w:sz w:val="24"/>
          <w:szCs w:val="24"/>
        </w:rPr>
        <w:t>the study area between  201</w:t>
      </w:r>
      <w:r>
        <w:rPr>
          <w:rFonts w:ascii="Times New Roman" w:hAnsi="Times New Roman" w:eastAsia="Times New Roman" w:cs="Times New Roman"/>
          <w:color w:val="000000" w:themeColor="text1"/>
          <w:sz w:val="24"/>
          <w:szCs w:val="24"/>
        </w:rPr>
        <w:t>5</w:t>
      </w:r>
      <w:r>
        <w:rPr>
          <w:rFonts w:ascii="Times New Roman" w:hAnsi="Times New Roman" w:eastAsia="Times New Roman" w:cs="Times New Roman"/>
          <w:color w:val="000000" w:themeColor="text1"/>
          <w:sz w:val="24"/>
          <w:szCs w:val="24"/>
        </w:rPr>
        <w:t xml:space="preserve"> – 202</w:t>
      </w:r>
      <w:r>
        <w:rPr>
          <w:rFonts w:ascii="Times New Roman" w:hAnsi="Times New Roman" w:eastAsia="Times New Roman" w:cs="Times New Roman"/>
          <w:color w:val="000000" w:themeColor="text1"/>
          <w:sz w:val="24"/>
          <w:szCs w:val="24"/>
        </w:rPr>
        <w:t>4</w:t>
      </w:r>
    </w:p>
    <w:p>
      <w:pPr>
        <w:shd w:val="clear" w:color="auto" w:fill="FEFEFE"/>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b/>
          <w:bCs/>
          <w:color w:val="000000" w:themeColor="text1"/>
          <w:sz w:val="24"/>
          <w:szCs w:val="24"/>
        </w:rPr>
        <w:t>1.5     JUSTIFICATION OF THE STUDY</w:t>
      </w:r>
    </w:p>
    <w:p>
      <w:pPr>
        <w:shd w:val="clear" w:color="auto" w:fill="FEFEFE"/>
        <w:spacing w:after="0" w:line="360" w:lineRule="auto"/>
        <w:ind w:firstLine="720"/>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This study examines the impact of housing condition and environmental quality on residential property values. The management of the environments and neighbourhood is the collective resp</w:t>
      </w:r>
      <w:r>
        <w:rPr>
          <w:rFonts w:ascii="Times New Roman" w:hAnsi="Times New Roman" w:eastAsia="Times New Roman" w:cs="Times New Roman"/>
          <w:color w:val="000000" w:themeColor="text1"/>
          <w:sz w:val="24"/>
          <w:szCs w:val="24"/>
        </w:rPr>
        <w:t>onsibilities of both the Government at all levels and the property owners, thus the findings of this study would be utilized by the Government at both Federal, State and Local Government levels through their various Ministries or Agencies such as the Minis</w:t>
      </w:r>
      <w:r>
        <w:rPr>
          <w:rFonts w:ascii="Times New Roman" w:hAnsi="Times New Roman" w:eastAsia="Times New Roman" w:cs="Times New Roman"/>
          <w:color w:val="000000" w:themeColor="text1"/>
          <w:sz w:val="24"/>
          <w:szCs w:val="24"/>
        </w:rPr>
        <w:t>try of Environment, Education, Health and Information as it will impact on them the relevance of maintaining a good and quality housing condition and environments. The study will be also be beneficial to these Ministries in the area of policy formulation a</w:t>
      </w:r>
      <w:r>
        <w:rPr>
          <w:rFonts w:ascii="Times New Roman" w:hAnsi="Times New Roman" w:eastAsia="Times New Roman" w:cs="Times New Roman"/>
          <w:color w:val="000000" w:themeColor="text1"/>
          <w:sz w:val="24"/>
          <w:szCs w:val="24"/>
        </w:rPr>
        <w:t>nd formulating laws that will promote good environment and neighbourhood which will be beneficial to human health and protect  the environment.</w:t>
      </w:r>
    </w:p>
    <w:p>
      <w:pPr>
        <w:shd w:val="clear" w:color="auto" w:fill="FEFEFE"/>
        <w:spacing w:after="0" w:line="360" w:lineRule="auto"/>
        <w:ind w:firstLine="720"/>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The citizenry, Estate Valuers and other professionals in real estate sector will also benefit greatly from this </w:t>
      </w:r>
      <w:r>
        <w:rPr>
          <w:rFonts w:ascii="Times New Roman" w:hAnsi="Times New Roman" w:eastAsia="Times New Roman" w:cs="Times New Roman"/>
          <w:color w:val="000000" w:themeColor="text1"/>
          <w:sz w:val="24"/>
          <w:szCs w:val="24"/>
        </w:rPr>
        <w:t xml:space="preserve">study, as the study will identify the environmental and housing condition for between management and planning. Non-governmental organization in the areas of health and environment will also benefit from the result of this study. This study will guide them </w:t>
      </w:r>
      <w:r>
        <w:rPr>
          <w:rFonts w:ascii="Times New Roman" w:hAnsi="Times New Roman" w:eastAsia="Times New Roman" w:cs="Times New Roman"/>
          <w:color w:val="000000" w:themeColor="text1"/>
          <w:sz w:val="24"/>
          <w:szCs w:val="24"/>
        </w:rPr>
        <w:t>in the areas production and distribution of educational materials to the public to enlighten them about the impacts of housing condition and environmental quality with regards to its impact on property value.</w:t>
      </w:r>
    </w:p>
    <w:p>
      <w:pPr>
        <w:shd w:val="clear" w:color="auto" w:fill="FEFEFE"/>
        <w:spacing w:after="0" w:line="360" w:lineRule="auto"/>
        <w:ind w:firstLine="720"/>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The information will go a long way in helping o</w:t>
      </w:r>
      <w:r>
        <w:rPr>
          <w:rFonts w:ascii="Times New Roman" w:hAnsi="Times New Roman" w:eastAsia="Times New Roman" w:cs="Times New Roman"/>
          <w:color w:val="000000" w:themeColor="text1"/>
          <w:sz w:val="24"/>
          <w:szCs w:val="24"/>
        </w:rPr>
        <w:t>ther research in the field as it will contribute to available literatures on housing condition and environmental quality.</w:t>
      </w:r>
    </w:p>
    <w:p>
      <w:pPr>
        <w:shd w:val="clear" w:color="auto" w:fill="FEFEFE"/>
        <w:spacing w:after="0" w:line="360" w:lineRule="auto"/>
        <w:jc w:val="both"/>
        <w:rPr>
          <w:rFonts w:ascii="Times New Roman" w:hAnsi="Times New Roman" w:eastAsia="Times New Roman" w:cs="Times New Roman"/>
          <w:b/>
          <w:bCs/>
          <w:color w:val="000000" w:themeColor="text1"/>
          <w:sz w:val="24"/>
          <w:szCs w:val="24"/>
        </w:rPr>
      </w:pPr>
      <w:r>
        <w:rPr>
          <w:rFonts w:ascii="Times New Roman" w:hAnsi="Times New Roman" w:eastAsia="Times New Roman" w:cs="Times New Roman"/>
          <w:b/>
          <w:bCs/>
          <w:color w:val="000000" w:themeColor="text1"/>
          <w:sz w:val="24"/>
          <w:szCs w:val="24"/>
        </w:rPr>
        <w:t>1.6     SCOPE AND LIMITATION OF THE STUDY</w:t>
      </w:r>
    </w:p>
    <w:p>
      <w:pPr>
        <w:shd w:val="clear" w:color="auto" w:fill="FEFEFE"/>
        <w:spacing w:after="0" w:line="360" w:lineRule="auto"/>
        <w:jc w:val="both"/>
        <w:rPr>
          <w:rFonts w:asciiTheme="majorBidi" w:hAnsiTheme="majorBidi" w:cstheme="majorBidi"/>
        </w:rPr>
      </w:pPr>
      <w:r>
        <w:rPr>
          <w:rFonts w:asciiTheme="majorBidi" w:hAnsiTheme="majorBidi" w:cstheme="majorBidi"/>
        </w:rPr>
        <w:t>This study focuses on analyzing how housing conditions and neighborhood quality affect the residential property value in two distinct areas of Ilorin — Oke-Oyi and Tanke.It is limited to:</w:t>
      </w:r>
    </w:p>
    <w:p>
      <w:pPr>
        <w:shd w:val="clear" w:color="auto" w:fill="FEFEFE"/>
        <w:spacing w:after="0" w:line="360" w:lineRule="auto"/>
        <w:ind w:firstLine="720"/>
        <w:jc w:val="both"/>
        <w:rPr>
          <w:rFonts w:asciiTheme="majorBidi" w:hAnsiTheme="majorBidi" w:cstheme="majorBidi"/>
        </w:rPr>
      </w:pPr>
      <w:r>
        <w:rPr>
          <w:rFonts w:asciiTheme="majorBidi" w:hAnsiTheme="majorBidi" w:cstheme="majorBidi"/>
        </w:rPr>
        <w:tab/>
      </w:r>
      <w:r>
        <w:rPr>
          <w:rFonts w:asciiTheme="majorBidi" w:hAnsiTheme="majorBidi" w:cstheme="majorBidi"/>
        </w:rPr>
        <w:t>•</w:t>
      </w:r>
      <w:r>
        <w:rPr>
          <w:rFonts w:asciiTheme="majorBidi" w:hAnsiTheme="majorBidi" w:cstheme="majorBidi"/>
        </w:rPr>
        <w:tab/>
      </w:r>
      <w:r>
        <w:rPr>
          <w:rFonts w:asciiTheme="majorBidi" w:hAnsiTheme="majorBidi" w:cstheme="majorBidi"/>
        </w:rPr>
        <w:t>Evaluating the physical state of houses (building materials, condition, and maintenance);</w:t>
      </w:r>
    </w:p>
    <w:p>
      <w:pPr>
        <w:shd w:val="clear" w:color="auto" w:fill="FEFEFE"/>
        <w:spacing w:after="0" w:line="360" w:lineRule="auto"/>
        <w:ind w:firstLine="720"/>
        <w:jc w:val="both"/>
        <w:rPr>
          <w:rFonts w:asciiTheme="majorBidi" w:hAnsiTheme="majorBidi" w:cstheme="majorBidi"/>
        </w:rPr>
      </w:pPr>
      <w:r>
        <w:rPr>
          <w:rFonts w:asciiTheme="majorBidi" w:hAnsiTheme="majorBidi" w:cstheme="majorBidi"/>
        </w:rPr>
        <w:tab/>
      </w:r>
      <w:r>
        <w:rPr>
          <w:rFonts w:asciiTheme="majorBidi" w:hAnsiTheme="majorBidi" w:cstheme="majorBidi"/>
        </w:rPr>
        <w:t>•</w:t>
      </w:r>
      <w:r>
        <w:rPr>
          <w:rFonts w:asciiTheme="majorBidi" w:hAnsiTheme="majorBidi" w:cstheme="majorBidi"/>
        </w:rPr>
        <w:tab/>
      </w:r>
      <w:r>
        <w:rPr>
          <w:rFonts w:asciiTheme="majorBidi" w:hAnsiTheme="majorBidi" w:cstheme="majorBidi"/>
        </w:rPr>
        <w:t>Assessing the quality of neighborhood infrastructure, such as road networks, drainage, electricity, water supply, and waste management;</w:t>
      </w:r>
    </w:p>
    <w:p>
      <w:pPr>
        <w:shd w:val="clear" w:color="auto" w:fill="FEFEFE"/>
        <w:spacing w:after="0" w:line="360" w:lineRule="auto"/>
        <w:ind w:firstLine="720"/>
        <w:jc w:val="both"/>
        <w:rPr>
          <w:rFonts w:asciiTheme="majorBidi" w:hAnsiTheme="majorBidi" w:cstheme="majorBidi"/>
        </w:rPr>
      </w:pPr>
      <w:r>
        <w:rPr>
          <w:rFonts w:asciiTheme="majorBidi" w:hAnsiTheme="majorBidi" w:cstheme="majorBidi"/>
        </w:rPr>
        <w:tab/>
      </w:r>
      <w:r>
        <w:rPr>
          <w:rFonts w:asciiTheme="majorBidi" w:hAnsiTheme="majorBidi" w:cstheme="majorBidi"/>
        </w:rPr>
        <w:t>•</w:t>
      </w:r>
      <w:r>
        <w:rPr>
          <w:rFonts w:asciiTheme="majorBidi" w:hAnsiTheme="majorBidi" w:cstheme="majorBidi"/>
        </w:rPr>
        <w:tab/>
      </w:r>
      <w:r>
        <w:rPr>
          <w:rFonts w:asciiTheme="majorBidi" w:hAnsiTheme="majorBidi" w:cstheme="majorBidi"/>
        </w:rPr>
        <w:t>Analyzing property value trends (rental and land values) between 2015 and 2024;</w:t>
      </w:r>
    </w:p>
    <w:p>
      <w:pPr>
        <w:shd w:val="clear" w:color="auto" w:fill="FEFEFE"/>
        <w:spacing w:after="0" w:line="360" w:lineRule="auto"/>
        <w:ind w:firstLine="720"/>
        <w:jc w:val="both"/>
        <w:rPr>
          <w:rFonts w:asciiTheme="majorBidi" w:hAnsiTheme="majorBidi" w:cstheme="majorBidi"/>
        </w:rPr>
      </w:pPr>
      <w:r>
        <w:rPr>
          <w:rFonts w:asciiTheme="majorBidi" w:hAnsiTheme="majorBidi" w:cstheme="majorBidi"/>
        </w:rPr>
        <w:tab/>
      </w:r>
      <w:r>
        <w:rPr>
          <w:rFonts w:asciiTheme="majorBidi" w:hAnsiTheme="majorBidi" w:cstheme="majorBidi"/>
        </w:rPr>
        <w:t>•</w:t>
      </w:r>
      <w:r>
        <w:rPr>
          <w:rFonts w:asciiTheme="majorBidi" w:hAnsiTheme="majorBidi" w:cstheme="majorBidi"/>
        </w:rPr>
        <w:tab/>
      </w:r>
      <w:r>
        <w:rPr>
          <w:rFonts w:asciiTheme="majorBidi" w:hAnsiTheme="majorBidi" w:cstheme="majorBidi"/>
        </w:rPr>
        <w:t>Investigating the perception of residents regarding what influences property values;</w:t>
      </w:r>
    </w:p>
    <w:p>
      <w:pPr>
        <w:shd w:val="clear" w:color="auto" w:fill="FEFEFE"/>
        <w:spacing w:after="0" w:line="360" w:lineRule="auto"/>
        <w:ind w:firstLine="720"/>
        <w:jc w:val="both"/>
        <w:rPr>
          <w:rFonts w:asciiTheme="majorBidi" w:hAnsiTheme="majorBidi" w:cstheme="majorBidi"/>
        </w:rPr>
      </w:pPr>
      <w:r>
        <w:rPr>
          <w:rFonts w:asciiTheme="majorBidi" w:hAnsiTheme="majorBidi" w:cstheme="majorBidi"/>
          <w:b/>
          <w:bCs/>
        </w:rPr>
        <w:t>Limitations of the Study</w:t>
      </w:r>
    </w:p>
    <w:p>
      <w:pPr>
        <w:shd w:val="clear" w:color="auto" w:fill="FEFEFE"/>
        <w:spacing w:after="0" w:line="360" w:lineRule="auto"/>
        <w:ind w:firstLine="720"/>
        <w:jc w:val="both"/>
        <w:rPr>
          <w:rFonts w:asciiTheme="majorBidi" w:hAnsiTheme="majorBidi" w:cstheme="majorBidi"/>
        </w:rPr>
      </w:pPr>
    </w:p>
    <w:p>
      <w:pPr>
        <w:shd w:val="clear" w:color="auto" w:fill="FEFEFE"/>
        <w:spacing w:after="0" w:line="360" w:lineRule="auto"/>
        <w:ind w:firstLine="720"/>
        <w:jc w:val="both"/>
        <w:rPr>
          <w:rFonts w:asciiTheme="majorBidi" w:hAnsiTheme="majorBidi" w:cstheme="majorBidi"/>
        </w:rPr>
      </w:pPr>
      <w:r>
        <w:rPr>
          <w:rFonts w:asciiTheme="majorBidi" w:hAnsiTheme="majorBidi" w:cstheme="majorBidi"/>
        </w:rPr>
        <w:t>Despite its significance, the study encountered several limitations:</w:t>
      </w:r>
    </w:p>
    <w:p>
      <w:pPr>
        <w:shd w:val="clear" w:color="auto" w:fill="FEFEFE"/>
        <w:spacing w:after="0" w:line="360" w:lineRule="auto"/>
        <w:ind w:firstLine="720"/>
        <w:jc w:val="both"/>
        <w:rPr>
          <w:rFonts w:asciiTheme="majorBidi" w:hAnsiTheme="majorBidi" w:cstheme="majorBidi"/>
        </w:rPr>
      </w:pPr>
      <w:r>
        <w:rPr>
          <w:rFonts w:asciiTheme="majorBidi" w:hAnsiTheme="majorBidi" w:cstheme="majorBidi"/>
        </w:rPr>
        <w:t>•</w:t>
      </w:r>
      <w:r>
        <w:rPr>
          <w:rFonts w:asciiTheme="majorBidi" w:hAnsiTheme="majorBidi" w:cstheme="majorBidi"/>
        </w:rPr>
        <w:tab/>
      </w:r>
      <w:r>
        <w:rPr>
          <w:rFonts w:asciiTheme="majorBidi" w:hAnsiTheme="majorBidi" w:cstheme="majorBidi"/>
        </w:rPr>
        <w:t>Data Accuracy: Some respondents relied on memory or assumptions when stating past rental or land values, affecting data precision.</w:t>
      </w:r>
    </w:p>
    <w:p>
      <w:pPr>
        <w:shd w:val="clear" w:color="auto" w:fill="FEFEFE"/>
        <w:spacing w:after="0" w:line="360" w:lineRule="auto"/>
        <w:ind w:firstLine="720"/>
        <w:jc w:val="both"/>
        <w:rPr>
          <w:rFonts w:asciiTheme="majorBidi" w:hAnsiTheme="majorBidi" w:cstheme="majorBidi"/>
        </w:rPr>
      </w:pPr>
      <w:r>
        <w:rPr>
          <w:rFonts w:asciiTheme="majorBidi" w:hAnsiTheme="majorBidi" w:cstheme="majorBidi"/>
        </w:rPr>
        <w:t>•</w:t>
      </w:r>
      <w:r>
        <w:rPr>
          <w:rFonts w:asciiTheme="majorBidi" w:hAnsiTheme="majorBidi" w:cstheme="majorBidi"/>
        </w:rPr>
        <w:tab/>
      </w:r>
      <w:r>
        <w:rPr>
          <w:rFonts w:asciiTheme="majorBidi" w:hAnsiTheme="majorBidi" w:cstheme="majorBidi"/>
        </w:rPr>
        <w:t>Access to Official Records: Incomplete or inaccessible government/property records limited the depth of data verification.</w:t>
      </w:r>
    </w:p>
    <w:p>
      <w:pPr>
        <w:shd w:val="clear" w:color="auto" w:fill="FEFEFE"/>
        <w:spacing w:after="0" w:line="360" w:lineRule="auto"/>
        <w:ind w:firstLine="720"/>
        <w:jc w:val="both"/>
        <w:rPr>
          <w:rFonts w:asciiTheme="majorBidi" w:hAnsiTheme="majorBidi" w:cstheme="majorBidi"/>
        </w:rPr>
      </w:pPr>
      <w:r>
        <w:rPr>
          <w:rFonts w:asciiTheme="majorBidi" w:hAnsiTheme="majorBidi" w:cstheme="majorBidi"/>
        </w:rPr>
        <w:t>•</w:t>
      </w:r>
      <w:r>
        <w:rPr>
          <w:rFonts w:asciiTheme="majorBidi" w:hAnsiTheme="majorBidi" w:cstheme="majorBidi"/>
        </w:rPr>
        <w:tab/>
      </w:r>
      <w:r>
        <w:rPr>
          <w:rFonts w:asciiTheme="majorBidi" w:hAnsiTheme="majorBidi" w:cstheme="majorBidi"/>
        </w:rPr>
        <w:t>Time Constraints: The study was carried out within a short academic timeframe, restricting extended data collection and follow-up.</w:t>
      </w:r>
    </w:p>
    <w:p>
      <w:pPr>
        <w:shd w:val="clear" w:color="auto" w:fill="FEFEFE"/>
        <w:spacing w:after="0" w:line="360" w:lineRule="auto"/>
        <w:ind w:firstLine="720"/>
        <w:jc w:val="both"/>
        <w:rPr>
          <w:rFonts w:asciiTheme="majorBidi" w:hAnsiTheme="majorBidi" w:cstheme="majorBidi"/>
        </w:rPr>
      </w:pPr>
      <w:r>
        <w:rPr>
          <w:rFonts w:asciiTheme="majorBidi" w:hAnsiTheme="majorBidi" w:cstheme="majorBidi"/>
        </w:rPr>
        <w:t>•</w:t>
      </w:r>
      <w:r>
        <w:rPr>
          <w:rFonts w:asciiTheme="majorBidi" w:hAnsiTheme="majorBidi" w:cstheme="majorBidi"/>
        </w:rPr>
        <w:tab/>
      </w:r>
      <w:r>
        <w:rPr>
          <w:rFonts w:asciiTheme="majorBidi" w:hAnsiTheme="majorBidi" w:cstheme="majorBidi"/>
        </w:rPr>
        <w:t>Financial Constraints: Budget limitations affected the size of the survey sample and limited travel and logistical support.</w:t>
      </w:r>
    </w:p>
    <w:p>
      <w:pPr>
        <w:shd w:val="clear" w:color="auto" w:fill="FEFEFE"/>
        <w:spacing w:after="0" w:line="360" w:lineRule="auto"/>
        <w:ind w:firstLine="720"/>
        <w:jc w:val="both"/>
        <w:rPr>
          <w:rFonts w:asciiTheme="majorBidi" w:hAnsiTheme="majorBidi" w:cstheme="majorBidi"/>
        </w:rPr>
      </w:pPr>
      <w:r>
        <w:rPr>
          <w:rFonts w:asciiTheme="majorBidi" w:hAnsiTheme="majorBidi" w:cstheme="majorBidi"/>
        </w:rPr>
        <w:t>•</w:t>
      </w:r>
      <w:r>
        <w:rPr>
          <w:rFonts w:asciiTheme="majorBidi" w:hAnsiTheme="majorBidi" w:cstheme="majorBidi"/>
        </w:rPr>
        <w:tab/>
      </w:r>
      <w:r>
        <w:rPr>
          <w:rFonts w:asciiTheme="majorBidi" w:hAnsiTheme="majorBidi" w:cstheme="majorBidi"/>
        </w:rPr>
        <w:t>Dynamic Urban Growth: The pace of development in both areas is changing rapidly, meaning the findings are only reflective of the 2024–2025 period.</w:t>
      </w:r>
    </w:p>
    <w:p>
      <w:pPr>
        <w:shd w:val="clear" w:color="auto" w:fill="FEFEFE"/>
        <w:spacing w:after="0" w:line="360" w:lineRule="auto"/>
        <w:jc w:val="both"/>
        <w:rPr>
          <w:rFonts w:ascii="Times New Roman" w:hAnsi="Times New Roman" w:eastAsia="Times New Roman" w:cs="Times New Roman"/>
          <w:b/>
          <w:bCs/>
          <w:color w:val="000000" w:themeColor="text1"/>
          <w:sz w:val="24"/>
          <w:szCs w:val="24"/>
        </w:rPr>
      </w:pPr>
      <w:r>
        <w:rPr>
          <w:rFonts w:ascii="Times New Roman" w:hAnsi="Times New Roman" w:eastAsia="Times New Roman" w:cs="Times New Roman"/>
          <w:b/>
          <w:bCs/>
          <w:color w:val="000000" w:themeColor="text1"/>
          <w:sz w:val="24"/>
          <w:szCs w:val="24"/>
        </w:rPr>
        <w:t>1.7</w:t>
      </w:r>
      <w:r>
        <w:rPr>
          <w:rFonts w:ascii="Times New Roman" w:hAnsi="Times New Roman" w:eastAsia="Times New Roman" w:cs="Times New Roman"/>
          <w:b/>
          <w:bCs/>
          <w:color w:val="000000" w:themeColor="text1"/>
          <w:sz w:val="24"/>
          <w:szCs w:val="24"/>
        </w:rPr>
        <w:tab/>
      </w:r>
      <w:r>
        <w:rPr>
          <w:rFonts w:ascii="Times New Roman" w:hAnsi="Times New Roman" w:eastAsia="Times New Roman" w:cs="Times New Roman"/>
          <w:b/>
          <w:bCs/>
          <w:color w:val="000000" w:themeColor="text1"/>
          <w:sz w:val="24"/>
          <w:szCs w:val="24"/>
        </w:rPr>
        <w:t>STUDY AREA</w:t>
      </w:r>
    </w:p>
    <w:p>
      <w:pPr>
        <w:spacing w:line="360" w:lineRule="auto"/>
        <w:jc w:val="both"/>
        <w:rPr>
          <w:rFonts w:asciiTheme="majorBidi" w:hAnsiTheme="majorBidi" w:cstheme="majorBidi"/>
          <w:sz w:val="24"/>
          <w:szCs w:val="24"/>
        </w:rPr>
      </w:pPr>
      <w:r>
        <w:rPr>
          <w:rFonts w:asciiTheme="majorBidi" w:hAnsiTheme="majorBidi" w:cstheme="majorBidi"/>
          <w:sz w:val="24"/>
          <w:szCs w:val="24"/>
        </w:rPr>
        <w:t>The study was conducted in Ilorin, the capital of Kwara State, located in the North-Central geopolitical zone of Nigeria. Ilorin is a rapidly growing urban center, with notable expansion in both infrastructure and population over the last two decades. The city is made up of a mix of urban, semi-urban, and peri-urban communities, which makes it ideal for analyzing variations in residential property values.</w:t>
      </w:r>
    </w:p>
    <w:p>
      <w:pPr>
        <w:spacing w:line="360" w:lineRule="auto"/>
        <w:jc w:val="both"/>
        <w:rPr>
          <w:rFonts w:asciiTheme="majorBidi" w:hAnsiTheme="majorBidi" w:cstheme="majorBidi"/>
          <w:sz w:val="24"/>
          <w:szCs w:val="24"/>
        </w:rPr>
      </w:pPr>
      <w:r>
        <w:rPr>
          <w:rFonts w:asciiTheme="majorBidi" w:hAnsiTheme="majorBidi" w:cstheme="majorBidi"/>
          <w:sz w:val="24"/>
          <w:szCs w:val="24"/>
        </w:rPr>
        <w:t>Two distinct communities within Ilorin were selected for this research:</w:t>
      </w:r>
    </w:p>
    <w:p>
      <w:pPr>
        <w:spacing w:line="360" w:lineRule="auto"/>
        <w:jc w:val="both"/>
        <w:rPr>
          <w:rFonts w:asciiTheme="majorBidi" w:hAnsiTheme="majorBidi" w:cstheme="majorBidi"/>
          <w:sz w:val="24"/>
          <w:szCs w:val="24"/>
        </w:rPr>
      </w:pPr>
      <w:r>
        <w:rPr>
          <w:rFonts w:asciiTheme="majorBidi" w:hAnsiTheme="majorBidi" w:cstheme="majorBidi"/>
          <w:sz w:val="24"/>
          <w:szCs w:val="24"/>
        </w:rPr>
        <w:t>Oke-Oyi is located in the eastern part of Ilorin, falling within the Ilorin East Local Government Area (LGA). It is a peri-urban community with developing infrastructure, traditional housing styles, and relatively low property values. The area is characterized by modest homes, mixed land uses, and unpaved road networks in many parts. Oke-Oyi provides a typical representation of emerging residential zones where urban development is beginning to take shape.</w:t>
      </w:r>
    </w:p>
    <w:p>
      <w:pPr>
        <w:spacing w:line="360" w:lineRule="auto"/>
        <w:jc w:val="both"/>
        <w:rPr>
          <w:rFonts w:asciiTheme="majorBidi" w:hAnsiTheme="majorBidi" w:cstheme="majorBidi"/>
          <w:sz w:val="24"/>
          <w:szCs w:val="24"/>
        </w:rPr>
      </w:pPr>
      <w:r>
        <w:rPr>
          <w:rFonts w:asciiTheme="majorBidi" w:hAnsiTheme="majorBidi" w:cstheme="majorBidi"/>
          <w:sz w:val="24"/>
          <w:szCs w:val="24"/>
        </w:rPr>
        <w:t>Tanke</w:t>
      </w:r>
    </w:p>
    <w:p>
      <w:pPr>
        <w:spacing w:line="360" w:lineRule="auto"/>
        <w:jc w:val="both"/>
        <w:rPr>
          <w:rFonts w:asciiTheme="majorBidi" w:hAnsiTheme="majorBidi" w:cstheme="majorBidi"/>
          <w:sz w:val="24"/>
          <w:szCs w:val="24"/>
        </w:rPr>
      </w:pPr>
      <w:r>
        <w:rPr>
          <w:rFonts w:asciiTheme="majorBidi" w:hAnsiTheme="majorBidi" w:cstheme="majorBidi"/>
          <w:sz w:val="24"/>
          <w:szCs w:val="24"/>
        </w:rPr>
        <w:t>Tanke is situated in the southern part of Ilorin, within the Ilorin South LGA. It is a highly urbanized residential and commercial area, largely influenced by the proximity of the University of Ilorin and major road networks like the University Road and Pipeline Road. The area is known for its modern housing designs, increasing property values, and access to essential amenities such as water supply, paved roads, and waste disposal services. Tanke attracts a youthful, mobile population including students, professionals, and real estate investors.</w:t>
      </w:r>
    </w:p>
    <w:p>
      <w:pPr>
        <w:shd w:val="clear" w:color="auto" w:fill="FEFEFE"/>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b/>
          <w:bCs/>
          <w:color w:val="000000" w:themeColor="text1"/>
          <w:sz w:val="24"/>
          <w:szCs w:val="24"/>
        </w:rPr>
        <w:t>1.8       DEFINITION OF TERMS</w:t>
      </w:r>
    </w:p>
    <w:p>
      <w:pPr>
        <w:shd w:val="clear" w:color="auto" w:fill="FEFEFE"/>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b/>
          <w:bCs/>
          <w:color w:val="000000" w:themeColor="text1"/>
          <w:sz w:val="24"/>
          <w:szCs w:val="24"/>
        </w:rPr>
        <w:t>HOUSING</w:t>
      </w:r>
      <w:r>
        <w:rPr>
          <w:rFonts w:ascii="Times New Roman" w:hAnsi="Times New Roman" w:eastAsia="Times New Roman" w:cs="Times New Roman"/>
          <w:color w:val="000000" w:themeColor="text1"/>
          <w:sz w:val="24"/>
          <w:szCs w:val="24"/>
        </w:rPr>
        <w:t>: </w:t>
      </w:r>
      <w:r>
        <w:rPr>
          <w:rFonts w:ascii="Times New Roman" w:hAnsi="Times New Roman" w:eastAsia="Times New Roman" w:cs="Times New Roman"/>
          <w:i/>
          <w:iCs/>
          <w:color w:val="000000" w:themeColor="text1"/>
          <w:sz w:val="24"/>
          <w:szCs w:val="24"/>
        </w:rPr>
        <w:t>Ho</w:t>
      </w:r>
      <w:r>
        <w:rPr>
          <w:rFonts w:ascii="Times New Roman" w:hAnsi="Times New Roman" w:eastAsia="Times New Roman" w:cs="Times New Roman"/>
          <w:i/>
          <w:iCs/>
          <w:color w:val="000000" w:themeColor="text1"/>
          <w:sz w:val="24"/>
          <w:szCs w:val="24"/>
        </w:rPr>
        <w:t>using</w:t>
      </w:r>
      <w:r>
        <w:rPr>
          <w:rFonts w:ascii="Times New Roman" w:hAnsi="Times New Roman" w:eastAsia="Times New Roman" w:cs="Times New Roman"/>
          <w:color w:val="000000" w:themeColor="text1"/>
          <w:sz w:val="24"/>
          <w:szCs w:val="24"/>
        </w:rPr>
        <w:t> refers to houses or buildings collectively; accommodation of people; planning or provision of accommodation by an authority; and related meanings. The social issue is of ensuring that members of society have a home in which to live, whether this is a</w:t>
      </w:r>
      <w:r>
        <w:rPr>
          <w:rFonts w:ascii="Times New Roman" w:hAnsi="Times New Roman" w:eastAsia="Times New Roman" w:cs="Times New Roman"/>
          <w:color w:val="000000" w:themeColor="text1"/>
          <w:sz w:val="24"/>
          <w:szCs w:val="24"/>
        </w:rPr>
        <w:t xml:space="preserve"> house, or some other kind of dwelling, lodging, or shelter (Michi, 2016).</w:t>
      </w:r>
    </w:p>
    <w:p>
      <w:pPr>
        <w:shd w:val="clear" w:color="auto" w:fill="FEFEFE"/>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b/>
          <w:bCs/>
          <w:color w:val="000000" w:themeColor="text1"/>
          <w:sz w:val="24"/>
          <w:szCs w:val="24"/>
        </w:rPr>
        <w:t>ENVIRONMENT</w:t>
      </w:r>
      <w:r>
        <w:rPr>
          <w:rFonts w:ascii="Times New Roman" w:hAnsi="Times New Roman" w:eastAsia="Times New Roman" w:cs="Times New Roman"/>
          <w:color w:val="000000" w:themeColor="text1"/>
          <w:sz w:val="24"/>
          <w:szCs w:val="24"/>
        </w:rPr>
        <w:t>: The sum total of all surroundings of a living organism, including natural forces and other living things, which provide conditions for development and growth as well as</w:t>
      </w:r>
      <w:r>
        <w:rPr>
          <w:rFonts w:ascii="Times New Roman" w:hAnsi="Times New Roman" w:eastAsia="Times New Roman" w:cs="Times New Roman"/>
          <w:color w:val="000000" w:themeColor="text1"/>
          <w:sz w:val="24"/>
          <w:szCs w:val="24"/>
        </w:rPr>
        <w:t xml:space="preserve"> of danger and damage (Ugwuorah, 2018). </w:t>
      </w:r>
    </w:p>
    <w:p>
      <w:pPr>
        <w:shd w:val="clear" w:color="auto" w:fill="FEFEFE"/>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b/>
          <w:color w:val="000000" w:themeColor="text1"/>
          <w:sz w:val="24"/>
          <w:szCs w:val="24"/>
        </w:rPr>
        <w:t>NEIGHBORHOOD QUALITY</w:t>
      </w:r>
      <w:r>
        <w:rPr>
          <w:rFonts w:ascii="Times New Roman" w:hAnsi="Times New Roman" w:eastAsia="Times New Roman" w:cs="Times New Roman"/>
          <w:color w:val="000000" w:themeColor="text1"/>
          <w:sz w:val="24"/>
          <w:szCs w:val="24"/>
        </w:rPr>
        <w:t xml:space="preserve"> refers to the overall condition, characteristics, and attributes of a residential area that contribute to its desirability and livability. It encompasses a range of physical, social, economic, a</w:t>
      </w:r>
      <w:r>
        <w:rPr>
          <w:rFonts w:ascii="Times New Roman" w:hAnsi="Times New Roman" w:eastAsia="Times New Roman" w:cs="Times New Roman"/>
          <w:color w:val="000000" w:themeColor="text1"/>
          <w:sz w:val="24"/>
          <w:szCs w:val="24"/>
        </w:rPr>
        <w:t xml:space="preserve">nd environmental factors that collectively shape the experience and well-being of residents. </w:t>
      </w:r>
    </w:p>
    <w:p>
      <w:pPr>
        <w:shd w:val="clear" w:color="auto" w:fill="FEFEFE"/>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b/>
          <w:bCs/>
          <w:color w:val="000000" w:themeColor="text1"/>
          <w:sz w:val="24"/>
          <w:szCs w:val="24"/>
        </w:rPr>
        <w:t>ENVIRONMENTAL QUALITY: </w:t>
      </w:r>
      <w:r>
        <w:rPr>
          <w:rFonts w:ascii="Times New Roman" w:hAnsi="Times New Roman" w:eastAsia="Times New Roman" w:cs="Times New Roman"/>
          <w:color w:val="000000" w:themeColor="text1"/>
          <w:sz w:val="24"/>
          <w:szCs w:val="24"/>
        </w:rPr>
        <w:t xml:space="preserve">Environmental quality is a set of properties and characteristics of the environment, either generalized or local, as they impinge on human </w:t>
      </w:r>
      <w:r>
        <w:rPr>
          <w:rFonts w:ascii="Times New Roman" w:hAnsi="Times New Roman" w:eastAsia="Times New Roman" w:cs="Times New Roman"/>
          <w:color w:val="000000" w:themeColor="text1"/>
          <w:sz w:val="24"/>
          <w:szCs w:val="24"/>
        </w:rPr>
        <w:t>beings and other organisms. It is a measure of the condition of an environment relative to the requirements of one or more species, any human need or purpose (Owei and Mark, 2020)</w:t>
      </w:r>
    </w:p>
    <w:p>
      <w:pPr>
        <w:shd w:val="clear" w:color="auto" w:fill="FEFEFE"/>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b/>
          <w:bCs/>
          <w:color w:val="000000" w:themeColor="text1"/>
          <w:sz w:val="24"/>
          <w:szCs w:val="24"/>
        </w:rPr>
        <w:t>NEIGHBOURHOOD</w:t>
      </w:r>
      <w:r>
        <w:rPr>
          <w:rFonts w:ascii="Times New Roman" w:hAnsi="Times New Roman" w:eastAsia="Times New Roman" w:cs="Times New Roman"/>
          <w:color w:val="000000" w:themeColor="text1"/>
          <w:sz w:val="24"/>
          <w:szCs w:val="24"/>
        </w:rPr>
        <w:t>: A neighbourhood is a geographically localised</w:t>
      </w:r>
      <w:r>
        <w:rPr>
          <w:rFonts w:ascii="Times New Roman" w:hAnsi="Times New Roman" w:eastAsia="Times New Roman" w:cs="Times New Roman"/>
          <w:color w:val="000000" w:themeColor="text1"/>
          <w:sz w:val="24"/>
          <w:szCs w:val="24"/>
        </w:rPr>
        <w:t xml:space="preserve"> community within a larger city, town, suburb or rural area. Neighbourhoods are often social communities with considerable face-to-face interaction among members. (Ugwuorah, 2018).</w:t>
      </w:r>
    </w:p>
    <w:p>
      <w:pPr>
        <w:shd w:val="clear" w:color="auto" w:fill="FEFEFE"/>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b/>
          <w:bCs/>
          <w:color w:val="000000" w:themeColor="text1"/>
          <w:sz w:val="24"/>
          <w:szCs w:val="24"/>
        </w:rPr>
        <w:t>ATTRIBUTES</w:t>
      </w:r>
      <w:r>
        <w:rPr>
          <w:rFonts w:ascii="Times New Roman" w:hAnsi="Times New Roman" w:eastAsia="Times New Roman" w:cs="Times New Roman"/>
          <w:color w:val="000000" w:themeColor="text1"/>
          <w:sz w:val="24"/>
          <w:szCs w:val="24"/>
        </w:rPr>
        <w:t>: A characteristic or feature of a product that is thought to app</w:t>
      </w:r>
      <w:r>
        <w:rPr>
          <w:rFonts w:ascii="Times New Roman" w:hAnsi="Times New Roman" w:eastAsia="Times New Roman" w:cs="Times New Roman"/>
          <w:color w:val="000000" w:themeColor="text1"/>
          <w:sz w:val="24"/>
          <w:szCs w:val="24"/>
        </w:rPr>
        <w:t>eal to customers (Obinna, 2017).</w:t>
      </w:r>
    </w:p>
    <w:p>
      <w:pPr>
        <w:shd w:val="clear" w:color="auto" w:fill="FEFEFE"/>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b/>
          <w:bCs/>
          <w:color w:val="000000" w:themeColor="text1"/>
          <w:sz w:val="24"/>
          <w:szCs w:val="24"/>
        </w:rPr>
        <w:t>PROPERTY VALUE</w:t>
      </w:r>
      <w:r>
        <w:rPr>
          <w:rFonts w:ascii="Times New Roman" w:hAnsi="Times New Roman" w:eastAsia="Times New Roman" w:cs="Times New Roman"/>
          <w:color w:val="000000" w:themeColor="text1"/>
          <w:sz w:val="24"/>
          <w:szCs w:val="24"/>
        </w:rPr>
        <w:t>: property value according to Millington (2017) is the money obtainable from a person willing and able to purchase property when it is offered for sale by a willing seller, allowing for reasonable time for neg</w:t>
      </w:r>
      <w:r>
        <w:rPr>
          <w:rFonts w:ascii="Times New Roman" w:hAnsi="Times New Roman" w:eastAsia="Times New Roman" w:cs="Times New Roman"/>
          <w:color w:val="000000" w:themeColor="text1"/>
          <w:sz w:val="24"/>
          <w:szCs w:val="24"/>
        </w:rPr>
        <w:t>otiation and with the full knowledge of the nature and uses which  the property is capable of being put (Mchi, 2016).</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RESIDENTIAL</w:t>
      </w:r>
      <w:r>
        <w:rPr>
          <w:rFonts w:ascii="Times New Roman" w:hAnsi="Times New Roman" w:cs="Times New Roman"/>
          <w:color w:val="000000" w:themeColor="text1"/>
          <w:sz w:val="24"/>
          <w:szCs w:val="24"/>
        </w:rPr>
        <w:t>: Residential refers to an area, building, or property that is designed and used primarily for housing or dwelling purposes. It</w:t>
      </w:r>
      <w:r>
        <w:rPr>
          <w:rFonts w:ascii="Times New Roman" w:hAnsi="Times New Roman" w:cs="Times New Roman"/>
          <w:color w:val="000000" w:themeColor="text1"/>
          <w:sz w:val="24"/>
          <w:szCs w:val="24"/>
        </w:rPr>
        <w:t xml:space="preserve"> is associated with places where people </w:t>
      </w:r>
      <w:r>
        <w:rPr>
          <w:rFonts w:ascii="Times New Roman" w:hAnsi="Times New Roman" w:cs="Times New Roman"/>
          <w:color w:val="000000" w:themeColor="text1"/>
          <w:sz w:val="24"/>
          <w:szCs w:val="24"/>
        </w:rPr>
        <w:t>live, such as houses, apartments, condominiums, and other types of homes. Residential areas are characterized by their suitability for habitation, and they often include features and infrastructure that support comfo</w:t>
      </w:r>
      <w:r>
        <w:rPr>
          <w:rFonts w:ascii="Times New Roman" w:hAnsi="Times New Roman" w:cs="Times New Roman"/>
          <w:color w:val="000000" w:themeColor="text1"/>
          <w:sz w:val="24"/>
          <w:szCs w:val="24"/>
        </w:rPr>
        <w:t>rtable living, such as schools, parks, and amenities (Onyemelukue, 2017).</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URBAN LAND:</w:t>
      </w:r>
      <w:r>
        <w:rPr>
          <w:rFonts w:ascii="Times New Roman" w:hAnsi="Times New Roman" w:cs="Times New Roman"/>
          <w:color w:val="000000" w:themeColor="text1"/>
          <w:sz w:val="24"/>
          <w:szCs w:val="24"/>
        </w:rPr>
        <w:t xml:space="preserve"> Urban land refers to land that is part of an urban area or city. It is characterized by its use for residential, commercial, industrial, and institutional purposes, as op</w:t>
      </w:r>
      <w:r>
        <w:rPr>
          <w:rFonts w:ascii="Times New Roman" w:hAnsi="Times New Roman" w:cs="Times New Roman"/>
          <w:color w:val="000000" w:themeColor="text1"/>
          <w:sz w:val="24"/>
          <w:szCs w:val="24"/>
        </w:rPr>
        <w:t>posed to rural or agricultural uses (Akinbamijo, 2018).</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RURAL LAND:</w:t>
      </w:r>
      <w:r>
        <w:rPr>
          <w:rFonts w:ascii="Times New Roman" w:hAnsi="Times New Roman" w:cs="Times New Roman"/>
          <w:color w:val="000000" w:themeColor="text1"/>
          <w:sz w:val="24"/>
          <w:szCs w:val="24"/>
        </w:rPr>
        <w:t xml:space="preserve"> Rural land refers to land that is situated outside urban areas and is typically associated with non-urban or non-industrial uses. It encompasses large expanses of open space, agricultural </w:t>
      </w:r>
      <w:r>
        <w:rPr>
          <w:rFonts w:ascii="Times New Roman" w:hAnsi="Times New Roman" w:cs="Times New Roman"/>
          <w:color w:val="000000" w:themeColor="text1"/>
          <w:sz w:val="24"/>
          <w:szCs w:val="24"/>
        </w:rPr>
        <w:t>land, natural landscapes, and small settlements or villages. (Oyesiku, 2013)</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PROPERTY</w:t>
      </w:r>
      <w:r>
        <w:rPr>
          <w:rFonts w:ascii="Times New Roman" w:hAnsi="Times New Roman" w:cs="Times New Roman"/>
          <w:color w:val="000000" w:themeColor="text1"/>
          <w:sz w:val="24"/>
          <w:szCs w:val="24"/>
        </w:rPr>
        <w:t>: Property is a system of rights that gives people legal control of valuable things, and also refers to the valuable things themselves (Wikipedia, 2023).</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VALUE</w:t>
      </w:r>
      <w:r>
        <w:rPr>
          <w:rFonts w:ascii="Times New Roman" w:hAnsi="Times New Roman" w:cs="Times New Roman"/>
          <w:color w:val="000000" w:themeColor="text1"/>
          <w:sz w:val="24"/>
          <w:szCs w:val="24"/>
        </w:rPr>
        <w:t>: In economi</w:t>
      </w:r>
      <w:r>
        <w:rPr>
          <w:rFonts w:ascii="Times New Roman" w:hAnsi="Times New Roman" w:cs="Times New Roman"/>
          <w:color w:val="000000" w:themeColor="text1"/>
          <w:sz w:val="24"/>
          <w:szCs w:val="24"/>
        </w:rPr>
        <w:t>cs, economic value is a measure of the benefit provided by a good or service to an economic agent, and value for money represents an assessment of whether financial or other resources are being used effectively in order to secure such benefi (Stigler, 2015</w:t>
      </w:r>
      <w:r>
        <w:rPr>
          <w:rFonts w:ascii="Times New Roman" w:hAnsi="Times New Roman" w:cs="Times New Roman"/>
          <w:color w:val="000000" w:themeColor="text1"/>
          <w:sz w:val="24"/>
          <w:szCs w:val="24"/>
        </w:rPr>
        <w:t>).</w:t>
      </w:r>
    </w:p>
    <w:p>
      <w:pPr>
        <w:spacing w:after="0" w:line="360" w:lineRule="auto"/>
        <w:jc w:val="both"/>
        <w:rPr>
          <w:rFonts w:ascii="Times New Roman" w:hAnsi="Times New Roman" w:cs="Times New Roman"/>
          <w:color w:val="000000" w:themeColor="text1"/>
          <w:sz w:val="24"/>
          <w:szCs w:val="24"/>
        </w:rPr>
      </w:pPr>
    </w:p>
    <w:p>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CHAPTER TWO</w:t>
      </w:r>
    </w:p>
    <w:p>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INTRODUCTION</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chapters entails the literature review, conceptual framework, theoretical framework and summary of literature review.</w:t>
      </w:r>
    </w:p>
    <w:p>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LITERATURE REVIEW</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work of Olanrewanju</w:t>
      </w:r>
      <w:r>
        <w:rPr>
          <w:rFonts w:ascii="Times New Roman" w:hAnsi="Times New Roman" w:cs="Times New Roman"/>
          <w:color w:val="000000" w:themeColor="text1"/>
          <w:sz w:val="24"/>
          <w:szCs w:val="24"/>
        </w:rPr>
        <w:t xml:space="preserve"> (2016) and several other authors who worked on urban development attested to the reality of the layout of neighbourhood of the inner residential core of Ilorin been generally appalling. The buildings are closely built and overcrowded. They experience vary</w:t>
      </w:r>
      <w:r>
        <w:rPr>
          <w:rFonts w:ascii="Times New Roman" w:hAnsi="Times New Roman" w:cs="Times New Roman"/>
          <w:color w:val="000000" w:themeColor="text1"/>
          <w:sz w:val="24"/>
          <w:szCs w:val="24"/>
        </w:rPr>
        <w:t xml:space="preserve">ing degree of obsolescence, leaking roofs, cracked walls, broken windows and peeling paints with toilet and bathroom facilities either totally absent or inadequate and substandard. </w:t>
      </w:r>
    </w:p>
    <w:p>
      <w:pPr>
        <w:spacing w:after="0" w:line="360" w:lineRule="auto"/>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The land–use is largely residential and the buildings are of roomy apartme</w:t>
      </w:r>
      <w:r>
        <w:rPr>
          <w:rFonts w:asciiTheme="majorBidi" w:hAnsiTheme="majorBidi" w:cstheme="majorBidi"/>
          <w:color w:val="000000" w:themeColor="text1"/>
          <w:sz w:val="24"/>
          <w:szCs w:val="24"/>
        </w:rPr>
        <w:t xml:space="preserve">nts which, in most cases, have no approved plan. Contrary to planning law, there are no provision for open spaces and no well–defined property line for the area. The buildings are made of low quality materials like mud blocks, zinc or aluminum sheets, and </w:t>
      </w:r>
      <w:r>
        <w:rPr>
          <w:rFonts w:asciiTheme="majorBidi" w:hAnsiTheme="majorBidi" w:cstheme="majorBidi"/>
          <w:color w:val="000000" w:themeColor="text1"/>
          <w:sz w:val="24"/>
          <w:szCs w:val="24"/>
        </w:rPr>
        <w:t>wood or ordinary planks. This generally affect the durability of the buildings, while some were constructed without due regard for roads accesses, adequate air spaces, building lines and provision of conveniences and utility services (Olanrewaju and Akinba</w:t>
      </w:r>
      <w:r>
        <w:rPr>
          <w:rFonts w:asciiTheme="majorBidi" w:hAnsiTheme="majorBidi" w:cstheme="majorBidi"/>
          <w:color w:val="000000" w:themeColor="text1"/>
          <w:sz w:val="24"/>
          <w:szCs w:val="24"/>
        </w:rPr>
        <w:t>mijo, 2018).</w:t>
      </w:r>
    </w:p>
    <w:p>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In Nigeria, residential properties vary in quality and value due to factors such as location, design, building materials, infrastructure, and neighborhood environment (Ajayi, 2013). Residential property value, therefore, is not only a function of physical structure but also the environment in which it is located.</w:t>
      </w:r>
    </w:p>
    <w:p>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CONCEPTUAL FRAMEWORK</w:t>
      </w:r>
    </w:p>
    <w:p>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2.2.1</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CONCEPT OF URBAN GROWTH IN NIGERIA</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Urbanization is defined as the agglomeration of people in relatively large number at a particular spot of the earth su</w:t>
      </w:r>
      <w:r>
        <w:rPr>
          <w:rFonts w:ascii="Times New Roman" w:hAnsi="Times New Roman" w:cs="Times New Roman"/>
          <w:color w:val="000000" w:themeColor="text1"/>
          <w:sz w:val="24"/>
          <w:szCs w:val="24"/>
        </w:rPr>
        <w:t>rface (Onyemelukue, 2017). Conversely, another school of thought believes that urbanization is not about the population size, but must satisfy certain conditions like modernization, physical and economic development, as well as the heterogeneity in occupat</w:t>
      </w:r>
      <w:r>
        <w:rPr>
          <w:rFonts w:ascii="Times New Roman" w:hAnsi="Times New Roman" w:cs="Times New Roman"/>
          <w:color w:val="000000" w:themeColor="text1"/>
          <w:sz w:val="24"/>
          <w:szCs w:val="24"/>
        </w:rPr>
        <w:t xml:space="preserve">ion (Oyeleye, 2013). The index of urbanization in Nigeria which is the population increase is mainly caused by rural-urban migration and not by natural </w:t>
      </w:r>
      <w:r>
        <w:rPr>
          <w:rFonts w:ascii="Times New Roman" w:hAnsi="Times New Roman" w:cs="Times New Roman"/>
          <w:color w:val="000000" w:themeColor="text1"/>
          <w:sz w:val="24"/>
          <w:szCs w:val="24"/>
        </w:rPr>
        <w:t>increase. Many researchers see rural-urban migration in urbanization process as the genesis of the resul</w:t>
      </w:r>
      <w:r>
        <w:rPr>
          <w:rFonts w:ascii="Times New Roman" w:hAnsi="Times New Roman" w:cs="Times New Roman"/>
          <w:color w:val="000000" w:themeColor="text1"/>
          <w:sz w:val="24"/>
          <w:szCs w:val="24"/>
        </w:rPr>
        <w:t>tant problems of urbanization in any part of the world (Onokerhoraye, 2015).</w:t>
      </w:r>
    </w:p>
    <w:p>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Urban growth refers to the increase in the physical size, population, and economic activities of urban areas over time. In Nigeria, urban growth is largely driven by rural–urban migration, natural population increase, infrastructural development, and economic concentration in cities.</w:t>
      </w:r>
    </w:p>
    <w:p>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According to UN-Habitat (2014), Nigeria is one of the fastest urbanizing countries in Africa, with urban areas expanding rapidly in size and density. This urban expansion often occurs in an unplanned or semi-planned manner, which leads to unequal development between core urban zones and peripheral areas.</w:t>
      </w:r>
    </w:p>
    <w:p>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Tanke (Urban Fringe Area)</w:t>
      </w:r>
    </w:p>
    <w:p>
      <w:pPr>
        <w:spacing w:line="360" w:lineRule="auto"/>
        <w:jc w:val="both"/>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Tanke is part of Ilorin’s rapidly expanding urban zone.</w:t>
      </w:r>
    </w:p>
    <w:p>
      <w:pPr>
        <w:spacing w:line="360" w:lineRule="auto"/>
        <w:jc w:val="both"/>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Urban growth in Tanke is driven by the presence of the University of Ilorin, commercial activities, and better access roads.</w:t>
      </w:r>
    </w:p>
    <w:p>
      <w:pPr>
        <w:spacing w:line="360" w:lineRule="auto"/>
        <w:jc w:val="both"/>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It has modern building materials, improved infrastructure, and higher property values.</w:t>
      </w:r>
    </w:p>
    <w:p>
      <w:pPr>
        <w:spacing w:line="360" w:lineRule="auto"/>
        <w:jc w:val="both"/>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The area attracts a younger, educated population, which increases rental and land value.</w:t>
      </w:r>
    </w:p>
    <w:p>
      <w:pPr>
        <w:spacing w:line="360" w:lineRule="auto"/>
        <w:jc w:val="both"/>
        <w:rPr>
          <w:rFonts w:asciiTheme="majorBidi" w:hAnsiTheme="majorBidi" w:cstheme="majorBidi"/>
          <w:sz w:val="24"/>
          <w:szCs w:val="24"/>
        </w:rPr>
      </w:pPr>
      <w:r>
        <w:rPr>
          <w:rFonts w:asciiTheme="majorBidi" w:hAnsiTheme="majorBidi" w:cstheme="majorBidi"/>
          <w:sz w:val="24"/>
          <w:szCs w:val="24"/>
        </w:rPr>
        <w:t>Oke-Oyi (Peri-Urban Area)</w:t>
      </w:r>
    </w:p>
    <w:p>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Oke-Oyi is a transitional zone between rural and urban land use.</w:t>
      </w:r>
    </w:p>
    <w:p>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Urban growth here is slower, infrastructure is weaker, and buildings still use traditional materials.</w:t>
      </w:r>
    </w:p>
    <w:p>
      <w:pPr>
        <w:spacing w:line="360" w:lineRule="auto"/>
        <w:ind w:firstLine="720"/>
        <w:jc w:val="both"/>
        <w:rPr>
          <w:rFonts w:asciiTheme="majorBidi" w:hAnsiTheme="majorBidi" w:cstheme="majorBidi"/>
          <w:color w:val="000000" w:themeColor="text1"/>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Property values are lower, but the area is witnessing gradual development due to spillover from Ilorin city.</w:t>
      </w:r>
    </w:p>
    <w:p>
      <w:pPr>
        <w:spacing w:after="160" w:line="259"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2.2.2</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CONCEPT OF HOUSING CONDITIONS</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Housing conditions refer to the overall state and quality of residential structures, encompassing various factors that contribute t</w:t>
      </w:r>
      <w:r>
        <w:rPr>
          <w:rFonts w:ascii="Times New Roman" w:hAnsi="Times New Roman" w:cs="Times New Roman"/>
          <w:color w:val="000000" w:themeColor="text1"/>
          <w:sz w:val="24"/>
          <w:szCs w:val="24"/>
        </w:rPr>
        <w:t>o the habitability and well-being of individuals or communities residing in those spaces. Assessing housing conditions involves examining several key aspects (Jinadu, 2017):</w:t>
      </w:r>
    </w:p>
    <w:p>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Structural Integrity:</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Definition: The stability and soundness of the physical structure, including the foundation, walls, roof, and overall construction.</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Indicators: Presence of cracks, leaks, structural damage, and adherence to building codes.</w:t>
      </w:r>
    </w:p>
    <w:p>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Amenities and Utilities:</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Definiti</w:t>
      </w:r>
      <w:r>
        <w:rPr>
          <w:rFonts w:ascii="Times New Roman" w:hAnsi="Times New Roman" w:cs="Times New Roman"/>
          <w:color w:val="000000" w:themeColor="text1"/>
          <w:sz w:val="24"/>
          <w:szCs w:val="24"/>
        </w:rPr>
        <w:t>on: The availability and functionality of essential services and facilities within the housing unit.</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Indicators: Access to clean water, sanitation facilities, electricity, heating, ventilation, and air conditioning (HVAC) systems </w:t>
      </w:r>
      <w:r>
        <w:rPr>
          <w:rFonts w:ascii="Times New Roman" w:hAnsi="Times New Roman" w:eastAsia="Times New Roman" w:cs="Times New Roman"/>
          <w:color w:val="000000" w:themeColor="text1"/>
          <w:sz w:val="24"/>
          <w:szCs w:val="24"/>
        </w:rPr>
        <w:t>(Ugwuorah, 2018).</w:t>
      </w:r>
    </w:p>
    <w:p>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Space an</w:t>
      </w:r>
      <w:r>
        <w:rPr>
          <w:rFonts w:ascii="Times New Roman" w:hAnsi="Times New Roman" w:cs="Times New Roman"/>
          <w:b/>
          <w:color w:val="000000" w:themeColor="text1"/>
          <w:sz w:val="24"/>
          <w:szCs w:val="24"/>
        </w:rPr>
        <w:t>d Layout:</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Definition: The spatial arrangement and design of the living quarters.</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Indicators: Size of rooms, layout efficiency, and the overall use of space for different functions.</w:t>
      </w:r>
    </w:p>
    <w:p>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Safety and Security:</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Definition: Measures in place to ensure the safety and</w:t>
      </w:r>
      <w:r>
        <w:rPr>
          <w:rFonts w:ascii="Times New Roman" w:hAnsi="Times New Roman" w:cs="Times New Roman"/>
          <w:color w:val="000000" w:themeColor="text1"/>
          <w:sz w:val="24"/>
          <w:szCs w:val="24"/>
        </w:rPr>
        <w:t xml:space="preserve"> security of the occupants.</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Indicators: Adequate lighting, secure doors and windows, fire safety features, and protection from environmental hazards.</w:t>
      </w:r>
    </w:p>
    <w:p>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Health and Hygiene:</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Definition: Conditions that impact the health and cleanliness of the living environmen</w:t>
      </w:r>
      <w:r>
        <w:rPr>
          <w:rFonts w:ascii="Times New Roman" w:hAnsi="Times New Roman" w:cs="Times New Roman"/>
          <w:color w:val="000000" w:themeColor="text1"/>
          <w:sz w:val="24"/>
          <w:szCs w:val="24"/>
        </w:rPr>
        <w:t>t.</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Indicators: Presence of pests, cleanliness of surroundings, and proper waste disposal.</w:t>
      </w:r>
    </w:p>
    <w:p>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Accessibility and Location:</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Definition: The ease of access to the housing unit and its proximity to essential services and amenities.</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Indicators: Transportation acces</w:t>
      </w:r>
      <w:r>
        <w:rPr>
          <w:rFonts w:ascii="Times New Roman" w:hAnsi="Times New Roman" w:cs="Times New Roman"/>
          <w:color w:val="000000" w:themeColor="text1"/>
          <w:sz w:val="24"/>
          <w:szCs w:val="24"/>
        </w:rPr>
        <w:t>s, distance to schools, healthcare facilities, and availability of public services.</w:t>
      </w:r>
    </w:p>
    <w:p>
      <w:pPr>
        <w:spacing w:after="160" w:line="259"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Affordability:</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Definition: The financial feasibility of the housing for the occupants.</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Indicators: Rent or mortgage affordability in relation to the income of the residen</w:t>
      </w:r>
      <w:r>
        <w:rPr>
          <w:rFonts w:ascii="Times New Roman" w:hAnsi="Times New Roman" w:cs="Times New Roman"/>
          <w:color w:val="000000" w:themeColor="text1"/>
          <w:sz w:val="24"/>
          <w:szCs w:val="24"/>
        </w:rPr>
        <w:t xml:space="preserve">ts </w:t>
      </w:r>
      <w:r>
        <w:rPr>
          <w:rFonts w:ascii="Times New Roman" w:hAnsi="Times New Roman" w:eastAsia="Times New Roman" w:cs="Times New Roman"/>
          <w:color w:val="000000" w:themeColor="text1"/>
          <w:sz w:val="24"/>
          <w:szCs w:val="24"/>
        </w:rPr>
        <w:t>(Ugwuorah, 2018).</w:t>
      </w:r>
    </w:p>
    <w:p>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Community and Social Factors:</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Definition: The broader social context and community characteristics.</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Indicators: Social cohesion, community services, and the overall quality of life within the neighborhood.</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Assessing housing conditions </w:t>
      </w:r>
      <w:r>
        <w:rPr>
          <w:rFonts w:ascii="Times New Roman" w:hAnsi="Times New Roman" w:cs="Times New Roman"/>
          <w:color w:val="000000" w:themeColor="text1"/>
          <w:sz w:val="24"/>
          <w:szCs w:val="24"/>
        </w:rPr>
        <w:t>is crucial for understanding the well-being of individuals and communities, identifying areas for improvement, and implementing policies and interventions to enhance overall living standards. It involves a comprehensive examination of both physical and soc</w:t>
      </w:r>
      <w:r>
        <w:rPr>
          <w:rFonts w:ascii="Times New Roman" w:hAnsi="Times New Roman" w:cs="Times New Roman"/>
          <w:color w:val="000000" w:themeColor="text1"/>
          <w:sz w:val="24"/>
          <w:szCs w:val="24"/>
        </w:rPr>
        <w:t>ial aspects to ensure that housing provides a safe, secure, and healthy environment for its occupants (Atere, 2017).</w:t>
      </w:r>
    </w:p>
    <w:p>
      <w:pPr>
        <w:spacing w:after="0" w:line="360" w:lineRule="auto"/>
        <w:jc w:val="both"/>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2.2.3</w:t>
      </w:r>
      <w:r>
        <w:rPr>
          <w:rFonts w:asciiTheme="majorBidi" w:hAnsiTheme="majorBidi" w:cstheme="majorBidi"/>
          <w:b/>
          <w:color w:val="000000" w:themeColor="text1"/>
          <w:sz w:val="24"/>
          <w:szCs w:val="24"/>
        </w:rPr>
        <w:tab/>
      </w:r>
      <w:r>
        <w:rPr>
          <w:rFonts w:asciiTheme="majorBidi" w:hAnsiTheme="majorBidi" w:cstheme="majorBidi"/>
          <w:b/>
          <w:color w:val="000000" w:themeColor="text1"/>
          <w:sz w:val="24"/>
          <w:szCs w:val="24"/>
        </w:rPr>
        <w:t>NEIGHBORHOOD QUALITY ON RESIDENTIAL PROPERTY</w:t>
      </w:r>
    </w:p>
    <w:p>
      <w:pPr>
        <w:spacing w:after="0" w:line="360" w:lineRule="auto"/>
        <w:jc w:val="both"/>
        <w:rPr>
          <w:rFonts w:asciiTheme="majorBidi" w:hAnsiTheme="majorBidi" w:cstheme="majorBidi"/>
          <w:sz w:val="24"/>
          <w:szCs w:val="24"/>
        </w:rPr>
      </w:pPr>
      <w:r>
        <w:rPr>
          <w:rFonts w:asciiTheme="majorBidi" w:hAnsiTheme="majorBidi" w:cstheme="majorBidi"/>
          <w:sz w:val="24"/>
          <w:szCs w:val="24"/>
        </w:rPr>
        <w:t>Neighborhood quality refers to the livability, infrastructure, security, and social amenities surrounding a property. It plays a central role in how a property is perceived and valued by buyers and tenants (Ajayi, 2013).</w:t>
      </w:r>
    </w:p>
    <w:p>
      <w:pPr>
        <w:spacing w:after="0" w:line="360" w:lineRule="auto"/>
        <w:jc w:val="both"/>
        <w:rPr>
          <w:rFonts w:asciiTheme="majorBidi" w:hAnsiTheme="majorBidi" w:cstheme="majorBidi"/>
          <w:sz w:val="24"/>
          <w:szCs w:val="24"/>
        </w:rPr>
      </w:pPr>
    </w:p>
    <w:p>
      <w:pPr>
        <w:spacing w:after="0" w:line="360" w:lineRule="auto"/>
        <w:jc w:val="both"/>
        <w:rPr>
          <w:rFonts w:asciiTheme="majorBidi" w:hAnsiTheme="majorBidi" w:cstheme="majorBidi"/>
          <w:sz w:val="24"/>
          <w:szCs w:val="24"/>
        </w:rPr>
      </w:pPr>
      <w:r>
        <w:rPr>
          <w:rFonts w:asciiTheme="majorBidi" w:hAnsiTheme="majorBidi" w:cstheme="majorBidi"/>
          <w:sz w:val="24"/>
          <w:szCs w:val="24"/>
        </w:rPr>
        <w:t>In Nigerian contexts, Tanke offers higher neighborhood quality due to proximity to UNILORIN, better road access, electricity, and commercial activities. Conversely, Oke-Oyi, although developing, suffers from infrastructural limitations which currently depress property value.</w:t>
      </w:r>
    </w:p>
    <w:p>
      <w:pPr>
        <w:spacing w:after="0" w:line="360" w:lineRule="auto"/>
        <w:jc w:val="both"/>
        <w:rPr>
          <w:rFonts w:asciiTheme="majorBidi" w:hAnsiTheme="majorBidi" w:cstheme="majorBidi"/>
          <w:sz w:val="24"/>
          <w:szCs w:val="24"/>
        </w:rPr>
      </w:pPr>
    </w:p>
    <w:p>
      <w:pPr>
        <w:spacing w:after="0" w:line="360" w:lineRule="auto"/>
        <w:jc w:val="both"/>
        <w:rPr>
          <w:rFonts w:asciiTheme="majorBidi" w:hAnsiTheme="majorBidi" w:cstheme="majorBidi"/>
          <w:b/>
          <w:color w:val="000000" w:themeColor="text1"/>
          <w:sz w:val="24"/>
          <w:szCs w:val="24"/>
        </w:rPr>
      </w:pPr>
      <w:r>
        <w:rPr>
          <w:rFonts w:asciiTheme="majorBidi" w:hAnsiTheme="majorBidi" w:cstheme="majorBidi"/>
          <w:sz w:val="24"/>
          <w:szCs w:val="24"/>
        </w:rPr>
        <w:t>Neighborhood attributes such as street lighting, road drainage, cleanliness, and safety have also been identified by Smith et al. (2004) as strong predictors of rental growth and market appreciation.</w:t>
      </w:r>
    </w:p>
    <w:p>
      <w:pPr>
        <w:spacing w:after="0" w:line="360" w:lineRule="auto"/>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The quality of a neighborhood can significantly impact the value and desirability of residential properties. Several factors contribute to the overall ne</w:t>
      </w:r>
      <w:r>
        <w:rPr>
          <w:rFonts w:asciiTheme="majorBidi" w:hAnsiTheme="majorBidi" w:cstheme="majorBidi"/>
          <w:color w:val="000000" w:themeColor="text1"/>
          <w:sz w:val="24"/>
          <w:szCs w:val="24"/>
        </w:rPr>
        <w:t xml:space="preserve">ighborhood quality, and potential homebuyers often consider these elements when making a decision (Olanrewaju and Akinbamijo, 2018).  </w:t>
      </w:r>
    </w:p>
    <w:p>
      <w:pPr>
        <w:spacing w:after="0" w:line="360" w:lineRule="auto"/>
        <w:jc w:val="both"/>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Location:</w:t>
      </w:r>
    </w:p>
    <w:p>
      <w:pPr>
        <w:spacing w:after="0" w:line="360" w:lineRule="auto"/>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Proximity to essential amenities such as schools, hospitals, grocery stores, and public transportation. Accessi</w:t>
      </w:r>
      <w:r>
        <w:rPr>
          <w:rFonts w:asciiTheme="majorBidi" w:hAnsiTheme="majorBidi" w:cstheme="majorBidi"/>
          <w:color w:val="000000" w:themeColor="text1"/>
          <w:sz w:val="24"/>
          <w:szCs w:val="24"/>
        </w:rPr>
        <w:t>bility to major roads and highways. Safety and crime rates in the area.</w:t>
      </w:r>
    </w:p>
    <w:p>
      <w:pPr>
        <w:spacing w:after="0" w:line="360" w:lineRule="auto"/>
        <w:jc w:val="both"/>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Schools:</w:t>
      </w:r>
    </w:p>
    <w:p>
      <w:pPr>
        <w:spacing w:after="0" w:line="360" w:lineRule="auto"/>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The reputation and quality of local schools can greatly influence the desirability of a neighborhood. Proximity to well-regarded educational institutions is often a priority </w:t>
      </w:r>
      <w:r>
        <w:rPr>
          <w:rFonts w:asciiTheme="majorBidi" w:hAnsiTheme="majorBidi" w:cstheme="majorBidi"/>
          <w:color w:val="000000" w:themeColor="text1"/>
          <w:sz w:val="24"/>
          <w:szCs w:val="24"/>
        </w:rPr>
        <w:t>for families with children.</w:t>
      </w:r>
    </w:p>
    <w:p>
      <w:pPr>
        <w:spacing w:after="0" w:line="360" w:lineRule="auto"/>
        <w:jc w:val="both"/>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Property Values:</w:t>
      </w:r>
    </w:p>
    <w:p>
      <w:pPr>
        <w:spacing w:after="0" w:line="360" w:lineRule="auto"/>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The historical and current property values in the neighborhood can indicate the overall economic health and stability of the area.</w:t>
      </w:r>
    </w:p>
    <w:p>
      <w:pPr>
        <w:spacing w:after="0" w:line="360" w:lineRule="auto"/>
        <w:jc w:val="both"/>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Crime Rates:</w:t>
      </w:r>
    </w:p>
    <w:p>
      <w:pPr>
        <w:spacing w:after="0" w:line="360" w:lineRule="auto"/>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Low crime rates contribute to a sense of safety and security in a n</w:t>
      </w:r>
      <w:r>
        <w:rPr>
          <w:rFonts w:asciiTheme="majorBidi" w:hAnsiTheme="majorBidi" w:cstheme="majorBidi"/>
          <w:color w:val="000000" w:themeColor="text1"/>
          <w:sz w:val="24"/>
          <w:szCs w:val="24"/>
        </w:rPr>
        <w:t>eighborhood, making it more attractive to potential residents.</w:t>
      </w:r>
    </w:p>
    <w:p>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Community Services:</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Access to parks, community centers, and recreational facilities can enhance the quality of life in a neighborhood (Owoeye&amp; Omole, 2012).</w:t>
      </w:r>
    </w:p>
    <w:p>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Aesthetics and Environment:</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Well-mai</w:t>
      </w:r>
      <w:r>
        <w:rPr>
          <w:rFonts w:ascii="Times New Roman" w:hAnsi="Times New Roman" w:cs="Times New Roman"/>
          <w:color w:val="000000" w:themeColor="text1"/>
          <w:sz w:val="24"/>
          <w:szCs w:val="24"/>
        </w:rPr>
        <w:t>ntained streets, parks, and public spaces contribute to the overall appeal of a neighborhood.</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presence of green spaces and trees can enhance the visual appeal.</w:t>
      </w:r>
    </w:p>
    <w:p>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Development and Infrastructure:</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Ongoing or planned development projects and improvements to </w:t>
      </w:r>
      <w:r>
        <w:rPr>
          <w:rFonts w:ascii="Times New Roman" w:hAnsi="Times New Roman" w:cs="Times New Roman"/>
          <w:color w:val="000000" w:themeColor="text1"/>
          <w:sz w:val="24"/>
          <w:szCs w:val="24"/>
        </w:rPr>
        <w:t>infrastructure can signal a growing and dynamic community.</w:t>
      </w:r>
    </w:p>
    <w:p>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Neighborhood Demographics:</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demographic makeup of a neighborhood, including factors such as age, income levels, and cultural diversity, can influence its overall atmosphere and sense of communit</w:t>
      </w:r>
      <w:r>
        <w:rPr>
          <w:rFonts w:ascii="Times New Roman" w:hAnsi="Times New Roman" w:cs="Times New Roman"/>
          <w:color w:val="000000" w:themeColor="text1"/>
          <w:sz w:val="24"/>
          <w:szCs w:val="24"/>
        </w:rPr>
        <w:t>y.</w:t>
      </w:r>
    </w:p>
    <w:p>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Noise Levels:</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Quiet neighborhoods are often preferred, and the presence of noise pollution can negatively impact the quality of life.</w:t>
      </w:r>
    </w:p>
    <w:p>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Future Outlook:</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Proximity to areas of future growth or improvement, such as new businesses or infrastructure projects, </w:t>
      </w:r>
      <w:r>
        <w:rPr>
          <w:rFonts w:ascii="Times New Roman" w:hAnsi="Times New Roman" w:cs="Times New Roman"/>
          <w:color w:val="000000" w:themeColor="text1"/>
          <w:sz w:val="24"/>
          <w:szCs w:val="24"/>
        </w:rPr>
        <w:t>can positively influence the perceived value of a neighborhood.</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When assessing the neighborhood quality of a residential property, it's important for potential buyers to consider their own preferences, priorities, and lifestyle needs. Additionally, working</w:t>
      </w:r>
      <w:r>
        <w:rPr>
          <w:rFonts w:ascii="Times New Roman" w:hAnsi="Times New Roman" w:cs="Times New Roman"/>
          <w:color w:val="000000" w:themeColor="text1"/>
          <w:sz w:val="24"/>
          <w:szCs w:val="24"/>
        </w:rPr>
        <w:t xml:space="preserve"> with a real estate professional who is knowledgeable about the local market can provide valuable insights into the factors that contribute to neighborhood quality (Olotuah, 2016).</w:t>
      </w:r>
    </w:p>
    <w:p>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2.2.4</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CONCEPT OF NEIGHBOURHOOD</w:t>
      </w:r>
    </w:p>
    <w:p>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concept of a neighborhood refers to a ge</w:t>
      </w:r>
      <w:r>
        <w:rPr>
          <w:rFonts w:ascii="Times New Roman" w:hAnsi="Times New Roman" w:cs="Times New Roman"/>
          <w:color w:val="000000" w:themeColor="text1"/>
          <w:sz w:val="24"/>
          <w:szCs w:val="24"/>
        </w:rPr>
        <w:t>ographically localized community or residential area where people live in close proximity to one another. Neighbors in a neighborhood share a common geographical space and often form a sense of community through social interactions, shared resources, and m</w:t>
      </w:r>
      <w:r>
        <w:rPr>
          <w:rFonts w:ascii="Times New Roman" w:hAnsi="Times New Roman" w:cs="Times New Roman"/>
          <w:color w:val="000000" w:themeColor="text1"/>
          <w:sz w:val="24"/>
          <w:szCs w:val="24"/>
        </w:rPr>
        <w:t>utual interests. The concept extends beyond mere physical proximity, encompassing social, economic, and cultural dimensions (Atere, 2017).</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Neighbors in a neighborhood live in close physical proximity to one another. The geographical boundaries of a neighbo</w:t>
      </w:r>
      <w:r>
        <w:rPr>
          <w:rFonts w:ascii="Times New Roman" w:hAnsi="Times New Roman" w:cs="Times New Roman"/>
          <w:color w:val="000000" w:themeColor="text1"/>
          <w:sz w:val="24"/>
          <w:szCs w:val="24"/>
        </w:rPr>
        <w:t>rhood can vary, and they may be defined by natural features, streets, or administrative divisions. A neighborhood is characterized by social interactions and relationships among residents. Neighbors often engage in social activities, communicate, and colla</w:t>
      </w:r>
      <w:r>
        <w:rPr>
          <w:rFonts w:ascii="Times New Roman" w:hAnsi="Times New Roman" w:cs="Times New Roman"/>
          <w:color w:val="000000" w:themeColor="text1"/>
          <w:sz w:val="24"/>
          <w:szCs w:val="24"/>
        </w:rPr>
        <w:t>borate on shared interests or concerns. This interaction contributes to a sense of community.</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Neighborhoods often have shared resources such as parks, schools, shopping centers, and community centers. These resources are accessible to residents and contrib</w:t>
      </w:r>
      <w:r>
        <w:rPr>
          <w:rFonts w:ascii="Times New Roman" w:hAnsi="Times New Roman" w:cs="Times New Roman"/>
          <w:color w:val="000000" w:themeColor="text1"/>
          <w:sz w:val="24"/>
          <w:szCs w:val="24"/>
        </w:rPr>
        <w:t>ute to the overall quality of life in the neighborhood (Owoeye&amp; Omole, 2012).</w:t>
      </w:r>
    </w:p>
    <w:p>
      <w:pPr>
        <w:spacing w:line="360" w:lineRule="auto"/>
        <w:jc w:val="both"/>
        <w:rPr>
          <w:rFonts w:asciiTheme="majorBidi" w:hAnsiTheme="majorBidi" w:cstheme="majorBidi"/>
          <w:b/>
          <w:color w:val="000000" w:themeColor="text1"/>
          <w:sz w:val="24"/>
          <w:szCs w:val="24"/>
        </w:rPr>
      </w:pPr>
      <w:r>
        <w:rPr>
          <w:rFonts w:ascii="Times New Roman" w:hAnsi="Times New Roman" w:cs="Times New Roman"/>
          <w:b/>
          <w:color w:val="000000" w:themeColor="text1"/>
          <w:sz w:val="24"/>
          <w:szCs w:val="24"/>
        </w:rPr>
        <w:t>2.2.5</w:t>
      </w:r>
      <w:r>
        <w:rPr>
          <w:rFonts w:ascii="Times New Roman" w:hAnsi="Times New Roman" w:cs="Times New Roman"/>
          <w:b/>
          <w:color w:val="000000" w:themeColor="text1"/>
          <w:sz w:val="24"/>
          <w:szCs w:val="24"/>
        </w:rPr>
        <w:tab/>
      </w:r>
      <w:r>
        <w:rPr>
          <w:rFonts w:asciiTheme="majorBidi" w:hAnsiTheme="majorBidi" w:cstheme="majorBidi"/>
          <w:b/>
          <w:color w:val="000000" w:themeColor="text1"/>
          <w:sz w:val="24"/>
          <w:szCs w:val="24"/>
        </w:rPr>
        <w:t>CONCEPT OF RESIDENTIAL PROPERTIES</w:t>
      </w:r>
    </w:p>
    <w:p>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Residential properties refer to land or buildings designed and used for human habitation, either for ownership or rental purposes. They are one of the major property types in real estate and urban planning, and they include structures such as single-family homes, multi-family flats, duplexes, apartments, and tenement buildings.Aluko, B. T. (2007)</w:t>
      </w:r>
    </w:p>
    <w:p>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Residential properties in Oke-Oyi and Tanke are examined not just as physical structures, but as economic assets whose value is influenced by:</w:t>
      </w:r>
    </w:p>
    <w:p>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Physical condition of the building (materials, age, structure)</w:t>
      </w:r>
    </w:p>
    <w:p>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Environmental and neighborhood quality (drainage, road access, security, etc.)</w:t>
      </w:r>
    </w:p>
    <w:p>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Market dynamics (demand, infrastructure, location, etc.)</w:t>
      </w:r>
    </w:p>
    <w:p>
      <w:pPr>
        <w:spacing w:line="360" w:lineRule="auto"/>
        <w:ind w:firstLine="720"/>
        <w:jc w:val="both"/>
        <w:rPr>
          <w:rFonts w:asciiTheme="majorBidi" w:hAnsiTheme="majorBidi" w:cstheme="majorBidi"/>
          <w:sz w:val="24"/>
          <w:szCs w:val="24"/>
        </w:rPr>
      </w:pPr>
      <w:r>
        <w:rPr>
          <w:rFonts w:asciiTheme="majorBidi" w:hAnsiTheme="majorBidi" w:cstheme="majorBidi"/>
          <w:b/>
          <w:bCs/>
          <w:sz w:val="24"/>
          <w:szCs w:val="24"/>
        </w:rPr>
        <w:t xml:space="preserve">Key Features of Residential Properties </w:t>
      </w:r>
    </w:p>
    <w:p>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Functionality: Meant for shelter/living</w:t>
      </w:r>
    </w:p>
    <w:p>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Variability: Varies by location — Oke-Oyi (semi-rural), Tanke (urban)</w:t>
      </w:r>
    </w:p>
    <w:p>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Valuation Sensitivity: Responds to housing quality and neighborhood infrastructure</w:t>
      </w:r>
    </w:p>
    <w:p>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Demand-Based: Higher demand in areas with good access and social amenities</w:t>
      </w:r>
    </w:p>
    <w:p>
      <w:pPr>
        <w:numPr>
          <w:ilvl w:val="0"/>
          <w:numId w:val="7"/>
        </w:numPr>
        <w:spacing w:line="36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Purpose of Dwelling:</w:t>
      </w:r>
      <w:r>
        <w:rPr>
          <w:rFonts w:ascii="Times New Roman" w:hAnsi="Times New Roman" w:cs="Times New Roman"/>
          <w:color w:val="000000" w:themeColor="text1"/>
          <w:sz w:val="24"/>
          <w:szCs w:val="24"/>
        </w:rPr>
        <w:t xml:space="preserve"> The primary purpose of residential properties is to serve as living spaces for individuals and families. They provide a place</w:t>
      </w:r>
      <w:r>
        <w:rPr>
          <w:rFonts w:ascii="Times New Roman" w:hAnsi="Times New Roman" w:cs="Times New Roman"/>
          <w:color w:val="000000" w:themeColor="text1"/>
          <w:sz w:val="24"/>
          <w:szCs w:val="24"/>
        </w:rPr>
        <w:t xml:space="preserve"> for people to reside, sleep, and carry out daily activities in a private and secure environment.</w:t>
      </w:r>
    </w:p>
    <w:p>
      <w:pPr>
        <w:numPr>
          <w:ilvl w:val="0"/>
          <w:numId w:val="7"/>
        </w:numPr>
        <w:spacing w:line="36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Single-Family Homes:</w:t>
      </w:r>
      <w:r>
        <w:rPr>
          <w:rFonts w:ascii="Times New Roman" w:hAnsi="Times New Roman" w:cs="Times New Roman"/>
          <w:color w:val="000000" w:themeColor="text1"/>
          <w:sz w:val="24"/>
          <w:szCs w:val="24"/>
        </w:rPr>
        <w:t xml:space="preserve"> Single-family homes are standalone structures designed to accommodate one family. They can vary in size, style, and features, ranging fro</w:t>
      </w:r>
      <w:r>
        <w:rPr>
          <w:rFonts w:ascii="Times New Roman" w:hAnsi="Times New Roman" w:cs="Times New Roman"/>
          <w:color w:val="000000" w:themeColor="text1"/>
          <w:sz w:val="24"/>
          <w:szCs w:val="24"/>
        </w:rPr>
        <w:t>m small cottages to large estates. Single-family homes are typically situated on individual lots of land.</w:t>
      </w:r>
    </w:p>
    <w:p>
      <w:pPr>
        <w:numPr>
          <w:ilvl w:val="0"/>
          <w:numId w:val="7"/>
        </w:numPr>
        <w:spacing w:line="36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Apartments:</w:t>
      </w:r>
      <w:r>
        <w:rPr>
          <w:rFonts w:ascii="Times New Roman" w:hAnsi="Times New Roman" w:cs="Times New Roman"/>
          <w:color w:val="000000" w:themeColor="text1"/>
          <w:sz w:val="24"/>
          <w:szCs w:val="24"/>
        </w:rPr>
        <w:t xml:space="preserve"> Apartments are multi-unit buildings with separate living spaces for different households. Each unit may consist of one or more bedrooms, a</w:t>
      </w:r>
      <w:r>
        <w:rPr>
          <w:rFonts w:ascii="Times New Roman" w:hAnsi="Times New Roman" w:cs="Times New Roman"/>
          <w:color w:val="000000" w:themeColor="text1"/>
          <w:sz w:val="24"/>
          <w:szCs w:val="24"/>
        </w:rPr>
        <w:t xml:space="preserve"> kitchen, and a bathroom. Apartments are often part of larger residential complexes.</w:t>
      </w:r>
    </w:p>
    <w:p>
      <w:pPr>
        <w:numPr>
          <w:ilvl w:val="0"/>
          <w:numId w:val="7"/>
        </w:numPr>
        <w:spacing w:line="36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Condominiums (Condos):</w:t>
      </w:r>
      <w:r>
        <w:rPr>
          <w:rFonts w:ascii="Times New Roman" w:hAnsi="Times New Roman" w:cs="Times New Roman"/>
          <w:color w:val="000000" w:themeColor="text1"/>
          <w:sz w:val="24"/>
          <w:szCs w:val="24"/>
        </w:rPr>
        <w:t xml:space="preserve"> Condominiums are similar to apartments in that they involve multiple units within a building. However, individual units in a condominium are owned r</w:t>
      </w:r>
      <w:r>
        <w:rPr>
          <w:rFonts w:ascii="Times New Roman" w:hAnsi="Times New Roman" w:cs="Times New Roman"/>
          <w:color w:val="000000" w:themeColor="text1"/>
          <w:sz w:val="24"/>
          <w:szCs w:val="24"/>
        </w:rPr>
        <w:t>ather than rented. Condo owners typically share common areas and amenities.</w:t>
      </w:r>
    </w:p>
    <w:p>
      <w:pPr>
        <w:numPr>
          <w:ilvl w:val="0"/>
          <w:numId w:val="7"/>
        </w:numPr>
        <w:spacing w:line="36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Townhouses:</w:t>
      </w:r>
      <w:r>
        <w:rPr>
          <w:rFonts w:ascii="Times New Roman" w:hAnsi="Times New Roman" w:cs="Times New Roman"/>
          <w:color w:val="000000" w:themeColor="text1"/>
          <w:sz w:val="24"/>
          <w:szCs w:val="24"/>
        </w:rPr>
        <w:t xml:space="preserve"> Townhouses are attached or semi-detached dwellings that share walls with adjacent units. They often have multiple floors and may include a small yard or </w:t>
      </w:r>
      <w:r>
        <w:rPr>
          <w:rFonts w:ascii="Times New Roman" w:hAnsi="Times New Roman" w:cs="Times New Roman"/>
          <w:color w:val="000000" w:themeColor="text1"/>
          <w:sz w:val="24"/>
          <w:szCs w:val="24"/>
        </w:rPr>
        <w:t>patio. Townhous</w:t>
      </w:r>
      <w:r>
        <w:rPr>
          <w:rFonts w:ascii="Times New Roman" w:hAnsi="Times New Roman" w:cs="Times New Roman"/>
          <w:color w:val="000000" w:themeColor="text1"/>
          <w:sz w:val="24"/>
          <w:szCs w:val="24"/>
        </w:rPr>
        <w:t>es are designed to provide a balance of privacy and shared community living.</w:t>
      </w:r>
    </w:p>
    <w:p>
      <w:pPr>
        <w:numPr>
          <w:ilvl w:val="0"/>
          <w:numId w:val="7"/>
        </w:numPr>
        <w:spacing w:line="36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Mobile Homes:</w:t>
      </w:r>
      <w:r>
        <w:rPr>
          <w:rFonts w:ascii="Times New Roman" w:hAnsi="Times New Roman" w:cs="Times New Roman"/>
          <w:color w:val="000000" w:themeColor="text1"/>
          <w:sz w:val="24"/>
          <w:szCs w:val="24"/>
        </w:rPr>
        <w:t xml:space="preserve"> Mobile homes, also known as manufactured homes, are prefabricated dwellings that can be moved to different locations. They are often placed in designated mobile home</w:t>
      </w:r>
      <w:r>
        <w:rPr>
          <w:rFonts w:ascii="Times New Roman" w:hAnsi="Times New Roman" w:cs="Times New Roman"/>
          <w:color w:val="000000" w:themeColor="text1"/>
          <w:sz w:val="24"/>
          <w:szCs w:val="24"/>
        </w:rPr>
        <w:t xml:space="preserve"> parks.</w:t>
      </w:r>
    </w:p>
    <w:p>
      <w:pPr>
        <w:numPr>
          <w:ilvl w:val="0"/>
          <w:numId w:val="7"/>
        </w:numPr>
        <w:spacing w:line="36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Duplexes and Triplexes:</w:t>
      </w:r>
      <w:r>
        <w:rPr>
          <w:rFonts w:ascii="Times New Roman" w:hAnsi="Times New Roman" w:cs="Times New Roman"/>
          <w:color w:val="000000" w:themeColor="text1"/>
          <w:sz w:val="24"/>
          <w:szCs w:val="24"/>
        </w:rPr>
        <w:t xml:space="preserve"> Duplexes consist of two separate living units within the same structure, while triplexes have three units. Each unit in a duplex or triplex typically has its own entrance and may be occupied by different households.</w:t>
      </w:r>
    </w:p>
    <w:p>
      <w:pPr>
        <w:numPr>
          <w:ilvl w:val="0"/>
          <w:numId w:val="7"/>
        </w:numPr>
        <w:spacing w:line="36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Resident</w:t>
      </w:r>
      <w:r>
        <w:rPr>
          <w:rFonts w:ascii="Times New Roman" w:hAnsi="Times New Roman" w:cs="Times New Roman"/>
          <w:bCs/>
          <w:color w:val="000000" w:themeColor="text1"/>
          <w:sz w:val="24"/>
          <w:szCs w:val="24"/>
        </w:rPr>
        <w:t>ial Communities:</w:t>
      </w:r>
      <w:r>
        <w:rPr>
          <w:rFonts w:ascii="Times New Roman" w:hAnsi="Times New Roman" w:cs="Times New Roman"/>
          <w:color w:val="000000" w:themeColor="text1"/>
          <w:sz w:val="24"/>
          <w:szCs w:val="24"/>
        </w:rPr>
        <w:t xml:space="preserve"> Residential properties can be part of larger planned communities that offer shared amenities such as parks, recreational facilities, and community centers. These communities may be designed to create a cohesive neighborhood environment.</w:t>
      </w:r>
    </w:p>
    <w:p>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w:t>
      </w:r>
      <w:r>
        <w:rPr>
          <w:rFonts w:ascii="Times New Roman" w:hAnsi="Times New Roman" w:cs="Times New Roman"/>
          <w:color w:val="000000" w:themeColor="text1"/>
          <w:sz w:val="24"/>
          <w:szCs w:val="24"/>
        </w:rPr>
        <w:t>derstanding the concept of residential properties is essential for individuals involved in real estate transactions, property management, urban planning, and those seeking suitable living arrangements. The variety of residential property types reflects the</w:t>
      </w:r>
      <w:r>
        <w:rPr>
          <w:rFonts w:ascii="Times New Roman" w:hAnsi="Times New Roman" w:cs="Times New Roman"/>
          <w:color w:val="000000" w:themeColor="text1"/>
          <w:sz w:val="24"/>
          <w:szCs w:val="24"/>
        </w:rPr>
        <w:t xml:space="preserve"> diverse housing needs and preferences of individuals and families (Oyesiku, 2013).</w:t>
      </w:r>
    </w:p>
    <w:p>
      <w:pPr>
        <w:spacing w:after="0" w:line="360" w:lineRule="auto"/>
        <w:jc w:val="both"/>
        <w:rPr>
          <w:rFonts w:ascii="Times New Roman" w:hAnsi="Times New Roman" w:cs="Times New Roman"/>
          <w:b/>
          <w:vanish/>
          <w:color w:val="000000" w:themeColor="text1"/>
          <w:sz w:val="24"/>
          <w:szCs w:val="24"/>
        </w:rPr>
      </w:pPr>
      <w:r>
        <w:rPr>
          <w:rFonts w:ascii="Times New Roman" w:hAnsi="Times New Roman" w:cs="Times New Roman"/>
          <w:b/>
          <w:color w:val="000000" w:themeColor="text1"/>
          <w:sz w:val="24"/>
          <w:szCs w:val="24"/>
        </w:rPr>
        <w:t>2.3</w:t>
      </w:r>
      <w:r>
        <w:rPr>
          <w:rFonts w:ascii="Times New Roman" w:hAnsi="Times New Roman" w:cs="Times New Roman"/>
          <w:b/>
          <w:color w:val="000000" w:themeColor="text1"/>
          <w:sz w:val="24"/>
          <w:szCs w:val="24"/>
        </w:rPr>
        <w:tab/>
      </w:r>
      <w:r>
        <w:rPr>
          <w:rFonts w:ascii="Times New Roman" w:hAnsi="Times New Roman" w:cs="Times New Roman"/>
          <w:b/>
          <w:vanish/>
          <w:color w:val="000000" w:themeColor="text1"/>
          <w:sz w:val="24"/>
          <w:szCs w:val="24"/>
        </w:rPr>
        <w:t>Top of Form</w:t>
      </w:r>
    </w:p>
    <w:p>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THEORETICAL FRAMEWORK</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Several theories can be applied to understanding housing conditions and neighborhood quality in Nigeria. Here are some key ones:</w:t>
      </w: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2.3.1</w:t>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Human Ecology Theory</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theory, developed by sociologist Robert Park, emphasizes the relationship between human behavior and the physical environment. It suggests that neighborhoods evolve and change over time in response to the needs and activities of </w:t>
      </w:r>
      <w:r>
        <w:rPr>
          <w:rFonts w:ascii="Times New Roman" w:hAnsi="Times New Roman" w:cs="Times New Roman"/>
          <w:color w:val="000000" w:themeColor="text1"/>
          <w:sz w:val="24"/>
          <w:szCs w:val="24"/>
        </w:rPr>
        <w:t>their residents. In Nigeria, this theory can be used to understand how housing conditions and neighborhood quality are influenced by factors such as population density, social organization, and land use patterns.</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Human Ecology Theory, developed by </w:t>
      </w:r>
      <w:r>
        <w:rPr>
          <w:rFonts w:ascii="Times New Roman" w:hAnsi="Times New Roman" w:cs="Times New Roman"/>
          <w:color w:val="000000" w:themeColor="text1"/>
          <w:sz w:val="24"/>
          <w:szCs w:val="24"/>
        </w:rPr>
        <w:t xml:space="preserve">sociologist Robert Park and his colleagues in the Chicago School of Sociology in the early 20th century, focuses on the relationship </w:t>
      </w:r>
      <w:r>
        <w:rPr>
          <w:rFonts w:ascii="Times New Roman" w:hAnsi="Times New Roman" w:cs="Times New Roman"/>
          <w:color w:val="000000" w:themeColor="text1"/>
          <w:sz w:val="24"/>
          <w:szCs w:val="24"/>
        </w:rPr>
        <w:t>between human populations and their environments. The theory posits that human behavior is influenced by the physical, soci</w:t>
      </w:r>
      <w:r>
        <w:rPr>
          <w:rFonts w:ascii="Times New Roman" w:hAnsi="Times New Roman" w:cs="Times New Roman"/>
          <w:color w:val="000000" w:themeColor="text1"/>
          <w:sz w:val="24"/>
          <w:szCs w:val="24"/>
        </w:rPr>
        <w:t>al, and cultural environment in which people live.</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the context of housing conditions and neighborhood quality in Nigeria, Human Ecology Theory can be applied to understand how the physical environment (such as housing infrastructure, availability of bas</w:t>
      </w:r>
      <w:r>
        <w:rPr>
          <w:rFonts w:ascii="Times New Roman" w:hAnsi="Times New Roman" w:cs="Times New Roman"/>
          <w:color w:val="000000" w:themeColor="text1"/>
          <w:sz w:val="24"/>
          <w:szCs w:val="24"/>
        </w:rPr>
        <w:t>ic amenities like water and electricity, and proximity to services and facilities) interacts with the social and cultural environment (such as social norms, community cohesion, and cultural practices) to shape housing conditions and neighborhood quality.</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r>
        <w:rPr>
          <w:rFonts w:ascii="Times New Roman" w:hAnsi="Times New Roman" w:cs="Times New Roman"/>
          <w:color w:val="000000" w:themeColor="text1"/>
          <w:sz w:val="24"/>
          <w:szCs w:val="24"/>
        </w:rPr>
        <w:t>or example, in urban areas of Nigeria, rapid population growth and urbanization have led to the emergence of informal settlements characterized by overcrowding, inadequate housing infrastructure, and lack of basic amenities. Human Ecology Theory can help e</w:t>
      </w:r>
      <w:r>
        <w:rPr>
          <w:rFonts w:ascii="Times New Roman" w:hAnsi="Times New Roman" w:cs="Times New Roman"/>
          <w:color w:val="000000" w:themeColor="text1"/>
          <w:sz w:val="24"/>
          <w:szCs w:val="24"/>
        </w:rPr>
        <w:t>xplain how these conditions develop as a result of the interaction between population dynamics and the physical environment.</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Furthermore, the theory can also be used to understand how social factors, such as social organization within neighborhoods, commun</w:t>
      </w:r>
      <w:r>
        <w:rPr>
          <w:rFonts w:ascii="Times New Roman" w:hAnsi="Times New Roman" w:cs="Times New Roman"/>
          <w:color w:val="000000" w:themeColor="text1"/>
          <w:sz w:val="24"/>
          <w:szCs w:val="24"/>
        </w:rPr>
        <w:t>ity networks, and cultural practices, influence housing conditions and neighborhood quality. For instance, strong community ties and social cohesion may lead to better maintenance of housing infrastructure and a higher quality of life for residents.</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Overal</w:t>
      </w:r>
      <w:r>
        <w:rPr>
          <w:rFonts w:ascii="Times New Roman" w:hAnsi="Times New Roman" w:cs="Times New Roman"/>
          <w:color w:val="000000" w:themeColor="text1"/>
          <w:sz w:val="24"/>
          <w:szCs w:val="24"/>
        </w:rPr>
        <w:t>l, Human Ecology Theory provides a framework for understanding the complex interplay between human populations and their environments, and how these interactions shape housing conditions and neighborhood quality in Nigeria.</w:t>
      </w:r>
      <w:r>
        <w:rPr>
          <w:rFonts w:ascii="Times New Roman" w:hAnsi="Times New Roman" w:cs="Times New Roman"/>
          <w:vanish/>
          <w:color w:val="000000" w:themeColor="text1"/>
          <w:sz w:val="24"/>
          <w:szCs w:val="24"/>
        </w:rPr>
        <w:t>Top of Form</w:t>
      </w:r>
    </w:p>
    <w:p>
      <w:pPr>
        <w:spacing w:line="360" w:lineRule="auto"/>
        <w:rPr>
          <w:rFonts w:ascii="Times New Roman" w:hAnsi="Times New Roman" w:cs="Times New Roman"/>
          <w:b/>
          <w:bCs/>
          <w:color w:val="000000" w:themeColor="text1"/>
          <w:sz w:val="24"/>
          <w:szCs w:val="24"/>
        </w:rPr>
      </w:pP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2.3.2</w:t>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SOCIAL DISORGA</w:t>
      </w:r>
      <w:r>
        <w:rPr>
          <w:rFonts w:ascii="Times New Roman" w:hAnsi="Times New Roman" w:cs="Times New Roman"/>
          <w:b/>
          <w:bCs/>
          <w:color w:val="000000" w:themeColor="text1"/>
          <w:sz w:val="24"/>
          <w:szCs w:val="24"/>
        </w:rPr>
        <w:t>NIZATION THEORY</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theory, developed by sociologists Clifford Shaw and Henry McKay, suggests that neighborhood characteristics such as poverty, unemployment, and residential mobility can lead to social disorganization, which in turn can lead to crime and</w:t>
      </w:r>
      <w:r>
        <w:rPr>
          <w:rFonts w:ascii="Times New Roman" w:hAnsi="Times New Roman" w:cs="Times New Roman"/>
          <w:color w:val="000000" w:themeColor="text1"/>
          <w:sz w:val="24"/>
          <w:szCs w:val="24"/>
        </w:rPr>
        <w:t xml:space="preserve"> other social problems. In Nigeria, this theory can be applied to understand how social factors influence housing conditions and neighborhood quality.</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Social Disorganization Theory, developed by sociologists Clifford Shaw and Henry McKay in the early 20th </w:t>
      </w:r>
      <w:r>
        <w:rPr>
          <w:rFonts w:ascii="Times New Roman" w:hAnsi="Times New Roman" w:cs="Times New Roman"/>
          <w:color w:val="000000" w:themeColor="text1"/>
          <w:sz w:val="24"/>
          <w:szCs w:val="24"/>
        </w:rPr>
        <w:t xml:space="preserve">century, examines how neighborhood characteristics can lead to social problems such as crime, delinquency, and poverty. The theory suggests that certain </w:t>
      </w:r>
      <w:r>
        <w:rPr>
          <w:rFonts w:ascii="Times New Roman" w:hAnsi="Times New Roman" w:cs="Times New Roman"/>
          <w:color w:val="000000" w:themeColor="text1"/>
          <w:sz w:val="24"/>
          <w:szCs w:val="24"/>
        </w:rPr>
        <w:t>neighborhood conditions, such as high poverty rates, residential mobility, and ethnic heterogeneity, ca</w:t>
      </w:r>
      <w:r>
        <w:rPr>
          <w:rFonts w:ascii="Times New Roman" w:hAnsi="Times New Roman" w:cs="Times New Roman"/>
          <w:color w:val="000000" w:themeColor="text1"/>
          <w:sz w:val="24"/>
          <w:szCs w:val="24"/>
        </w:rPr>
        <w:t>n weaken social bonds and lead to social disorganization.</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the context of housing conditions and neighborhood quality in Nigeria, Social Disorganization Theory can be applied to understand how these neighborhood characteristics influence housing conditio</w:t>
      </w:r>
      <w:r>
        <w:rPr>
          <w:rFonts w:ascii="Times New Roman" w:hAnsi="Times New Roman" w:cs="Times New Roman"/>
          <w:color w:val="000000" w:themeColor="text1"/>
          <w:sz w:val="24"/>
          <w:szCs w:val="24"/>
        </w:rPr>
        <w:t>ns and the overall quality of residential properties</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Overall, Social Disorganization Theory provides a framework for understanding how neighborhood characteristics can influence housing conditions and neighborhood quality in Nigeria. By addressing underlyi</w:t>
      </w:r>
      <w:r>
        <w:rPr>
          <w:rFonts w:ascii="Times New Roman" w:hAnsi="Times New Roman" w:cs="Times New Roman"/>
          <w:color w:val="000000" w:themeColor="text1"/>
          <w:sz w:val="24"/>
          <w:szCs w:val="24"/>
        </w:rPr>
        <w:t>ng social factors such as</w:t>
      </w:r>
    </w:p>
    <w:p>
      <w:pPr>
        <w:spacing w:after="0" w:line="360" w:lineRule="auto"/>
        <w:jc w:val="both"/>
        <w:rPr>
          <w:rFonts w:ascii="Times New Roman" w:hAnsi="Times New Roman" w:cs="Times New Roman"/>
          <w:b/>
          <w:bCs/>
          <w:color w:val="000000" w:themeColor="text1"/>
          <w:sz w:val="24"/>
          <w:szCs w:val="24"/>
        </w:rPr>
      </w:pPr>
    </w:p>
    <w:p>
      <w:pPr>
        <w:spacing w:after="0" w:line="360" w:lineRule="auto"/>
        <w:jc w:val="both"/>
        <w:rPr>
          <w:rFonts w:ascii="Times New Roman" w:hAnsi="Times New Roman" w:cs="Times New Roman"/>
          <w:b/>
          <w:bCs/>
          <w:color w:val="000000" w:themeColor="text1"/>
          <w:sz w:val="24"/>
          <w:szCs w:val="24"/>
        </w:rPr>
      </w:pPr>
    </w:p>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2.3.3</w:t>
      </w:r>
      <w:r>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HOUSING MARKET THEORY</w:t>
      </w:r>
      <w:r>
        <w:rPr>
          <w:rFonts w:ascii="Times New Roman" w:hAnsi="Times New Roman" w:cs="Times New Roman"/>
          <w:color w:val="000000" w:themeColor="text1"/>
          <w:sz w:val="24"/>
          <w:szCs w:val="24"/>
        </w:rPr>
        <w:t xml:space="preserve">: </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theory focuses on the interaction between supply and demand in the housing market. It suggests that housing conditions and neighborhood quality are influenced by factors such as housing prices,</w:t>
      </w:r>
      <w:r>
        <w:rPr>
          <w:rFonts w:ascii="Times New Roman" w:hAnsi="Times New Roman" w:cs="Times New Roman"/>
          <w:color w:val="000000" w:themeColor="text1"/>
          <w:sz w:val="24"/>
          <w:szCs w:val="24"/>
        </w:rPr>
        <w:t xml:space="preserve"> availability of housing finance, and government housing policies. In Nigeria, this theory can be used to understand how housing market dynamics affect the quality of residential properties.</w:t>
      </w:r>
    </w:p>
    <w:p>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Housing Market Theory focuses on the dynamics of supply and deman</w:t>
      </w:r>
      <w:r>
        <w:rPr>
          <w:rFonts w:ascii="Times New Roman" w:hAnsi="Times New Roman" w:cs="Times New Roman"/>
          <w:color w:val="000000" w:themeColor="text1"/>
          <w:sz w:val="24"/>
          <w:szCs w:val="24"/>
        </w:rPr>
        <w:t>d in the housing sector and how they influence housing conditions and neighborhood quality. In the context of Nigeria, this theory can be used to understand the factors that drive the housing market and their impact on the quality of residential properties</w:t>
      </w:r>
      <w:r>
        <w:rPr>
          <w:rFonts w:ascii="Times New Roman" w:hAnsi="Times New Roman" w:cs="Times New Roman"/>
          <w:color w:val="000000" w:themeColor="text1"/>
          <w:sz w:val="24"/>
          <w:szCs w:val="24"/>
        </w:rPr>
        <w:t>.</w:t>
      </w:r>
    </w:p>
    <w:p>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2.4</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SUMMARY OF LITERATURE REVIEW</w:t>
      </w:r>
    </w:p>
    <w:tbl>
      <w:tblPr>
        <w:tblStyle w:val="16"/>
        <w:tblW w:w="9810"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31"/>
        <w:gridCol w:w="2374"/>
        <w:gridCol w:w="5805"/>
      </w:tblGrid>
      <w:tr>
        <w:tblPrEx>
          <w:tblLayout w:type="fixed"/>
        </w:tblPrEx>
        <w:trPr>
          <w:trHeight w:val="264" w:hRule="atLeast"/>
        </w:trPr>
        <w:tc>
          <w:tcPr>
            <w:tcW w:w="1631" w:type="dxa"/>
          </w:tcPr>
          <w:p>
            <w:pPr>
              <w:spacing w:after="0" w:line="360" w:lineRule="auto"/>
              <w:jc w:val="both"/>
              <w:rPr>
                <w:rFonts w:ascii="Times New Roman" w:hAnsi="Times New Roman" w:eastAsia="Times New Roman" w:cs="Times New Roman"/>
                <w:b/>
                <w:bCs/>
                <w:color w:val="000000" w:themeColor="text1"/>
                <w:sz w:val="24"/>
                <w:szCs w:val="24"/>
              </w:rPr>
            </w:pPr>
            <w:r>
              <w:rPr>
                <w:rFonts w:ascii="Times New Roman" w:hAnsi="Times New Roman" w:eastAsia="Times New Roman" w:cs="Times New Roman"/>
                <w:b/>
                <w:bCs/>
                <w:color w:val="000000" w:themeColor="text1"/>
                <w:sz w:val="24"/>
                <w:szCs w:val="24"/>
              </w:rPr>
              <w:t>Author and Year</w:t>
            </w:r>
          </w:p>
        </w:tc>
        <w:tc>
          <w:tcPr>
            <w:tcW w:w="2374" w:type="dxa"/>
          </w:tcPr>
          <w:p>
            <w:pPr>
              <w:spacing w:after="0" w:line="360" w:lineRule="auto"/>
              <w:jc w:val="both"/>
              <w:rPr>
                <w:rFonts w:ascii="Times New Roman" w:hAnsi="Times New Roman" w:eastAsia="Times New Roman" w:cs="Times New Roman"/>
                <w:b/>
                <w:bCs/>
                <w:color w:val="000000" w:themeColor="text1"/>
                <w:sz w:val="24"/>
                <w:szCs w:val="24"/>
              </w:rPr>
            </w:pPr>
            <w:r>
              <w:rPr>
                <w:rFonts w:ascii="Times New Roman" w:hAnsi="Times New Roman" w:eastAsia="Times New Roman" w:cs="Times New Roman"/>
                <w:b/>
                <w:bCs/>
                <w:color w:val="000000" w:themeColor="text1"/>
                <w:sz w:val="24"/>
                <w:szCs w:val="24"/>
              </w:rPr>
              <w:t>Title</w:t>
            </w:r>
          </w:p>
        </w:tc>
        <w:tc>
          <w:tcPr>
            <w:tcW w:w="5805" w:type="dxa"/>
          </w:tcPr>
          <w:p>
            <w:pPr>
              <w:spacing w:after="0" w:line="360" w:lineRule="auto"/>
              <w:jc w:val="both"/>
              <w:rPr>
                <w:rFonts w:ascii="Times New Roman" w:hAnsi="Times New Roman" w:eastAsia="Times New Roman" w:cs="Times New Roman"/>
                <w:b/>
                <w:bCs/>
                <w:color w:val="000000" w:themeColor="text1"/>
                <w:sz w:val="24"/>
                <w:szCs w:val="24"/>
              </w:rPr>
            </w:pPr>
            <w:r>
              <w:rPr>
                <w:rFonts w:ascii="Times New Roman" w:hAnsi="Times New Roman" w:eastAsia="Times New Roman" w:cs="Times New Roman"/>
                <w:b/>
                <w:bCs/>
                <w:color w:val="000000" w:themeColor="text1"/>
                <w:sz w:val="24"/>
                <w:szCs w:val="24"/>
              </w:rPr>
              <w:t>Research Findings/Remarks</w:t>
            </w:r>
          </w:p>
        </w:tc>
      </w:tr>
      <w:tr>
        <w:tblPrEx>
          <w:tblLayout w:type="fixed"/>
        </w:tblPrEx>
        <w:trPr>
          <w:trHeight w:val="264" w:hRule="atLeast"/>
        </w:trPr>
        <w:tc>
          <w:tcPr>
            <w:tcW w:w="1631" w:type="dxa"/>
          </w:tcPr>
          <w:p>
            <w:pPr>
              <w:spacing w:after="0" w:line="360" w:lineRule="auto"/>
              <w:jc w:val="both"/>
              <w:rPr>
                <w:rFonts w:ascii="Times New Roman" w:hAnsi="Times New Roman" w:eastAsia="Times New Roman" w:cs="Times New Roman"/>
                <w:b/>
                <w:bCs/>
                <w:color w:val="000000" w:themeColor="text1"/>
                <w:sz w:val="24"/>
                <w:szCs w:val="24"/>
              </w:rPr>
            </w:pPr>
            <w:r>
              <w:rPr>
                <w:rFonts w:ascii="Times New Roman" w:hAnsi="Times New Roman" w:cs="Times New Roman"/>
                <w:color w:val="000000" w:themeColor="text1"/>
                <w:sz w:val="24"/>
                <w:szCs w:val="24"/>
              </w:rPr>
              <w:t>Agboola, G. (2016)</w:t>
            </w:r>
          </w:p>
        </w:tc>
        <w:tc>
          <w:tcPr>
            <w:tcW w:w="2374" w:type="dxa"/>
          </w:tcPr>
          <w:p>
            <w:pPr>
              <w:spacing w:after="0" w:line="360" w:lineRule="auto"/>
              <w:jc w:val="both"/>
              <w:rPr>
                <w:rFonts w:ascii="Times New Roman" w:hAnsi="Times New Roman" w:eastAsia="Times New Roman" w:cs="Times New Roman"/>
                <w:bCs/>
                <w:color w:val="000000" w:themeColor="text1"/>
                <w:sz w:val="24"/>
                <w:szCs w:val="24"/>
              </w:rPr>
            </w:pPr>
            <w:r>
              <w:rPr>
                <w:rFonts w:ascii="Times New Roman" w:hAnsi="Times New Roman" w:eastAsia="Times New Roman" w:cs="Times New Roman"/>
                <w:bCs/>
                <w:color w:val="000000" w:themeColor="text1"/>
                <w:sz w:val="24"/>
                <w:szCs w:val="24"/>
              </w:rPr>
              <w:t>Concept of Urban growth in Nigeria</w:t>
            </w:r>
          </w:p>
        </w:tc>
        <w:tc>
          <w:tcPr>
            <w:tcW w:w="5805" w:type="dxa"/>
          </w:tcPr>
          <w:p>
            <w:pPr>
              <w:spacing w:after="0" w:line="360" w:lineRule="auto"/>
              <w:jc w:val="both"/>
              <w:rPr>
                <w:rFonts w:ascii="Times New Roman" w:hAnsi="Times New Roman" w:eastAsia="Times New Roman" w:cs="Times New Roman"/>
                <w:b/>
                <w:bCs/>
                <w:color w:val="000000" w:themeColor="text1"/>
                <w:sz w:val="24"/>
                <w:szCs w:val="24"/>
              </w:rPr>
            </w:pPr>
            <w:r>
              <w:rPr>
                <w:rFonts w:ascii="Times New Roman" w:hAnsi="Times New Roman" w:cs="Times New Roman"/>
                <w:color w:val="000000" w:themeColor="text1"/>
                <w:sz w:val="24"/>
                <w:szCs w:val="24"/>
              </w:rPr>
              <w:t xml:space="preserve">Urban growth is the rate of growth of an urban population. Urban growth refers to growth that makes intensive use of </w:t>
            </w:r>
            <w:r>
              <w:rPr>
                <w:rFonts w:ascii="Times New Roman" w:hAnsi="Times New Roman" w:cs="Times New Roman"/>
                <w:color w:val="000000" w:themeColor="text1"/>
                <w:sz w:val="24"/>
                <w:szCs w:val="24"/>
              </w:rPr>
              <w:t>land for the location of buildings and impermeable surfaces to such a degree. Urbanization is mainly caused by urban growth, which could be due to natural population growth, reclassification of urban and rural system and rural-urban migration). Studies</w:t>
            </w:r>
          </w:p>
        </w:tc>
      </w:tr>
      <w:tr>
        <w:tblPrEx>
          <w:tblLayout w:type="fixed"/>
        </w:tblPrEx>
        <w:trPr>
          <w:trHeight w:val="264" w:hRule="atLeast"/>
        </w:trPr>
        <w:tc>
          <w:tcPr>
            <w:tcW w:w="1631" w:type="dxa"/>
          </w:tcPr>
          <w:p>
            <w:p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Ji</w:t>
            </w:r>
            <w:r>
              <w:rPr>
                <w:rFonts w:ascii="Times New Roman" w:hAnsi="Times New Roman" w:eastAsia="Times New Roman" w:cs="Times New Roman"/>
                <w:color w:val="000000" w:themeColor="text1"/>
                <w:sz w:val="24"/>
                <w:szCs w:val="24"/>
              </w:rPr>
              <w:t xml:space="preserve">nadu F. </w:t>
            </w:r>
            <w:r>
              <w:rPr>
                <w:rFonts w:ascii="Times New Roman" w:hAnsi="Times New Roman" w:eastAsia="Times New Roman" w:cs="Times New Roman"/>
                <w:color w:val="000000" w:themeColor="text1"/>
                <w:sz w:val="24"/>
                <w:szCs w:val="24"/>
              </w:rPr>
              <w:t>(2017)</w:t>
            </w:r>
          </w:p>
        </w:tc>
        <w:tc>
          <w:tcPr>
            <w:tcW w:w="2374" w:type="dxa"/>
          </w:tcPr>
          <w:p>
            <w:p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Housing Conditions</w:t>
            </w:r>
          </w:p>
        </w:tc>
        <w:tc>
          <w:tcPr>
            <w:tcW w:w="5805" w:type="dxa"/>
          </w:tcPr>
          <w:p>
            <w:p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 Housing conditions encompass various factors affecting </w:t>
            </w:r>
            <w:r>
              <w:rPr>
                <w:rFonts w:ascii="Times New Roman" w:hAnsi="Times New Roman" w:eastAsia="Times New Roman" w:cs="Times New Roman"/>
                <w:color w:val="000000" w:themeColor="text1"/>
                <w:sz w:val="24"/>
                <w:szCs w:val="24"/>
              </w:rPr>
              <w:t>habitability and well-being.</w:t>
            </w:r>
          </w:p>
        </w:tc>
      </w:tr>
      <w:tr>
        <w:tblPrEx>
          <w:tblLayout w:type="fixed"/>
        </w:tblPrEx>
        <w:trPr>
          <w:trHeight w:val="864" w:hRule="atLeast"/>
        </w:trPr>
        <w:tc>
          <w:tcPr>
            <w:tcW w:w="1631" w:type="dxa"/>
          </w:tcPr>
          <w:p>
            <w:p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Olanrewaju C. (2016)</w:t>
            </w:r>
          </w:p>
        </w:tc>
        <w:tc>
          <w:tcPr>
            <w:tcW w:w="2374" w:type="dxa"/>
          </w:tcPr>
          <w:p>
            <w:p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Urban Development in Inner Residential Properties</w:t>
            </w:r>
          </w:p>
        </w:tc>
        <w:tc>
          <w:tcPr>
            <w:tcW w:w="5805" w:type="dxa"/>
          </w:tcPr>
          <w:p>
            <w:p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Layout of the inner residential core of Ilorin is generally ap</w:t>
            </w:r>
            <w:r>
              <w:rPr>
                <w:rFonts w:ascii="Times New Roman" w:hAnsi="Times New Roman" w:eastAsia="Times New Roman" w:cs="Times New Roman"/>
                <w:color w:val="000000" w:themeColor="text1"/>
                <w:sz w:val="24"/>
                <w:szCs w:val="24"/>
              </w:rPr>
              <w:t>palling, with closely built and overcrowded buildings. - Buildings experience obsolescence, leaking roofs, cracked walls, broken windows, and peeling paints. - Lack of approved plans for roomy apartments.</w:t>
            </w:r>
          </w:p>
        </w:tc>
      </w:tr>
      <w:tr>
        <w:tblPrEx>
          <w:tblLayout w:type="fixed"/>
        </w:tblPrEx>
        <w:trPr>
          <w:trHeight w:val="840" w:hRule="atLeast"/>
        </w:trPr>
        <w:tc>
          <w:tcPr>
            <w:tcW w:w="1631" w:type="dxa"/>
          </w:tcPr>
          <w:p>
            <w:p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Olanrewaju C. and Akinbamijo F. (2018)</w:t>
            </w:r>
          </w:p>
        </w:tc>
        <w:tc>
          <w:tcPr>
            <w:tcW w:w="2374" w:type="dxa"/>
          </w:tcPr>
          <w:p>
            <w:p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Neighborhoo</w:t>
            </w:r>
            <w:r>
              <w:rPr>
                <w:rFonts w:ascii="Times New Roman" w:hAnsi="Times New Roman" w:eastAsia="Times New Roman" w:cs="Times New Roman"/>
                <w:color w:val="000000" w:themeColor="text1"/>
                <w:sz w:val="24"/>
                <w:szCs w:val="24"/>
              </w:rPr>
              <w:t>d Assessment in Ilorin</w:t>
            </w:r>
          </w:p>
        </w:tc>
        <w:tc>
          <w:tcPr>
            <w:tcW w:w="5805" w:type="dxa"/>
          </w:tcPr>
          <w:p>
            <w:p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Buildings made of low-quality materials.</w:t>
            </w:r>
          </w:p>
          <w:p>
            <w:p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 - Lack of open spaces and well-defined property lines. </w:t>
            </w:r>
          </w:p>
          <w:p>
            <w:p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 Non-conforming land uses, including noise pollution from grinding mills. </w:t>
            </w:r>
          </w:p>
          <w:p>
            <w:p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Over-spilling of domestic activities and mixed land use</w:t>
            </w:r>
            <w:r>
              <w:rPr>
                <w:rFonts w:ascii="Times New Roman" w:hAnsi="Times New Roman" w:eastAsia="Times New Roman" w:cs="Times New Roman"/>
                <w:color w:val="000000" w:themeColor="text1"/>
                <w:sz w:val="24"/>
                <w:szCs w:val="24"/>
              </w:rPr>
              <w:t xml:space="preserve">s. </w:t>
            </w:r>
          </w:p>
          <w:p>
            <w:p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Inadequate infrastructure, overstretched facilities.</w:t>
            </w:r>
          </w:p>
        </w:tc>
      </w:tr>
      <w:tr>
        <w:tblPrEx>
          <w:tblLayout w:type="fixed"/>
        </w:tblPrEx>
        <w:trPr>
          <w:trHeight w:val="576" w:hRule="atLeast"/>
        </w:trPr>
        <w:tc>
          <w:tcPr>
            <w:tcW w:w="1631" w:type="dxa"/>
          </w:tcPr>
          <w:p>
            <w:p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Olanrewaju and Fadairo G. (2003)</w:t>
            </w:r>
          </w:p>
        </w:tc>
        <w:tc>
          <w:tcPr>
            <w:tcW w:w="2374" w:type="dxa"/>
          </w:tcPr>
          <w:p>
            <w:p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Neighbourhood Quality in Asa-Dam Area, Ilorin Metropolis</w:t>
            </w:r>
          </w:p>
        </w:tc>
        <w:tc>
          <w:tcPr>
            <w:tcW w:w="5805" w:type="dxa"/>
          </w:tcPr>
          <w:p>
            <w:p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 Poor state of streets affecting waste evacuation. - Limited tarred roads with side paved gutters. - </w:t>
            </w:r>
            <w:r>
              <w:rPr>
                <w:rFonts w:ascii="Times New Roman" w:hAnsi="Times New Roman" w:eastAsia="Times New Roman" w:cs="Times New Roman"/>
                <w:color w:val="000000" w:themeColor="text1"/>
                <w:sz w:val="24"/>
                <w:szCs w:val="24"/>
              </w:rPr>
              <w:t>High-density residential neighborhoods face poor road conditions.</w:t>
            </w:r>
          </w:p>
        </w:tc>
      </w:tr>
      <w:tr>
        <w:tblPrEx>
          <w:tblLayout w:type="fixed"/>
        </w:tblPrEx>
        <w:trPr>
          <w:trHeight w:val="576" w:hRule="atLeast"/>
        </w:trPr>
        <w:tc>
          <w:tcPr>
            <w:tcW w:w="1631" w:type="dxa"/>
          </w:tcPr>
          <w:p>
            <w:p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Oyesiku C. (2013)</w:t>
            </w:r>
          </w:p>
        </w:tc>
        <w:tc>
          <w:tcPr>
            <w:tcW w:w="2374" w:type="dxa"/>
          </w:tcPr>
          <w:p>
            <w:p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Traffic Congestion and Environmental Pollution</w:t>
            </w:r>
          </w:p>
        </w:tc>
        <w:tc>
          <w:tcPr>
            <w:tcW w:w="5805" w:type="dxa"/>
          </w:tcPr>
          <w:p>
            <w:p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 Deteriorating road conditions contribute to traffic congestion, awkward parking, and environmental pollution in Nigerian </w:t>
            </w:r>
            <w:r>
              <w:rPr>
                <w:rFonts w:ascii="Times New Roman" w:hAnsi="Times New Roman" w:eastAsia="Times New Roman" w:cs="Times New Roman"/>
                <w:color w:val="000000" w:themeColor="text1"/>
                <w:sz w:val="24"/>
                <w:szCs w:val="24"/>
              </w:rPr>
              <w:t>urban centers.</w:t>
            </w:r>
          </w:p>
        </w:tc>
      </w:tr>
      <w:tr>
        <w:tblPrEx>
          <w:tblLayout w:type="fixed"/>
        </w:tblPrEx>
        <w:trPr>
          <w:trHeight w:val="864" w:hRule="atLeast"/>
        </w:trPr>
        <w:tc>
          <w:tcPr>
            <w:tcW w:w="1631" w:type="dxa"/>
          </w:tcPr>
          <w:p>
            <w:p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Owoeye C. &amp; Omole O.(2012)</w:t>
            </w:r>
          </w:p>
        </w:tc>
        <w:tc>
          <w:tcPr>
            <w:tcW w:w="2374" w:type="dxa"/>
          </w:tcPr>
          <w:p>
            <w:p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Environmental Problems and Urbanization</w:t>
            </w:r>
          </w:p>
        </w:tc>
        <w:tc>
          <w:tcPr>
            <w:tcW w:w="5805" w:type="dxa"/>
          </w:tcPr>
          <w:p>
            <w:p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Major challenge of urbanization in Nigeria is environmental problems. - Improper waste management leads to unsightly urban centers.</w:t>
            </w:r>
          </w:p>
          <w:p>
            <w:pPr>
              <w:spacing w:after="0" w:line="360" w:lineRule="auto"/>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 - Slum developments increase crimes an</w:t>
            </w:r>
            <w:r>
              <w:rPr>
                <w:rFonts w:ascii="Times New Roman" w:hAnsi="Times New Roman" w:eastAsia="Times New Roman" w:cs="Times New Roman"/>
                <w:color w:val="000000" w:themeColor="text1"/>
                <w:sz w:val="24"/>
                <w:szCs w:val="24"/>
              </w:rPr>
              <w:t>d violence. - Environmental problems outweigh experiences in the countryside.</w:t>
            </w:r>
          </w:p>
        </w:tc>
      </w:tr>
    </w:tbl>
    <w:p>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Source: Author’s Computation, 2024</w:t>
      </w:r>
    </w:p>
    <w:p>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pPr>
        <w:spacing w:after="0" w:line="360" w:lineRule="auto"/>
        <w:jc w:val="center"/>
        <w:rPr>
          <w:rFonts w:asciiTheme="majorBidi" w:hAnsiTheme="majorBidi" w:cstheme="majorBidi"/>
          <w:b/>
          <w:sz w:val="24"/>
          <w:szCs w:val="24"/>
        </w:rPr>
      </w:pPr>
      <w:r>
        <w:rPr>
          <w:rFonts w:asciiTheme="majorBidi" w:hAnsiTheme="majorBidi" w:cstheme="majorBidi"/>
          <w:b/>
          <w:sz w:val="24"/>
          <w:szCs w:val="24"/>
        </w:rPr>
        <w:t>CHAPTER THREE</w:t>
      </w:r>
    </w:p>
    <w:p>
      <w:pPr>
        <w:widowControl w:val="0"/>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3.0</w:t>
      </w:r>
      <w:r>
        <w:rPr>
          <w:rFonts w:asciiTheme="majorBidi" w:hAnsiTheme="majorBidi" w:cstheme="majorBidi"/>
          <w:b/>
          <w:bCs/>
          <w:sz w:val="24"/>
          <w:szCs w:val="24"/>
        </w:rPr>
        <w:tab/>
      </w:r>
      <w:r>
        <w:rPr>
          <w:rFonts w:asciiTheme="majorBidi" w:hAnsiTheme="majorBidi" w:cstheme="majorBidi"/>
          <w:b/>
          <w:bCs/>
          <w:sz w:val="24"/>
          <w:szCs w:val="24"/>
        </w:rPr>
        <w:t>RESEARCH METHODOLOGY</w:t>
      </w:r>
    </w:p>
    <w:p>
      <w:pPr>
        <w:widowControl w:val="0"/>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3.1</w:t>
      </w:r>
      <w:r>
        <w:rPr>
          <w:rFonts w:asciiTheme="majorBidi" w:hAnsiTheme="majorBidi" w:cstheme="majorBidi"/>
          <w:b/>
          <w:bCs/>
          <w:sz w:val="24"/>
          <w:szCs w:val="24"/>
        </w:rPr>
        <w:tab/>
      </w:r>
      <w:r>
        <w:rPr>
          <w:rFonts w:asciiTheme="majorBidi" w:hAnsiTheme="majorBidi" w:cstheme="majorBidi"/>
          <w:b/>
          <w:bCs/>
          <w:sz w:val="24"/>
          <w:szCs w:val="24"/>
        </w:rPr>
        <w:t>INTRODUCTION</w:t>
      </w:r>
    </w:p>
    <w:p>
      <w:pPr>
        <w:pStyle w:val="5"/>
        <w:spacing w:line="360" w:lineRule="auto"/>
        <w:ind w:left="0" w:firstLine="720"/>
        <w:jc w:val="both"/>
        <w:rPr>
          <w:rFonts w:eastAsia="Arial MT" w:asciiTheme="majorBidi" w:hAnsiTheme="majorBidi" w:cstheme="majorBidi"/>
          <w:b w:val="0"/>
          <w:bCs w:val="0"/>
          <w:sz w:val="24"/>
          <w:szCs w:val="24"/>
        </w:rPr>
      </w:pPr>
      <w:r>
        <w:rPr>
          <w:rFonts w:eastAsia="Arial MT" w:asciiTheme="majorBidi" w:hAnsiTheme="majorBidi" w:cstheme="majorBidi"/>
          <w:b w:val="0"/>
          <w:bCs w:val="0"/>
          <w:sz w:val="24"/>
          <w:szCs w:val="24"/>
        </w:rPr>
        <w:t>This research methodology tries to explain how data are collected and processed together with the strategic employed in the course of carrying out the study to obtain information from various properties and how to get the data collected and further processing done so as to reveal the true other solution.</w:t>
      </w:r>
    </w:p>
    <w:p>
      <w:pPr>
        <w:pStyle w:val="5"/>
        <w:spacing w:line="360" w:lineRule="auto"/>
        <w:ind w:left="0" w:firstLine="720"/>
        <w:jc w:val="both"/>
        <w:rPr>
          <w:rFonts w:eastAsia="Arial MT" w:asciiTheme="majorBidi" w:hAnsiTheme="majorBidi" w:cstheme="majorBidi"/>
          <w:b w:val="0"/>
          <w:bCs w:val="0"/>
          <w:sz w:val="24"/>
          <w:szCs w:val="24"/>
        </w:rPr>
      </w:pPr>
      <w:r>
        <w:rPr>
          <w:rFonts w:eastAsia="Arial MT" w:asciiTheme="majorBidi" w:hAnsiTheme="majorBidi" w:cstheme="majorBidi"/>
          <w:b w:val="0"/>
          <w:bCs w:val="0"/>
          <w:sz w:val="24"/>
          <w:szCs w:val="24"/>
        </w:rPr>
        <w:t>For this however, both primary and secondary sources of data collection are used. This is done to give research through and comprehensive study of the whole exercise so as to obtain beautiful information that will assist in making an accurate in the issue.</w:t>
      </w:r>
    </w:p>
    <w:p>
      <w:pPr>
        <w:widowControl w:val="0"/>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3.2</w:t>
      </w:r>
      <w:r>
        <w:rPr>
          <w:rFonts w:asciiTheme="majorBidi" w:hAnsiTheme="majorBidi" w:cstheme="majorBidi"/>
          <w:b/>
          <w:bCs/>
          <w:sz w:val="24"/>
          <w:szCs w:val="24"/>
        </w:rPr>
        <w:tab/>
      </w:r>
      <w:r>
        <w:rPr>
          <w:rFonts w:asciiTheme="majorBidi" w:hAnsiTheme="majorBidi" w:cstheme="majorBidi"/>
          <w:b/>
          <w:bCs/>
          <w:sz w:val="24"/>
          <w:szCs w:val="24"/>
        </w:rPr>
        <w:t xml:space="preserve">RESEARCH DESIGN </w:t>
      </w:r>
    </w:p>
    <w:p>
      <w:pPr>
        <w:widowControl w:val="0"/>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This study adopts a comparative survey research design, which enables a structured comparison of house conditions and neighborhood quality across two distinct residential communities (Oke-Oyi and Tanke). This design is appropriate for identifying relationships between variables and comparing their effects on residential property values.</w:t>
      </w:r>
    </w:p>
    <w:p>
      <w:pPr>
        <w:widowControl w:val="0"/>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3.3</w:t>
      </w:r>
      <w:r>
        <w:rPr>
          <w:rFonts w:asciiTheme="majorBidi" w:hAnsiTheme="majorBidi" w:cstheme="majorBidi"/>
          <w:b/>
          <w:bCs/>
          <w:sz w:val="24"/>
          <w:szCs w:val="24"/>
        </w:rPr>
        <w:tab/>
      </w:r>
      <w:r>
        <w:rPr>
          <w:rFonts w:asciiTheme="majorBidi" w:hAnsiTheme="majorBidi" w:cstheme="majorBidi"/>
          <w:b/>
          <w:bCs/>
          <w:sz w:val="24"/>
          <w:szCs w:val="24"/>
        </w:rPr>
        <w:t>DATA TYPES AND SOURCE</w:t>
      </w:r>
    </w:p>
    <w:p>
      <w:pPr>
        <w:widowControl w:val="0"/>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Data collection source simply refers to the various ways through which a researcher can gather relevance information or data for the subject under study.</w:t>
      </w:r>
    </w:p>
    <w:p>
      <w:pPr>
        <w:widowControl w:val="0"/>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 two sources of data collections are:-                                                                                                                                                               </w:t>
      </w:r>
    </w:p>
    <w:p>
      <w:pPr>
        <w:widowControl w:val="0"/>
        <w:autoSpaceDE w:val="0"/>
        <w:autoSpaceDN w:val="0"/>
        <w:adjustRightInd w:val="0"/>
        <w:spacing w:after="0" w:line="360" w:lineRule="auto"/>
        <w:jc w:val="both"/>
        <w:rPr>
          <w:rFonts w:asciiTheme="majorBidi" w:hAnsiTheme="majorBidi" w:cstheme="majorBidi"/>
          <w:b/>
          <w:sz w:val="24"/>
          <w:szCs w:val="24"/>
        </w:rPr>
      </w:pPr>
      <w:r>
        <w:rPr>
          <w:rFonts w:asciiTheme="majorBidi" w:hAnsiTheme="majorBidi" w:cstheme="majorBidi"/>
          <w:b/>
          <w:sz w:val="24"/>
          <w:szCs w:val="24"/>
        </w:rPr>
        <w:t>3.3.1</w:t>
      </w:r>
      <w:r>
        <w:rPr>
          <w:rFonts w:asciiTheme="majorBidi" w:hAnsiTheme="majorBidi" w:cstheme="majorBidi"/>
          <w:b/>
          <w:sz w:val="24"/>
          <w:szCs w:val="24"/>
        </w:rPr>
        <w:tab/>
      </w:r>
      <w:r>
        <w:rPr>
          <w:rFonts w:asciiTheme="majorBidi" w:hAnsiTheme="majorBidi" w:cstheme="majorBidi"/>
          <w:b/>
          <w:sz w:val="24"/>
          <w:szCs w:val="24"/>
        </w:rPr>
        <w:t>PRIMARY SOURCE</w:t>
      </w:r>
    </w:p>
    <w:p>
      <w:pPr>
        <w:widowControl w:val="0"/>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Collected through structured questionnaires and field observation on property conditions, neighborhood amenities, and environmental quality.</w:t>
      </w:r>
    </w:p>
    <w:p>
      <w:pPr>
        <w:widowControl w:val="0"/>
        <w:autoSpaceDE w:val="0"/>
        <w:autoSpaceDN w:val="0"/>
        <w:adjustRightInd w:val="0"/>
        <w:spacing w:after="0" w:line="360" w:lineRule="auto"/>
        <w:jc w:val="both"/>
        <w:rPr>
          <w:rFonts w:asciiTheme="majorBidi" w:hAnsiTheme="majorBidi" w:cstheme="majorBidi"/>
          <w:b/>
          <w:sz w:val="24"/>
          <w:szCs w:val="24"/>
        </w:rPr>
      </w:pPr>
      <w:r>
        <w:rPr>
          <w:rFonts w:asciiTheme="majorBidi" w:hAnsiTheme="majorBidi" w:cstheme="majorBidi"/>
          <w:b/>
          <w:sz w:val="24"/>
          <w:szCs w:val="24"/>
        </w:rPr>
        <w:t>3.3.2</w:t>
      </w:r>
      <w:r>
        <w:rPr>
          <w:rFonts w:asciiTheme="majorBidi" w:hAnsiTheme="majorBidi" w:cstheme="majorBidi"/>
          <w:b/>
          <w:sz w:val="24"/>
          <w:szCs w:val="24"/>
        </w:rPr>
        <w:tab/>
      </w:r>
      <w:r>
        <w:rPr>
          <w:rFonts w:asciiTheme="majorBidi" w:hAnsiTheme="majorBidi" w:cstheme="majorBidi"/>
          <w:b/>
          <w:sz w:val="24"/>
          <w:szCs w:val="24"/>
        </w:rPr>
        <w:t>SECONDARY SOURCE</w:t>
      </w:r>
    </w:p>
    <w:p>
      <w:pPr>
        <w:spacing w:after="0" w:line="360" w:lineRule="auto"/>
        <w:jc w:val="both"/>
        <w:rPr>
          <w:rFonts w:asciiTheme="majorBidi" w:hAnsiTheme="majorBidi" w:cstheme="majorBidi"/>
          <w:sz w:val="24"/>
          <w:szCs w:val="24"/>
        </w:rPr>
      </w:pPr>
      <w:r>
        <w:rPr>
          <w:rFonts w:asciiTheme="majorBidi" w:hAnsiTheme="majorBidi" w:cstheme="majorBidi"/>
          <w:b/>
          <w:sz w:val="24"/>
          <w:szCs w:val="24"/>
        </w:rPr>
        <w:t>SECONDARY SOURCE</w:t>
      </w:r>
      <w:r>
        <w:rPr>
          <w:rFonts w:asciiTheme="majorBidi" w:hAnsiTheme="majorBidi" w:cstheme="majorBidi"/>
          <w:sz w:val="24"/>
          <w:szCs w:val="24"/>
        </w:rPr>
        <w:t>: - Sourced from academic journals, government planning documents, land registry records, and previous housing studies in Ilorin.</w:t>
      </w:r>
    </w:p>
    <w:p>
      <w:pPr>
        <w:widowControl w:val="0"/>
        <w:autoSpaceDE w:val="0"/>
        <w:autoSpaceDN w:val="0"/>
        <w:adjustRightInd w:val="0"/>
        <w:spacing w:after="0" w:line="360" w:lineRule="auto"/>
        <w:jc w:val="both"/>
        <w:rPr>
          <w:rFonts w:asciiTheme="majorBidi" w:hAnsiTheme="majorBidi" w:cstheme="majorBidi"/>
          <w:b/>
          <w:sz w:val="24"/>
          <w:szCs w:val="24"/>
        </w:rPr>
      </w:pPr>
      <w:r>
        <w:rPr>
          <w:rFonts w:asciiTheme="majorBidi" w:hAnsiTheme="majorBidi" w:cstheme="majorBidi"/>
          <w:b/>
          <w:sz w:val="24"/>
          <w:szCs w:val="24"/>
        </w:rPr>
        <w:t>3.4</w:t>
      </w:r>
      <w:r>
        <w:rPr>
          <w:rFonts w:asciiTheme="majorBidi" w:hAnsiTheme="majorBidi" w:cstheme="majorBidi"/>
          <w:b/>
          <w:sz w:val="24"/>
          <w:szCs w:val="24"/>
        </w:rPr>
        <w:tab/>
      </w:r>
      <w:r>
        <w:rPr>
          <w:rFonts w:asciiTheme="majorBidi" w:hAnsiTheme="majorBidi" w:cstheme="majorBidi"/>
          <w:b/>
          <w:sz w:val="24"/>
          <w:szCs w:val="24"/>
        </w:rPr>
        <w:t>INSTRUMENT FOR DATA COLLECTION</w:t>
      </w:r>
    </w:p>
    <w:p>
      <w:pPr>
        <w:widowControl w:val="0"/>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The primary instrument used was a structured questionnaire divided into three sections:</w:t>
      </w:r>
    </w:p>
    <w:p>
      <w:pPr>
        <w:widowControl w:val="0"/>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Section A: Socio-demographic characteristics of respondents</w:t>
      </w:r>
    </w:p>
    <w:p>
      <w:pPr>
        <w:widowControl w:val="0"/>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Section B: House conditions (e.g., building materials, maintenance level)</w:t>
      </w:r>
    </w:p>
    <w:p>
      <w:pPr>
        <w:widowControl w:val="0"/>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Section C: Neighborhood quality (e.g., road access, drainage, security)</w:t>
      </w:r>
    </w:p>
    <w:p>
      <w:pPr>
        <w:widowControl w:val="0"/>
        <w:autoSpaceDE w:val="0"/>
        <w:autoSpaceDN w:val="0"/>
        <w:adjustRightInd w:val="0"/>
        <w:spacing w:after="0" w:line="360" w:lineRule="auto"/>
        <w:ind w:firstLine="720"/>
        <w:jc w:val="both"/>
        <w:rPr>
          <w:rFonts w:asciiTheme="majorBidi" w:hAnsiTheme="majorBidi" w:cstheme="majorBidi"/>
          <w:bCs/>
          <w:sz w:val="24"/>
          <w:szCs w:val="24"/>
        </w:rPr>
      </w:pPr>
      <w:r>
        <w:rPr>
          <w:rFonts w:asciiTheme="majorBidi" w:hAnsiTheme="majorBidi" w:cstheme="majorBidi"/>
          <w:sz w:val="24"/>
          <w:szCs w:val="24"/>
        </w:rPr>
        <w:t>• Section D: Estimated property value (self-reported or assessed)</w:t>
      </w:r>
    </w:p>
    <w:p>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3.5</w:t>
      </w:r>
      <w:r>
        <w:rPr>
          <w:rFonts w:ascii="Times New Roman" w:hAnsi="Times New Roman" w:cs="Times New Roman"/>
          <w:b/>
          <w:bCs/>
          <w:sz w:val="24"/>
          <w:szCs w:val="24"/>
        </w:rPr>
        <w:tab/>
      </w:r>
      <w:r>
        <w:rPr>
          <w:rFonts w:ascii="Times New Roman" w:hAnsi="Times New Roman" w:cs="Times New Roman"/>
          <w:b/>
          <w:bCs/>
          <w:sz w:val="24"/>
          <w:szCs w:val="24"/>
        </w:rPr>
        <w:t xml:space="preserve">TARGET POPULATION </w:t>
      </w:r>
    </w:p>
    <w:p>
      <w:pPr>
        <w:widowControl w:val="0"/>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The target population comprises residential property occupants (tenants and homeowners) in Oke-Oyi and Tanke, Ilorin. This includes different property types: bungalows, flats, and duplexes.</w:t>
      </w:r>
    </w:p>
    <w:p>
      <w:pPr>
        <w:widowControl w:val="0"/>
        <w:autoSpaceDE w:val="0"/>
        <w:autoSpaceDN w:val="0"/>
        <w:adjustRightInd w:val="0"/>
        <w:spacing w:after="0" w:line="360" w:lineRule="auto"/>
        <w:jc w:val="both"/>
        <w:rPr>
          <w:rFonts w:asciiTheme="majorBidi" w:hAnsiTheme="majorBidi" w:cstheme="majorBidi"/>
          <w:b/>
          <w:sz w:val="24"/>
          <w:szCs w:val="24"/>
        </w:rPr>
      </w:pPr>
      <w:r>
        <w:rPr>
          <w:rFonts w:asciiTheme="majorBidi" w:hAnsiTheme="majorBidi" w:cstheme="majorBidi"/>
          <w:b/>
          <w:sz w:val="24"/>
          <w:szCs w:val="24"/>
        </w:rPr>
        <w:t>3.6</w:t>
      </w:r>
      <w:r>
        <w:rPr>
          <w:rFonts w:asciiTheme="majorBidi" w:hAnsiTheme="majorBidi" w:cstheme="majorBidi"/>
          <w:b/>
          <w:sz w:val="24"/>
          <w:szCs w:val="24"/>
        </w:rPr>
        <w:tab/>
      </w:r>
      <w:r>
        <w:rPr>
          <w:rFonts w:asciiTheme="majorBidi" w:hAnsiTheme="majorBidi" w:cstheme="majorBidi"/>
          <w:b/>
          <w:sz w:val="24"/>
          <w:szCs w:val="24"/>
        </w:rPr>
        <w:t xml:space="preserve">SAMPLE FRAME </w:t>
      </w:r>
    </w:p>
    <w:p>
      <w:pPr>
        <w:widowControl w:val="0"/>
        <w:autoSpaceDE w:val="0"/>
        <w:autoSpaceDN w:val="0"/>
        <w:adjustRightInd w:val="0"/>
        <w:spacing w:after="0" w:line="360" w:lineRule="auto"/>
        <w:ind w:firstLine="720"/>
        <w:jc w:val="both"/>
        <w:rPr>
          <w:rFonts w:asciiTheme="majorBidi" w:hAnsiTheme="majorBidi" w:cstheme="majorBidi"/>
          <w:bCs/>
          <w:sz w:val="24"/>
          <w:szCs w:val="24"/>
        </w:rPr>
      </w:pPr>
      <w:r>
        <w:rPr>
          <w:rFonts w:asciiTheme="majorBidi" w:hAnsiTheme="majorBidi" w:cstheme="majorBidi"/>
          <w:bCs/>
          <w:sz w:val="24"/>
          <w:szCs w:val="24"/>
        </w:rPr>
        <w:t xml:space="preserve">In statistics, a sampling frame is the source material or device from which a sample is drawn. The sampling frame comprises individuals and entities involved in residential property,occupation or ownership in oke oyi and Tanke </w:t>
      </w:r>
    </w:p>
    <w:p>
      <w:pPr>
        <w:widowControl w:val="0"/>
        <w:autoSpaceDE w:val="0"/>
        <w:autoSpaceDN w:val="0"/>
        <w:adjustRightInd w:val="0"/>
        <w:spacing w:after="0" w:line="360" w:lineRule="auto"/>
        <w:ind w:firstLine="720"/>
        <w:jc w:val="both"/>
        <w:rPr>
          <w:rFonts w:asciiTheme="majorBidi" w:hAnsiTheme="majorBidi" w:cstheme="majorBidi"/>
          <w:bCs/>
          <w:sz w:val="24"/>
          <w:szCs w:val="24"/>
        </w:rPr>
      </w:pPr>
      <w:r>
        <w:rPr>
          <w:rFonts w:asciiTheme="majorBidi" w:hAnsiTheme="majorBidi" w:cstheme="majorBidi"/>
          <w:bCs/>
          <w:sz w:val="24"/>
          <w:szCs w:val="24"/>
        </w:rPr>
        <w:t xml:space="preserve">Components of sampling frame </w:t>
      </w:r>
    </w:p>
    <w:p>
      <w:pPr>
        <w:widowControl w:val="0"/>
        <w:numPr>
          <w:ilvl w:val="0"/>
          <w:numId w:val="8"/>
        </w:numPr>
        <w:autoSpaceDE w:val="0"/>
        <w:autoSpaceDN w:val="0"/>
        <w:adjustRightInd w:val="0"/>
        <w:spacing w:after="0" w:line="360" w:lineRule="auto"/>
        <w:ind w:firstLine="720"/>
        <w:jc w:val="both"/>
        <w:rPr>
          <w:rFonts w:asciiTheme="majorBidi" w:hAnsiTheme="majorBidi" w:cstheme="majorBidi"/>
          <w:bCs/>
          <w:sz w:val="24"/>
          <w:szCs w:val="24"/>
        </w:rPr>
      </w:pPr>
      <w:r>
        <w:rPr>
          <w:rFonts w:asciiTheme="majorBidi" w:hAnsiTheme="majorBidi" w:cstheme="majorBidi"/>
          <w:bCs/>
          <w:sz w:val="24"/>
          <w:szCs w:val="24"/>
        </w:rPr>
        <w:t>Registered property owners 100</w:t>
      </w:r>
    </w:p>
    <w:p>
      <w:pPr>
        <w:widowControl w:val="0"/>
        <w:numPr>
          <w:ilvl w:val="0"/>
          <w:numId w:val="8"/>
        </w:numPr>
        <w:autoSpaceDE w:val="0"/>
        <w:autoSpaceDN w:val="0"/>
        <w:adjustRightInd w:val="0"/>
        <w:spacing w:after="0" w:line="360" w:lineRule="auto"/>
        <w:ind w:firstLine="720"/>
        <w:jc w:val="both"/>
        <w:rPr>
          <w:rFonts w:asciiTheme="majorBidi" w:hAnsiTheme="majorBidi" w:cstheme="majorBidi"/>
          <w:bCs/>
          <w:sz w:val="24"/>
          <w:szCs w:val="24"/>
        </w:rPr>
      </w:pPr>
      <w:r>
        <w:rPr>
          <w:rFonts w:asciiTheme="majorBidi" w:hAnsiTheme="majorBidi" w:cstheme="majorBidi"/>
          <w:bCs/>
          <w:sz w:val="24"/>
          <w:szCs w:val="24"/>
        </w:rPr>
        <w:t>Commercial tenants and occupants 150</w:t>
      </w:r>
    </w:p>
    <w:p>
      <w:pPr>
        <w:widowControl w:val="0"/>
        <w:autoSpaceDE w:val="0"/>
        <w:autoSpaceDN w:val="0"/>
        <w:adjustRightInd w:val="0"/>
        <w:spacing w:after="0" w:line="360" w:lineRule="auto"/>
        <w:jc w:val="both"/>
        <w:rPr>
          <w:rFonts w:asciiTheme="majorBidi" w:hAnsiTheme="majorBidi" w:cstheme="majorBidi"/>
          <w:bCs/>
          <w:sz w:val="24"/>
          <w:szCs w:val="24"/>
        </w:rPr>
      </w:pPr>
      <w:r>
        <w:rPr>
          <w:rFonts w:asciiTheme="majorBidi" w:hAnsiTheme="majorBidi" w:cstheme="majorBidi"/>
          <w:bCs/>
          <w:sz w:val="24"/>
          <w:szCs w:val="24"/>
        </w:rPr>
        <w:t xml:space="preserve">                         Total = 250</w:t>
      </w:r>
    </w:p>
    <w:p>
      <w:pPr>
        <w:widowControl w:val="0"/>
        <w:autoSpaceDE w:val="0"/>
        <w:autoSpaceDN w:val="0"/>
        <w:adjustRightInd w:val="0"/>
        <w:spacing w:after="0" w:line="360" w:lineRule="auto"/>
        <w:jc w:val="both"/>
        <w:rPr>
          <w:rFonts w:asciiTheme="majorBidi" w:hAnsiTheme="majorBidi" w:cstheme="majorBidi"/>
          <w:b/>
          <w:sz w:val="24"/>
          <w:szCs w:val="24"/>
        </w:rPr>
      </w:pPr>
    </w:p>
    <w:p>
      <w:pPr>
        <w:widowControl w:val="0"/>
        <w:autoSpaceDE w:val="0"/>
        <w:autoSpaceDN w:val="0"/>
        <w:adjustRightInd w:val="0"/>
        <w:spacing w:after="0" w:line="360" w:lineRule="auto"/>
        <w:jc w:val="both"/>
        <w:rPr>
          <w:rFonts w:asciiTheme="majorBidi" w:hAnsiTheme="majorBidi" w:cstheme="majorBidi"/>
          <w:b/>
          <w:sz w:val="24"/>
          <w:szCs w:val="24"/>
        </w:rPr>
      </w:pPr>
      <w:r>
        <w:rPr>
          <w:rFonts w:asciiTheme="majorBidi" w:hAnsiTheme="majorBidi" w:cstheme="majorBidi"/>
          <w:b/>
          <w:sz w:val="24"/>
          <w:szCs w:val="24"/>
        </w:rPr>
        <w:t>3.7</w:t>
      </w:r>
      <w:r>
        <w:rPr>
          <w:rFonts w:asciiTheme="majorBidi" w:hAnsiTheme="majorBidi" w:cstheme="majorBidi"/>
          <w:b/>
          <w:sz w:val="24"/>
          <w:szCs w:val="24"/>
        </w:rPr>
        <w:tab/>
      </w:r>
      <w:r>
        <w:rPr>
          <w:rFonts w:asciiTheme="majorBidi" w:hAnsiTheme="majorBidi" w:cstheme="majorBidi"/>
          <w:b/>
          <w:sz w:val="24"/>
          <w:szCs w:val="24"/>
        </w:rPr>
        <w:t xml:space="preserve">SAMPLE SIZE </w:t>
      </w:r>
    </w:p>
    <w:p>
      <w:pPr>
        <w:widowControl w:val="0"/>
        <w:autoSpaceDE w:val="0"/>
        <w:autoSpaceDN w:val="0"/>
        <w:adjustRightInd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The numerical strength of the sample size was anchored on a total number of respondents, questions were distributed for the Developers, occupant and residents of the study area, which is Asa-dam area. The sample size is 250.</w:t>
      </w:r>
    </w:p>
    <w:p>
      <w:pPr>
        <w:widowControl w:val="0"/>
        <w:autoSpaceDE w:val="0"/>
        <w:autoSpaceDN w:val="0"/>
        <w:adjustRightInd w:val="0"/>
        <w:spacing w:after="0" w:line="360" w:lineRule="auto"/>
        <w:jc w:val="both"/>
        <w:rPr>
          <w:rFonts w:asciiTheme="majorBidi" w:hAnsiTheme="majorBidi" w:cstheme="majorBidi"/>
          <w:b/>
          <w:sz w:val="24"/>
          <w:szCs w:val="24"/>
        </w:rPr>
      </w:pPr>
      <w:r>
        <w:rPr>
          <w:rFonts w:asciiTheme="majorBidi" w:hAnsiTheme="majorBidi" w:cstheme="majorBidi"/>
          <w:b/>
          <w:sz w:val="24"/>
          <w:szCs w:val="24"/>
        </w:rPr>
        <w:t>3.8</w:t>
      </w:r>
      <w:r>
        <w:rPr>
          <w:rFonts w:asciiTheme="majorBidi" w:hAnsiTheme="majorBidi" w:cstheme="majorBidi"/>
          <w:b/>
          <w:sz w:val="24"/>
          <w:szCs w:val="24"/>
        </w:rPr>
        <w:tab/>
      </w:r>
      <w:r>
        <w:rPr>
          <w:rFonts w:asciiTheme="majorBidi" w:hAnsiTheme="majorBidi" w:cstheme="majorBidi"/>
          <w:b/>
          <w:sz w:val="24"/>
          <w:szCs w:val="24"/>
        </w:rPr>
        <w:t>SAMPLING PROCEDURE</w:t>
      </w:r>
    </w:p>
    <w:p>
      <w:pPr>
        <w:pStyle w:val="7"/>
        <w:spacing w:line="360" w:lineRule="auto"/>
        <w:ind w:firstLine="720"/>
        <w:jc w:val="both"/>
        <w:rPr>
          <w:rFonts w:asciiTheme="majorBidi" w:hAnsiTheme="majorBidi" w:cstheme="majorBidi"/>
          <w:sz w:val="24"/>
          <w:szCs w:val="24"/>
        </w:rPr>
      </w:pPr>
      <w:r>
        <w:rPr>
          <w:rFonts w:asciiTheme="majorBidi" w:hAnsiTheme="majorBidi" w:cstheme="majorBidi"/>
          <w:sz w:val="24"/>
          <w:szCs w:val="24"/>
        </w:rPr>
        <w:t>Theimpracticabilityofsamplingeverymemberofthepopulationofstudywillinformtheadoptionofamanageablenumber as sample size for the purpose of data collection. Thedetermination of sample size adopted the TARO YAMANI formulawhich is used for a finite or known population. The formula is givenas</w:t>
      </w:r>
    </w:p>
    <w:p>
      <w:pPr>
        <w:pStyle w:val="7"/>
        <w:tabs>
          <w:tab w:val="left" w:pos="2100"/>
          <w:tab w:val="left" w:pos="3135"/>
          <w:tab w:val="left" w:pos="3540"/>
        </w:tabs>
        <w:spacing w:line="360" w:lineRule="auto"/>
        <w:ind w:left="2569" w:hanging="1189"/>
        <w:jc w:val="both"/>
        <w:rPr>
          <w:rFonts w:asciiTheme="majorBidi" w:hAnsiTheme="majorBidi" w:cstheme="majorBidi"/>
          <w:sz w:val="24"/>
          <w:szCs w:val="24"/>
        </w:rPr>
      </w:pPr>
      <w:r>
        <w:rPr>
          <w:rFonts w:asciiTheme="majorBidi" w:hAnsiTheme="majorBidi" w:cstheme="majorBidi"/>
          <w:sz w:val="24"/>
          <w:szCs w:val="24"/>
        </w:rPr>
        <w:t>n</w:t>
      </w:r>
      <w:r>
        <w:rPr>
          <w:rFonts w:asciiTheme="majorBidi" w:hAnsiTheme="majorBidi" w:cstheme="majorBidi"/>
          <w:sz w:val="24"/>
          <w:szCs w:val="24"/>
        </w:rPr>
        <w:tab/>
      </w:r>
      <w:r>
        <w:rPr>
          <w:rFonts w:asciiTheme="majorBidi" w:hAnsiTheme="majorBidi" w:cstheme="majorBidi"/>
          <w:sz w:val="24"/>
          <w:szCs w:val="24"/>
        </w:rPr>
        <w:t>=</w:t>
      </w:r>
      <w:r>
        <w:rPr>
          <w:rFonts w:asciiTheme="majorBidi" w:hAnsiTheme="majorBidi" w:cstheme="majorBidi"/>
          <w:sz w:val="24"/>
          <w:szCs w:val="24"/>
          <w:u w:val="thick"/>
        </w:rPr>
        <w:tab/>
      </w:r>
      <w:r>
        <w:rPr>
          <w:rFonts w:asciiTheme="majorBidi" w:hAnsiTheme="majorBidi" w:cstheme="majorBidi"/>
          <w:sz w:val="24"/>
          <w:szCs w:val="24"/>
          <w:u w:val="thick"/>
        </w:rPr>
        <w:t>N</w:t>
      </w:r>
      <w:r>
        <w:rPr>
          <w:rFonts w:asciiTheme="majorBidi" w:hAnsiTheme="majorBidi" w:cstheme="majorBidi"/>
          <w:sz w:val="24"/>
          <w:szCs w:val="24"/>
          <w:u w:val="thick"/>
        </w:rPr>
        <w:tab/>
      </w:r>
    </w:p>
    <w:p>
      <w:pPr>
        <w:pStyle w:val="7"/>
        <w:tabs>
          <w:tab w:val="left" w:pos="2100"/>
          <w:tab w:val="left" w:pos="3135"/>
          <w:tab w:val="left" w:pos="3540"/>
        </w:tabs>
        <w:spacing w:line="360" w:lineRule="auto"/>
        <w:ind w:left="2569" w:hanging="118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1+N(e)</w:t>
      </w:r>
      <w:r>
        <w:rPr>
          <w:rFonts w:asciiTheme="majorBidi" w:hAnsiTheme="majorBidi" w:cstheme="majorBidi"/>
          <w:sz w:val="24"/>
          <w:szCs w:val="24"/>
          <w:vertAlign w:val="superscript"/>
        </w:rPr>
        <w:t>2</w:t>
      </w:r>
    </w:p>
    <w:p>
      <w:pPr>
        <w:pStyle w:val="7"/>
        <w:spacing w:before="162" w:line="360" w:lineRule="auto"/>
        <w:ind w:left="660"/>
        <w:jc w:val="both"/>
        <w:rPr>
          <w:rFonts w:asciiTheme="majorBidi" w:hAnsiTheme="majorBidi" w:cstheme="majorBidi"/>
          <w:sz w:val="24"/>
          <w:szCs w:val="24"/>
        </w:rPr>
      </w:pPr>
      <w:r>
        <w:rPr>
          <w:rFonts w:asciiTheme="majorBidi" w:hAnsiTheme="majorBidi" w:cstheme="majorBidi"/>
          <w:sz w:val="24"/>
          <w:szCs w:val="24"/>
        </w:rPr>
        <w:t>wheren =samplesize</w:t>
      </w:r>
    </w:p>
    <w:p>
      <w:pPr>
        <w:pStyle w:val="7"/>
        <w:spacing w:line="360" w:lineRule="auto"/>
        <w:ind w:left="1380"/>
        <w:jc w:val="both"/>
        <w:rPr>
          <w:rFonts w:asciiTheme="majorBidi" w:hAnsiTheme="majorBidi" w:cstheme="majorBidi"/>
          <w:sz w:val="24"/>
          <w:szCs w:val="24"/>
        </w:rPr>
      </w:pPr>
      <w:r>
        <w:rPr>
          <w:rFonts w:asciiTheme="majorBidi" w:hAnsiTheme="majorBidi" w:cstheme="majorBidi"/>
          <w:sz w:val="24"/>
          <w:szCs w:val="24"/>
        </w:rPr>
        <w:t>N=thefinitepopulation</w:t>
      </w:r>
    </w:p>
    <w:p>
      <w:pPr>
        <w:pStyle w:val="7"/>
        <w:spacing w:line="360" w:lineRule="auto"/>
        <w:ind w:left="1380"/>
        <w:jc w:val="both"/>
        <w:rPr>
          <w:rFonts w:asciiTheme="majorBidi" w:hAnsiTheme="majorBidi" w:cstheme="majorBidi"/>
          <w:sz w:val="24"/>
          <w:szCs w:val="24"/>
        </w:rPr>
      </w:pPr>
      <w:r>
        <w:rPr>
          <w:rFonts w:asciiTheme="majorBidi" w:hAnsiTheme="majorBidi" w:cstheme="majorBidi"/>
          <w:sz w:val="24"/>
          <w:szCs w:val="24"/>
        </w:rPr>
        <w:t>e = level of significance(or limit of tolerable error)1 = unity(aconstant)</w:t>
      </w:r>
    </w:p>
    <w:p>
      <w:pPr>
        <w:pStyle w:val="7"/>
        <w:spacing w:line="360" w:lineRule="auto"/>
        <w:ind w:firstLine="720"/>
        <w:jc w:val="both"/>
        <w:rPr>
          <w:rFonts w:asciiTheme="majorBidi" w:hAnsiTheme="majorBidi" w:cstheme="majorBidi"/>
          <w:spacing w:val="-1"/>
          <w:sz w:val="24"/>
          <w:szCs w:val="24"/>
        </w:rPr>
      </w:pPr>
      <w:r>
        <w:rPr>
          <w:rFonts w:asciiTheme="majorBidi" w:hAnsiTheme="majorBidi" w:cstheme="majorBidi"/>
          <w:sz w:val="24"/>
          <w:szCs w:val="24"/>
        </w:rPr>
        <w:t>Sampling Technique:Random sampling technique wasfinallyadoptedin the distributionofquestionnaires</w:t>
      </w:r>
      <w:r>
        <w:rPr>
          <w:rFonts w:asciiTheme="majorBidi" w:hAnsiTheme="majorBidi" w:cstheme="majorBidi"/>
          <w:b/>
          <w:sz w:val="24"/>
          <w:szCs w:val="24"/>
        </w:rPr>
        <w:t>.</w:t>
      </w:r>
    </w:p>
    <w:p>
      <w:pPr>
        <w:spacing w:after="160" w:line="259" w:lineRule="auto"/>
        <w:rPr>
          <w:rFonts w:asciiTheme="majorBidi" w:hAnsiTheme="majorBidi" w:cstheme="majorBidi"/>
          <w:b/>
          <w:sz w:val="24"/>
          <w:szCs w:val="24"/>
        </w:rPr>
      </w:pPr>
      <w:r>
        <w:rPr>
          <w:rFonts w:asciiTheme="majorBidi" w:hAnsiTheme="majorBidi" w:cstheme="majorBidi"/>
          <w:b/>
          <w:sz w:val="24"/>
          <w:szCs w:val="24"/>
        </w:rPr>
        <w:br w:type="page"/>
      </w:r>
    </w:p>
    <w:p>
      <w:pPr>
        <w:widowControl w:val="0"/>
        <w:autoSpaceDE w:val="0"/>
        <w:autoSpaceDN w:val="0"/>
        <w:adjustRightInd w:val="0"/>
        <w:spacing w:after="0" w:line="360" w:lineRule="auto"/>
        <w:jc w:val="both"/>
        <w:rPr>
          <w:rFonts w:asciiTheme="majorBidi" w:hAnsiTheme="majorBidi" w:cstheme="majorBidi"/>
          <w:b/>
          <w:sz w:val="24"/>
          <w:szCs w:val="24"/>
        </w:rPr>
      </w:pPr>
      <w:r>
        <w:rPr>
          <w:rFonts w:asciiTheme="majorBidi" w:hAnsiTheme="majorBidi" w:cstheme="majorBidi"/>
          <w:b/>
          <w:sz w:val="24"/>
          <w:szCs w:val="24"/>
        </w:rPr>
        <w:t>3.9</w:t>
      </w:r>
      <w:r>
        <w:rPr>
          <w:rFonts w:asciiTheme="majorBidi" w:hAnsiTheme="majorBidi" w:cstheme="majorBidi"/>
          <w:b/>
          <w:sz w:val="24"/>
          <w:szCs w:val="24"/>
        </w:rPr>
        <w:tab/>
      </w:r>
      <w:r>
        <w:rPr>
          <w:rFonts w:asciiTheme="majorBidi" w:hAnsiTheme="majorBidi" w:cstheme="majorBidi"/>
          <w:b/>
          <w:sz w:val="24"/>
          <w:szCs w:val="24"/>
        </w:rPr>
        <w:t>METHOD OF DATA ANALYSIS</w:t>
      </w:r>
    </w:p>
    <w:p>
      <w:pPr>
        <w:widowControl w:val="0"/>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The data were analyzed using both descriptive and inferential statistical tools:</w:t>
      </w:r>
    </w:p>
    <w:p>
      <w:pPr>
        <w:widowControl w:val="0"/>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Descriptive tools (mean, frequency, percentages) for summarizing socio-demographic and housing data.</w:t>
      </w:r>
    </w:p>
    <w:p>
      <w:pPr>
        <w:widowControl w:val="0"/>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Inferential tools including:</w:t>
      </w:r>
    </w:p>
    <w:p>
      <w:pPr>
        <w:widowControl w:val="0"/>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Correlation analysis: To test relationships between house/neighborhood variables and property value.</w:t>
      </w:r>
    </w:p>
    <w:p>
      <w:pPr>
        <w:widowControl w:val="0"/>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Regression analysis: To determine the predictive impact of house condition and neighborhood quality on property values.</w:t>
      </w:r>
    </w:p>
    <w:p>
      <w:pPr>
        <w:widowControl w:val="0"/>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T-tests: For comparing mean values between Oke-Oyi and Tanke.</w:t>
      </w:r>
    </w:p>
    <w:p>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3.10</w:t>
      </w:r>
      <w:r>
        <w:rPr>
          <w:rFonts w:asciiTheme="majorBidi" w:hAnsiTheme="majorBidi" w:cstheme="majorBidi"/>
          <w:b/>
          <w:bCs/>
          <w:sz w:val="24"/>
          <w:szCs w:val="24"/>
        </w:rPr>
        <w:tab/>
      </w:r>
      <w:r>
        <w:rPr>
          <w:rFonts w:asciiTheme="majorBidi" w:hAnsiTheme="majorBidi" w:cstheme="majorBidi"/>
          <w:b/>
          <w:bCs/>
          <w:sz w:val="24"/>
          <w:szCs w:val="24"/>
        </w:rPr>
        <w:t>SUMMARY OF DATA ANALYSIS FOR EACH OBJECTIVE</w:t>
      </w:r>
    </w:p>
    <w:tbl>
      <w:tblPr>
        <w:tblStyle w:val="16"/>
        <w:tblW w:w="9720" w:type="dxa"/>
        <w:tblInd w:w="-25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99"/>
        <w:gridCol w:w="6321"/>
        <w:gridCol w:w="2700"/>
      </w:tblGrid>
      <w:tr>
        <w:tblPrEx>
          <w:tblLayout w:type="fixed"/>
        </w:tblPrEx>
        <w:trPr>
          <w:trHeight w:val="746" w:hRule="atLeast"/>
        </w:trPr>
        <w:tc>
          <w:tcPr>
            <w:tcW w:w="699" w:type="dxa"/>
          </w:tcPr>
          <w:p>
            <w:pPr>
              <w:spacing w:after="0" w:line="360" w:lineRule="auto"/>
              <w:jc w:val="both"/>
              <w:rPr>
                <w:rFonts w:asciiTheme="majorBidi" w:hAnsiTheme="majorBidi" w:cstheme="majorBidi"/>
                <w:b/>
                <w:sz w:val="24"/>
                <w:szCs w:val="24"/>
              </w:rPr>
            </w:pPr>
            <w:r>
              <w:rPr>
                <w:rFonts w:asciiTheme="majorBidi" w:hAnsiTheme="majorBidi" w:cstheme="majorBidi"/>
                <w:b/>
                <w:sz w:val="24"/>
                <w:szCs w:val="24"/>
              </w:rPr>
              <w:t>S/N</w:t>
            </w:r>
          </w:p>
        </w:tc>
        <w:tc>
          <w:tcPr>
            <w:tcW w:w="6321" w:type="dxa"/>
            <w:tcBorders>
              <w:right w:val="single" w:color="auto" w:sz="4" w:space="0"/>
            </w:tcBorders>
          </w:tcPr>
          <w:p>
            <w:pPr>
              <w:spacing w:after="0" w:line="360" w:lineRule="auto"/>
              <w:jc w:val="both"/>
              <w:rPr>
                <w:rFonts w:asciiTheme="majorBidi" w:hAnsiTheme="majorBidi" w:cstheme="majorBidi"/>
                <w:b/>
                <w:sz w:val="24"/>
                <w:szCs w:val="24"/>
              </w:rPr>
            </w:pPr>
            <w:r>
              <w:rPr>
                <w:rFonts w:asciiTheme="majorBidi" w:hAnsiTheme="majorBidi" w:cstheme="majorBidi"/>
                <w:b/>
                <w:sz w:val="24"/>
                <w:szCs w:val="24"/>
              </w:rPr>
              <w:t>OBJECTIVES</w:t>
            </w:r>
          </w:p>
        </w:tc>
        <w:tc>
          <w:tcPr>
            <w:tcW w:w="2700" w:type="dxa"/>
            <w:tcBorders>
              <w:left w:val="single" w:color="auto" w:sz="4" w:space="0"/>
            </w:tcBorders>
          </w:tcPr>
          <w:p>
            <w:pPr>
              <w:spacing w:after="0" w:line="360" w:lineRule="auto"/>
              <w:jc w:val="both"/>
              <w:rPr>
                <w:rFonts w:asciiTheme="majorBidi" w:hAnsiTheme="majorBidi" w:cstheme="majorBidi"/>
                <w:b/>
                <w:sz w:val="24"/>
                <w:szCs w:val="24"/>
              </w:rPr>
            </w:pPr>
            <w:r>
              <w:rPr>
                <w:rFonts w:asciiTheme="majorBidi" w:hAnsiTheme="majorBidi" w:cstheme="majorBidi"/>
                <w:b/>
                <w:sz w:val="24"/>
                <w:szCs w:val="24"/>
              </w:rPr>
              <w:t>METHOD OF DATA ANALYSIS</w:t>
            </w:r>
          </w:p>
        </w:tc>
      </w:tr>
      <w:tr>
        <w:tblPrEx>
          <w:tblLayout w:type="fixed"/>
        </w:tblPrEx>
        <w:trPr>
          <w:trHeight w:val="620" w:hRule="atLeast"/>
        </w:trPr>
        <w:tc>
          <w:tcPr>
            <w:tcW w:w="699"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1</w:t>
            </w:r>
          </w:p>
        </w:tc>
        <w:tc>
          <w:tcPr>
            <w:tcW w:w="6321" w:type="dxa"/>
            <w:tcBorders>
              <w:right w:val="single" w:color="auto" w:sz="4" w:space="0"/>
            </w:tcBorders>
          </w:tcPr>
          <w:p>
            <w:pPr>
              <w:numPr>
                <w:ilvl w:val="0"/>
                <w:numId w:val="6"/>
              </w:numPr>
              <w:shd w:val="clear" w:color="auto" w:fill="FEFEFE"/>
              <w:tabs>
                <w:tab w:val="clear" w:pos="720"/>
              </w:tabs>
              <w:spacing w:after="0" w:line="360" w:lineRule="auto"/>
              <w:ind w:left="-87" w:firstLine="0"/>
              <w:jc w:val="both"/>
              <w:rPr>
                <w:rFonts w:eastAsia="Times New Roman" w:asciiTheme="majorBidi" w:hAnsiTheme="majorBidi" w:cstheme="majorBidi"/>
                <w:color w:val="000000" w:themeColor="text1"/>
                <w:sz w:val="24"/>
                <w:szCs w:val="24"/>
              </w:rPr>
            </w:pPr>
            <w:r>
              <w:rPr>
                <w:rFonts w:eastAsia="Times New Roman" w:asciiTheme="majorBidi" w:hAnsiTheme="majorBidi" w:cstheme="majorBidi"/>
                <w:color w:val="000000" w:themeColor="text1"/>
                <w:sz w:val="24"/>
                <w:szCs w:val="24"/>
              </w:rPr>
              <w:t>To identify the housing and environmental conditions of residential properties in the study area.</w:t>
            </w:r>
          </w:p>
        </w:tc>
        <w:tc>
          <w:tcPr>
            <w:tcW w:w="2700" w:type="dxa"/>
            <w:tcBorders>
              <w:left w:val="single" w:color="auto" w:sz="4" w:space="0"/>
            </w:tcBorders>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Qualitative method</w:t>
            </w:r>
          </w:p>
        </w:tc>
      </w:tr>
      <w:tr>
        <w:tblPrEx>
          <w:tblLayout w:type="fixed"/>
        </w:tblPrEx>
        <w:trPr>
          <w:trHeight w:val="971" w:hRule="atLeast"/>
        </w:trPr>
        <w:tc>
          <w:tcPr>
            <w:tcW w:w="699"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2</w:t>
            </w:r>
          </w:p>
        </w:tc>
        <w:tc>
          <w:tcPr>
            <w:tcW w:w="6321" w:type="dxa"/>
            <w:tcBorders>
              <w:right w:val="single" w:color="auto" w:sz="4" w:space="0"/>
            </w:tcBorders>
          </w:tcPr>
          <w:p>
            <w:pPr>
              <w:numPr>
                <w:ilvl w:val="0"/>
                <w:numId w:val="6"/>
              </w:numPr>
              <w:shd w:val="clear" w:color="auto" w:fill="FEFEFE"/>
              <w:tabs>
                <w:tab w:val="clear" w:pos="720"/>
              </w:tabs>
              <w:spacing w:after="0" w:line="360" w:lineRule="auto"/>
              <w:ind w:left="-87" w:firstLine="0"/>
              <w:jc w:val="both"/>
              <w:rPr>
                <w:rFonts w:eastAsia="Times New Roman" w:asciiTheme="majorBidi" w:hAnsiTheme="majorBidi" w:cstheme="majorBidi"/>
                <w:color w:val="000000" w:themeColor="text1"/>
                <w:sz w:val="24"/>
                <w:szCs w:val="24"/>
              </w:rPr>
            </w:pPr>
            <w:r>
              <w:rPr>
                <w:rFonts w:eastAsia="Times New Roman" w:asciiTheme="majorBidi" w:hAnsiTheme="majorBidi" w:cstheme="majorBidi"/>
                <w:color w:val="000000" w:themeColor="text1"/>
                <w:sz w:val="24"/>
                <w:szCs w:val="24"/>
              </w:rPr>
              <w:t>To examine the impact of housing condition and environmental qualities on residential property values in the study area</w:t>
            </w:r>
          </w:p>
        </w:tc>
        <w:tc>
          <w:tcPr>
            <w:tcW w:w="2700" w:type="dxa"/>
            <w:tcBorders>
              <w:left w:val="single" w:color="auto" w:sz="4" w:space="0"/>
            </w:tcBorders>
          </w:tcPr>
          <w:p>
            <w:pPr>
              <w:spacing w:after="0" w:line="360" w:lineRule="auto"/>
              <w:jc w:val="both"/>
              <w:rPr>
                <w:rFonts w:asciiTheme="majorBidi" w:hAnsiTheme="majorBidi" w:cstheme="majorBidi"/>
                <w:b/>
                <w:sz w:val="24"/>
                <w:szCs w:val="24"/>
              </w:rPr>
            </w:pPr>
            <w:r>
              <w:rPr>
                <w:rFonts w:asciiTheme="majorBidi" w:hAnsiTheme="majorBidi" w:cstheme="majorBidi"/>
                <w:sz w:val="24"/>
                <w:szCs w:val="24"/>
              </w:rPr>
              <w:t>Analysis of Variance (ANOVA)</w:t>
            </w:r>
          </w:p>
        </w:tc>
      </w:tr>
      <w:tr>
        <w:tblPrEx>
          <w:tblLayout w:type="fixed"/>
        </w:tblPrEx>
        <w:trPr>
          <w:trHeight w:val="602" w:hRule="atLeast"/>
        </w:trPr>
        <w:tc>
          <w:tcPr>
            <w:tcW w:w="699" w:type="dxa"/>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3</w:t>
            </w:r>
          </w:p>
        </w:tc>
        <w:tc>
          <w:tcPr>
            <w:tcW w:w="6321" w:type="dxa"/>
            <w:tcBorders>
              <w:right w:val="single" w:color="auto" w:sz="4" w:space="0"/>
            </w:tcBorders>
          </w:tcPr>
          <w:p>
            <w:pPr>
              <w:spacing w:after="0" w:line="360" w:lineRule="auto"/>
              <w:ind w:left="-87"/>
              <w:jc w:val="both"/>
              <w:rPr>
                <w:rFonts w:asciiTheme="majorBidi" w:hAnsiTheme="majorBidi" w:cstheme="majorBidi"/>
                <w:sz w:val="24"/>
                <w:szCs w:val="24"/>
              </w:rPr>
            </w:pPr>
            <w:r>
              <w:rPr>
                <w:rFonts w:eastAsia="Times New Roman" w:asciiTheme="majorBidi" w:hAnsiTheme="majorBidi" w:cstheme="majorBidi"/>
                <w:color w:val="000000" w:themeColor="text1"/>
                <w:sz w:val="24"/>
                <w:szCs w:val="24"/>
              </w:rPr>
              <w:t>To assess the trend in residential property values in the study area between 2011 – 2022</w:t>
            </w:r>
          </w:p>
        </w:tc>
        <w:tc>
          <w:tcPr>
            <w:tcW w:w="2700" w:type="dxa"/>
            <w:tcBorders>
              <w:left w:val="single" w:color="auto" w:sz="4" w:space="0"/>
            </w:tcBorders>
          </w:tcPr>
          <w:p>
            <w:pPr>
              <w:spacing w:after="0" w:line="360" w:lineRule="auto"/>
              <w:jc w:val="both"/>
              <w:rPr>
                <w:rFonts w:asciiTheme="majorBidi" w:hAnsiTheme="majorBidi" w:cstheme="majorBidi"/>
                <w:sz w:val="24"/>
                <w:szCs w:val="24"/>
              </w:rPr>
            </w:pPr>
            <w:r>
              <w:rPr>
                <w:rFonts w:asciiTheme="majorBidi" w:hAnsiTheme="majorBidi" w:cstheme="majorBidi"/>
                <w:sz w:val="24"/>
                <w:szCs w:val="24"/>
              </w:rPr>
              <w:t>Descriptive Method</w:t>
            </w:r>
          </w:p>
        </w:tc>
      </w:tr>
    </w:tbl>
    <w:p>
      <w:pPr>
        <w:spacing w:line="360" w:lineRule="auto"/>
        <w:jc w:val="both"/>
        <w:rPr>
          <w:rFonts w:asciiTheme="majorBidi" w:hAnsiTheme="majorBidi" w:cstheme="majorBidi"/>
          <w:color w:val="000000" w:themeColor="text1"/>
          <w:sz w:val="24"/>
          <w:szCs w:val="24"/>
        </w:rPr>
      </w:pPr>
      <w:r>
        <w:rPr>
          <w:rFonts w:asciiTheme="majorBidi" w:hAnsiTheme="majorBidi" w:cstheme="majorBidi"/>
          <w:b/>
          <w:color w:val="000000" w:themeColor="text1"/>
          <w:sz w:val="24"/>
          <w:szCs w:val="24"/>
        </w:rPr>
        <w:t>Source</w:t>
      </w:r>
      <w:r>
        <w:rPr>
          <w:rFonts w:asciiTheme="majorBidi" w:hAnsiTheme="majorBidi" w:cstheme="majorBidi"/>
          <w:color w:val="000000" w:themeColor="text1"/>
          <w:sz w:val="24"/>
          <w:szCs w:val="24"/>
        </w:rPr>
        <w:t>: Author’s Computation, 2024</w:t>
      </w:r>
    </w:p>
    <w:p>
      <w:pP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br w:type="page"/>
      </w:r>
    </w:p>
    <w:p>
      <w:pPr>
        <w:pStyle w:val="7"/>
        <w:spacing w:before="3" w:line="360" w:lineRule="auto"/>
        <w:jc w:val="center"/>
        <w:rPr>
          <w:rFonts w:ascii="Times New Roman" w:hAnsi="Times New Roman" w:cs="Times New Roman"/>
          <w:b/>
          <w:sz w:val="24"/>
          <w:szCs w:val="24"/>
        </w:rPr>
      </w:pPr>
      <w:r>
        <w:rPr>
          <w:rFonts w:ascii="Times New Roman" w:hAnsi="Times New Roman" w:cs="Times New Roman"/>
          <w:b/>
          <w:sz w:val="24"/>
          <w:szCs w:val="24"/>
        </w:rPr>
        <w:t>CHAPTER FOUR</w:t>
      </w:r>
    </w:p>
    <w:p>
      <w:pPr>
        <w:pStyle w:val="7"/>
        <w:spacing w:before="3" w:line="360" w:lineRule="auto"/>
        <w:rPr>
          <w:rFonts w:ascii="Times New Roman" w:hAnsi="Times New Roman" w:cs="Times New Roman"/>
          <w:b/>
          <w:sz w:val="24"/>
          <w:szCs w:val="24"/>
        </w:rPr>
      </w:pPr>
      <w:r>
        <w:rPr>
          <w:rFonts w:ascii="Times New Roman" w:hAnsi="Times New Roman" w:cs="Times New Roman"/>
          <w:b/>
          <w:sz w:val="24"/>
          <w:szCs w:val="24"/>
        </w:rPr>
        <w:t>DATA PRESENTATION, ANALYSIS AND INTERPRETATION</w:t>
      </w:r>
    </w:p>
    <w:p>
      <w:pPr>
        <w:pStyle w:val="7"/>
        <w:spacing w:before="3" w:line="360" w:lineRule="auto"/>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r>
      <w:r>
        <w:rPr>
          <w:rFonts w:ascii="Times New Roman" w:hAnsi="Times New Roman" w:cs="Times New Roman"/>
          <w:b/>
          <w:sz w:val="24"/>
          <w:szCs w:val="24"/>
        </w:rPr>
        <w:t>INTRODUCTION</w:t>
      </w:r>
    </w:p>
    <w:p>
      <w:pPr>
        <w:pStyle w:val="7"/>
        <w:spacing w:before="3" w:line="360" w:lineRule="auto"/>
        <w:ind w:firstLine="720"/>
        <w:jc w:val="both"/>
        <w:rPr>
          <w:rFonts w:asciiTheme="majorBidi" w:hAnsiTheme="majorBidi" w:cstheme="majorBidi"/>
          <w:sz w:val="24"/>
          <w:szCs w:val="24"/>
        </w:rPr>
      </w:pPr>
      <w:r>
        <w:rPr>
          <w:rFonts w:asciiTheme="majorBidi" w:hAnsiTheme="majorBidi" w:cstheme="majorBidi"/>
          <w:sz w:val="24"/>
          <w:szCs w:val="24"/>
        </w:rPr>
        <w:t>The result of research findings in this study are discussed around four subheadings which shows the prevailing condition of housing and neighbourhood facilities in the area as well as various environmental problems encountered.</w:t>
      </w:r>
    </w:p>
    <w:p>
      <w:pPr>
        <w:pStyle w:val="7"/>
        <w:spacing w:before="9" w:line="360" w:lineRule="auto"/>
        <w:jc w:val="both"/>
        <w:rPr>
          <w:rFonts w:asciiTheme="majorBidi" w:hAnsiTheme="majorBidi" w:cstheme="majorBidi"/>
          <w:b/>
          <w:sz w:val="24"/>
          <w:szCs w:val="24"/>
        </w:rPr>
      </w:pPr>
      <w:r>
        <w:rPr>
          <w:rFonts w:asciiTheme="majorBidi" w:hAnsiTheme="majorBidi" w:cstheme="majorBidi"/>
          <w:b/>
          <w:sz w:val="24"/>
          <w:szCs w:val="24"/>
        </w:rPr>
        <w:t>4.1</w:t>
      </w:r>
      <w:r>
        <w:rPr>
          <w:rFonts w:asciiTheme="majorBidi" w:hAnsiTheme="majorBidi" w:cstheme="majorBidi"/>
          <w:b/>
          <w:sz w:val="24"/>
          <w:szCs w:val="24"/>
        </w:rPr>
        <w:tab/>
      </w:r>
      <w:r>
        <w:rPr>
          <w:rFonts w:asciiTheme="majorBidi" w:hAnsiTheme="majorBidi" w:cstheme="majorBidi"/>
          <w:b/>
          <w:sz w:val="24"/>
          <w:szCs w:val="24"/>
        </w:rPr>
        <w:t>DATA PRESENTATION, ANALYSIS AND INTERPRETATION OF RESULTS</w:t>
      </w:r>
    </w:p>
    <w:p>
      <w:pPr>
        <w:pStyle w:val="7"/>
        <w:spacing w:line="360" w:lineRule="auto"/>
        <w:ind w:left="151" w:right="148"/>
        <w:jc w:val="both"/>
        <w:rPr>
          <w:rFonts w:asciiTheme="majorBidi" w:hAnsiTheme="majorBidi" w:cstheme="majorBidi"/>
          <w:w w:val="85"/>
          <w:sz w:val="24"/>
          <w:szCs w:val="24"/>
        </w:rPr>
      </w:pPr>
    </w:p>
    <w:p>
      <w:pPr>
        <w:spacing w:line="360" w:lineRule="auto"/>
        <w:rPr>
          <w:rFonts w:asciiTheme="majorBidi" w:hAnsiTheme="majorBidi" w:cstheme="majorBidi"/>
          <w:b/>
          <w:bCs/>
          <w:sz w:val="24"/>
          <w:szCs w:val="24"/>
        </w:rPr>
      </w:pPr>
      <w:r>
        <w:rPr>
          <w:rFonts w:asciiTheme="majorBidi" w:hAnsiTheme="majorBidi" w:cstheme="majorBidi"/>
          <w:b/>
          <w:bCs/>
          <w:sz w:val="24"/>
          <w:szCs w:val="24"/>
        </w:rPr>
        <w:t>Table 4.1.1.1: Gender Distribution</w:t>
      </w:r>
    </w:p>
    <w:tbl>
      <w:tblPr>
        <w:tblStyle w:val="16"/>
        <w:tblW w:w="91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2"/>
        <w:gridCol w:w="1832"/>
        <w:gridCol w:w="1832"/>
        <w:gridCol w:w="1827"/>
        <w:gridCol w:w="1827"/>
      </w:tblGrid>
      <w:tr>
        <w:tblPrEx>
          <w:tblLayout w:type="fixed"/>
        </w:tblPrEx>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pStyle w:val="7"/>
              <w:spacing w:line="360" w:lineRule="auto"/>
              <w:ind w:right="148"/>
              <w:jc w:val="both"/>
              <w:rPr>
                <w:rFonts w:asciiTheme="majorBidi" w:hAnsiTheme="majorBidi" w:cstheme="majorBidi"/>
                <w:b/>
                <w:color w:val="000000"/>
                <w:sz w:val="24"/>
                <w:szCs w:val="24"/>
              </w:rPr>
            </w:pPr>
            <w:r>
              <w:rPr>
                <w:rFonts w:asciiTheme="majorBidi" w:hAnsiTheme="majorBidi" w:cstheme="majorBidi"/>
                <w:b/>
                <w:color w:val="000000"/>
                <w:sz w:val="24"/>
                <w:szCs w:val="24"/>
              </w:rPr>
              <w:t>Gender</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pStyle w:val="7"/>
              <w:spacing w:line="360" w:lineRule="auto"/>
              <w:ind w:right="148"/>
              <w:jc w:val="both"/>
              <w:rPr>
                <w:rFonts w:asciiTheme="majorBidi" w:hAnsiTheme="majorBidi" w:cstheme="majorBidi"/>
                <w:b/>
                <w:color w:val="000000"/>
                <w:sz w:val="24"/>
                <w:szCs w:val="24"/>
              </w:rPr>
            </w:pPr>
            <w:r>
              <w:rPr>
                <w:rFonts w:asciiTheme="majorBidi" w:hAnsiTheme="majorBidi" w:cstheme="majorBidi"/>
                <w:b/>
                <w:color w:val="000000"/>
                <w:sz w:val="24"/>
                <w:szCs w:val="24"/>
              </w:rPr>
              <w:t>OKeoyi(n=50)</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pStyle w:val="7"/>
              <w:spacing w:line="360" w:lineRule="auto"/>
              <w:ind w:right="148"/>
              <w:jc w:val="both"/>
              <w:rPr>
                <w:rFonts w:asciiTheme="majorBidi" w:hAnsiTheme="majorBidi" w:cstheme="majorBidi"/>
                <w:b/>
                <w:color w:val="000000"/>
                <w:sz w:val="24"/>
                <w:szCs w:val="24"/>
              </w:rPr>
            </w:pPr>
            <w:r>
              <w:rPr>
                <w:rFonts w:asciiTheme="majorBidi" w:hAnsiTheme="majorBidi" w:cstheme="majorBidi"/>
                <w:b/>
                <w:color w:val="000000"/>
                <w:sz w:val="24"/>
                <w:szCs w:val="24"/>
              </w:rPr>
              <w:t>percentage</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pStyle w:val="7"/>
              <w:spacing w:line="360" w:lineRule="auto"/>
              <w:ind w:right="148"/>
              <w:jc w:val="both"/>
              <w:rPr>
                <w:rFonts w:asciiTheme="majorBidi" w:hAnsiTheme="majorBidi" w:cstheme="majorBidi"/>
                <w:b/>
                <w:color w:val="000000"/>
                <w:sz w:val="24"/>
                <w:szCs w:val="24"/>
              </w:rPr>
            </w:pPr>
            <w:r>
              <w:rPr>
                <w:rFonts w:asciiTheme="majorBidi" w:hAnsiTheme="majorBidi" w:cstheme="majorBidi"/>
                <w:b/>
                <w:color w:val="000000"/>
                <w:sz w:val="24"/>
                <w:szCs w:val="24"/>
              </w:rPr>
              <w:t>Tanke(n=50)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pStyle w:val="7"/>
              <w:spacing w:line="360" w:lineRule="auto"/>
              <w:ind w:right="148"/>
              <w:jc w:val="both"/>
              <w:rPr>
                <w:rFonts w:asciiTheme="majorBidi" w:hAnsiTheme="majorBidi" w:cstheme="majorBidi"/>
                <w:b/>
                <w:color w:val="000000"/>
                <w:sz w:val="24"/>
                <w:szCs w:val="24"/>
              </w:rPr>
            </w:pPr>
            <w:r>
              <w:rPr>
                <w:rFonts w:asciiTheme="majorBidi" w:hAnsiTheme="majorBidi" w:cstheme="majorBidi"/>
                <w:b/>
                <w:color w:val="000000"/>
                <w:sz w:val="24"/>
                <w:szCs w:val="24"/>
              </w:rPr>
              <w:t>percentage</w:t>
            </w:r>
          </w:p>
        </w:tc>
      </w:tr>
      <w:tr>
        <w:tblPrEx>
          <w:tblLayout w:type="fixed"/>
        </w:tblPrEx>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pStyle w:val="7"/>
              <w:spacing w:line="360" w:lineRule="auto"/>
              <w:ind w:right="148"/>
              <w:jc w:val="both"/>
              <w:rPr>
                <w:rFonts w:asciiTheme="majorBidi" w:hAnsiTheme="majorBidi" w:cstheme="majorBidi"/>
                <w:b/>
                <w:color w:val="000000"/>
                <w:sz w:val="24"/>
                <w:szCs w:val="24"/>
              </w:rPr>
            </w:pPr>
            <w:r>
              <w:rPr>
                <w:rFonts w:asciiTheme="majorBidi" w:hAnsiTheme="majorBidi" w:cstheme="majorBidi"/>
                <w:b/>
                <w:color w:val="000000"/>
                <w:sz w:val="24"/>
                <w:szCs w:val="24"/>
              </w:rPr>
              <w:t>Male</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pStyle w:val="7"/>
              <w:spacing w:line="360" w:lineRule="auto"/>
              <w:ind w:right="148"/>
              <w:jc w:val="both"/>
              <w:rPr>
                <w:rFonts w:asciiTheme="majorBidi" w:hAnsiTheme="majorBidi" w:cstheme="majorBidi"/>
                <w:b/>
                <w:color w:val="000000"/>
                <w:sz w:val="24"/>
                <w:szCs w:val="24"/>
              </w:rPr>
            </w:pPr>
            <w:r>
              <w:rPr>
                <w:rFonts w:asciiTheme="majorBidi" w:hAnsiTheme="majorBidi" w:cstheme="majorBidi"/>
                <w:b/>
                <w:color w:val="000000"/>
                <w:sz w:val="24"/>
                <w:szCs w:val="24"/>
              </w:rPr>
              <w:t>30</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pStyle w:val="7"/>
              <w:spacing w:line="360" w:lineRule="auto"/>
              <w:ind w:right="148"/>
              <w:jc w:val="both"/>
              <w:rPr>
                <w:rFonts w:asciiTheme="majorBidi" w:hAnsiTheme="majorBidi" w:cstheme="majorBidi"/>
                <w:b/>
                <w:color w:val="000000"/>
                <w:sz w:val="24"/>
                <w:szCs w:val="24"/>
              </w:rPr>
            </w:pPr>
            <w:r>
              <w:rPr>
                <w:rFonts w:asciiTheme="majorBidi" w:hAnsiTheme="majorBidi" w:cstheme="majorBidi"/>
                <w:b/>
                <w:color w:val="000000"/>
                <w:sz w:val="24"/>
                <w:szCs w:val="24"/>
              </w:rPr>
              <w:t>60%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pStyle w:val="7"/>
              <w:spacing w:line="360" w:lineRule="auto"/>
              <w:ind w:right="148"/>
              <w:jc w:val="both"/>
              <w:rPr>
                <w:rFonts w:asciiTheme="majorBidi" w:hAnsiTheme="majorBidi" w:cstheme="majorBidi"/>
                <w:b/>
                <w:color w:val="000000"/>
                <w:sz w:val="24"/>
                <w:szCs w:val="24"/>
              </w:rPr>
            </w:pPr>
            <w:r>
              <w:rPr>
                <w:rFonts w:asciiTheme="majorBidi" w:hAnsiTheme="majorBidi" w:cstheme="majorBidi"/>
                <w:b/>
                <w:color w:val="000000"/>
                <w:sz w:val="24"/>
                <w:szCs w:val="24"/>
              </w:rPr>
              <w:t>28</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pStyle w:val="7"/>
              <w:spacing w:line="360" w:lineRule="auto"/>
              <w:ind w:right="148"/>
              <w:jc w:val="both"/>
              <w:rPr>
                <w:rFonts w:asciiTheme="majorBidi" w:hAnsiTheme="majorBidi" w:cstheme="majorBidi"/>
                <w:b/>
                <w:color w:val="000000"/>
                <w:sz w:val="24"/>
                <w:szCs w:val="24"/>
              </w:rPr>
            </w:pPr>
            <w:r>
              <w:rPr>
                <w:rFonts w:asciiTheme="majorBidi" w:hAnsiTheme="majorBidi" w:cstheme="majorBidi"/>
                <w:b/>
                <w:color w:val="000000"/>
                <w:sz w:val="24"/>
                <w:szCs w:val="24"/>
              </w:rPr>
              <w:t>56%</w:t>
            </w:r>
          </w:p>
        </w:tc>
      </w:tr>
      <w:tr>
        <w:tblPrEx>
          <w:tblLayout w:type="fixed"/>
        </w:tblPrEx>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pStyle w:val="7"/>
              <w:spacing w:line="360" w:lineRule="auto"/>
              <w:ind w:right="148"/>
              <w:jc w:val="both"/>
              <w:rPr>
                <w:rFonts w:asciiTheme="majorBidi" w:hAnsiTheme="majorBidi" w:cstheme="majorBidi"/>
                <w:b/>
                <w:color w:val="000000"/>
                <w:sz w:val="24"/>
                <w:szCs w:val="24"/>
              </w:rPr>
            </w:pPr>
            <w:r>
              <w:rPr>
                <w:rFonts w:asciiTheme="majorBidi" w:hAnsiTheme="majorBidi" w:cstheme="majorBidi"/>
                <w:b/>
                <w:color w:val="000000"/>
                <w:sz w:val="24"/>
                <w:szCs w:val="24"/>
              </w:rPr>
              <w:t>Female</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pStyle w:val="7"/>
              <w:spacing w:line="360" w:lineRule="auto"/>
              <w:ind w:right="148"/>
              <w:jc w:val="both"/>
              <w:rPr>
                <w:rFonts w:asciiTheme="majorBidi" w:hAnsiTheme="majorBidi" w:cstheme="majorBidi"/>
                <w:b/>
                <w:color w:val="000000"/>
                <w:sz w:val="24"/>
                <w:szCs w:val="24"/>
              </w:rPr>
            </w:pPr>
            <w:r>
              <w:rPr>
                <w:rFonts w:asciiTheme="majorBidi" w:hAnsiTheme="majorBidi" w:cstheme="majorBidi"/>
                <w:b/>
                <w:color w:val="000000"/>
                <w:sz w:val="24"/>
                <w:szCs w:val="24"/>
              </w:rPr>
              <w:t>20</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pStyle w:val="7"/>
              <w:spacing w:line="360" w:lineRule="auto"/>
              <w:ind w:right="148"/>
              <w:jc w:val="both"/>
              <w:rPr>
                <w:rFonts w:asciiTheme="majorBidi" w:hAnsiTheme="majorBidi" w:cstheme="majorBidi"/>
                <w:b/>
                <w:color w:val="000000"/>
                <w:sz w:val="24"/>
                <w:szCs w:val="24"/>
              </w:rPr>
            </w:pPr>
            <w:r>
              <w:rPr>
                <w:rFonts w:asciiTheme="majorBidi" w:hAnsiTheme="majorBidi" w:cstheme="majorBidi"/>
                <w:b/>
                <w:color w:val="000000"/>
                <w:sz w:val="24"/>
                <w:szCs w:val="24"/>
              </w:rPr>
              <w:t>40%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pStyle w:val="7"/>
              <w:spacing w:line="360" w:lineRule="auto"/>
              <w:ind w:right="148"/>
              <w:jc w:val="both"/>
              <w:rPr>
                <w:rFonts w:asciiTheme="majorBidi" w:hAnsiTheme="majorBidi" w:cstheme="majorBidi"/>
                <w:b/>
                <w:color w:val="000000"/>
                <w:sz w:val="24"/>
                <w:szCs w:val="24"/>
              </w:rPr>
            </w:pPr>
            <w:r>
              <w:rPr>
                <w:rFonts w:asciiTheme="majorBidi" w:hAnsiTheme="majorBidi" w:cstheme="majorBidi"/>
                <w:b/>
                <w:color w:val="000000"/>
                <w:sz w:val="24"/>
                <w:szCs w:val="24"/>
              </w:rPr>
              <w:t>22</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pStyle w:val="7"/>
              <w:spacing w:line="360" w:lineRule="auto"/>
              <w:ind w:right="148"/>
              <w:rPr>
                <w:rFonts w:asciiTheme="majorBidi" w:hAnsiTheme="majorBidi" w:cstheme="majorBidi"/>
                <w:b/>
                <w:color w:val="000000"/>
                <w:sz w:val="24"/>
                <w:szCs w:val="24"/>
              </w:rPr>
            </w:pPr>
            <w:r>
              <w:rPr>
                <w:rFonts w:asciiTheme="majorBidi" w:hAnsiTheme="majorBidi" w:cstheme="majorBidi"/>
                <w:b/>
                <w:color w:val="000000"/>
                <w:sz w:val="24"/>
                <w:szCs w:val="24"/>
              </w:rPr>
              <w:t>44%</w:t>
            </w:r>
          </w:p>
        </w:tc>
      </w:tr>
      <w:tr>
        <w:tblPrEx>
          <w:tblLayout w:type="fixed"/>
        </w:tblPrEx>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pStyle w:val="7"/>
              <w:spacing w:line="360" w:lineRule="auto"/>
              <w:ind w:right="148"/>
              <w:jc w:val="both"/>
              <w:rPr>
                <w:rFonts w:asciiTheme="majorBidi" w:hAnsiTheme="majorBidi" w:cstheme="majorBidi"/>
                <w:b/>
                <w:color w:val="000000"/>
                <w:sz w:val="24"/>
                <w:szCs w:val="24"/>
              </w:rPr>
            </w:pPr>
            <w:r>
              <w:rPr>
                <w:rFonts w:asciiTheme="majorBidi" w:hAnsiTheme="majorBidi" w:cstheme="majorBidi"/>
                <w:b/>
                <w:color w:val="000000"/>
                <w:sz w:val="24"/>
                <w:szCs w:val="24"/>
              </w:rPr>
              <w:t xml:space="preserve">Total </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pStyle w:val="7"/>
              <w:spacing w:line="360" w:lineRule="auto"/>
              <w:ind w:right="148"/>
              <w:jc w:val="both"/>
              <w:rPr>
                <w:rFonts w:asciiTheme="majorBidi" w:hAnsiTheme="majorBidi" w:cstheme="majorBidi"/>
                <w:b/>
                <w:color w:val="000000"/>
                <w:sz w:val="24"/>
                <w:szCs w:val="24"/>
              </w:rPr>
            </w:pPr>
            <w:r>
              <w:rPr>
                <w:rFonts w:asciiTheme="majorBidi" w:hAnsiTheme="majorBidi" w:cstheme="majorBidi"/>
                <w:b/>
                <w:color w:val="000000"/>
                <w:sz w:val="24"/>
                <w:szCs w:val="24"/>
              </w:rPr>
              <w:t>50</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pStyle w:val="7"/>
              <w:spacing w:line="360" w:lineRule="auto"/>
              <w:ind w:right="148"/>
              <w:jc w:val="both"/>
              <w:rPr>
                <w:rFonts w:asciiTheme="majorBidi" w:hAnsiTheme="majorBidi" w:cstheme="majorBidi"/>
                <w:b/>
                <w:color w:val="000000"/>
                <w:sz w:val="24"/>
                <w:szCs w:val="24"/>
              </w:rPr>
            </w:pPr>
            <w:r>
              <w:rPr>
                <w:rFonts w:asciiTheme="majorBidi" w:hAnsiTheme="majorBidi" w:cstheme="majorBidi"/>
                <w:b/>
                <w:color w:val="000000"/>
                <w:sz w:val="24"/>
                <w:szCs w:val="24"/>
              </w:rPr>
              <w:t>100%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pStyle w:val="7"/>
              <w:spacing w:line="360" w:lineRule="auto"/>
              <w:ind w:right="148"/>
              <w:jc w:val="both"/>
              <w:rPr>
                <w:rFonts w:asciiTheme="majorBidi" w:hAnsiTheme="majorBidi" w:cstheme="majorBidi"/>
                <w:b/>
                <w:color w:val="000000"/>
                <w:sz w:val="24"/>
                <w:szCs w:val="24"/>
              </w:rPr>
            </w:pPr>
            <w:r>
              <w:rPr>
                <w:rFonts w:asciiTheme="majorBidi" w:hAnsiTheme="majorBidi" w:cstheme="majorBidi"/>
                <w:b/>
                <w:color w:val="000000"/>
                <w:sz w:val="24"/>
                <w:szCs w:val="24"/>
              </w:rPr>
              <w:t>50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pStyle w:val="7"/>
              <w:spacing w:line="360" w:lineRule="auto"/>
              <w:ind w:right="148"/>
              <w:jc w:val="both"/>
              <w:rPr>
                <w:rFonts w:asciiTheme="majorBidi" w:hAnsiTheme="majorBidi" w:cstheme="majorBidi"/>
                <w:b/>
                <w:color w:val="000000"/>
                <w:sz w:val="24"/>
                <w:szCs w:val="24"/>
              </w:rPr>
            </w:pPr>
            <w:r>
              <w:rPr>
                <w:rFonts w:asciiTheme="majorBidi" w:hAnsiTheme="majorBidi" w:cstheme="majorBidi"/>
                <w:b/>
                <w:color w:val="000000"/>
                <w:sz w:val="24"/>
                <w:szCs w:val="24"/>
              </w:rPr>
              <w:t>100%</w:t>
            </w:r>
          </w:p>
        </w:tc>
      </w:tr>
    </w:tbl>
    <w:p>
      <w:pPr>
        <w:pStyle w:val="7"/>
        <w:spacing w:line="360" w:lineRule="auto"/>
        <w:ind w:right="148"/>
        <w:jc w:val="both"/>
        <w:rPr>
          <w:rFonts w:asciiTheme="majorBidi" w:hAnsiTheme="majorBidi" w:cstheme="majorBidi"/>
          <w:b/>
          <w:color w:val="000000"/>
          <w:sz w:val="24"/>
          <w:szCs w:val="24"/>
        </w:rPr>
      </w:pPr>
      <w:r>
        <w:rPr>
          <w:rFonts w:asciiTheme="majorBidi" w:hAnsiTheme="majorBidi" w:cstheme="majorBidi"/>
          <w:b/>
          <w:color w:val="000000"/>
          <w:sz w:val="24"/>
          <w:szCs w:val="24"/>
        </w:rPr>
        <w:t>Source:field survey 20225</w:t>
      </w:r>
    </w:p>
    <w:p>
      <w:pPr>
        <w:pStyle w:val="7"/>
        <w:spacing w:line="360" w:lineRule="auto"/>
        <w:ind w:right="148"/>
        <w:jc w:val="both"/>
        <w:rPr>
          <w:rFonts w:asciiTheme="majorBidi" w:hAnsiTheme="majorBidi" w:cstheme="majorBidi"/>
          <w:b/>
          <w:color w:val="000000"/>
          <w:sz w:val="24"/>
          <w:szCs w:val="24"/>
        </w:rPr>
      </w:pPr>
      <w:r>
        <w:rPr>
          <w:rFonts w:asciiTheme="majorBidi" w:hAnsiTheme="majorBidi" w:cstheme="majorBidi"/>
          <w:b/>
          <w:color w:val="000000"/>
          <w:sz w:val="24"/>
          <w:szCs w:val="24"/>
        </w:rPr>
        <w:t>Interpretation:</w:t>
      </w:r>
    </w:p>
    <w:p>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The gender distribution in both Oke-Oyi and Tanke shows a slight male dominance. Oke-Oyi has 60% male and 40% female respondents, while Tanke has 56% male and 44% female. This indicates that men are slightly more active in housing or household decision-making, especially in semi-urban settings. The near gender balance in Tanke suggests inclusiveness and participation across both sexes in urban housing activities.</w:t>
      </w:r>
    </w:p>
    <w:p>
      <w:pPr>
        <w:spacing w:line="360" w:lineRule="auto"/>
        <w:jc w:val="both"/>
        <w:rPr>
          <w:rFonts w:asciiTheme="majorBidi" w:hAnsiTheme="majorBidi" w:cstheme="majorBidi"/>
          <w:sz w:val="24"/>
          <w:szCs w:val="24"/>
        </w:rPr>
      </w:pPr>
      <w:r>
        <w:rPr>
          <w:rFonts w:asciiTheme="majorBidi" w:hAnsiTheme="majorBidi" w:cstheme="majorBidi"/>
          <w:b/>
          <w:bCs/>
          <w:sz w:val="24"/>
          <w:szCs w:val="24"/>
        </w:rPr>
        <w:t>Table 4.1.1.2: Age Distribution</w:t>
      </w:r>
    </w:p>
    <w:tbl>
      <w:tblPr>
        <w:tblStyle w:val="16"/>
        <w:tblW w:w="91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2"/>
        <w:gridCol w:w="1832"/>
        <w:gridCol w:w="1832"/>
        <w:gridCol w:w="1827"/>
        <w:gridCol w:w="1827"/>
      </w:tblGrid>
      <w:tr>
        <w:tblPrEx>
          <w:tblLayout w:type="fixed"/>
        </w:tblPrEx>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Age group</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okeoyi(n=50)</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percentage</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Tanke (n=50)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 xml:space="preserve">Percentage </w:t>
            </w:r>
          </w:p>
        </w:tc>
      </w:tr>
      <w:tr>
        <w:tblPrEx>
          <w:tblLayout w:type="fixed"/>
        </w:tblPrEx>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18-30years</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12</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24%</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18</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36%</w:t>
            </w:r>
          </w:p>
        </w:tc>
      </w:tr>
      <w:tr>
        <w:tblPrEx>
          <w:tblLayout w:type="fixed"/>
        </w:tblPrEx>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31-50years</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28</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56%</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25</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50%</w:t>
            </w:r>
          </w:p>
        </w:tc>
      </w:tr>
      <w:tr>
        <w:tblPrEx>
          <w:tblLayout w:type="fixed"/>
        </w:tblPrEx>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51+year</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10</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20%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7</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14%</w:t>
            </w:r>
          </w:p>
        </w:tc>
      </w:tr>
      <w:tr>
        <w:tblPrEx>
          <w:tblLayout w:type="fixed"/>
        </w:tblPrEx>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 xml:space="preserve">Total </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50</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100%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50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100%</w:t>
            </w:r>
          </w:p>
        </w:tc>
      </w:tr>
    </w:tbl>
    <w:p>
      <w:pPr>
        <w:pStyle w:val="7"/>
        <w:spacing w:line="360" w:lineRule="auto"/>
        <w:ind w:right="148"/>
        <w:jc w:val="both"/>
        <w:rPr>
          <w:rFonts w:asciiTheme="majorBidi" w:hAnsiTheme="majorBidi" w:cstheme="majorBidi"/>
          <w:b/>
          <w:color w:val="000000"/>
          <w:sz w:val="24"/>
          <w:szCs w:val="24"/>
        </w:rPr>
      </w:pPr>
      <w:r>
        <w:rPr>
          <w:rFonts w:asciiTheme="majorBidi" w:hAnsiTheme="majorBidi" w:cstheme="majorBidi"/>
          <w:b/>
          <w:color w:val="000000"/>
          <w:sz w:val="24"/>
          <w:szCs w:val="24"/>
        </w:rPr>
        <w:t>source:field survey 20225</w:t>
      </w:r>
    </w:p>
    <w:p>
      <w:pPr>
        <w:spacing w:line="360" w:lineRule="auto"/>
        <w:rPr>
          <w:rFonts w:asciiTheme="majorBidi" w:hAnsiTheme="majorBidi" w:cstheme="majorBidi"/>
          <w:sz w:val="24"/>
          <w:szCs w:val="24"/>
        </w:rPr>
      </w:pPr>
      <w:r>
        <w:rPr>
          <w:rFonts w:asciiTheme="majorBidi" w:hAnsiTheme="majorBidi" w:cstheme="majorBidi"/>
          <w:sz w:val="24"/>
          <w:szCs w:val="24"/>
        </w:rPr>
        <w:t>Interpretation:</w:t>
      </w:r>
    </w:p>
    <w:p>
      <w:pPr>
        <w:spacing w:line="360" w:lineRule="auto"/>
        <w:rPr>
          <w:rFonts w:asciiTheme="majorBidi" w:hAnsiTheme="majorBidi" w:cstheme="majorBidi"/>
          <w:sz w:val="24"/>
          <w:szCs w:val="24"/>
        </w:rPr>
      </w:pPr>
      <w:r>
        <w:rPr>
          <w:rFonts w:asciiTheme="majorBidi" w:hAnsiTheme="majorBidi" w:cstheme="majorBidi"/>
          <w:sz w:val="24"/>
          <w:szCs w:val="24"/>
        </w:rPr>
        <w:t>In Tanke, the majority of respondents fall within the 18-30 age group, indicating a youthful population-likely</w:t>
      </w:r>
    </w:p>
    <w:p>
      <w:pPr>
        <w:spacing w:line="360" w:lineRule="auto"/>
        <w:rPr>
          <w:rFonts w:asciiTheme="majorBidi" w:hAnsiTheme="majorBidi" w:cstheme="majorBidi"/>
          <w:sz w:val="24"/>
          <w:szCs w:val="24"/>
        </w:rPr>
      </w:pPr>
      <w:r>
        <w:rPr>
          <w:rFonts w:asciiTheme="majorBidi" w:hAnsiTheme="majorBidi" w:cstheme="majorBidi"/>
          <w:sz w:val="24"/>
          <w:szCs w:val="24"/>
        </w:rPr>
        <w:t>due to the presence of institutions like the University of llorin and proximity to job opportunities. In contrast, Oke-Oyi displays a more balanced age distribution across 31-50 years, reflecting a more settled, family-oriented population. This difference affects housing demand, with Tanke experiencing more demand for compact rental units and Oke-Oyi for family dwellings.</w:t>
      </w:r>
    </w:p>
    <w:p>
      <w:pPr>
        <w:spacing w:line="360" w:lineRule="auto"/>
        <w:rPr>
          <w:rFonts w:asciiTheme="majorBidi" w:hAnsiTheme="majorBidi" w:cstheme="majorBidi"/>
          <w:sz w:val="24"/>
          <w:szCs w:val="24"/>
        </w:rPr>
      </w:pPr>
      <w:r>
        <w:rPr>
          <w:rFonts w:asciiTheme="majorBidi" w:hAnsiTheme="majorBidi" w:cstheme="majorBidi"/>
          <w:b/>
          <w:bCs/>
          <w:sz w:val="24"/>
          <w:szCs w:val="24"/>
        </w:rPr>
        <w:t>.Table 4.1.1.3: Educational Qualification</w:t>
      </w:r>
    </w:p>
    <w:tbl>
      <w:tblPr>
        <w:tblStyle w:val="16"/>
        <w:tblW w:w="91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2"/>
        <w:gridCol w:w="1832"/>
        <w:gridCol w:w="1832"/>
        <w:gridCol w:w="1827"/>
        <w:gridCol w:w="1827"/>
      </w:tblGrid>
      <w:tr>
        <w:tblPrEx>
          <w:tblLayout w:type="fixed"/>
        </w:tblPrEx>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educat</w:t>
            </w:r>
            <w:r>
              <w:rPr>
                <w:rFonts w:asciiTheme="majorBidi" w:hAnsiTheme="majorBidi" w:cstheme="majorBidi"/>
                <w:b/>
                <w:color w:val="000000"/>
                <w:sz w:val="24"/>
                <w:szCs w:val="24"/>
              </w:rPr>
              <w:t>ion</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okeoyi(n=50)</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percentage</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Tanke(n=50)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percentage</w:t>
            </w:r>
          </w:p>
        </w:tc>
      </w:tr>
      <w:tr>
        <w:tblPrEx>
          <w:tblLayout w:type="fixed"/>
        </w:tblPrEx>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secondary</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14</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28%</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9</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18%</w:t>
            </w:r>
          </w:p>
        </w:tc>
      </w:tr>
      <w:tr>
        <w:tblPrEx>
          <w:tblLayout w:type="fixed"/>
        </w:tblPrEx>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 xml:space="preserve">Tertiary </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36</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72%</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41</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82%</w:t>
            </w:r>
          </w:p>
        </w:tc>
      </w:tr>
      <w:tr>
        <w:tblPrEx>
          <w:tblLayout w:type="fixed"/>
        </w:tblPrEx>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 xml:space="preserve">Total </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50</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100%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50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100%</w:t>
            </w:r>
          </w:p>
        </w:tc>
      </w:tr>
    </w:tbl>
    <w:p>
      <w:pPr>
        <w:spacing w:line="360" w:lineRule="auto"/>
        <w:rPr>
          <w:rFonts w:asciiTheme="majorBidi" w:hAnsiTheme="majorBidi" w:cstheme="majorBidi"/>
          <w:color w:val="000000"/>
          <w:sz w:val="24"/>
          <w:szCs w:val="24"/>
        </w:rPr>
      </w:pPr>
      <w:r>
        <w:rPr>
          <w:rFonts w:asciiTheme="majorBidi" w:hAnsiTheme="majorBidi" w:cstheme="majorBidi"/>
          <w:b/>
          <w:color w:val="000000"/>
          <w:sz w:val="24"/>
          <w:szCs w:val="24"/>
        </w:rPr>
        <w:t>source:field survey 20225</w:t>
      </w:r>
    </w:p>
    <w:p>
      <w:pPr>
        <w:spacing w:line="360" w:lineRule="auto"/>
        <w:rPr>
          <w:rFonts w:asciiTheme="majorBidi" w:hAnsiTheme="majorBidi" w:cstheme="majorBidi"/>
          <w:sz w:val="24"/>
          <w:szCs w:val="24"/>
        </w:rPr>
      </w:pPr>
      <w:r>
        <w:rPr>
          <w:rFonts w:asciiTheme="majorBidi" w:hAnsiTheme="majorBidi" w:cstheme="majorBidi"/>
          <w:sz w:val="24"/>
          <w:szCs w:val="24"/>
        </w:rPr>
        <w:t>Interpretation:</w:t>
      </w:r>
    </w:p>
    <w:p>
      <w:pPr>
        <w:spacing w:line="360" w:lineRule="auto"/>
        <w:rPr>
          <w:rFonts w:asciiTheme="majorBidi" w:hAnsiTheme="majorBidi" w:cstheme="majorBidi"/>
          <w:sz w:val="24"/>
          <w:szCs w:val="24"/>
        </w:rPr>
      </w:pPr>
      <w:r>
        <w:rPr>
          <w:rFonts w:asciiTheme="majorBidi" w:hAnsiTheme="majorBidi" w:cstheme="majorBidi"/>
          <w:sz w:val="24"/>
          <w:szCs w:val="24"/>
        </w:rPr>
        <w:t>A large majority of respondents in both areas have tertiary education, especially in Tanke (82%). This could influence expectations for better housing quality and awareness of property value determinants.</w:t>
      </w:r>
    </w:p>
    <w:p>
      <w:pPr>
        <w:spacing w:line="360" w:lineRule="auto"/>
        <w:rPr>
          <w:rFonts w:asciiTheme="majorBidi" w:hAnsiTheme="majorBidi" w:cstheme="majorBidi"/>
          <w:sz w:val="24"/>
          <w:szCs w:val="24"/>
        </w:rPr>
      </w:pPr>
      <w:r>
        <w:rPr>
          <w:rFonts w:asciiTheme="majorBidi" w:hAnsiTheme="majorBidi" w:cstheme="majorBidi"/>
          <w:sz w:val="24"/>
          <w:szCs w:val="24"/>
        </w:rPr>
        <w:t>Tanke has a predominantly educated population, with 96% holding tertiary education, confirming its urban profile and influence of higher institutions in the area. Oke-Oyi shows a broader mix, with more respondents having secondary and primary education. Educational background is important as it often influences income levels, housing expectations, and awareness of value factors.</w:t>
      </w:r>
    </w:p>
    <w:p>
      <w:pPr>
        <w:spacing w:line="360" w:lineRule="auto"/>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Table 4.1.</w:t>
      </w:r>
      <w:r>
        <w:rPr>
          <w:rFonts w:asciiTheme="majorBidi" w:hAnsiTheme="majorBidi" w:cstheme="majorBidi"/>
          <w:b/>
          <w:bCs/>
          <w:color w:val="000000" w:themeColor="text1"/>
          <w:sz w:val="24"/>
          <w:szCs w:val="24"/>
        </w:rPr>
        <w:t>1.4: Marital Status</w:t>
      </w:r>
    </w:p>
    <w:tbl>
      <w:tblPr>
        <w:tblStyle w:val="16"/>
        <w:tblW w:w="91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2"/>
        <w:gridCol w:w="1832"/>
        <w:gridCol w:w="1832"/>
        <w:gridCol w:w="1827"/>
        <w:gridCol w:w="1827"/>
      </w:tblGrid>
      <w:tr>
        <w:tblPrEx>
          <w:tblLayout w:type="fixed"/>
        </w:tblPrEx>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 xml:space="preserve">marital status </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okeoyi(n=50)</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Percentage</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Tanke(n=50)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percentage</w:t>
            </w:r>
          </w:p>
        </w:tc>
      </w:tr>
      <w:tr>
        <w:tblPrEx>
          <w:tblLayout w:type="fixed"/>
        </w:tblPrEx>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married</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35</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70%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30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60%</w:t>
            </w:r>
          </w:p>
        </w:tc>
      </w:tr>
      <w:tr>
        <w:tblPrEx>
          <w:tblLayout w:type="fixed"/>
        </w:tblPrEx>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Single</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15</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30%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20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40%</w:t>
            </w:r>
          </w:p>
        </w:tc>
      </w:tr>
      <w:tr>
        <w:tblPrEx>
          <w:tblLayout w:type="fixed"/>
        </w:tblPrEx>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 xml:space="preserve">Total </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50</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100%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50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100%</w:t>
            </w:r>
          </w:p>
        </w:tc>
      </w:tr>
    </w:tbl>
    <w:p>
      <w:pPr>
        <w:spacing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source:field survey 20225</w:t>
      </w:r>
    </w:p>
    <w:p>
      <w:pPr>
        <w:spacing w:line="360" w:lineRule="auto"/>
        <w:rPr>
          <w:rFonts w:asciiTheme="majorBidi" w:hAnsiTheme="majorBidi" w:cstheme="majorBidi"/>
          <w:sz w:val="24"/>
          <w:szCs w:val="24"/>
        </w:rPr>
      </w:pPr>
      <w:r>
        <w:rPr>
          <w:rFonts w:asciiTheme="majorBidi" w:hAnsiTheme="majorBidi" w:cstheme="majorBidi"/>
          <w:sz w:val="24"/>
          <w:szCs w:val="24"/>
        </w:rPr>
        <w:t>Interpretation:</w:t>
      </w:r>
    </w:p>
    <w:p>
      <w:pPr>
        <w:spacing w:line="360" w:lineRule="auto"/>
        <w:rPr>
          <w:rFonts w:asciiTheme="majorBidi" w:hAnsiTheme="majorBidi" w:cstheme="majorBidi"/>
          <w:sz w:val="24"/>
          <w:szCs w:val="24"/>
        </w:rPr>
      </w:pPr>
      <w:r>
        <w:rPr>
          <w:rFonts w:asciiTheme="majorBidi" w:hAnsiTheme="majorBidi" w:cstheme="majorBidi"/>
          <w:sz w:val="24"/>
          <w:szCs w:val="24"/>
        </w:rPr>
        <w:t>Most respondents are married in both locations. Oke-Oyi has a higher proportion of married individuals, possibly reflecting longer-term residential stability or family-focused settlement patterns.</w:t>
      </w:r>
    </w:p>
    <w:p>
      <w:pPr>
        <w:spacing w:line="360" w:lineRule="auto"/>
        <w:rPr>
          <w:rFonts w:asciiTheme="majorBidi" w:hAnsiTheme="majorBidi" w:cstheme="majorBidi"/>
          <w:sz w:val="24"/>
          <w:szCs w:val="24"/>
        </w:rPr>
      </w:pPr>
      <w:r>
        <w:rPr>
          <w:rFonts w:asciiTheme="majorBidi" w:hAnsiTheme="majorBidi" w:cstheme="majorBidi"/>
          <w:sz w:val="24"/>
          <w:szCs w:val="24"/>
        </w:rPr>
        <w:t>Oke-Oyi has more married respondents compared to Tanke, which has a higher number of single individuals.</w:t>
      </w:r>
    </w:p>
    <w:p>
      <w:pPr>
        <w:spacing w:line="360" w:lineRule="auto"/>
        <w:rPr>
          <w:rFonts w:asciiTheme="majorBidi" w:hAnsiTheme="majorBidi" w:cstheme="majorBidi"/>
          <w:sz w:val="24"/>
          <w:szCs w:val="24"/>
        </w:rPr>
      </w:pPr>
      <w:r>
        <w:rPr>
          <w:rFonts w:asciiTheme="majorBidi" w:hAnsiTheme="majorBidi" w:cstheme="majorBidi"/>
          <w:sz w:val="24"/>
          <w:szCs w:val="24"/>
        </w:rPr>
        <w:t>This marital status pattern aligns with the age distribution. Tanke's young, single residents point to short-term residency and active rental markets, while Oke-Oyi's married residents reflect a longer-term residential pattern and more permanent housing needs.</w:t>
      </w:r>
    </w:p>
    <w:p>
      <w:pPr>
        <w:spacing w:line="360" w:lineRule="auto"/>
        <w:rPr>
          <w:rFonts w:asciiTheme="majorBidi" w:hAnsiTheme="majorBidi" w:cstheme="majorBidi"/>
          <w:b/>
          <w:bCs/>
          <w:sz w:val="24"/>
          <w:szCs w:val="24"/>
        </w:rPr>
      </w:pPr>
      <w:r>
        <w:rPr>
          <w:rFonts w:asciiTheme="majorBidi" w:hAnsiTheme="majorBidi" w:cstheme="majorBidi"/>
          <w:b/>
          <w:bCs/>
          <w:sz w:val="24"/>
          <w:szCs w:val="24"/>
        </w:rPr>
        <w:t>Table 4.1.2 – Condition of Houses and Building Materials</w:t>
      </w:r>
    </w:p>
    <w:p>
      <w:pPr>
        <w:spacing w:line="360" w:lineRule="auto"/>
        <w:rPr>
          <w:rFonts w:asciiTheme="majorBidi" w:hAnsiTheme="majorBidi" w:cstheme="majorBidi"/>
          <w:b/>
          <w:bCs/>
          <w:sz w:val="24"/>
          <w:szCs w:val="24"/>
        </w:rPr>
      </w:pPr>
      <w:r>
        <w:rPr>
          <w:rFonts w:asciiTheme="majorBidi" w:hAnsiTheme="majorBidi" w:cstheme="majorBidi"/>
          <w:b/>
          <w:bCs/>
          <w:sz w:val="24"/>
          <w:szCs w:val="24"/>
        </w:rPr>
        <w:t>4.1.2.1: Walling Materials</w:t>
      </w:r>
    </w:p>
    <w:tbl>
      <w:tblPr>
        <w:tblStyle w:val="16"/>
        <w:tblW w:w="9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8"/>
        <w:gridCol w:w="3048"/>
        <w:gridCol w:w="3048"/>
      </w:tblGrid>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material Type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okeoyi percentage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Tanke percentage </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sand create Block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70%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80%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Mud Bricks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30%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Total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100%</w:t>
            </w:r>
          </w:p>
        </w:tc>
      </w:tr>
    </w:tbl>
    <w:p>
      <w:pPr>
        <w:spacing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source:field survey 20225</w:t>
      </w:r>
    </w:p>
    <w:p>
      <w:pPr>
        <w:spacing w:line="360" w:lineRule="auto"/>
        <w:rPr>
          <w:rFonts w:asciiTheme="majorBidi" w:hAnsiTheme="majorBidi" w:cstheme="majorBidi"/>
          <w:sz w:val="24"/>
          <w:szCs w:val="24"/>
        </w:rPr>
      </w:pPr>
      <w:r>
        <w:rPr>
          <w:rFonts w:asciiTheme="majorBidi" w:hAnsiTheme="majorBidi" w:cstheme="majorBidi"/>
          <w:sz w:val="24"/>
          <w:szCs w:val="24"/>
        </w:rPr>
        <w:t>Interpretation:</w:t>
      </w:r>
    </w:p>
    <w:p>
      <w:pPr>
        <w:spacing w:line="360" w:lineRule="auto"/>
        <w:rPr>
          <w:rFonts w:asciiTheme="majorBidi" w:hAnsiTheme="majorBidi" w:cstheme="majorBidi"/>
          <w:sz w:val="24"/>
          <w:szCs w:val="24"/>
        </w:rPr>
      </w:pPr>
    </w:p>
    <w:p>
      <w:pPr>
        <w:spacing w:line="360" w:lineRule="auto"/>
        <w:rPr>
          <w:rFonts w:asciiTheme="majorBidi" w:hAnsiTheme="majorBidi" w:cstheme="majorBidi"/>
          <w:sz w:val="24"/>
          <w:szCs w:val="24"/>
        </w:rPr>
      </w:pPr>
      <w:r>
        <w:rPr>
          <w:rFonts w:asciiTheme="majorBidi" w:hAnsiTheme="majorBidi" w:cstheme="majorBidi"/>
          <w:sz w:val="24"/>
          <w:szCs w:val="24"/>
        </w:rPr>
        <w:t>The majority of buildings in both areas use sandcrete blocks, which are the standard for durability. However, 10% of respondents in Oke-Oyi still reported the use of mud bricks, indicating a mix of traditional and modern structures. Tanke, being fully urbanized, relies exclusively on sandcrete, reflecting higher structural standards.</w:t>
      </w:r>
    </w:p>
    <w:p>
      <w:pPr>
        <w:spacing w:line="360" w:lineRule="auto"/>
        <w:rPr>
          <w:rFonts w:asciiTheme="majorBidi" w:hAnsiTheme="majorBidi" w:cstheme="majorBidi"/>
          <w:b/>
          <w:bCs/>
          <w:sz w:val="24"/>
          <w:szCs w:val="24"/>
        </w:rPr>
      </w:pPr>
      <w:r>
        <w:rPr>
          <w:rFonts w:asciiTheme="majorBidi" w:hAnsiTheme="majorBidi" w:cstheme="majorBidi"/>
          <w:b/>
          <w:bCs/>
          <w:sz w:val="24"/>
          <w:szCs w:val="24"/>
        </w:rPr>
        <w:t>Table 4.1.2.2: Floor Materials</w:t>
      </w:r>
    </w:p>
    <w:tbl>
      <w:tblPr>
        <w:tblStyle w:val="16"/>
        <w:tblW w:w="9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8"/>
        <w:gridCol w:w="3048"/>
        <w:gridCol w:w="3048"/>
      </w:tblGrid>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Material Type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Okeoyi percentage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Tanke percentage </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Concrete Floor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85%</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90%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Earthen Floor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15%</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Total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100%</w:t>
            </w:r>
          </w:p>
        </w:tc>
      </w:tr>
    </w:tbl>
    <w:p>
      <w:pPr>
        <w:spacing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source:field survey 20225</w:t>
      </w:r>
    </w:p>
    <w:p>
      <w:pPr>
        <w:spacing w:line="360" w:lineRule="auto"/>
        <w:rPr>
          <w:rFonts w:asciiTheme="majorBidi" w:hAnsiTheme="majorBidi" w:cstheme="majorBidi"/>
          <w:sz w:val="24"/>
          <w:szCs w:val="24"/>
        </w:rPr>
      </w:pPr>
      <w:r>
        <w:rPr>
          <w:rFonts w:asciiTheme="majorBidi" w:hAnsiTheme="majorBidi" w:cstheme="majorBidi"/>
          <w:sz w:val="24"/>
          <w:szCs w:val="24"/>
        </w:rPr>
        <w:t>Interpretation:</w:t>
      </w:r>
    </w:p>
    <w:p>
      <w:pPr>
        <w:spacing w:line="360" w:lineRule="auto"/>
        <w:rPr>
          <w:rFonts w:asciiTheme="majorBidi" w:hAnsiTheme="majorBidi" w:cstheme="majorBidi"/>
          <w:sz w:val="24"/>
          <w:szCs w:val="24"/>
        </w:rPr>
      </w:pPr>
      <w:r>
        <w:rPr>
          <w:rFonts w:asciiTheme="majorBidi" w:hAnsiTheme="majorBidi" w:cstheme="majorBidi"/>
          <w:sz w:val="24"/>
          <w:szCs w:val="24"/>
        </w:rPr>
        <w:t>Tanke residents uniformly use concrete floors, showing modern construction and structural integrity. Oke-Oyi, with 15% earthen flooring, still hosts buildings that may lack solid foundations or reflect lower-income housing, which negatively affects property value.</w:t>
      </w:r>
    </w:p>
    <w:p>
      <w:pPr>
        <w:spacing w:line="360" w:lineRule="auto"/>
        <w:rPr>
          <w:rFonts w:asciiTheme="majorBidi" w:hAnsiTheme="majorBidi" w:cstheme="majorBidi"/>
          <w:b/>
          <w:bCs/>
          <w:sz w:val="24"/>
          <w:szCs w:val="24"/>
        </w:rPr>
      </w:pPr>
      <w:r>
        <w:rPr>
          <w:rFonts w:asciiTheme="majorBidi" w:hAnsiTheme="majorBidi" w:cstheme="majorBidi"/>
          <w:b/>
          <w:bCs/>
          <w:sz w:val="24"/>
          <w:szCs w:val="24"/>
        </w:rPr>
        <w:t>Table 4.1.2.3: Roofing Materials</w:t>
      </w:r>
    </w:p>
    <w:tbl>
      <w:tblPr>
        <w:tblStyle w:val="16"/>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0"/>
        <w:gridCol w:w="2642"/>
        <w:gridCol w:w="2693"/>
      </w:tblGrid>
      <w:tr>
        <w:tblPrEx>
          <w:tblLayout w:type="fixed"/>
        </w:tblPrEx>
        <w:trPr>
          <w:trHeight w:val="613" w:hRule="atLeast"/>
        </w:trPr>
        <w:tc>
          <w:tcPr>
            <w:tcW w:w="342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Materials Type </w:t>
            </w:r>
          </w:p>
        </w:tc>
        <w:tc>
          <w:tcPr>
            <w:tcW w:w="264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OkeOyi percentage </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Tanke percentage </w:t>
            </w:r>
          </w:p>
        </w:tc>
      </w:tr>
      <w:tr>
        <w:tblPrEx>
          <w:tblLayout w:type="fixed"/>
        </w:tblPrEx>
        <w:trPr>
          <w:trHeight w:val="840" w:hRule="atLeast"/>
        </w:trPr>
        <w:tc>
          <w:tcPr>
            <w:tcW w:w="342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Corrugated Iron Sheet </w:t>
            </w:r>
          </w:p>
        </w:tc>
        <w:tc>
          <w:tcPr>
            <w:tcW w:w="264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60%</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w:t>
            </w:r>
          </w:p>
        </w:tc>
      </w:tr>
      <w:tr>
        <w:tblPrEx>
          <w:tblLayout w:type="fixed"/>
        </w:tblPrEx>
        <w:trPr>
          <w:trHeight w:val="540" w:hRule="atLeast"/>
        </w:trPr>
        <w:tc>
          <w:tcPr>
            <w:tcW w:w="342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Aluminum Roofing Sheet</w:t>
            </w:r>
          </w:p>
        </w:tc>
        <w:tc>
          <w:tcPr>
            <w:tcW w:w="264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40%</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60%</w:t>
            </w:r>
          </w:p>
        </w:tc>
      </w:tr>
      <w:tr>
        <w:tblPrEx>
          <w:tblLayout w:type="fixed"/>
        </w:tblPrEx>
        <w:trPr>
          <w:trHeight w:val="416" w:hRule="atLeast"/>
        </w:trPr>
        <w:tc>
          <w:tcPr>
            <w:tcW w:w="342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Stone-Coated Roofing </w:t>
            </w:r>
          </w:p>
        </w:tc>
        <w:tc>
          <w:tcPr>
            <w:tcW w:w="264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0%</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w:t>
            </w:r>
          </w:p>
        </w:tc>
      </w:tr>
      <w:tr>
        <w:tblPrEx>
          <w:tblLayout w:type="fixed"/>
        </w:tblPrEx>
        <w:trPr>
          <w:trHeight w:val="416" w:hRule="atLeast"/>
        </w:trPr>
        <w:tc>
          <w:tcPr>
            <w:tcW w:w="342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Total </w:t>
            </w:r>
          </w:p>
        </w:tc>
        <w:tc>
          <w:tcPr>
            <w:tcW w:w="264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100%</w:t>
            </w:r>
          </w:p>
        </w:tc>
        <w:tc>
          <w:tcPr>
            <w:tcW w:w="269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100%</w:t>
            </w:r>
          </w:p>
        </w:tc>
      </w:tr>
    </w:tbl>
    <w:p>
      <w:pPr>
        <w:spacing w:line="360" w:lineRule="auto"/>
        <w:rPr>
          <w:rFonts w:asciiTheme="majorBidi" w:hAnsiTheme="majorBidi" w:cstheme="majorBidi"/>
          <w:b/>
          <w:bCs/>
          <w:sz w:val="24"/>
          <w:szCs w:val="24"/>
        </w:rPr>
      </w:pPr>
      <w:r>
        <w:rPr>
          <w:rFonts w:asciiTheme="majorBidi" w:hAnsiTheme="majorBidi" w:cstheme="majorBidi"/>
          <w:b/>
          <w:color w:val="000000"/>
          <w:sz w:val="24"/>
          <w:szCs w:val="24"/>
        </w:rPr>
        <w:t>Source:field survey 20225</w:t>
      </w:r>
    </w:p>
    <w:p>
      <w:pPr>
        <w:spacing w:line="360" w:lineRule="auto"/>
        <w:rPr>
          <w:rFonts w:asciiTheme="majorBidi" w:hAnsiTheme="majorBidi" w:cstheme="majorBidi"/>
          <w:sz w:val="24"/>
          <w:szCs w:val="24"/>
        </w:rPr>
      </w:pPr>
      <w:r>
        <w:rPr>
          <w:rFonts w:asciiTheme="majorBidi" w:hAnsiTheme="majorBidi" w:cstheme="majorBidi"/>
          <w:sz w:val="24"/>
          <w:szCs w:val="24"/>
        </w:rPr>
        <w:t>Interpretation:</w:t>
      </w:r>
    </w:p>
    <w:p>
      <w:pPr>
        <w:spacing w:line="360" w:lineRule="auto"/>
        <w:rPr>
          <w:rFonts w:asciiTheme="majorBidi" w:hAnsiTheme="majorBidi" w:cstheme="majorBidi"/>
          <w:sz w:val="24"/>
          <w:szCs w:val="24"/>
        </w:rPr>
      </w:pPr>
      <w:r>
        <w:rPr>
          <w:rFonts w:asciiTheme="majorBidi" w:hAnsiTheme="majorBidi" w:cstheme="majorBidi"/>
          <w:sz w:val="24"/>
          <w:szCs w:val="24"/>
        </w:rPr>
        <w:t>Tanke buildings are generally covered with modern aluminium or stone-coated roofing, which offers better heat resistance and aesthetics. Oke-Oyi still relies heavily on corrugated iron sheets, which are cheaper but less durable. This directly influences property perception and resale value.</w:t>
      </w:r>
    </w:p>
    <w:p>
      <w:pPr>
        <w:spacing w:line="360" w:lineRule="auto"/>
        <w:rPr>
          <w:rFonts w:asciiTheme="majorBidi" w:hAnsiTheme="majorBidi" w:cstheme="majorBidi"/>
          <w:b/>
          <w:bCs/>
          <w:sz w:val="24"/>
          <w:szCs w:val="24"/>
        </w:rPr>
      </w:pPr>
      <w:r>
        <w:rPr>
          <w:rFonts w:asciiTheme="majorBidi" w:hAnsiTheme="majorBidi" w:cstheme="majorBidi"/>
          <w:b/>
          <w:bCs/>
          <w:sz w:val="24"/>
          <w:szCs w:val="24"/>
        </w:rPr>
        <w:t>Table 4.1.2.4: Ceiling Materials</w:t>
      </w:r>
    </w:p>
    <w:tbl>
      <w:tblPr>
        <w:tblStyle w:val="16"/>
        <w:tblW w:w="9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8"/>
        <w:gridCol w:w="3048"/>
        <w:gridCol w:w="3048"/>
      </w:tblGrid>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Material  Type</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OkeOyi percentage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Tanke percentage </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Plywood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30%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PVC</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10%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35%</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Asbestos</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50%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15%</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Pop</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40%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Total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100%</w:t>
            </w:r>
          </w:p>
        </w:tc>
      </w:tr>
    </w:tbl>
    <w:p>
      <w:pPr>
        <w:spacing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source:field survey 20225</w:t>
      </w:r>
    </w:p>
    <w:p>
      <w:pPr>
        <w:spacing w:line="360" w:lineRule="auto"/>
        <w:rPr>
          <w:rFonts w:asciiTheme="majorBidi" w:hAnsiTheme="majorBidi" w:cstheme="majorBidi"/>
          <w:sz w:val="24"/>
          <w:szCs w:val="24"/>
        </w:rPr>
      </w:pPr>
      <w:r>
        <w:rPr>
          <w:rFonts w:asciiTheme="majorBidi" w:hAnsiTheme="majorBidi" w:cstheme="majorBidi"/>
          <w:sz w:val="24"/>
          <w:szCs w:val="24"/>
        </w:rPr>
        <w:t>Interpretation:</w:t>
      </w:r>
    </w:p>
    <w:p>
      <w:pPr>
        <w:spacing w:line="360" w:lineRule="auto"/>
        <w:jc w:val="both"/>
        <w:rPr>
          <w:rFonts w:asciiTheme="majorBidi" w:hAnsiTheme="majorBidi" w:cstheme="majorBidi"/>
          <w:sz w:val="24"/>
          <w:szCs w:val="24"/>
        </w:rPr>
      </w:pPr>
      <w:r>
        <w:rPr>
          <w:rFonts w:asciiTheme="majorBidi" w:hAnsiTheme="majorBidi" w:cstheme="majorBidi"/>
          <w:sz w:val="24"/>
          <w:szCs w:val="24"/>
        </w:rPr>
        <w:t>Tanke buildings use POP and PVC ceilings, which are fire-resistant, stylish, and modern. In contrast, 60% of Oke-Oyi homes still use plywood, and 10% have no ceiling at all, indicating unfinished or basic buildings, often linked to low-income or rural settings.</w:t>
      </w:r>
    </w:p>
    <w:p>
      <w:pPr>
        <w:spacing w:line="360" w:lineRule="auto"/>
        <w:rPr>
          <w:rFonts w:asciiTheme="majorBidi" w:hAnsiTheme="majorBidi" w:cstheme="majorBidi"/>
          <w:b/>
          <w:bCs/>
          <w:sz w:val="24"/>
          <w:szCs w:val="24"/>
        </w:rPr>
      </w:pPr>
      <w:r>
        <w:rPr>
          <w:rFonts w:asciiTheme="majorBidi" w:hAnsiTheme="majorBidi" w:cstheme="majorBidi"/>
          <w:b/>
          <w:bCs/>
          <w:sz w:val="24"/>
          <w:szCs w:val="24"/>
        </w:rPr>
        <w:t>Table 4.1.2.5: Window Types</w:t>
      </w:r>
    </w:p>
    <w:tbl>
      <w:tblPr>
        <w:tblStyle w:val="1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3"/>
        <w:gridCol w:w="3424"/>
        <w:gridCol w:w="2333"/>
      </w:tblGrid>
      <w:tr>
        <w:tblPrEx>
          <w:tblLayout w:type="fixed"/>
        </w:tblPrEx>
        <w:trPr>
          <w:trHeight w:val="935" w:hRule="atLeast"/>
        </w:trPr>
        <w:tc>
          <w:tcPr>
            <w:tcW w:w="34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Material Type</w:t>
            </w:r>
          </w:p>
        </w:tc>
        <w:tc>
          <w:tcPr>
            <w:tcW w:w="342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Okeoyi percentage </w:t>
            </w:r>
          </w:p>
        </w:tc>
        <w:tc>
          <w:tcPr>
            <w:tcW w:w="233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Tanke percentage </w:t>
            </w:r>
          </w:p>
        </w:tc>
      </w:tr>
      <w:tr>
        <w:tblPrEx>
          <w:tblLayout w:type="fixed"/>
        </w:tblPrEx>
        <w:trPr>
          <w:trHeight w:val="1625" w:hRule="atLeast"/>
        </w:trPr>
        <w:tc>
          <w:tcPr>
            <w:tcW w:w="34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Metal-Framed  windows</w:t>
            </w:r>
          </w:p>
        </w:tc>
        <w:tc>
          <w:tcPr>
            <w:tcW w:w="342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40%</w:t>
            </w:r>
          </w:p>
        </w:tc>
        <w:tc>
          <w:tcPr>
            <w:tcW w:w="233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10%</w:t>
            </w:r>
          </w:p>
        </w:tc>
      </w:tr>
      <w:tr>
        <w:tblPrEx>
          <w:tblLayout w:type="fixed"/>
        </w:tblPrEx>
        <w:trPr>
          <w:trHeight w:val="935" w:hRule="atLeast"/>
        </w:trPr>
        <w:tc>
          <w:tcPr>
            <w:tcW w:w="34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Wooden windows </w:t>
            </w:r>
          </w:p>
        </w:tc>
        <w:tc>
          <w:tcPr>
            <w:tcW w:w="342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30%</w:t>
            </w:r>
          </w:p>
        </w:tc>
        <w:tc>
          <w:tcPr>
            <w:tcW w:w="233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10% </w:t>
            </w:r>
          </w:p>
        </w:tc>
      </w:tr>
      <w:tr>
        <w:tblPrEx>
          <w:tblLayout w:type="fixed"/>
        </w:tblPrEx>
        <w:trPr>
          <w:trHeight w:val="935" w:hRule="atLeast"/>
        </w:trPr>
        <w:tc>
          <w:tcPr>
            <w:tcW w:w="34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Louvre windows</w:t>
            </w:r>
          </w:p>
        </w:tc>
        <w:tc>
          <w:tcPr>
            <w:tcW w:w="342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10%</w:t>
            </w:r>
          </w:p>
        </w:tc>
        <w:tc>
          <w:tcPr>
            <w:tcW w:w="233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10%</w:t>
            </w:r>
          </w:p>
        </w:tc>
      </w:tr>
      <w:tr>
        <w:tblPrEx>
          <w:tblLayout w:type="fixed"/>
        </w:tblPrEx>
        <w:trPr>
          <w:trHeight w:val="935" w:hRule="atLeast"/>
        </w:trPr>
        <w:tc>
          <w:tcPr>
            <w:tcW w:w="34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Aluminum Sliding/Glass</w:t>
            </w:r>
          </w:p>
        </w:tc>
        <w:tc>
          <w:tcPr>
            <w:tcW w:w="342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10%</w:t>
            </w:r>
          </w:p>
        </w:tc>
        <w:tc>
          <w:tcPr>
            <w:tcW w:w="233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60%</w:t>
            </w:r>
          </w:p>
        </w:tc>
      </w:tr>
      <w:tr>
        <w:tblPrEx>
          <w:tblLayout w:type="fixed"/>
        </w:tblPrEx>
        <w:trPr>
          <w:trHeight w:val="935" w:hRule="atLeast"/>
        </w:trPr>
        <w:tc>
          <w:tcPr>
            <w:tcW w:w="34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Sliding Glass Only</w:t>
            </w:r>
          </w:p>
        </w:tc>
        <w:tc>
          <w:tcPr>
            <w:tcW w:w="342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10%</w:t>
            </w:r>
          </w:p>
        </w:tc>
        <w:tc>
          <w:tcPr>
            <w:tcW w:w="233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w:t>
            </w:r>
          </w:p>
        </w:tc>
      </w:tr>
      <w:tr>
        <w:tblPrEx>
          <w:tblLayout w:type="fixed"/>
        </w:tblPrEx>
        <w:trPr>
          <w:trHeight w:val="947" w:hRule="atLeast"/>
        </w:trPr>
        <w:tc>
          <w:tcPr>
            <w:tcW w:w="34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Total</w:t>
            </w:r>
          </w:p>
        </w:tc>
        <w:tc>
          <w:tcPr>
            <w:tcW w:w="342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100%</w:t>
            </w:r>
          </w:p>
        </w:tc>
        <w:tc>
          <w:tcPr>
            <w:tcW w:w="233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100%</w:t>
            </w:r>
          </w:p>
        </w:tc>
      </w:tr>
    </w:tbl>
    <w:p>
      <w:pPr>
        <w:spacing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source:field survey 20225</w:t>
      </w:r>
    </w:p>
    <w:p>
      <w:pPr>
        <w:spacing w:line="360" w:lineRule="auto"/>
        <w:rPr>
          <w:rFonts w:asciiTheme="majorBidi" w:hAnsiTheme="majorBidi" w:cstheme="majorBidi"/>
          <w:sz w:val="24"/>
          <w:szCs w:val="24"/>
        </w:rPr>
      </w:pPr>
      <w:r>
        <w:rPr>
          <w:rFonts w:asciiTheme="majorBidi" w:hAnsiTheme="majorBidi" w:cstheme="majorBidi"/>
          <w:sz w:val="24"/>
          <w:szCs w:val="24"/>
        </w:rPr>
        <w:t>Interpretation:</w:t>
      </w:r>
    </w:p>
    <w:p>
      <w:pPr>
        <w:spacing w:line="360" w:lineRule="auto"/>
        <w:rPr>
          <w:rFonts w:asciiTheme="majorBidi" w:hAnsiTheme="majorBidi" w:cstheme="majorBidi"/>
          <w:sz w:val="24"/>
          <w:szCs w:val="24"/>
        </w:rPr>
      </w:pPr>
      <w:r>
        <w:rPr>
          <w:rFonts w:asciiTheme="majorBidi" w:hAnsiTheme="majorBidi" w:cstheme="majorBidi"/>
          <w:sz w:val="24"/>
          <w:szCs w:val="24"/>
        </w:rPr>
        <w:t>Tanke clearly uses aluminium-framed or glass sliding windows, which enhance ventilation and are more secure and attractive. Oke-Oyi relies on older window styles like metal and louvre, which are cheaper and may affect security, comfort, and perceived property value.</w:t>
      </w:r>
    </w:p>
    <w:p>
      <w:pPr>
        <w:spacing w:line="360" w:lineRule="auto"/>
        <w:rPr>
          <w:rFonts w:asciiTheme="majorBidi" w:hAnsiTheme="majorBidi" w:cstheme="majorBidi"/>
          <w:b/>
          <w:bCs/>
          <w:sz w:val="24"/>
          <w:szCs w:val="24"/>
        </w:rPr>
      </w:pPr>
      <w:r>
        <w:rPr>
          <w:rFonts w:asciiTheme="majorBidi" w:hAnsiTheme="majorBidi" w:cstheme="majorBidi"/>
          <w:b/>
          <w:bCs/>
          <w:sz w:val="24"/>
          <w:szCs w:val="24"/>
        </w:rPr>
        <w:t>Table 4.1.2.6: Door Types</w:t>
      </w:r>
    </w:p>
    <w:tbl>
      <w:tblPr>
        <w:tblStyle w:val="16"/>
        <w:tblW w:w="9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8"/>
        <w:gridCol w:w="3048"/>
        <w:gridCol w:w="3048"/>
      </w:tblGrid>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Material Type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OkeOyi percentage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Tanke percentage </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Wooden Doors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60%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50%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Metal Security Doors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40%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50%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Total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100%</w:t>
            </w:r>
          </w:p>
        </w:tc>
      </w:tr>
    </w:tbl>
    <w:p>
      <w:pPr>
        <w:spacing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source:field survey 20225</w:t>
      </w:r>
    </w:p>
    <w:p>
      <w:pPr>
        <w:spacing w:line="360" w:lineRule="auto"/>
        <w:rPr>
          <w:rFonts w:asciiTheme="majorBidi" w:hAnsiTheme="majorBidi" w:cstheme="majorBidi"/>
          <w:sz w:val="24"/>
          <w:szCs w:val="24"/>
        </w:rPr>
      </w:pPr>
      <w:r>
        <w:rPr>
          <w:rFonts w:asciiTheme="majorBidi" w:hAnsiTheme="majorBidi" w:cstheme="majorBidi"/>
          <w:sz w:val="24"/>
          <w:szCs w:val="24"/>
        </w:rPr>
        <w:t>Interpretation:</w:t>
      </w:r>
    </w:p>
    <w:p>
      <w:pPr>
        <w:spacing w:line="360" w:lineRule="auto"/>
        <w:rPr>
          <w:rFonts w:asciiTheme="majorBidi" w:hAnsiTheme="majorBidi" w:cstheme="majorBidi"/>
          <w:sz w:val="24"/>
          <w:szCs w:val="24"/>
        </w:rPr>
      </w:pPr>
      <w:r>
        <w:rPr>
          <w:rFonts w:asciiTheme="majorBidi" w:hAnsiTheme="majorBidi" w:cstheme="majorBidi"/>
          <w:sz w:val="24"/>
          <w:szCs w:val="24"/>
        </w:rPr>
        <w:t>Both areas use a mix of wooden and metal doors, but in Tanke, metal security doors are more common, reflecting a focus on safety and status. Oke-Oyi still has more basic wooden doors, which are affordable but less secure and durable.</w:t>
      </w:r>
    </w:p>
    <w:p>
      <w:pPr>
        <w:spacing w:line="360" w:lineRule="auto"/>
        <w:rPr>
          <w:rFonts w:asciiTheme="majorBidi" w:hAnsiTheme="majorBidi" w:cstheme="majorBidi"/>
          <w:sz w:val="24"/>
          <w:szCs w:val="24"/>
        </w:rPr>
      </w:pPr>
    </w:p>
    <w:p>
      <w:pPr>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Table 4.1.3    Neighborhoods Quality Rating </w:t>
      </w:r>
    </w:p>
    <w:p>
      <w:pPr>
        <w:spacing w:line="360" w:lineRule="auto"/>
        <w:rPr>
          <w:rFonts w:asciiTheme="majorBidi" w:hAnsiTheme="majorBidi" w:cstheme="majorBidi"/>
          <w:b/>
          <w:bCs/>
          <w:sz w:val="24"/>
          <w:szCs w:val="24"/>
        </w:rPr>
      </w:pPr>
      <w:r>
        <w:rPr>
          <w:rFonts w:asciiTheme="majorBidi" w:hAnsiTheme="majorBidi" w:cstheme="majorBidi"/>
          <w:b/>
          <w:bCs/>
          <w:sz w:val="24"/>
          <w:szCs w:val="24"/>
        </w:rPr>
        <w:t>Table 4.1.3.1: Road Accessibility Rating</w:t>
      </w:r>
    </w:p>
    <w:tbl>
      <w:tblPr>
        <w:tblStyle w:val="16"/>
        <w:tblW w:w="10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9"/>
        <w:gridCol w:w="2029"/>
        <w:gridCol w:w="2030"/>
        <w:gridCol w:w="2023"/>
        <w:gridCol w:w="2024"/>
      </w:tblGrid>
      <w:tr>
        <w:tblPrEx>
          <w:tblLayout w:type="fixed"/>
        </w:tblPrEx>
        <w:trPr>
          <w:trHeight w:val="1622" w:hRule="atLeast"/>
        </w:trPr>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Road Accessibilit</w:t>
            </w:r>
          </w:p>
        </w:tc>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Oke oyi</w:t>
            </w:r>
          </w:p>
        </w:tc>
        <w:tc>
          <w:tcPr>
            <w:tcW w:w="203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percentage </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Tanke</w:t>
            </w:r>
          </w:p>
        </w:tc>
        <w:tc>
          <w:tcPr>
            <w:tcW w:w="202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Percentage </w:t>
            </w:r>
          </w:p>
        </w:tc>
      </w:tr>
      <w:tr>
        <w:tblPrEx>
          <w:tblLayout w:type="fixed"/>
        </w:tblPrEx>
        <w:trPr>
          <w:trHeight w:val="933" w:hRule="atLeast"/>
        </w:trPr>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Poor </w:t>
            </w:r>
          </w:p>
        </w:tc>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12</w:t>
            </w:r>
          </w:p>
        </w:tc>
        <w:tc>
          <w:tcPr>
            <w:tcW w:w="203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24.0%</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5</w:t>
            </w:r>
          </w:p>
        </w:tc>
        <w:tc>
          <w:tcPr>
            <w:tcW w:w="202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10.0%</w:t>
            </w:r>
          </w:p>
        </w:tc>
      </w:tr>
      <w:tr>
        <w:tblPrEx>
          <w:tblLayout w:type="fixed"/>
        </w:tblPrEx>
        <w:trPr>
          <w:trHeight w:val="933" w:hRule="atLeast"/>
        </w:trPr>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Fair</w:t>
            </w:r>
          </w:p>
        </w:tc>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22</w:t>
            </w:r>
          </w:p>
        </w:tc>
        <w:tc>
          <w:tcPr>
            <w:tcW w:w="203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44.0%</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10</w:t>
            </w:r>
          </w:p>
        </w:tc>
        <w:tc>
          <w:tcPr>
            <w:tcW w:w="202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20.0%</w:t>
            </w:r>
          </w:p>
        </w:tc>
      </w:tr>
      <w:tr>
        <w:tblPrEx>
          <w:tblLayout w:type="fixed"/>
        </w:tblPrEx>
        <w:trPr>
          <w:trHeight w:val="933" w:hRule="atLeast"/>
        </w:trPr>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Good </w:t>
            </w:r>
          </w:p>
        </w:tc>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10</w:t>
            </w:r>
          </w:p>
        </w:tc>
        <w:tc>
          <w:tcPr>
            <w:tcW w:w="203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20.0%</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15</w:t>
            </w:r>
          </w:p>
        </w:tc>
        <w:tc>
          <w:tcPr>
            <w:tcW w:w="202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30.0%</w:t>
            </w:r>
          </w:p>
        </w:tc>
      </w:tr>
      <w:tr>
        <w:tblPrEx>
          <w:tblLayout w:type="fixed"/>
        </w:tblPrEx>
        <w:trPr>
          <w:trHeight w:val="933" w:hRule="atLeast"/>
        </w:trPr>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Excellent </w:t>
            </w:r>
          </w:p>
        </w:tc>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6</w:t>
            </w:r>
          </w:p>
        </w:tc>
        <w:tc>
          <w:tcPr>
            <w:tcW w:w="203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12.0%</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20</w:t>
            </w:r>
          </w:p>
        </w:tc>
        <w:tc>
          <w:tcPr>
            <w:tcW w:w="202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40.0%</w:t>
            </w:r>
          </w:p>
        </w:tc>
      </w:tr>
      <w:tr>
        <w:tblPrEx>
          <w:tblLayout w:type="fixed"/>
        </w:tblPrEx>
        <w:trPr>
          <w:trHeight w:val="945" w:hRule="atLeast"/>
        </w:trPr>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Total </w:t>
            </w:r>
          </w:p>
        </w:tc>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50</w:t>
            </w:r>
          </w:p>
        </w:tc>
        <w:tc>
          <w:tcPr>
            <w:tcW w:w="203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100%</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50</w:t>
            </w:r>
          </w:p>
        </w:tc>
        <w:tc>
          <w:tcPr>
            <w:tcW w:w="2024"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100%</w:t>
            </w:r>
          </w:p>
        </w:tc>
      </w:tr>
    </w:tbl>
    <w:p>
      <w:pPr>
        <w:spacing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source:field survey 20225</w:t>
      </w:r>
    </w:p>
    <w:p>
      <w:pPr>
        <w:spacing w:line="360" w:lineRule="auto"/>
        <w:rPr>
          <w:rFonts w:asciiTheme="majorBidi" w:hAnsiTheme="majorBidi" w:cstheme="majorBidi"/>
          <w:sz w:val="24"/>
          <w:szCs w:val="24"/>
        </w:rPr>
      </w:pPr>
      <w:r>
        <w:rPr>
          <w:rFonts w:asciiTheme="majorBidi" w:hAnsiTheme="majorBidi" w:cstheme="majorBidi"/>
          <w:sz w:val="24"/>
          <w:szCs w:val="24"/>
        </w:rPr>
        <w:t>Interpretation:</w:t>
      </w:r>
    </w:p>
    <w:p>
      <w:pPr>
        <w:spacing w:line="360" w:lineRule="auto"/>
        <w:rPr>
          <w:rFonts w:asciiTheme="majorBidi" w:hAnsiTheme="majorBidi" w:cstheme="majorBidi"/>
          <w:sz w:val="24"/>
          <w:szCs w:val="24"/>
        </w:rPr>
      </w:pPr>
      <w:r>
        <w:rPr>
          <w:rFonts w:asciiTheme="majorBidi" w:hAnsiTheme="majorBidi" w:cstheme="majorBidi"/>
          <w:sz w:val="24"/>
          <w:szCs w:val="24"/>
        </w:rPr>
        <w:t>Tanke has significantly better road infrastructure, with 40% of respondents rating roads as excellent, compared to only 12% in Oke-Oyi.</w:t>
      </w:r>
    </w:p>
    <w:p>
      <w:pPr>
        <w:spacing w:line="360" w:lineRule="auto"/>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In Tanke, 76% of respondents rated the roads as either Excellent or Good, reflecting modern urban road networks and ongoing government presence.</w:t>
      </w:r>
    </w:p>
    <w:p>
      <w:pPr>
        <w:spacing w:line="36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In Oke-Oyi, only 36% of respondents gave a positive rating (Excellent or Good), while 64% rated it as Fair or Poor, indicating poor maintenance or unpaved roads.</w:t>
      </w:r>
    </w:p>
    <w:p>
      <w:pPr>
        <w:spacing w:after="160" w:line="259" w:lineRule="auto"/>
        <w:rPr>
          <w:rFonts w:asciiTheme="majorBidi" w:hAnsiTheme="majorBidi" w:cstheme="majorBidi"/>
          <w:b/>
          <w:bCs/>
          <w:sz w:val="24"/>
          <w:szCs w:val="24"/>
        </w:rPr>
      </w:pPr>
      <w:r>
        <w:rPr>
          <w:rFonts w:asciiTheme="majorBidi" w:hAnsiTheme="majorBidi" w:cstheme="majorBidi"/>
          <w:b/>
          <w:bCs/>
          <w:sz w:val="24"/>
          <w:szCs w:val="24"/>
        </w:rPr>
        <w:br w:type="page"/>
      </w:r>
    </w:p>
    <w:p>
      <w:pPr>
        <w:spacing w:line="360" w:lineRule="auto"/>
        <w:rPr>
          <w:rFonts w:asciiTheme="majorBidi" w:hAnsiTheme="majorBidi" w:cstheme="majorBidi"/>
          <w:b/>
          <w:bCs/>
          <w:sz w:val="24"/>
          <w:szCs w:val="24"/>
        </w:rPr>
      </w:pPr>
      <w:r>
        <w:rPr>
          <w:rFonts w:asciiTheme="majorBidi" w:hAnsiTheme="majorBidi" w:cstheme="majorBidi"/>
          <w:b/>
          <w:bCs/>
          <w:sz w:val="24"/>
          <w:szCs w:val="24"/>
        </w:rPr>
        <w:t>Table 4.1.3.2: Drainage System Quality</w:t>
      </w:r>
    </w:p>
    <w:tbl>
      <w:tblPr>
        <w:tblStyle w:val="16"/>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9"/>
        <w:gridCol w:w="2029"/>
        <w:gridCol w:w="2030"/>
        <w:gridCol w:w="2023"/>
        <w:gridCol w:w="1636"/>
      </w:tblGrid>
      <w:tr>
        <w:tblPrEx>
          <w:tblLayout w:type="fixed"/>
        </w:tblPrEx>
        <w:trPr>
          <w:trHeight w:val="1622" w:hRule="atLeast"/>
        </w:trPr>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Drainage System</w:t>
            </w:r>
          </w:p>
          <w:p>
            <w:pPr>
              <w:spacing w:after="0" w:line="360" w:lineRule="auto"/>
              <w:rPr>
                <w:rFonts w:asciiTheme="majorBidi" w:hAnsiTheme="majorBidi" w:cstheme="majorBidi"/>
                <w:b/>
                <w:bCs/>
                <w:sz w:val="24"/>
                <w:szCs w:val="24"/>
              </w:rPr>
            </w:pPr>
          </w:p>
        </w:tc>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Oke oyi</w:t>
            </w:r>
          </w:p>
        </w:tc>
        <w:tc>
          <w:tcPr>
            <w:tcW w:w="203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percentage </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Tanke</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Percentage </w:t>
            </w:r>
          </w:p>
        </w:tc>
      </w:tr>
      <w:tr>
        <w:tblPrEx>
          <w:tblLayout w:type="fixed"/>
        </w:tblPrEx>
        <w:trPr>
          <w:trHeight w:val="933" w:hRule="atLeast"/>
        </w:trPr>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Poor </w:t>
            </w:r>
          </w:p>
        </w:tc>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18</w:t>
            </w:r>
          </w:p>
        </w:tc>
        <w:tc>
          <w:tcPr>
            <w:tcW w:w="203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34.0%</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4</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8.0%</w:t>
            </w:r>
          </w:p>
        </w:tc>
      </w:tr>
      <w:tr>
        <w:tblPrEx>
          <w:tblLayout w:type="fixed"/>
        </w:tblPrEx>
        <w:trPr>
          <w:trHeight w:val="933" w:hRule="atLeast"/>
        </w:trPr>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Fair</w:t>
            </w:r>
          </w:p>
        </w:tc>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20</w:t>
            </w:r>
          </w:p>
        </w:tc>
        <w:tc>
          <w:tcPr>
            <w:tcW w:w="203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32.0%</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10</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20.0%</w:t>
            </w:r>
          </w:p>
        </w:tc>
      </w:tr>
      <w:tr>
        <w:tblPrEx>
          <w:tblLayout w:type="fixed"/>
        </w:tblPrEx>
        <w:trPr>
          <w:trHeight w:val="933" w:hRule="atLeast"/>
        </w:trPr>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Good </w:t>
            </w:r>
          </w:p>
        </w:tc>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9</w:t>
            </w:r>
          </w:p>
        </w:tc>
        <w:tc>
          <w:tcPr>
            <w:tcW w:w="203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28.0%</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20</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40.0%</w:t>
            </w:r>
          </w:p>
        </w:tc>
      </w:tr>
      <w:tr>
        <w:tblPrEx>
          <w:tblLayout w:type="fixed"/>
        </w:tblPrEx>
        <w:trPr>
          <w:trHeight w:val="933" w:hRule="atLeast"/>
        </w:trPr>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Excellent </w:t>
            </w:r>
          </w:p>
        </w:tc>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3</w:t>
            </w:r>
          </w:p>
        </w:tc>
        <w:tc>
          <w:tcPr>
            <w:tcW w:w="203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6.0%</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16</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32.0%</w:t>
            </w:r>
          </w:p>
        </w:tc>
      </w:tr>
      <w:tr>
        <w:tblPrEx>
          <w:tblLayout w:type="fixed"/>
        </w:tblPrEx>
        <w:trPr>
          <w:trHeight w:val="945" w:hRule="atLeast"/>
        </w:trPr>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Total </w:t>
            </w:r>
          </w:p>
        </w:tc>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50</w:t>
            </w:r>
          </w:p>
        </w:tc>
        <w:tc>
          <w:tcPr>
            <w:tcW w:w="203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100%</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50</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100%</w:t>
            </w:r>
          </w:p>
        </w:tc>
      </w:tr>
    </w:tbl>
    <w:p>
      <w:pPr>
        <w:spacing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source:field survey 20225</w:t>
      </w:r>
    </w:p>
    <w:p>
      <w:pPr>
        <w:spacing w:line="360" w:lineRule="auto"/>
        <w:rPr>
          <w:rFonts w:asciiTheme="majorBidi" w:hAnsiTheme="majorBidi" w:cstheme="majorBidi"/>
          <w:sz w:val="24"/>
          <w:szCs w:val="24"/>
        </w:rPr>
      </w:pPr>
      <w:r>
        <w:rPr>
          <w:rFonts w:asciiTheme="majorBidi" w:hAnsiTheme="majorBidi" w:cstheme="majorBidi"/>
          <w:sz w:val="24"/>
          <w:szCs w:val="24"/>
        </w:rPr>
        <w:t>Interpretation:</w:t>
      </w:r>
    </w:p>
    <w:p>
      <w:pPr>
        <w:spacing w:line="360" w:lineRule="auto"/>
        <w:rPr>
          <w:rFonts w:asciiTheme="majorBidi" w:hAnsiTheme="majorBidi" w:cstheme="majorBidi"/>
          <w:sz w:val="24"/>
          <w:szCs w:val="24"/>
        </w:rPr>
      </w:pPr>
      <w:r>
        <w:rPr>
          <w:rFonts w:asciiTheme="majorBidi" w:hAnsiTheme="majorBidi" w:cstheme="majorBidi"/>
          <w:sz w:val="24"/>
          <w:szCs w:val="24"/>
        </w:rPr>
        <w:t>Drainage is more developed in Tanke. 72% of respondents rated it good or excellent, compared to only 66% in Oke-Oyi.</w:t>
      </w:r>
    </w:p>
    <w:p>
      <w:pPr>
        <w:spacing w:line="360" w:lineRule="auto"/>
        <w:rPr>
          <w:rFonts w:asciiTheme="majorBidi" w:hAnsiTheme="majorBidi" w:cstheme="majorBidi"/>
          <w:sz w:val="24"/>
          <w:szCs w:val="24"/>
        </w:rPr>
      </w:pPr>
      <w:r>
        <w:rPr>
          <w:rFonts w:asciiTheme="majorBidi" w:hAnsiTheme="majorBidi" w:cstheme="majorBidi"/>
          <w:sz w:val="24"/>
          <w:szCs w:val="24"/>
        </w:rPr>
        <w:t>Tanke has better drainage infrastructure, with 72% of respondents rating it as Good or Excellent. This reduces the risk of flooding and property damage. In contrast, 66% of Oke-Oyi residents rated drainage as Fair or Poor, showing a major infrastructural gap that negatively impacts living conditions and property value.</w:t>
      </w:r>
    </w:p>
    <w:p>
      <w:pPr>
        <w:spacing w:after="160" w:line="259" w:lineRule="auto"/>
        <w:rPr>
          <w:rFonts w:asciiTheme="majorBidi" w:hAnsiTheme="majorBidi" w:cstheme="majorBidi"/>
          <w:b/>
          <w:bCs/>
          <w:sz w:val="24"/>
          <w:szCs w:val="24"/>
        </w:rPr>
      </w:pPr>
      <w:r>
        <w:rPr>
          <w:rFonts w:asciiTheme="majorBidi" w:hAnsiTheme="majorBidi" w:cstheme="majorBidi"/>
          <w:b/>
          <w:bCs/>
          <w:sz w:val="24"/>
          <w:szCs w:val="24"/>
        </w:rPr>
        <w:br w:type="page"/>
      </w:r>
    </w:p>
    <w:p>
      <w:pPr>
        <w:spacing w:line="360" w:lineRule="auto"/>
        <w:rPr>
          <w:rFonts w:asciiTheme="majorBidi" w:hAnsiTheme="majorBidi" w:cstheme="majorBidi"/>
          <w:b/>
          <w:bCs/>
          <w:sz w:val="24"/>
          <w:szCs w:val="24"/>
        </w:rPr>
      </w:pPr>
      <w:r>
        <w:rPr>
          <w:rFonts w:asciiTheme="majorBidi" w:hAnsiTheme="majorBidi" w:cstheme="majorBidi"/>
          <w:b/>
          <w:bCs/>
          <w:sz w:val="24"/>
          <w:szCs w:val="24"/>
        </w:rPr>
        <w:t>Table 4.1.3.3: Waste Management System</w:t>
      </w:r>
    </w:p>
    <w:tbl>
      <w:tblPr>
        <w:tblStyle w:val="1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9"/>
        <w:gridCol w:w="2029"/>
        <w:gridCol w:w="2030"/>
        <w:gridCol w:w="2023"/>
        <w:gridCol w:w="1495"/>
      </w:tblGrid>
      <w:tr>
        <w:tblPrEx>
          <w:tblLayout w:type="fixed"/>
        </w:tblPrEx>
        <w:trPr>
          <w:trHeight w:val="822" w:hRule="atLeast"/>
        </w:trPr>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waste Disposal </w:t>
            </w:r>
          </w:p>
        </w:tc>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Oke oyi</w:t>
            </w:r>
          </w:p>
        </w:tc>
        <w:tc>
          <w:tcPr>
            <w:tcW w:w="203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percentage </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Tanke</w:t>
            </w:r>
          </w:p>
        </w:tc>
        <w:tc>
          <w:tcPr>
            <w:tcW w:w="1495"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Percentage </w:t>
            </w:r>
          </w:p>
        </w:tc>
      </w:tr>
      <w:tr>
        <w:tblPrEx>
          <w:tblLayout w:type="fixed"/>
        </w:tblPrEx>
        <w:trPr>
          <w:trHeight w:val="933" w:hRule="atLeast"/>
        </w:trPr>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Poor </w:t>
            </w:r>
          </w:p>
        </w:tc>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20</w:t>
            </w:r>
          </w:p>
        </w:tc>
        <w:tc>
          <w:tcPr>
            <w:tcW w:w="203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20.0%</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6</w:t>
            </w:r>
          </w:p>
        </w:tc>
        <w:tc>
          <w:tcPr>
            <w:tcW w:w="1495"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12.0%</w:t>
            </w:r>
          </w:p>
        </w:tc>
      </w:tr>
      <w:tr>
        <w:tblPrEx>
          <w:tblLayout w:type="fixed"/>
        </w:tblPrEx>
        <w:trPr>
          <w:trHeight w:val="933" w:hRule="atLeast"/>
        </w:trPr>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Fair</w:t>
            </w:r>
          </w:p>
        </w:tc>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18</w:t>
            </w:r>
          </w:p>
        </w:tc>
        <w:tc>
          <w:tcPr>
            <w:tcW w:w="203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 36.0%</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10</w:t>
            </w:r>
          </w:p>
        </w:tc>
        <w:tc>
          <w:tcPr>
            <w:tcW w:w="1495"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20.0%</w:t>
            </w:r>
          </w:p>
        </w:tc>
      </w:tr>
      <w:tr>
        <w:tblPrEx>
          <w:tblLayout w:type="fixed"/>
        </w:tblPrEx>
        <w:trPr>
          <w:trHeight w:val="933" w:hRule="atLeast"/>
        </w:trPr>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Good </w:t>
            </w:r>
          </w:p>
        </w:tc>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10</w:t>
            </w:r>
          </w:p>
        </w:tc>
        <w:tc>
          <w:tcPr>
            <w:tcW w:w="203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30.0%</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22</w:t>
            </w:r>
          </w:p>
        </w:tc>
        <w:tc>
          <w:tcPr>
            <w:tcW w:w="1495"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44.0%</w:t>
            </w:r>
          </w:p>
        </w:tc>
      </w:tr>
      <w:tr>
        <w:tblPrEx>
          <w:tblLayout w:type="fixed"/>
        </w:tblPrEx>
        <w:trPr>
          <w:trHeight w:val="933" w:hRule="atLeast"/>
        </w:trPr>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Excellent </w:t>
            </w:r>
          </w:p>
        </w:tc>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2</w:t>
            </w:r>
          </w:p>
        </w:tc>
        <w:tc>
          <w:tcPr>
            <w:tcW w:w="203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14.0%</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12</w:t>
            </w:r>
          </w:p>
        </w:tc>
        <w:tc>
          <w:tcPr>
            <w:tcW w:w="1495"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24.0%</w:t>
            </w:r>
          </w:p>
        </w:tc>
      </w:tr>
      <w:tr>
        <w:tblPrEx>
          <w:tblLayout w:type="fixed"/>
        </w:tblPrEx>
        <w:trPr>
          <w:trHeight w:val="945" w:hRule="atLeast"/>
        </w:trPr>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Total </w:t>
            </w:r>
          </w:p>
        </w:tc>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50</w:t>
            </w:r>
          </w:p>
        </w:tc>
        <w:tc>
          <w:tcPr>
            <w:tcW w:w="203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100%</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50</w:t>
            </w:r>
          </w:p>
        </w:tc>
        <w:tc>
          <w:tcPr>
            <w:tcW w:w="1495"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100%</w:t>
            </w:r>
          </w:p>
        </w:tc>
      </w:tr>
    </w:tbl>
    <w:p>
      <w:pPr>
        <w:spacing w:line="360" w:lineRule="auto"/>
        <w:rPr>
          <w:rFonts w:asciiTheme="majorBidi" w:hAnsiTheme="majorBidi" w:cstheme="majorBidi"/>
          <w:b/>
          <w:bCs/>
          <w:sz w:val="24"/>
          <w:szCs w:val="24"/>
        </w:rPr>
      </w:pPr>
      <w:r>
        <w:rPr>
          <w:rFonts w:asciiTheme="majorBidi" w:hAnsiTheme="majorBidi" w:cstheme="majorBidi"/>
          <w:b/>
          <w:color w:val="000000"/>
          <w:sz w:val="24"/>
          <w:szCs w:val="24"/>
        </w:rPr>
        <w:t>source:field survey 20225</w:t>
      </w:r>
    </w:p>
    <w:p>
      <w:pPr>
        <w:spacing w:line="360" w:lineRule="auto"/>
        <w:rPr>
          <w:rFonts w:asciiTheme="majorBidi" w:hAnsiTheme="majorBidi" w:cstheme="majorBidi"/>
          <w:sz w:val="24"/>
          <w:szCs w:val="24"/>
        </w:rPr>
      </w:pPr>
      <w:r>
        <w:rPr>
          <w:rFonts w:asciiTheme="majorBidi" w:hAnsiTheme="majorBidi" w:cstheme="majorBidi"/>
          <w:sz w:val="24"/>
          <w:szCs w:val="24"/>
        </w:rPr>
        <w:t>Interpretation:</w:t>
      </w:r>
    </w:p>
    <w:p>
      <w:pPr>
        <w:spacing w:line="360" w:lineRule="auto"/>
        <w:rPr>
          <w:rFonts w:asciiTheme="majorBidi" w:hAnsiTheme="majorBidi" w:cstheme="majorBidi"/>
          <w:sz w:val="24"/>
          <w:szCs w:val="24"/>
        </w:rPr>
      </w:pPr>
      <w:r>
        <w:rPr>
          <w:rFonts w:asciiTheme="majorBidi" w:hAnsiTheme="majorBidi" w:cstheme="majorBidi"/>
          <w:sz w:val="24"/>
          <w:szCs w:val="24"/>
        </w:rPr>
        <w:t>In Tanke, 68% of respondents have Good to Excellent water supply, reflecting strong municipal support and infrastructure. Oke-Oyi shows a weaker situation — 56% rated it as Fair or Poor, indicating that water access remains a major challenge, which affects residential satisfaction and property attractiveness.</w:t>
      </w:r>
    </w:p>
    <w:p>
      <w:pPr>
        <w:spacing w:after="160" w:line="259" w:lineRule="auto"/>
        <w:rPr>
          <w:rFonts w:asciiTheme="majorBidi" w:hAnsiTheme="majorBidi" w:cstheme="majorBidi"/>
          <w:b/>
          <w:bCs/>
          <w:sz w:val="24"/>
          <w:szCs w:val="24"/>
        </w:rPr>
      </w:pPr>
      <w:r>
        <w:rPr>
          <w:rFonts w:asciiTheme="majorBidi" w:hAnsiTheme="majorBidi" w:cstheme="majorBidi"/>
          <w:b/>
          <w:bCs/>
          <w:sz w:val="24"/>
          <w:szCs w:val="24"/>
        </w:rPr>
        <w:br w:type="page"/>
      </w:r>
    </w:p>
    <w:p>
      <w:pPr>
        <w:spacing w:line="360" w:lineRule="auto"/>
        <w:rPr>
          <w:rFonts w:asciiTheme="majorBidi" w:hAnsiTheme="majorBidi" w:cstheme="majorBidi"/>
          <w:b/>
          <w:bCs/>
          <w:sz w:val="24"/>
          <w:szCs w:val="24"/>
        </w:rPr>
      </w:pPr>
      <w:r>
        <w:rPr>
          <w:rFonts w:asciiTheme="majorBidi" w:hAnsiTheme="majorBidi" w:cstheme="majorBidi"/>
          <w:b/>
          <w:bCs/>
          <w:sz w:val="24"/>
          <w:szCs w:val="24"/>
        </w:rPr>
        <w:t>Table 4.1.3.4: Water Supply</w:t>
      </w:r>
    </w:p>
    <w:tbl>
      <w:tblPr>
        <w:tblStyle w:val="1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9"/>
        <w:gridCol w:w="2029"/>
        <w:gridCol w:w="2030"/>
        <w:gridCol w:w="2023"/>
        <w:gridCol w:w="1495"/>
      </w:tblGrid>
      <w:tr>
        <w:tblPrEx>
          <w:tblLayout w:type="fixed"/>
        </w:tblPrEx>
        <w:trPr>
          <w:trHeight w:val="1622" w:hRule="atLeast"/>
        </w:trPr>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water supply </w:t>
            </w:r>
          </w:p>
        </w:tc>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Oke oyi</w:t>
            </w:r>
          </w:p>
        </w:tc>
        <w:tc>
          <w:tcPr>
            <w:tcW w:w="203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percentage </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Tanke</w:t>
            </w:r>
          </w:p>
        </w:tc>
        <w:tc>
          <w:tcPr>
            <w:tcW w:w="1495"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Percentage </w:t>
            </w:r>
          </w:p>
        </w:tc>
      </w:tr>
      <w:tr>
        <w:tblPrEx>
          <w:tblLayout w:type="fixed"/>
        </w:tblPrEx>
        <w:trPr>
          <w:trHeight w:val="933" w:hRule="atLeast"/>
        </w:trPr>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Irregular </w:t>
            </w:r>
          </w:p>
        </w:tc>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22</w:t>
            </w:r>
          </w:p>
        </w:tc>
        <w:tc>
          <w:tcPr>
            <w:tcW w:w="203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44.0%</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6</w:t>
            </w:r>
          </w:p>
        </w:tc>
        <w:tc>
          <w:tcPr>
            <w:tcW w:w="1495"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12.0%</w:t>
            </w:r>
          </w:p>
        </w:tc>
      </w:tr>
      <w:tr>
        <w:tblPrEx>
          <w:tblLayout w:type="fixed"/>
        </w:tblPrEx>
        <w:trPr>
          <w:trHeight w:val="933" w:hRule="atLeast"/>
        </w:trPr>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Fair</w:t>
            </w:r>
          </w:p>
        </w:tc>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15</w:t>
            </w:r>
          </w:p>
        </w:tc>
        <w:tc>
          <w:tcPr>
            <w:tcW w:w="203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 30.0%</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12</w:t>
            </w:r>
          </w:p>
        </w:tc>
        <w:tc>
          <w:tcPr>
            <w:tcW w:w="1495"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24.0%</w:t>
            </w:r>
          </w:p>
        </w:tc>
      </w:tr>
      <w:tr>
        <w:tblPrEx>
          <w:tblLayout w:type="fixed"/>
        </w:tblPrEx>
        <w:trPr>
          <w:trHeight w:val="933" w:hRule="atLeast"/>
        </w:trPr>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Adequate </w:t>
            </w:r>
          </w:p>
        </w:tc>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13</w:t>
            </w:r>
          </w:p>
        </w:tc>
        <w:tc>
          <w:tcPr>
            <w:tcW w:w="203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26.0%</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32</w:t>
            </w:r>
          </w:p>
        </w:tc>
        <w:tc>
          <w:tcPr>
            <w:tcW w:w="1495"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64.0%</w:t>
            </w:r>
          </w:p>
        </w:tc>
      </w:tr>
      <w:tr>
        <w:tblPrEx>
          <w:tblLayout w:type="fixed"/>
        </w:tblPrEx>
        <w:trPr>
          <w:trHeight w:val="945" w:hRule="atLeast"/>
        </w:trPr>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Total </w:t>
            </w:r>
          </w:p>
        </w:tc>
        <w:tc>
          <w:tcPr>
            <w:tcW w:w="2029"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50</w:t>
            </w:r>
          </w:p>
        </w:tc>
        <w:tc>
          <w:tcPr>
            <w:tcW w:w="2030"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100%</w:t>
            </w:r>
          </w:p>
        </w:tc>
        <w:tc>
          <w:tcPr>
            <w:tcW w:w="2023"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50</w:t>
            </w:r>
          </w:p>
        </w:tc>
        <w:tc>
          <w:tcPr>
            <w:tcW w:w="1495"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100%</w:t>
            </w:r>
          </w:p>
        </w:tc>
      </w:tr>
    </w:tbl>
    <w:p>
      <w:pPr>
        <w:spacing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source:field survey 20225</w:t>
      </w:r>
    </w:p>
    <w:p>
      <w:pPr>
        <w:spacing w:line="360" w:lineRule="auto"/>
        <w:rPr>
          <w:rFonts w:asciiTheme="majorBidi" w:hAnsiTheme="majorBidi" w:cstheme="majorBidi"/>
          <w:sz w:val="24"/>
          <w:szCs w:val="24"/>
        </w:rPr>
      </w:pPr>
      <w:r>
        <w:rPr>
          <w:rFonts w:asciiTheme="majorBidi" w:hAnsiTheme="majorBidi" w:cstheme="majorBidi"/>
          <w:sz w:val="24"/>
          <w:szCs w:val="24"/>
        </w:rPr>
        <w:t>Interpretation:</w:t>
      </w:r>
    </w:p>
    <w:p>
      <w:pPr>
        <w:spacing w:line="360" w:lineRule="auto"/>
        <w:rPr>
          <w:rFonts w:asciiTheme="majorBidi" w:hAnsiTheme="majorBidi" w:cstheme="majorBidi"/>
          <w:sz w:val="24"/>
          <w:szCs w:val="24"/>
        </w:rPr>
      </w:pPr>
      <w:r>
        <w:rPr>
          <w:rFonts w:asciiTheme="majorBidi" w:hAnsiTheme="majorBidi" w:cstheme="majorBidi"/>
          <w:sz w:val="24"/>
          <w:szCs w:val="24"/>
        </w:rPr>
        <w:t>Tanke again leads, with 88% rating waste management as Good or Adequate and Fair , showing regular collection and cleaner surroundings. Oke-Oyi trails behind — 74% rated it as Fair or irregular , pointing to poor sanitation and environmental health issues, which lowers property appeal and value.</w:t>
      </w:r>
    </w:p>
    <w:p>
      <w:pPr>
        <w:spacing w:line="360" w:lineRule="auto"/>
        <w:rPr>
          <w:rFonts w:asciiTheme="majorBidi" w:hAnsiTheme="majorBidi" w:cstheme="majorBidi"/>
          <w:b/>
          <w:bCs/>
          <w:sz w:val="24"/>
          <w:szCs w:val="24"/>
        </w:rPr>
      </w:pPr>
      <w:r>
        <w:rPr>
          <w:rFonts w:asciiTheme="majorBidi" w:hAnsiTheme="majorBidi" w:cstheme="majorBidi"/>
          <w:b/>
          <w:bCs/>
          <w:sz w:val="24"/>
          <w:szCs w:val="24"/>
        </w:rPr>
        <w:t>Table 4.1.4    Current Property Values ( 2024 )</w:t>
      </w:r>
    </w:p>
    <w:tbl>
      <w:tblPr>
        <w:tblStyle w:val="16"/>
        <w:tblW w:w="9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8"/>
        <w:gridCol w:w="3048"/>
        <w:gridCol w:w="3048"/>
      </w:tblGrid>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Property Type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OkeOyi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Tanke (#)</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1-Room Rent/Year</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45,000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90,000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2-Bedroom Flat/Year</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160,000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400,000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5-Bedroom Duplex ( Sale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25,000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65,000,000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Land/plot value</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1.3 millon</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3.5 million </w:t>
            </w:r>
          </w:p>
        </w:tc>
      </w:tr>
    </w:tbl>
    <w:p>
      <w:pPr>
        <w:spacing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source:field survey 20225</w:t>
      </w:r>
    </w:p>
    <w:p>
      <w:pPr>
        <w:spacing w:line="360" w:lineRule="auto"/>
        <w:rPr>
          <w:rFonts w:asciiTheme="majorBidi" w:hAnsiTheme="majorBidi" w:cstheme="majorBidi"/>
          <w:sz w:val="24"/>
          <w:szCs w:val="24"/>
        </w:rPr>
      </w:pPr>
      <w:r>
        <w:rPr>
          <w:rFonts w:asciiTheme="majorBidi" w:hAnsiTheme="majorBidi" w:cstheme="majorBidi"/>
          <w:sz w:val="24"/>
          <w:szCs w:val="24"/>
        </w:rPr>
        <w:t>Interpretation:</w:t>
      </w:r>
    </w:p>
    <w:p>
      <w:pPr>
        <w:spacing w:line="360" w:lineRule="auto"/>
        <w:rPr>
          <w:rFonts w:asciiTheme="majorBidi" w:hAnsiTheme="majorBidi" w:cstheme="majorBidi"/>
          <w:sz w:val="24"/>
          <w:szCs w:val="24"/>
        </w:rPr>
      </w:pPr>
      <w:r>
        <w:rPr>
          <w:rFonts w:asciiTheme="majorBidi" w:hAnsiTheme="majorBidi" w:cstheme="majorBidi"/>
          <w:sz w:val="24"/>
          <w:szCs w:val="24"/>
        </w:rPr>
        <w:t>Tanke’s real estate market is more developed and profitable. Rent and sale values are almost double that of Oke-Oyi across all categories, which is linked to better infrastructure and neighborhood satisfaction.</w:t>
      </w:r>
    </w:p>
    <w:p>
      <w:pPr>
        <w:spacing w:line="360" w:lineRule="auto"/>
        <w:rPr>
          <w:rFonts w:asciiTheme="majorBidi" w:hAnsiTheme="majorBidi" w:cstheme="majorBidi"/>
          <w:sz w:val="24"/>
          <w:szCs w:val="24"/>
        </w:rPr>
      </w:pPr>
      <w:r>
        <w:drawing>
          <wp:inline distT="0" distB="0" distL="0" distR="0">
            <wp:extent cx="5669280" cy="31445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69280" cy="3144520"/>
                    </a:xfrm>
                    <a:prstGeom prst="rect">
                      <a:avLst/>
                    </a:prstGeom>
                    <a:noFill/>
                    <a:ln>
                      <a:noFill/>
                    </a:ln>
                  </pic:spPr>
                </pic:pic>
              </a:graphicData>
            </a:graphic>
          </wp:inline>
        </w:drawing>
      </w:r>
    </w:p>
    <w:p>
      <w:pPr>
        <w:spacing w:after="160" w:line="259" w:lineRule="auto"/>
        <w:rPr>
          <w:rFonts w:asciiTheme="majorBidi" w:hAnsiTheme="majorBidi" w:cstheme="majorBidi"/>
          <w:b/>
          <w:bCs/>
          <w:sz w:val="24"/>
          <w:szCs w:val="24"/>
        </w:rPr>
      </w:pPr>
      <w:r>
        <w:rPr>
          <w:rFonts w:asciiTheme="majorBidi" w:hAnsiTheme="majorBidi" w:cstheme="majorBidi"/>
          <w:b/>
          <w:bCs/>
          <w:sz w:val="24"/>
          <w:szCs w:val="24"/>
        </w:rPr>
        <w:br w:type="page"/>
      </w:r>
    </w:p>
    <w:p>
      <w:pPr>
        <w:spacing w:line="360" w:lineRule="auto"/>
        <w:rPr>
          <w:rFonts w:asciiTheme="majorBidi" w:hAnsiTheme="majorBidi" w:cstheme="majorBidi"/>
          <w:b/>
          <w:bCs/>
          <w:sz w:val="24"/>
          <w:szCs w:val="24"/>
        </w:rPr>
      </w:pPr>
      <w:r>
        <w:rPr>
          <w:rFonts w:asciiTheme="majorBidi" w:hAnsiTheme="majorBidi" w:cstheme="majorBidi"/>
          <w:b/>
          <w:bCs/>
          <w:sz w:val="24"/>
          <w:szCs w:val="24"/>
        </w:rPr>
        <w:t>4.1.5   Property values  ( 2015-2024 )</w:t>
      </w:r>
    </w:p>
    <w:tbl>
      <w:tblPr>
        <w:tblStyle w:val="16"/>
        <w:tblW w:w="9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8"/>
        <w:gridCol w:w="3048"/>
        <w:gridCol w:w="3048"/>
      </w:tblGrid>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Ye</w:t>
            </w:r>
            <w:r>
              <w:rPr>
                <w:rFonts w:asciiTheme="majorBidi" w:hAnsiTheme="majorBidi" w:cstheme="majorBidi"/>
                <w:b/>
                <w:bCs/>
                <w:color w:val="000000"/>
                <w:sz w:val="24"/>
                <w:szCs w:val="24"/>
              </w:rPr>
              <w:t xml:space="preserve">ar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OkeOyi 2 Bedroom Rent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Tanke  2 Bedroom Rent </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2015</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65,000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120,000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2016</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70,000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135,000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2017</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75,000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150,000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2018</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85,000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180,000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2019</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90,000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200,000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2020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100,000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230,000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2021</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110,000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270,000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2022</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120,00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300,000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2023</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140,000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350,000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2024</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160,000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400,000</w:t>
            </w:r>
          </w:p>
        </w:tc>
      </w:tr>
    </w:tbl>
    <w:p>
      <w:pPr>
        <w:spacing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source:field survey 20225</w:t>
      </w:r>
    </w:p>
    <w:p>
      <w:pPr>
        <w:spacing w:line="360" w:lineRule="auto"/>
        <w:rPr>
          <w:rFonts w:asciiTheme="majorBidi" w:hAnsiTheme="majorBidi" w:cstheme="majorBidi"/>
          <w:sz w:val="24"/>
          <w:szCs w:val="24"/>
        </w:rPr>
      </w:pPr>
      <w:r>
        <w:rPr>
          <w:rFonts w:asciiTheme="majorBidi" w:hAnsiTheme="majorBidi" w:cstheme="majorBidi"/>
          <w:sz w:val="24"/>
          <w:szCs w:val="24"/>
        </w:rPr>
        <w:t>Interpretation:</w:t>
      </w:r>
    </w:p>
    <w:p>
      <w:pPr>
        <w:spacing w:line="360" w:lineRule="auto"/>
        <w:rPr>
          <w:rFonts w:asciiTheme="majorBidi" w:hAnsiTheme="majorBidi" w:cstheme="majorBidi"/>
          <w:sz w:val="24"/>
          <w:szCs w:val="24"/>
        </w:rPr>
      </w:pPr>
      <w:r>
        <w:rPr>
          <w:rFonts w:asciiTheme="majorBidi" w:hAnsiTheme="majorBidi" w:cstheme="majorBidi"/>
          <w:sz w:val="24"/>
          <w:szCs w:val="24"/>
        </w:rPr>
        <w:t>Over 10 years, Tanke has shown more rapid appreciation in both rent and land values compared to Oke-Oyi. This trend mirrors infrastructural development and urban expansion in Tanke.</w:t>
      </w:r>
    </w:p>
    <w:p>
      <w:pPr>
        <w:spacing w:line="360" w:lineRule="auto"/>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Tanke has consistently higher rental values, starting at ₦120,000 in 2015 and rising to ₦400,000 by 2024.</w:t>
      </w:r>
    </w:p>
    <w:p>
      <w:pPr>
        <w:spacing w:line="36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Oke-Oyi values rose more slowly, from ₦65,000 in 2015 to ₦160,000 in 2024.</w:t>
      </w:r>
    </w:p>
    <w:p>
      <w:pPr>
        <w:spacing w:line="360" w:lineRule="auto"/>
        <w:rPr>
          <w:rFonts w:asciiTheme="majorBidi" w:hAnsiTheme="majorBidi" w:cstheme="majorBidi"/>
          <w:b/>
          <w:bCs/>
          <w:sz w:val="24"/>
          <w:szCs w:val="24"/>
        </w:rPr>
      </w:pPr>
    </w:p>
    <w:p>
      <w:pPr>
        <w:spacing w:after="160" w:line="259" w:lineRule="auto"/>
        <w:rPr>
          <w:rFonts w:asciiTheme="majorBidi" w:hAnsiTheme="majorBidi" w:cstheme="majorBidi"/>
          <w:b/>
          <w:bCs/>
          <w:sz w:val="24"/>
          <w:szCs w:val="24"/>
        </w:rPr>
      </w:pPr>
    </w:p>
    <w:p>
      <w:pPr>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 Table 4.1.5   Land value Trend ( 2015-2024)</w:t>
      </w:r>
    </w:p>
    <w:tbl>
      <w:tblPr>
        <w:tblStyle w:val="16"/>
        <w:tblW w:w="9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8"/>
        <w:gridCol w:w="3048"/>
        <w:gridCol w:w="3048"/>
      </w:tblGrid>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Year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OkeOyi (#)</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Tanke</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2015</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200,00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1000,000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2016</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250,000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1,200,000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2017</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300,000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1,400,000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2018</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350,000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1,600,000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2019</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400,000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1,800,000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2020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450,000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2,000,000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2021</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500,000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2,200,000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2022</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550,000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2,500,000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2023</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600,000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2,800,000</w:t>
            </w:r>
          </w:p>
        </w:tc>
      </w:tr>
      <w:tr>
        <w:tblPrEx>
          <w:tblLayout w:type="fixed"/>
        </w:tblPrEx>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2024</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700,000</w:t>
            </w:r>
          </w:p>
        </w:tc>
        <w:tc>
          <w:tcPr>
            <w:tcW w:w="3048"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color w:val="000000"/>
                <w:sz w:val="24"/>
                <w:szCs w:val="24"/>
              </w:rPr>
            </w:pPr>
            <w:r>
              <w:rPr>
                <w:rFonts w:asciiTheme="majorBidi" w:hAnsiTheme="majorBidi" w:cstheme="majorBidi"/>
                <w:b/>
                <w:bCs/>
                <w:color w:val="000000"/>
                <w:sz w:val="24"/>
                <w:szCs w:val="24"/>
              </w:rPr>
              <w:t>3,000,000</w:t>
            </w:r>
          </w:p>
        </w:tc>
      </w:tr>
    </w:tbl>
    <w:p>
      <w:pPr>
        <w:spacing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Source:Field survey 20225</w:t>
      </w:r>
    </w:p>
    <w:p>
      <w:pPr>
        <w:spacing w:line="360" w:lineRule="auto"/>
        <w:rPr>
          <w:rFonts w:asciiTheme="majorBidi" w:hAnsiTheme="majorBidi" w:cstheme="majorBidi"/>
          <w:sz w:val="24"/>
          <w:szCs w:val="24"/>
        </w:rPr>
      </w:pPr>
      <w:r>
        <w:rPr>
          <w:rFonts w:asciiTheme="majorBidi" w:hAnsiTheme="majorBidi" w:cstheme="majorBidi"/>
          <w:sz w:val="24"/>
          <w:szCs w:val="24"/>
        </w:rPr>
        <w:t>Interpretation:</w:t>
      </w:r>
    </w:p>
    <w:p>
      <w:pPr>
        <w:spacing w:line="360" w:lineRule="auto"/>
        <w:rPr>
          <w:rFonts w:asciiTheme="majorBidi" w:hAnsiTheme="majorBidi" w:cstheme="majorBidi"/>
          <w:sz w:val="24"/>
          <w:szCs w:val="24"/>
        </w:rPr>
      </w:pPr>
      <w:r>
        <w:rPr>
          <w:rFonts w:asciiTheme="majorBidi" w:hAnsiTheme="majorBidi" w:cstheme="majorBidi"/>
          <w:sz w:val="24"/>
          <w:szCs w:val="24"/>
        </w:rPr>
        <w:t>Land values have appreciated faster in Tanke. A plot in Tanke has grown from ₦1 million in 2015 to ₦3 million in 2024—about 4× faster than Oke-Oyi. This reinforces Tanke’s urban advantage and investment appeal.</w:t>
      </w:r>
    </w:p>
    <w:p>
      <w:pPr>
        <w:spacing w:line="360" w:lineRule="auto"/>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Tanke’s land value tripled over 10 years, showing strong investor interest, urban development, and infrastructure upgrades.</w:t>
      </w:r>
    </w:p>
    <w:p>
      <w:pPr>
        <w:spacing w:line="36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Oke-Oyi’s growth is slower, although still steady, reflecting its gradual transition from rural to semi-urban.</w:t>
      </w:r>
    </w:p>
    <w:p>
      <w:pPr>
        <w:spacing w:after="160" w:line="259" w:lineRule="auto"/>
        <w:rPr>
          <w:rFonts w:asciiTheme="majorBidi" w:hAnsiTheme="majorBidi" w:cstheme="majorBidi"/>
          <w:b/>
          <w:bCs/>
          <w:sz w:val="24"/>
          <w:szCs w:val="24"/>
        </w:rPr>
      </w:pPr>
      <w:r>
        <w:rPr>
          <w:rFonts w:asciiTheme="majorBidi" w:hAnsiTheme="majorBidi" w:cstheme="majorBidi"/>
          <w:b/>
          <w:bCs/>
          <w:sz w:val="24"/>
          <w:szCs w:val="24"/>
        </w:rPr>
        <w:br w:type="page"/>
      </w:r>
    </w:p>
    <w:p>
      <w:pPr>
        <w:spacing w:line="360" w:lineRule="auto"/>
        <w:rPr>
          <w:rFonts w:asciiTheme="majorBidi" w:hAnsiTheme="majorBidi" w:cstheme="majorBidi"/>
          <w:b/>
          <w:bCs/>
          <w:sz w:val="24"/>
          <w:szCs w:val="24"/>
        </w:rPr>
      </w:pPr>
      <w:r>
        <w:drawing>
          <wp:inline distT="0" distB="0" distL="0" distR="0">
            <wp:extent cx="5669280" cy="2143125"/>
            <wp:effectExtent l="0" t="0" r="762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69280" cy="2143125"/>
                    </a:xfrm>
                    <a:prstGeom prst="rect">
                      <a:avLst/>
                    </a:prstGeom>
                    <a:noFill/>
                    <a:ln>
                      <a:noFill/>
                    </a:ln>
                  </pic:spPr>
                </pic:pic>
              </a:graphicData>
            </a:graphic>
          </wp:inline>
        </w:drawing>
      </w:r>
    </w:p>
    <w:p>
      <w:pPr>
        <w:spacing w:line="360" w:lineRule="auto"/>
        <w:rPr>
          <w:rFonts w:asciiTheme="majorBidi" w:hAnsiTheme="majorBidi" w:cstheme="majorBidi"/>
          <w:sz w:val="24"/>
          <w:szCs w:val="24"/>
        </w:rPr>
      </w:pPr>
      <w:r>
        <w:rPr>
          <w:rFonts w:asciiTheme="majorBidi" w:hAnsiTheme="majorBidi" w:cstheme="majorBidi"/>
          <w:b/>
          <w:bCs/>
          <w:sz w:val="24"/>
          <w:szCs w:val="24"/>
        </w:rPr>
        <w:t>Table 4.1.6.1: Perceived Key Drivers of Property Value</w:t>
      </w:r>
    </w:p>
    <w:tbl>
      <w:tblPr>
        <w:tblStyle w:val="16"/>
        <w:tblW w:w="91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2"/>
        <w:gridCol w:w="1832"/>
        <w:gridCol w:w="1832"/>
        <w:gridCol w:w="1827"/>
        <w:gridCol w:w="1827"/>
      </w:tblGrid>
      <w:tr>
        <w:tblPrEx>
          <w:tblLayout w:type="fixed"/>
        </w:tblPrEx>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Value Driver</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oke Oyi</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percentage </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Tanke</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Percentage </w:t>
            </w:r>
          </w:p>
        </w:tc>
      </w:tr>
      <w:tr>
        <w:tblPrEx>
          <w:tblLayout w:type="fixed"/>
        </w:tblPrEx>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Building condition</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20</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40.0%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18</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36.0%</w:t>
            </w:r>
          </w:p>
        </w:tc>
      </w:tr>
      <w:tr>
        <w:tblPrEx>
          <w:tblLayout w:type="fixed"/>
        </w:tblPrEx>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Neighborhood Quality </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10</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20.0%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12</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24.0%</w:t>
            </w:r>
          </w:p>
        </w:tc>
      </w:tr>
      <w:tr>
        <w:tblPrEx>
          <w:tblLayout w:type="fixed"/>
        </w:tblPrEx>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Accessibility </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8</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16.0%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5</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10.0%</w:t>
            </w:r>
          </w:p>
        </w:tc>
      </w:tr>
      <w:tr>
        <w:tblPrEx>
          <w:tblLayout w:type="fixed"/>
        </w:tblPrEx>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Security </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7</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14.0%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20.0%</w:t>
            </w:r>
          </w:p>
        </w:tc>
      </w:tr>
      <w:tr>
        <w:tblPrEx>
          <w:tblLayout w:type="fixed"/>
        </w:tblPrEx>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Proximity to Facilities </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5</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10.0%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5</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10.0%</w:t>
            </w:r>
          </w:p>
        </w:tc>
      </w:tr>
      <w:tr>
        <w:tblPrEx>
          <w:tblLayout w:type="fixed"/>
        </w:tblPrEx>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Total</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50</w:t>
            </w:r>
          </w:p>
        </w:tc>
        <w:tc>
          <w:tcPr>
            <w:tcW w:w="1832"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100%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50</w:t>
            </w:r>
          </w:p>
        </w:tc>
        <w:tc>
          <w:tcPr>
            <w:tcW w:w="1827" w:type="dxa"/>
            <w:tcBorders>
              <w:top w:val="single" w:color="000000" w:sz="4" w:space="0"/>
              <w:left w:val="single" w:color="000000" w:sz="4" w:space="0"/>
              <w:bottom w:val="single" w:color="000000" w:sz="4" w:space="0"/>
              <w:right w:val="single" w:color="000000" w:sz="4" w:space="0"/>
            </w:tcBorders>
            <w:shd w:val="clear" w:color="auto" w:fill="FFFFFF"/>
          </w:tcPr>
          <w:p>
            <w:pPr>
              <w:spacing w:after="0" w:line="360" w:lineRule="auto"/>
              <w:rPr>
                <w:rFonts w:asciiTheme="majorBidi" w:hAnsiTheme="majorBidi" w:cstheme="majorBidi"/>
                <w:b/>
                <w:bCs/>
                <w:sz w:val="24"/>
                <w:szCs w:val="24"/>
              </w:rPr>
            </w:pPr>
            <w:r>
              <w:rPr>
                <w:rFonts w:asciiTheme="majorBidi" w:hAnsiTheme="majorBidi" w:cstheme="majorBidi"/>
                <w:b/>
                <w:bCs/>
                <w:sz w:val="24"/>
                <w:szCs w:val="24"/>
              </w:rPr>
              <w:t>100%</w:t>
            </w:r>
          </w:p>
        </w:tc>
      </w:tr>
    </w:tbl>
    <w:p>
      <w:pPr>
        <w:spacing w:line="360" w:lineRule="auto"/>
        <w:rPr>
          <w:rFonts w:asciiTheme="majorBidi" w:hAnsiTheme="majorBidi" w:cstheme="majorBidi"/>
          <w:b/>
          <w:color w:val="000000"/>
          <w:sz w:val="24"/>
          <w:szCs w:val="24"/>
        </w:rPr>
      </w:pPr>
      <w:r>
        <w:rPr>
          <w:rFonts w:asciiTheme="majorBidi" w:hAnsiTheme="majorBidi" w:cstheme="majorBidi"/>
          <w:b/>
          <w:color w:val="000000"/>
          <w:sz w:val="24"/>
          <w:szCs w:val="24"/>
        </w:rPr>
        <w:t>Source:field survey 20225</w:t>
      </w:r>
    </w:p>
    <w:p>
      <w:pPr>
        <w:spacing w:line="360" w:lineRule="auto"/>
        <w:rPr>
          <w:rFonts w:asciiTheme="majorBidi" w:hAnsiTheme="majorBidi" w:cstheme="majorBidi"/>
          <w:sz w:val="24"/>
          <w:szCs w:val="24"/>
        </w:rPr>
      </w:pPr>
      <w:r>
        <w:rPr>
          <w:rFonts w:asciiTheme="majorBidi" w:hAnsiTheme="majorBidi" w:cstheme="majorBidi"/>
          <w:sz w:val="24"/>
          <w:szCs w:val="24"/>
        </w:rPr>
        <w:t>Interpretation:</w:t>
      </w:r>
    </w:p>
    <w:p>
      <w:pPr>
        <w:spacing w:line="360" w:lineRule="auto"/>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Building condition is the leading value driver for both areas, cited by 40% in Oke-Oyi and 36% in Tanke.</w:t>
      </w:r>
    </w:p>
    <w:p>
      <w:pPr>
        <w:spacing w:line="360" w:lineRule="auto"/>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Neighborhood quality and security are also strong factors, particularly in Tanke.</w:t>
      </w:r>
    </w:p>
    <w:p>
      <w:pPr>
        <w:spacing w:line="360" w:lineRule="auto"/>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Accessibility and proximity to schools/markets are seen as moderately important.</w:t>
      </w:r>
    </w:p>
    <w:p>
      <w:pPr>
        <w:spacing w:line="360" w:lineRule="auto"/>
        <w:ind w:firstLine="720"/>
        <w:rPr>
          <w:rFonts w:asciiTheme="majorBidi" w:hAnsiTheme="majorBidi" w:cstheme="majorBidi"/>
          <w:b/>
          <w:color w:val="000000"/>
          <w:sz w:val="24"/>
          <w:szCs w:val="24"/>
        </w:rPr>
      </w:pPr>
      <w:r>
        <w:rPr>
          <w:rFonts w:asciiTheme="majorBidi" w:hAnsiTheme="majorBidi" w:cstheme="majorBidi"/>
          <w:sz w:val="24"/>
          <w:szCs w:val="24"/>
        </w:rPr>
        <w:t>This indicates that respondents are aware of both structural and locational factors in determining property value.</w:t>
      </w:r>
    </w:p>
    <w:p>
      <w:pPr>
        <w:spacing w:line="360" w:lineRule="auto"/>
        <w:rPr>
          <w:rFonts w:asciiTheme="majorBidi" w:hAnsiTheme="majorBidi" w:cstheme="majorBidi"/>
          <w:b/>
          <w:color w:val="000000"/>
          <w:sz w:val="24"/>
          <w:szCs w:val="24"/>
        </w:rPr>
      </w:pPr>
    </w:p>
    <w:p>
      <w:pPr>
        <w:spacing w:after="160" w:line="259" w:lineRule="auto"/>
        <w:rPr>
          <w:rFonts w:asciiTheme="majorBidi" w:hAnsiTheme="majorBidi" w:cstheme="majorBidi"/>
          <w:b/>
          <w:sz w:val="24"/>
          <w:szCs w:val="24"/>
        </w:rPr>
      </w:pPr>
      <w:r>
        <w:rPr>
          <w:rFonts w:asciiTheme="majorBidi" w:hAnsiTheme="majorBidi" w:cstheme="majorBidi"/>
          <w:b/>
          <w:sz w:val="24"/>
          <w:szCs w:val="24"/>
        </w:rPr>
        <w:br w:type="page"/>
      </w:r>
    </w:p>
    <w:p>
      <w:pPr>
        <w:spacing w:after="0" w:line="360" w:lineRule="auto"/>
        <w:jc w:val="center"/>
        <w:rPr>
          <w:rFonts w:asciiTheme="majorBidi" w:hAnsiTheme="majorBidi" w:cstheme="majorBidi"/>
          <w:b/>
          <w:sz w:val="24"/>
          <w:szCs w:val="24"/>
        </w:rPr>
      </w:pPr>
      <w:r>
        <w:rPr>
          <w:rFonts w:asciiTheme="majorBidi" w:hAnsiTheme="majorBidi" w:cstheme="majorBidi"/>
          <w:b/>
          <w:sz w:val="24"/>
          <w:szCs w:val="24"/>
        </w:rPr>
        <w:t>CHAPTER FIVE</w:t>
      </w:r>
    </w:p>
    <w:p>
      <w:pPr>
        <w:spacing w:after="0" w:line="360" w:lineRule="auto"/>
        <w:jc w:val="both"/>
        <w:rPr>
          <w:rFonts w:asciiTheme="majorBidi" w:hAnsiTheme="majorBidi" w:cstheme="majorBidi"/>
          <w:b/>
          <w:sz w:val="24"/>
          <w:szCs w:val="24"/>
        </w:rPr>
      </w:pPr>
      <w:r>
        <w:rPr>
          <w:rFonts w:asciiTheme="majorBidi" w:hAnsiTheme="majorBidi" w:cstheme="majorBidi"/>
          <w:b/>
          <w:sz w:val="24"/>
          <w:szCs w:val="24"/>
        </w:rPr>
        <w:t>SUMMARY, CONCLUSION AND RECOMMENDATIONS</w:t>
      </w:r>
    </w:p>
    <w:p>
      <w:pPr>
        <w:spacing w:after="0" w:line="360" w:lineRule="auto"/>
        <w:jc w:val="both"/>
        <w:rPr>
          <w:rFonts w:asciiTheme="majorBidi" w:hAnsiTheme="majorBidi" w:cstheme="majorBidi"/>
          <w:b/>
          <w:sz w:val="24"/>
          <w:szCs w:val="24"/>
        </w:rPr>
      </w:pPr>
      <w:r>
        <w:rPr>
          <w:rFonts w:asciiTheme="majorBidi" w:hAnsiTheme="majorBidi" w:cstheme="majorBidi"/>
          <w:b/>
          <w:sz w:val="24"/>
          <w:szCs w:val="24"/>
        </w:rPr>
        <w:t>5.0</w:t>
      </w:r>
      <w:r>
        <w:rPr>
          <w:rFonts w:asciiTheme="majorBidi" w:hAnsiTheme="majorBidi" w:cstheme="majorBidi"/>
          <w:b/>
          <w:sz w:val="24"/>
          <w:szCs w:val="24"/>
        </w:rPr>
        <w:tab/>
      </w:r>
      <w:r>
        <w:rPr>
          <w:rFonts w:asciiTheme="majorBidi" w:hAnsiTheme="majorBidi" w:cstheme="majorBidi"/>
          <w:b/>
          <w:sz w:val="24"/>
          <w:szCs w:val="24"/>
        </w:rPr>
        <w:t>INTRODUCTION</w:t>
      </w:r>
    </w:p>
    <w:p>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This chapter gives in-depth details about the summary of findings, conclusion and recommendations for further research findings.</w:t>
      </w:r>
    </w:p>
    <w:p>
      <w:pPr>
        <w:spacing w:after="0" w:line="360" w:lineRule="auto"/>
        <w:jc w:val="both"/>
        <w:rPr>
          <w:rFonts w:asciiTheme="majorBidi" w:hAnsiTheme="majorBidi" w:cstheme="majorBidi"/>
          <w:b/>
          <w:sz w:val="24"/>
          <w:szCs w:val="24"/>
        </w:rPr>
      </w:pPr>
      <w:r>
        <w:rPr>
          <w:rFonts w:asciiTheme="majorBidi" w:hAnsiTheme="majorBidi" w:cstheme="majorBidi"/>
          <w:b/>
          <w:sz w:val="24"/>
          <w:szCs w:val="24"/>
        </w:rPr>
        <w:t>5.1</w:t>
      </w:r>
      <w:r>
        <w:rPr>
          <w:rFonts w:asciiTheme="majorBidi" w:hAnsiTheme="majorBidi" w:cstheme="majorBidi"/>
          <w:b/>
          <w:sz w:val="24"/>
          <w:szCs w:val="24"/>
        </w:rPr>
        <w:tab/>
      </w:r>
      <w:r>
        <w:rPr>
          <w:rFonts w:asciiTheme="majorBidi" w:hAnsiTheme="majorBidi" w:cstheme="majorBidi"/>
          <w:b/>
          <w:sz w:val="24"/>
          <w:szCs w:val="24"/>
        </w:rPr>
        <w:t>SUMMARY OF FINDINGS</w:t>
      </w:r>
    </w:p>
    <w:p>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The research aimed at comparing how house conditions and neighborhood quality affect residential property value in Oke-Oyi (a peri-urban area) and Tanke (an urban area) in Ilorin. Major findings include:</w:t>
      </w:r>
    </w:p>
    <w:p>
      <w:pPr>
        <w:numPr>
          <w:ilvl w:val="0"/>
          <w:numId w:val="9"/>
        </w:numPr>
        <w:spacing w:after="160" w:line="360" w:lineRule="auto"/>
        <w:jc w:val="both"/>
        <w:rPr>
          <w:rFonts w:ascii="Charter" w:hAnsi="Charter" w:eastAsia="Charter" w:cs="Charter"/>
          <w:color w:val="000000" w:themeColor="text1"/>
          <w:sz w:val="24"/>
          <w:szCs w:val="24"/>
        </w:rPr>
      </w:pPr>
      <w:r>
        <w:rPr>
          <w:rFonts w:ascii="Charter" w:hAnsi="Charter" w:eastAsia="Charter" w:cs="Charter"/>
          <w:color w:val="000000" w:themeColor="text1"/>
          <w:sz w:val="24"/>
          <w:szCs w:val="24"/>
        </w:rPr>
        <w:t xml:space="preserve">Housing materials differ significantly. Table 4.1.2.1 shows Oke-Oyi has 30% mud-brick walls versus 20% in Tanke . Likewise, Table 4.1.2.2 </w:t>
      </w:r>
      <w:r>
        <w:rPr>
          <w:rFonts w:ascii="Charter" w:hAnsi="Charter" w:eastAsia="Charter" w:cs="Charter"/>
          <w:color w:val="000000" w:themeColor="text1"/>
          <w:sz w:val="24"/>
          <w:szCs w:val="24"/>
        </w:rPr>
        <w:t>shows 15% of Oke-Oyi floors are earthen versus 10% in Tanke . In other words, Oke-Oyi’s homes more often use traditional, lower-quality materials, while Tanke’s housing is mostly modern sandcrete/concrete.</w:t>
      </w:r>
    </w:p>
    <w:p>
      <w:pPr>
        <w:spacing w:after="160" w:line="360" w:lineRule="auto"/>
        <w:jc w:val="both"/>
        <w:rPr>
          <w:rFonts w:ascii="Charter" w:hAnsi="Charter" w:eastAsia="Charter" w:cs="Charter"/>
          <w:color w:val="000000" w:themeColor="text1"/>
          <w:sz w:val="24"/>
          <w:szCs w:val="24"/>
        </w:rPr>
      </w:pPr>
      <w:r>
        <w:rPr>
          <w:rFonts w:ascii="Charter" w:hAnsi="Charter" w:eastAsia="Charter" w:cs="Charter"/>
          <w:color w:val="000000" w:themeColor="text1"/>
          <w:sz w:val="24"/>
          <w:szCs w:val="24"/>
        </w:rPr>
        <w:t>2.Finishes and fixtures are higher-grade in Tanke.</w:t>
      </w:r>
      <w:r>
        <w:rPr>
          <w:rFonts w:ascii="Charter" w:hAnsi="Charter" w:eastAsia="Charter" w:cs="Charter"/>
          <w:color w:val="000000" w:themeColor="text1"/>
          <w:sz w:val="24"/>
          <w:szCs w:val="24"/>
        </w:rPr>
        <w:t xml:space="preserve"> Table 4.1.2.3 (Roofing) shows 60% of Oke-Oyi roofs are basic corrugated iron (only 20% in Tanke), whereas 60% of Tanke roofs are aluminum sheets . Table 4.1.2.5 (Windows) shows 60% of Tanke homes have aluminum sliding windows versus only 10% in Oke-Oyi  T</w:t>
      </w:r>
      <w:r>
        <w:rPr>
          <w:rFonts w:ascii="Charter" w:hAnsi="Charter" w:eastAsia="Charter" w:cs="Charter"/>
          <w:color w:val="000000" w:themeColor="text1"/>
          <w:sz w:val="24"/>
          <w:szCs w:val="24"/>
        </w:rPr>
        <w:t>his pattern indicates Oke-Oyi uses cheaper finishes (wood/metal windows, basic roofs), while Tanke homes feature more modern, durable materials.</w:t>
      </w:r>
    </w:p>
    <w:p>
      <w:pPr>
        <w:spacing w:after="160" w:line="360" w:lineRule="auto"/>
        <w:jc w:val="both"/>
        <w:rPr>
          <w:rFonts w:ascii="Charter" w:hAnsi="Charter" w:eastAsia="Charter" w:cs="Charter"/>
          <w:color w:val="000000" w:themeColor="text1"/>
          <w:sz w:val="24"/>
          <w:szCs w:val="24"/>
        </w:rPr>
      </w:pPr>
      <w:r>
        <w:rPr>
          <w:rFonts w:ascii="Charter" w:hAnsi="Charter" w:eastAsia="Charter" w:cs="Charter"/>
          <w:color w:val="000000" w:themeColor="text1"/>
          <w:sz w:val="24"/>
          <w:szCs w:val="24"/>
        </w:rPr>
        <w:t>3.Infrastructure quality is much higher in Tanke. In Table 4.1.3.1 (Road Accessibility), 40% of Tanke responden</w:t>
      </w:r>
      <w:r>
        <w:rPr>
          <w:rFonts w:ascii="Charter" w:hAnsi="Charter" w:eastAsia="Charter" w:cs="Charter"/>
          <w:color w:val="000000" w:themeColor="text1"/>
          <w:sz w:val="24"/>
          <w:szCs w:val="24"/>
        </w:rPr>
        <w:t>ts rate roads “Excellent” compared to only 12% in Oke-Oyi</w:t>
      </w:r>
      <w:r>
        <w:rPr>
          <w:rFonts w:ascii="Charter" w:hAnsi="Charter" w:eastAsia="Charter" w:cs="Charter"/>
          <w:color w:val="000000" w:themeColor="text1"/>
          <w:sz w:val="24"/>
          <w:szCs w:val="24"/>
        </w:rPr>
        <w:t>.</w:t>
      </w:r>
      <w:r>
        <w:rPr>
          <w:rFonts w:ascii="Charter" w:hAnsi="Charter" w:eastAsia="Charter" w:cs="Charter"/>
          <w:color w:val="000000" w:themeColor="text1"/>
          <w:sz w:val="24"/>
          <w:szCs w:val="24"/>
        </w:rPr>
        <w:t xml:space="preserve"> Similarly, Table 4.1.3.2 (Drainage) shows 34% of Oke-Oyi residents rate drainage “Poor” versus just 8% in Tanke . These gaps imply that Tanke’s roads and drainage systems are significantly better m</w:t>
      </w:r>
      <w:r>
        <w:rPr>
          <w:rFonts w:ascii="Charter" w:hAnsi="Charter" w:eastAsia="Charter" w:cs="Charter"/>
          <w:color w:val="000000" w:themeColor="text1"/>
          <w:sz w:val="24"/>
          <w:szCs w:val="24"/>
        </w:rPr>
        <w:t>aintained than Oke-Oyi’s, a difference that contributes to higher neighborhood quality in Tanke.</w:t>
      </w:r>
    </w:p>
    <w:p>
      <w:pPr>
        <w:spacing w:after="160" w:line="360" w:lineRule="auto"/>
        <w:jc w:val="both"/>
        <w:rPr>
          <w:rFonts w:asciiTheme="majorBidi" w:hAnsiTheme="majorBidi" w:cstheme="majorBidi"/>
          <w:b/>
          <w:sz w:val="24"/>
          <w:szCs w:val="24"/>
        </w:rPr>
      </w:pPr>
      <w:r>
        <w:rPr>
          <w:rFonts w:ascii="Charter" w:hAnsi="Charter" w:eastAsia="Charter" w:cs="Charter"/>
          <w:color w:val="000000" w:themeColor="text1"/>
          <w:sz w:val="24"/>
          <w:szCs w:val="24"/>
        </w:rPr>
        <w:t>4.Property values are far higher (and growing faster) in Tanke. Table 4.1.4 (2024 values) shows a 2-bedroom rent of ₦400,000 in Tanke versus ₦160,000 in Oke-Oy</w:t>
      </w:r>
      <w:r>
        <w:rPr>
          <w:rFonts w:ascii="Charter" w:hAnsi="Charter" w:eastAsia="Charter" w:cs="Charter"/>
          <w:color w:val="000000" w:themeColor="text1"/>
          <w:sz w:val="24"/>
          <w:szCs w:val="24"/>
        </w:rPr>
        <w:t xml:space="preserve">i  (land plots are ₦3.5M vs ₦1.3M) . Table 4.1.5 (Rent Trends 2015–2024) shows Tanke’s 2BR rent rose from ₦120K to ₦400K while Oke-Oyi’s went from ₦65K to ₦160K . In sum, Tanke’s </w:t>
      </w:r>
      <w:r>
        <w:rPr>
          <w:rFonts w:ascii="Charter" w:hAnsi="Charter" w:eastAsia="Charter" w:cs="Charter"/>
          <w:color w:val="000000" w:themeColor="text1"/>
          <w:sz w:val="24"/>
          <w:szCs w:val="24"/>
        </w:rPr>
        <w:t>superior infrastructure and amenities translate into roughly double (or more)</w:t>
      </w:r>
      <w:r>
        <w:rPr>
          <w:rFonts w:ascii="Charter" w:hAnsi="Charter" w:eastAsia="Charter" w:cs="Charter"/>
          <w:color w:val="000000" w:themeColor="text1"/>
          <w:sz w:val="24"/>
          <w:szCs w:val="24"/>
        </w:rPr>
        <w:t xml:space="preserve"> the rent and sale prices of Oke-Oyi, with faster appreciation over time.</w:t>
      </w:r>
    </w:p>
    <w:p>
      <w:pPr>
        <w:spacing w:after="0" w:line="360" w:lineRule="auto"/>
        <w:jc w:val="both"/>
        <w:rPr>
          <w:rFonts w:asciiTheme="majorBidi" w:hAnsiTheme="majorBidi" w:cstheme="majorBidi"/>
          <w:b/>
          <w:sz w:val="24"/>
          <w:szCs w:val="24"/>
        </w:rPr>
      </w:pPr>
      <w:r>
        <w:rPr>
          <w:rFonts w:asciiTheme="majorBidi" w:hAnsiTheme="majorBidi" w:cstheme="majorBidi"/>
          <w:b/>
          <w:sz w:val="24"/>
          <w:szCs w:val="24"/>
        </w:rPr>
        <w:t>5.2</w:t>
      </w:r>
      <w:r>
        <w:rPr>
          <w:rFonts w:asciiTheme="majorBidi" w:hAnsiTheme="majorBidi" w:cstheme="majorBidi"/>
          <w:b/>
          <w:sz w:val="24"/>
          <w:szCs w:val="24"/>
        </w:rPr>
        <w:tab/>
      </w:r>
      <w:r>
        <w:rPr>
          <w:rFonts w:asciiTheme="majorBidi" w:hAnsiTheme="majorBidi" w:cstheme="majorBidi"/>
          <w:b/>
          <w:sz w:val="24"/>
          <w:szCs w:val="24"/>
        </w:rPr>
        <w:t>CONCLUSION</w:t>
      </w:r>
    </w:p>
    <w:p>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The study confirms that both physical condition of properties and neighborhood quality are strong determinants of residential property value. Tanke’s superior infrastructure and modern housing have significantly elevated its property values compared to Oke-Oyi. This shows the importance of public investment and private housing quality in determining land and rental value in Nigerian urban and peri-urban settings.</w:t>
      </w:r>
    </w:p>
    <w:p>
      <w:pPr>
        <w:spacing w:after="0" w:line="360" w:lineRule="auto"/>
        <w:jc w:val="both"/>
        <w:rPr>
          <w:rFonts w:asciiTheme="majorBidi" w:hAnsiTheme="majorBidi" w:cstheme="majorBidi"/>
          <w:b/>
          <w:sz w:val="24"/>
          <w:szCs w:val="24"/>
        </w:rPr>
      </w:pPr>
      <w:r>
        <w:rPr>
          <w:rFonts w:asciiTheme="majorBidi" w:hAnsiTheme="majorBidi" w:cstheme="majorBidi"/>
          <w:b/>
          <w:sz w:val="24"/>
          <w:szCs w:val="24"/>
        </w:rPr>
        <w:t>5.3</w:t>
      </w:r>
      <w:r>
        <w:rPr>
          <w:rFonts w:asciiTheme="majorBidi" w:hAnsiTheme="majorBidi" w:cstheme="majorBidi"/>
          <w:b/>
          <w:sz w:val="24"/>
          <w:szCs w:val="24"/>
        </w:rPr>
        <w:tab/>
      </w:r>
      <w:r>
        <w:rPr>
          <w:rFonts w:asciiTheme="majorBidi" w:hAnsiTheme="majorBidi" w:cstheme="majorBidi"/>
          <w:b/>
          <w:sz w:val="24"/>
          <w:szCs w:val="24"/>
        </w:rPr>
        <w:t>RECOMMENDATIONS</w:t>
      </w:r>
    </w:p>
    <w:p>
      <w:pPr>
        <w:spacing w:after="0" w:line="360" w:lineRule="auto"/>
        <w:jc w:val="both"/>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rPr>
        <w:tab/>
      </w:r>
      <w:r>
        <w:rPr>
          <w:rFonts w:asciiTheme="majorBidi" w:hAnsiTheme="majorBidi" w:cstheme="majorBidi"/>
          <w:sz w:val="24"/>
          <w:szCs w:val="24"/>
        </w:rPr>
        <w:t>Government and Urban Planners:</w:t>
      </w:r>
    </w:p>
    <w:p>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Improve basic infrastructure in Oke-Oyi to stimulate property appreciation.</w:t>
      </w:r>
    </w:p>
    <w:p>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Provide incentives for real estate development in less urbanized areas.</w:t>
      </w:r>
    </w:p>
    <w:p>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2.</w:t>
      </w:r>
      <w:r>
        <w:rPr>
          <w:rFonts w:asciiTheme="majorBidi" w:hAnsiTheme="majorBidi" w:cstheme="majorBidi"/>
          <w:sz w:val="24"/>
          <w:szCs w:val="24"/>
        </w:rPr>
        <w:tab/>
      </w:r>
      <w:r>
        <w:rPr>
          <w:rFonts w:asciiTheme="majorBidi" w:hAnsiTheme="majorBidi" w:cstheme="majorBidi"/>
          <w:sz w:val="24"/>
          <w:szCs w:val="24"/>
        </w:rPr>
        <w:t>Developers and Investors:</w:t>
      </w:r>
    </w:p>
    <w:p>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Invest in high-quality building materials and security features to enhance property value.</w:t>
      </w:r>
    </w:p>
    <w:p>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Consider upcoming peri-urban areas like Oke-Oyi for long-term capital growth.</w:t>
      </w:r>
    </w:p>
    <w:p>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3.</w:t>
      </w:r>
      <w:r>
        <w:rPr>
          <w:rFonts w:asciiTheme="majorBidi" w:hAnsiTheme="majorBidi" w:cstheme="majorBidi"/>
          <w:sz w:val="24"/>
          <w:szCs w:val="24"/>
        </w:rPr>
        <w:tab/>
      </w:r>
      <w:r>
        <w:rPr>
          <w:rFonts w:asciiTheme="majorBidi" w:hAnsiTheme="majorBidi" w:cstheme="majorBidi"/>
          <w:sz w:val="24"/>
          <w:szCs w:val="24"/>
        </w:rPr>
        <w:t>Residents and Landlords:</w:t>
      </w:r>
    </w:p>
    <w:p>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Maintain and upgrade property regularly to retain its market value.</w:t>
      </w:r>
    </w:p>
    <w:p>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Ensure safe and clean surroundings to boost neighborhood appeal.</w:t>
      </w:r>
    </w:p>
    <w:p>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4.</w:t>
      </w:r>
      <w:r>
        <w:rPr>
          <w:rFonts w:asciiTheme="majorBidi" w:hAnsiTheme="majorBidi" w:cstheme="majorBidi"/>
          <w:sz w:val="24"/>
          <w:szCs w:val="24"/>
        </w:rPr>
        <w:tab/>
      </w:r>
      <w:r>
        <w:rPr>
          <w:rFonts w:asciiTheme="majorBidi" w:hAnsiTheme="majorBidi" w:cstheme="majorBidi"/>
          <w:sz w:val="24"/>
          <w:szCs w:val="24"/>
        </w:rPr>
        <w:t>Future Researchers:</w:t>
      </w:r>
    </w:p>
    <w:p>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Extend the study to other parts of Ilorin or other cities to generalize findings.</w:t>
      </w:r>
    </w:p>
    <w:p>
      <w:pPr>
        <w:spacing w:after="0" w:line="360" w:lineRule="auto"/>
        <w:jc w:val="both"/>
        <w:rPr>
          <w:rFonts w:asciiTheme="majorBidi" w:hAnsiTheme="majorBidi" w:cstheme="majorBidi"/>
          <w:b/>
          <w:sz w:val="24"/>
          <w:szCs w:val="24"/>
        </w:rPr>
      </w:pPr>
      <w:r>
        <w:rPr>
          <w:rFonts w:asciiTheme="majorBidi" w:hAnsiTheme="majorBidi" w:cstheme="majorBidi"/>
          <w:sz w:val="24"/>
          <w:szCs w:val="24"/>
        </w:rPr>
        <w:tab/>
      </w: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Explore the impact of government policies (e.g. land use and taxes) on property value.</w:t>
      </w:r>
    </w:p>
    <w:p>
      <w:pPr>
        <w:spacing w:after="160" w:line="360" w:lineRule="auto"/>
        <w:jc w:val="both"/>
        <w:rPr>
          <w:rFonts w:eastAsia="Arial MT" w:asciiTheme="majorBidi" w:hAnsiTheme="majorBidi" w:cstheme="majorBidi"/>
          <w:b/>
          <w:sz w:val="24"/>
          <w:szCs w:val="24"/>
        </w:rPr>
      </w:pPr>
      <w:r>
        <w:rPr>
          <w:rFonts w:asciiTheme="majorBidi" w:hAnsiTheme="majorBidi" w:cstheme="majorBidi"/>
          <w:b/>
          <w:sz w:val="24"/>
          <w:szCs w:val="24"/>
        </w:rPr>
        <w:br w:type="page"/>
      </w:r>
    </w:p>
    <w:p>
      <w:pPr>
        <w:pStyle w:val="7"/>
        <w:spacing w:before="4" w:line="360" w:lineRule="auto"/>
        <w:jc w:val="center"/>
        <w:rPr>
          <w:rFonts w:ascii="Times New Roman" w:hAnsi="Times New Roman" w:cs="Times New Roman"/>
          <w:b/>
          <w:sz w:val="24"/>
          <w:szCs w:val="24"/>
        </w:rPr>
      </w:pPr>
      <w:r>
        <w:rPr>
          <w:rFonts w:ascii="Times New Roman" w:hAnsi="Times New Roman" w:cs="Times New Roman"/>
          <w:b/>
          <w:sz w:val="24"/>
          <w:szCs w:val="24"/>
        </w:rPr>
        <w:t>REFERENCES</w:t>
      </w:r>
    </w:p>
    <w:p>
      <w:pPr>
        <w:pStyle w:val="7"/>
        <w:spacing w:before="4"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Adedeji, Y.M.D and Owoeye, J.O (2008); Environmental Sanitation and the Health of Slum Dwellers in Akure: Knowledge Review (a multidisciplinary Journal); National Association for the Advancement of Knowledge (NAFAK), University of Benin, Benin-City, Nigeria; 17(2):57-67. </w:t>
      </w:r>
    </w:p>
    <w:p>
      <w:pPr>
        <w:pStyle w:val="7"/>
        <w:spacing w:before="4"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Ede P.N, Ebakpa A.F, and Chukuigwe E.C (2007); Determination of Housing and Neighbourhood Quality for Yenagoa, Bayelsa State of Nigeria: Journal of the Nigerian Institute of Town Planners (NITP); XX(I): 99-118. </w:t>
      </w:r>
    </w:p>
    <w:p>
      <w:pPr>
        <w:pStyle w:val="7"/>
        <w:spacing w:before="4"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Fadamiro, J.A. (2012); An appraisal of Architectural Principles in the provision and maintenance of affordable rural housing: Journal of Rural Environment and Sustainable Development; Department of Geography and Planning Science, University of Ado-Ekiti:112- 116 </w:t>
      </w:r>
    </w:p>
    <w:p>
      <w:pPr>
        <w:pStyle w:val="7"/>
        <w:spacing w:before="4"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Olanrewaju, D.O. (2004); Town Planning: A Veritable Means for Poverty Reduction; 38th Inaugural Lecture, Federal University of Technology, Akure (FUTA): October 26th </w:t>
      </w:r>
    </w:p>
    <w:p>
      <w:pPr>
        <w:pStyle w:val="7"/>
        <w:spacing w:before="4"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Olanrewaju, D.O. and Akinbamijo, O.B. (2012); Environmental Health and Target Audience: A programmatic panacea for poverty alleviation in Nigerian cities: African Journal of Environmental Studies; Development Africa consortium; 3(2):82-89. </w:t>
      </w:r>
    </w:p>
    <w:p>
      <w:pPr>
        <w:pStyle w:val="7"/>
        <w:spacing w:before="4"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Olanrewaju, D.O and Fadairo, G. (2003); Flooding as an Induced Environmental Problem – A case study of Ala River in Akure, Nigeria: Journal of the Nigerian Institute of Town Planners (NITP); XVI(I): 85-95 </w:t>
      </w:r>
    </w:p>
    <w:p>
      <w:pPr>
        <w:pStyle w:val="7"/>
        <w:spacing w:before="4"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Omole, F.K (2000); Urban Renewal Process Issues and Strategies; Concept Books and Publication Company Nig. Limited, Lagos, Nigeria </w:t>
      </w:r>
    </w:p>
    <w:p>
      <w:pPr>
        <w:pStyle w:val="7"/>
        <w:spacing w:before="4"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Omole, F.K and Owoeye, J.O (2006); Reducing the Environmental Health-risk Factors of Slum Dwellers in Developing Country – A case study of Akure, Nigeria: Journal of Land-use and Development Studies, Federal University of Technology, Akure. </w:t>
      </w:r>
    </w:p>
    <w:p>
      <w:pPr>
        <w:pStyle w:val="7"/>
        <w:spacing w:before="4"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Oriye, O and Owoeye, J.O (2009); Combating Environmental Health-Risk Factors in a High-density Residential District of a Medium City in Nigeria: Journal of Geography, Environment and Planning; University of Ado-Ekiti; 5(2):52-58 </w:t>
      </w:r>
    </w:p>
    <w:p>
      <w:pPr>
        <w:pStyle w:val="7"/>
        <w:spacing w:before="4"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Owoeye, J.O. (2016); Analysis of Slum Formation and Its Associated Effects on a Residential Core Area of Akure; Unpublished M. Tech. Dissertation submitted to the Department of Urban and Regional Planning, Federal University of Technology Akure. </w:t>
      </w:r>
    </w:p>
    <w:p>
      <w:pPr>
        <w:pStyle w:val="7"/>
        <w:spacing w:before="4"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Oyesiku, K.O (2003); Sustainable Transportation Strategies for Intermediate Cities in Nigeria: Journal of the Nigerian Institute of Town Planners (NITP); XVI (I):35-44. </w:t>
      </w:r>
    </w:p>
    <w:p>
      <w:pPr>
        <w:pStyle w:val="7"/>
        <w:spacing w:before="4"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UN-Habitat (2003); Facing the slum challenge; Global Report on Human Settlement – Advanced draft report; UN-Habitat, Nairobi</w:t>
      </w:r>
    </w:p>
    <w:p>
      <w:pPr>
        <w:spacing w:after="160" w:line="259" w:lineRule="auto"/>
        <w:rPr>
          <w:rFonts w:ascii="Times New Roman" w:hAnsi="Times New Roman" w:eastAsia="Arial MT" w:cs="Times New Roman"/>
          <w:sz w:val="24"/>
          <w:szCs w:val="24"/>
        </w:rPr>
      </w:pPr>
      <w:r>
        <w:rPr>
          <w:rFonts w:ascii="Times New Roman" w:hAnsi="Times New Roman" w:cs="Times New Roman"/>
          <w:sz w:val="24"/>
          <w:szCs w:val="24"/>
        </w:rPr>
        <w:br w:type="page"/>
      </w:r>
    </w:p>
    <w:p>
      <w:pPr>
        <w:spacing w:line="360" w:lineRule="auto"/>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QUESTIONNAIRE</w:t>
      </w:r>
    </w:p>
    <w:p>
      <w:pPr>
        <w:spacing w:line="360" w:lineRule="auto"/>
        <w:ind w:left="50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Department of Estate Management &amp; </w:t>
      </w:r>
      <w:r>
        <w:rPr>
          <w:rFonts w:ascii="Times New Roman" w:hAnsi="Times New Roman" w:cs="Times New Roman"/>
          <w:color w:val="000000" w:themeColor="text1"/>
          <w:sz w:val="24"/>
          <w:szCs w:val="24"/>
        </w:rPr>
        <w:t>Valuation,</w:t>
      </w:r>
    </w:p>
    <w:p>
      <w:pPr>
        <w:spacing w:line="360" w:lineRule="auto"/>
        <w:ind w:left="50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Institute of Environmental Studies (IES),</w:t>
      </w:r>
    </w:p>
    <w:p>
      <w:pPr>
        <w:spacing w:line="360" w:lineRule="auto"/>
        <w:ind w:left="50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Kwara State Polytechnic, Ilorin </w:t>
      </w:r>
    </w:p>
    <w:p>
      <w:pPr>
        <w:spacing w:line="360" w:lineRule="auto"/>
        <w:jc w:val="both"/>
        <w:rPr>
          <w:rFonts w:ascii="Times New Roman" w:hAnsi="Times New Roman" w:cs="Times New Roman"/>
          <w:color w:val="000000" w:themeColor="text1"/>
          <w:sz w:val="24"/>
          <w:szCs w:val="24"/>
        </w:rPr>
      </w:pPr>
    </w:p>
    <w:p>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Dear Respondent,  </w:t>
      </w:r>
    </w:p>
    <w:p>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 am a final year student of the above mentioned department and institution conducting a research project on Topic: “ Comparative Analysis of housing </w:t>
      </w:r>
      <w:r>
        <w:rPr>
          <w:rFonts w:ascii="Times New Roman" w:hAnsi="Times New Roman" w:cs="Times New Roman"/>
          <w:color w:val="000000" w:themeColor="text1"/>
          <w:sz w:val="24"/>
          <w:szCs w:val="24"/>
        </w:rPr>
        <w:t>conditions and neighbouring quality of residential properties value in Nigeria (A case Study of Okeoyi and Tanke Ilorin ). Therefore, I am requesting for your maximum support by supplying necessary information to the question below to enable me to carry ou</w:t>
      </w:r>
      <w:r>
        <w:rPr>
          <w:rFonts w:ascii="Times New Roman" w:hAnsi="Times New Roman" w:cs="Times New Roman"/>
          <w:color w:val="000000" w:themeColor="text1"/>
          <w:sz w:val="24"/>
          <w:szCs w:val="24"/>
        </w:rPr>
        <w:t xml:space="preserve">t a successful research. </w:t>
      </w:r>
    </w:p>
    <w:p>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All information that is given will be kept confidential as they are majorly for academic purpose.</w:t>
      </w:r>
    </w:p>
    <w:p>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Thanks. </w:t>
      </w:r>
    </w:p>
    <w:p>
      <w:pPr>
        <w:spacing w:line="360" w:lineRule="auto"/>
        <w:jc w:val="both"/>
        <w:rPr>
          <w:rFonts w:ascii="Times New Roman" w:hAnsi="Times New Roman" w:cs="Times New Roman"/>
          <w:color w:val="000000" w:themeColor="text1"/>
          <w:sz w:val="24"/>
          <w:szCs w:val="24"/>
        </w:rPr>
      </w:pPr>
    </w:p>
    <w:p>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AMUNEGA JOSHUA OLAMILEKAN</w:t>
      </w:r>
    </w:p>
    <w:p>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HND/23/ETM/FT/0042</w:t>
      </w:r>
    </w:p>
    <w:p>
      <w:pPr>
        <w:spacing w:after="160" w:line="259" w:lineRule="auto"/>
        <w:rPr>
          <w:rFonts w:ascii="Times New Roman" w:hAnsi="Times New Roman" w:eastAsia="Arial MT" w:cs="Times New Roman"/>
          <w:w w:val="80"/>
          <w:sz w:val="24"/>
          <w:szCs w:val="24"/>
        </w:rPr>
      </w:pPr>
      <w:r>
        <w:rPr>
          <w:rFonts w:ascii="Times New Roman" w:hAnsi="Times New Roman" w:cs="Times New Roman"/>
          <w:w w:val="80"/>
          <w:sz w:val="24"/>
          <w:szCs w:val="24"/>
        </w:rPr>
        <w:br w:type="page"/>
      </w:r>
    </w:p>
    <w:p>
      <w:pPr>
        <w:pStyle w:val="2"/>
        <w:jc w:val="center"/>
        <w:rPr>
          <w:rFonts w:asciiTheme="majorBidi" w:hAnsiTheme="majorBidi"/>
          <w:color w:val="000000" w:themeColor="text1"/>
          <w:sz w:val="24"/>
          <w:szCs w:val="24"/>
        </w:rPr>
      </w:pPr>
      <w:r>
        <w:rPr>
          <w:rFonts w:asciiTheme="majorBidi" w:hAnsiTheme="majorBidi"/>
          <w:color w:val="000000" w:themeColor="text1"/>
          <w:sz w:val="24"/>
          <w:szCs w:val="24"/>
        </w:rPr>
        <w:t>QUESTIONNAIRE</w:t>
      </w:r>
    </w:p>
    <w:p>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Research Title:</w:t>
      </w:r>
      <w:r>
        <w:rPr>
          <w:rFonts w:asciiTheme="majorBidi" w:hAnsiTheme="majorBidi" w:cstheme="majorBidi"/>
          <w:color w:val="000000" w:themeColor="text1"/>
          <w:sz w:val="24"/>
          <w:szCs w:val="24"/>
        </w:rPr>
        <w:br w:type="textWrapping"/>
      </w:r>
      <w:r>
        <w:rPr>
          <w:rFonts w:asciiTheme="majorBidi" w:hAnsiTheme="majorBidi" w:cstheme="majorBidi"/>
          <w:color w:val="000000" w:themeColor="text1"/>
          <w:sz w:val="24"/>
          <w:szCs w:val="24"/>
        </w:rPr>
        <w:t>Comparative Analysis of House Conditions and Neighborhood Quality on Residential Property Value in Nigeria: A Case Study of Oke-Oyi and Tanke, Ilorin</w:t>
      </w:r>
      <w:r>
        <w:rPr>
          <w:rFonts w:asciiTheme="majorBidi" w:hAnsiTheme="majorBidi" w:cstheme="majorBidi"/>
          <w:color w:val="000000" w:themeColor="text1"/>
          <w:sz w:val="24"/>
          <w:szCs w:val="24"/>
        </w:rPr>
        <w:br w:type="textWrapping"/>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Instructions:</w:t>
      </w:r>
      <w:r>
        <w:rPr>
          <w:rFonts w:asciiTheme="majorBidi" w:hAnsiTheme="majorBidi" w:cstheme="majorBidi"/>
          <w:color w:val="000000" w:themeColor="text1"/>
          <w:sz w:val="24"/>
          <w:szCs w:val="24"/>
        </w:rPr>
        <w:br w:type="textWrapping"/>
      </w:r>
      <w:r>
        <w:rPr>
          <w:rFonts w:asciiTheme="majorBidi" w:hAnsiTheme="majorBidi" w:cstheme="majorBidi"/>
          <w:color w:val="000000" w:themeColor="text1"/>
          <w:sz w:val="24"/>
          <w:szCs w:val="24"/>
        </w:rPr>
        <w:t>Please answer all questions honestly. All information provided will be treated confidential</w:t>
      </w:r>
      <w:r>
        <w:rPr>
          <w:rFonts w:asciiTheme="majorBidi" w:hAnsiTheme="majorBidi" w:cstheme="majorBidi"/>
          <w:color w:val="000000" w:themeColor="text1"/>
          <w:sz w:val="24"/>
          <w:szCs w:val="24"/>
        </w:rPr>
        <w:t>ly and used strictly for academic purposes.</w:t>
      </w:r>
      <w:r>
        <w:rPr>
          <w:rFonts w:asciiTheme="majorBidi" w:hAnsiTheme="majorBidi" w:cstheme="majorBidi"/>
          <w:color w:val="000000" w:themeColor="text1"/>
          <w:sz w:val="24"/>
          <w:szCs w:val="24"/>
        </w:rPr>
        <w:br w:type="textWrapping"/>
      </w:r>
    </w:p>
    <w:p>
      <w:pPr>
        <w:pStyle w:val="3"/>
        <w:rPr>
          <w:rFonts w:asciiTheme="majorBidi" w:hAnsiTheme="majorBidi"/>
          <w:color w:val="000000" w:themeColor="text1"/>
          <w:sz w:val="24"/>
          <w:szCs w:val="24"/>
        </w:rPr>
      </w:pPr>
      <w:r>
        <w:rPr>
          <w:rFonts w:asciiTheme="majorBidi" w:hAnsiTheme="majorBidi"/>
          <w:color w:val="000000" w:themeColor="text1"/>
          <w:sz w:val="24"/>
          <w:szCs w:val="24"/>
        </w:rPr>
        <w:t>SECTION A: RESPONDENT PROFILE</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 Gender:</w:t>
      </w:r>
      <w:r>
        <w:rPr>
          <w:rFonts w:asciiTheme="majorBidi" w:hAnsiTheme="majorBidi" w:cstheme="majorBidi"/>
          <w:color w:val="000000" w:themeColor="text1"/>
          <w:sz w:val="24"/>
          <w:szCs w:val="24"/>
        </w:rPr>
        <w:br w:type="textWrapping"/>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Male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Female</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 Age:</w:t>
      </w:r>
      <w:r>
        <w:rPr>
          <w:rFonts w:asciiTheme="majorBidi" w:hAnsiTheme="majorBidi" w:cstheme="majorBidi"/>
          <w:color w:val="000000" w:themeColor="text1"/>
          <w:sz w:val="24"/>
          <w:szCs w:val="24"/>
        </w:rPr>
        <w:br w:type="textWrapping"/>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18</w:t>
      </w:r>
      <w:r>
        <w:rPr>
          <w:rFonts w:ascii="Times New Roman" w:hAnsi="Times New Roman" w:cs="Times New Roman"/>
          <w:color w:val="000000" w:themeColor="text1"/>
          <w:sz w:val="24"/>
          <w:szCs w:val="24"/>
        </w:rPr>
        <w:t>–</w:t>
      </w:r>
      <w:r>
        <w:rPr>
          <w:rFonts w:asciiTheme="majorBidi" w:hAnsiTheme="majorBidi" w:cstheme="majorBidi"/>
          <w:color w:val="000000" w:themeColor="text1"/>
          <w:sz w:val="24"/>
          <w:szCs w:val="24"/>
        </w:rPr>
        <w:t xml:space="preserve">30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31</w:t>
      </w:r>
      <w:r>
        <w:rPr>
          <w:rFonts w:ascii="Times New Roman" w:hAnsi="Times New Roman" w:cs="Times New Roman"/>
          <w:color w:val="000000" w:themeColor="text1"/>
          <w:sz w:val="24"/>
          <w:szCs w:val="24"/>
        </w:rPr>
        <w:t>–</w:t>
      </w:r>
      <w:r>
        <w:rPr>
          <w:rFonts w:asciiTheme="majorBidi" w:hAnsiTheme="majorBidi" w:cstheme="majorBidi"/>
          <w:color w:val="000000" w:themeColor="text1"/>
          <w:sz w:val="24"/>
          <w:szCs w:val="24"/>
        </w:rPr>
        <w:t xml:space="preserve">45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46</w:t>
      </w:r>
      <w:r>
        <w:rPr>
          <w:rFonts w:ascii="Times New Roman" w:hAnsi="Times New Roman" w:cs="Times New Roman"/>
          <w:color w:val="000000" w:themeColor="text1"/>
          <w:sz w:val="24"/>
          <w:szCs w:val="24"/>
        </w:rPr>
        <w:t>–</w:t>
      </w:r>
      <w:r>
        <w:rPr>
          <w:rFonts w:asciiTheme="majorBidi" w:hAnsiTheme="majorBidi" w:cstheme="majorBidi"/>
          <w:color w:val="000000" w:themeColor="text1"/>
          <w:sz w:val="24"/>
          <w:szCs w:val="24"/>
        </w:rPr>
        <w:t xml:space="preserve">60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60+</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3. Occupation: ____________________________________</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4. Category of Respondent:</w:t>
      </w:r>
      <w:r>
        <w:rPr>
          <w:rFonts w:asciiTheme="majorBidi" w:hAnsiTheme="majorBidi" w:cstheme="majorBidi"/>
          <w:color w:val="000000" w:themeColor="text1"/>
          <w:sz w:val="24"/>
          <w:szCs w:val="24"/>
        </w:rPr>
        <w:br w:type="textWrapping"/>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Property Owner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Ten</w:t>
      </w:r>
      <w:r>
        <w:rPr>
          <w:rFonts w:asciiTheme="majorBidi" w:hAnsiTheme="majorBidi" w:cstheme="majorBidi"/>
          <w:color w:val="000000" w:themeColor="text1"/>
          <w:sz w:val="24"/>
          <w:szCs w:val="24"/>
        </w:rPr>
        <w:t xml:space="preserve">ant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Real Estate Agent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Resident Only</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 Area of Residence:</w:t>
      </w:r>
      <w:r>
        <w:rPr>
          <w:rFonts w:asciiTheme="majorBidi" w:hAnsiTheme="majorBidi" w:cstheme="majorBidi"/>
          <w:color w:val="000000" w:themeColor="text1"/>
          <w:sz w:val="24"/>
          <w:szCs w:val="24"/>
        </w:rPr>
        <w:br w:type="textWrapping"/>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Tanke</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Oke-Oyi</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 Length of Stay in Area:</w:t>
      </w:r>
      <w:r>
        <w:rPr>
          <w:rFonts w:asciiTheme="majorBidi" w:hAnsiTheme="majorBidi" w:cstheme="majorBidi"/>
          <w:color w:val="000000" w:themeColor="text1"/>
          <w:sz w:val="24"/>
          <w:szCs w:val="24"/>
        </w:rPr>
        <w:br w:type="textWrapping"/>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Less than 1 year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1</w:t>
      </w:r>
      <w:r>
        <w:rPr>
          <w:rFonts w:ascii="Times New Roman" w:hAnsi="Times New Roman" w:cs="Times New Roman"/>
          <w:color w:val="000000" w:themeColor="text1"/>
          <w:sz w:val="24"/>
          <w:szCs w:val="24"/>
        </w:rPr>
        <w:t>–</w:t>
      </w:r>
      <w:r>
        <w:rPr>
          <w:rFonts w:asciiTheme="majorBidi" w:hAnsiTheme="majorBidi" w:cstheme="majorBidi"/>
          <w:color w:val="000000" w:themeColor="text1"/>
          <w:sz w:val="24"/>
          <w:szCs w:val="24"/>
        </w:rPr>
        <w:t xml:space="preserve">5 years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6</w:t>
      </w:r>
      <w:r>
        <w:rPr>
          <w:rFonts w:ascii="Times New Roman" w:hAnsi="Times New Roman" w:cs="Times New Roman"/>
          <w:color w:val="000000" w:themeColor="text1"/>
          <w:sz w:val="24"/>
          <w:szCs w:val="24"/>
        </w:rPr>
        <w:t>–</w:t>
      </w:r>
      <w:r>
        <w:rPr>
          <w:rFonts w:asciiTheme="majorBidi" w:hAnsiTheme="majorBidi" w:cstheme="majorBidi"/>
          <w:color w:val="000000" w:themeColor="text1"/>
          <w:sz w:val="24"/>
          <w:szCs w:val="24"/>
        </w:rPr>
        <w:t xml:space="preserve">10 years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Over 10 years</w:t>
      </w:r>
    </w:p>
    <w:p>
      <w:pPr>
        <w:pStyle w:val="3"/>
        <w:rPr>
          <w:rFonts w:asciiTheme="majorBidi" w:hAnsiTheme="majorBidi"/>
          <w:color w:val="000000" w:themeColor="text1"/>
          <w:sz w:val="24"/>
          <w:szCs w:val="24"/>
        </w:rPr>
      </w:pPr>
      <w:r>
        <w:rPr>
          <w:rFonts w:asciiTheme="majorBidi" w:hAnsiTheme="majorBidi"/>
          <w:color w:val="000000" w:themeColor="text1"/>
          <w:sz w:val="24"/>
          <w:szCs w:val="24"/>
        </w:rPr>
        <w:t>SECTION B: HOUSE CONDITION</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7. What type of building do you live in or own?</w:t>
      </w:r>
      <w:r>
        <w:rPr>
          <w:rFonts w:asciiTheme="majorBidi" w:hAnsiTheme="majorBidi" w:cstheme="majorBidi"/>
          <w:color w:val="000000" w:themeColor="text1"/>
          <w:sz w:val="24"/>
          <w:szCs w:val="24"/>
        </w:rPr>
        <w:br w:type="textWrapping"/>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Flat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Bungalow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Duplex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Rooming Apartment</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8. What is the age of the building?</w:t>
      </w:r>
      <w:r>
        <w:rPr>
          <w:rFonts w:asciiTheme="majorBidi" w:hAnsiTheme="majorBidi" w:cstheme="majorBidi"/>
          <w:color w:val="000000" w:themeColor="text1"/>
          <w:sz w:val="24"/>
          <w:szCs w:val="24"/>
        </w:rPr>
        <w:br w:type="textWrapping"/>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Less than 5 years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5</w:t>
      </w:r>
      <w:r>
        <w:rPr>
          <w:rFonts w:ascii="Times New Roman" w:hAnsi="Times New Roman" w:cs="Times New Roman"/>
          <w:color w:val="000000" w:themeColor="text1"/>
          <w:sz w:val="24"/>
          <w:szCs w:val="24"/>
        </w:rPr>
        <w:t>–</w:t>
      </w:r>
      <w:r>
        <w:rPr>
          <w:rFonts w:asciiTheme="majorBidi" w:hAnsiTheme="majorBidi" w:cstheme="majorBidi"/>
          <w:color w:val="000000" w:themeColor="text1"/>
          <w:sz w:val="24"/>
          <w:szCs w:val="24"/>
        </w:rPr>
        <w:t xml:space="preserve">10 years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11</w:t>
      </w:r>
      <w:r>
        <w:rPr>
          <w:rFonts w:ascii="Times New Roman" w:hAnsi="Times New Roman" w:cs="Times New Roman"/>
          <w:color w:val="000000" w:themeColor="text1"/>
          <w:sz w:val="24"/>
          <w:szCs w:val="24"/>
        </w:rPr>
        <w:t>–</w:t>
      </w:r>
      <w:r>
        <w:rPr>
          <w:rFonts w:asciiTheme="majorBidi" w:hAnsiTheme="majorBidi" w:cstheme="majorBidi"/>
          <w:color w:val="000000" w:themeColor="text1"/>
          <w:sz w:val="24"/>
          <w:szCs w:val="24"/>
        </w:rPr>
        <w:t xml:space="preserve">20 years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Over 20 years</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9. What is the condition of the building?</w:t>
      </w:r>
      <w:r>
        <w:rPr>
          <w:rFonts w:asciiTheme="majorBidi" w:hAnsiTheme="majorBidi" w:cstheme="majorBidi"/>
          <w:color w:val="000000" w:themeColor="text1"/>
          <w:sz w:val="24"/>
          <w:szCs w:val="24"/>
        </w:rPr>
        <w:br w:type="textWrapping"/>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Excellent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Good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Fair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Poor</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10. What </w:t>
      </w:r>
      <w:r>
        <w:rPr>
          <w:rFonts w:asciiTheme="majorBidi" w:hAnsiTheme="majorBidi" w:cstheme="majorBidi"/>
          <w:color w:val="000000" w:themeColor="text1"/>
          <w:sz w:val="24"/>
          <w:szCs w:val="24"/>
        </w:rPr>
        <w:t>type of wall material was used?</w:t>
      </w:r>
      <w:r>
        <w:rPr>
          <w:rFonts w:asciiTheme="majorBidi" w:hAnsiTheme="majorBidi" w:cstheme="majorBidi"/>
          <w:color w:val="000000" w:themeColor="text1"/>
          <w:sz w:val="24"/>
          <w:szCs w:val="24"/>
        </w:rPr>
        <w:br w:type="textWrapping"/>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Concrete block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Mud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Plasterboard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Others (specify): __________</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11. What finishing materials are present in the house? (Check all that apply)</w:t>
      </w:r>
      <w:r>
        <w:rPr>
          <w:rFonts w:asciiTheme="majorBidi" w:hAnsiTheme="majorBidi" w:cstheme="majorBidi"/>
          <w:color w:val="000000" w:themeColor="text1"/>
          <w:sz w:val="24"/>
          <w:szCs w:val="24"/>
        </w:rPr>
        <w:br w:type="textWrapping"/>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POP ceiling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Tiled floor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Screeded walls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Painted walls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Basic finishing</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12. Is the building well maintained?</w:t>
      </w:r>
      <w:r>
        <w:rPr>
          <w:rFonts w:asciiTheme="majorBidi" w:hAnsiTheme="majorBidi" w:cstheme="majorBidi"/>
          <w:color w:val="000000" w:themeColor="text1"/>
          <w:sz w:val="24"/>
          <w:szCs w:val="24"/>
        </w:rPr>
        <w:br w:type="textWrapping"/>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Yes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No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Not sure</w:t>
      </w:r>
    </w:p>
    <w:p>
      <w:pPr>
        <w:pStyle w:val="4"/>
        <w:rPr>
          <w:rFonts w:asciiTheme="majorBidi" w:hAnsiTheme="majorBidi"/>
          <w:color w:val="000000" w:themeColor="text1"/>
        </w:rPr>
      </w:pPr>
      <w:r>
        <w:rPr>
          <w:rFonts w:asciiTheme="majorBidi" w:hAnsiTheme="majorBidi"/>
          <w:color w:val="000000" w:themeColor="text1"/>
        </w:rPr>
        <w:t>Additional Building Materials and Condition Assessment</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13. What type of materials are used in the following parts of your building? (Tick as appropriate):</w:t>
      </w:r>
    </w:p>
    <w:tbl>
      <w:tblPr>
        <w:tblStyle w:val="17"/>
        <w:tblW w:w="0" w:type="auto"/>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fixed"/>
        <w:tblCellMar>
          <w:top w:w="0" w:type="dxa"/>
          <w:left w:w="108" w:type="dxa"/>
          <w:bottom w:w="0" w:type="dxa"/>
          <w:right w:w="108" w:type="dxa"/>
        </w:tblCellMar>
      </w:tblPr>
      <w:tblGrid>
        <w:gridCol w:w="4320"/>
        <w:gridCol w:w="4320"/>
      </w:tblGrid>
      <w:tr>
        <w:tblPrEx>
          <w:tblLayout w:type="fixed"/>
        </w:tblPrEx>
        <w:tc>
          <w:tcPr>
            <w:tcW w:w="4320" w:type="dxa"/>
            <w:shd w:val="clear" w:color="auto" w:fill="000000" w:themeFill="text1"/>
          </w:tcPr>
          <w:p>
            <w:pPr>
              <w:spacing w:before="0" w:after="0" w:line="240" w:lineRule="auto"/>
              <w:rPr>
                <w:rFonts w:asciiTheme="majorBidi" w:hAnsiTheme="majorBidi" w:cstheme="majorBidi"/>
                <w:b w:val="0"/>
                <w:bCs w:val="0"/>
                <w:color w:val="000000" w:themeColor="text1"/>
                <w:sz w:val="24"/>
                <w:szCs w:val="24"/>
              </w:rPr>
            </w:pPr>
            <w:r>
              <w:rPr>
                <w:rFonts w:asciiTheme="majorBidi" w:hAnsiTheme="majorBidi" w:cstheme="majorBidi"/>
                <w:b/>
                <w:bCs/>
                <w:color w:val="000000" w:themeColor="text1"/>
                <w:sz w:val="24"/>
                <w:szCs w:val="24"/>
              </w:rPr>
              <w:t>Building Component</w:t>
            </w:r>
          </w:p>
        </w:tc>
        <w:tc>
          <w:tcPr>
            <w:tcW w:w="4320" w:type="dxa"/>
            <w:shd w:val="clear" w:color="auto" w:fill="000000" w:themeFill="text1"/>
          </w:tcPr>
          <w:p>
            <w:pPr>
              <w:spacing w:before="0" w:after="0" w:line="240" w:lineRule="auto"/>
              <w:rPr>
                <w:rFonts w:asciiTheme="majorBidi" w:hAnsiTheme="majorBidi" w:cstheme="majorBidi"/>
                <w:b w:val="0"/>
                <w:bCs w:val="0"/>
                <w:color w:val="000000" w:themeColor="text1"/>
                <w:sz w:val="24"/>
                <w:szCs w:val="24"/>
              </w:rPr>
            </w:pPr>
            <w:r>
              <w:rPr>
                <w:rFonts w:asciiTheme="majorBidi" w:hAnsiTheme="majorBidi" w:cstheme="majorBidi"/>
                <w:b/>
                <w:bCs/>
                <w:color w:val="000000" w:themeColor="text1"/>
                <w:sz w:val="24"/>
                <w:szCs w:val="24"/>
              </w:rPr>
              <w:t>Material Options</w:t>
            </w:r>
          </w:p>
        </w:tc>
      </w:tr>
      <w:tr>
        <w:tblPrEx>
          <w:tblLayout w:type="fixed"/>
        </w:tblPrEx>
        <w:tc>
          <w:tcPr>
            <w:tcW w:w="4320" w:type="dxa"/>
            <w:tcBorders>
              <w:top w:val="single" w:color="000000" w:themeColor="text1" w:sz="8" w:space="0"/>
              <w:left w:val="single" w:color="000000" w:themeColor="text1" w:sz="8" w:space="0"/>
              <w:bottom w:val="single" w:color="000000" w:themeColor="text1" w:sz="8" w:space="0"/>
            </w:tcBorders>
          </w:tcPr>
          <w:p>
            <w:pPr>
              <w:spacing w:after="0" w:line="240" w:lineRule="auto"/>
              <w:rPr>
                <w:rFonts w:asciiTheme="majorBidi" w:hAnsiTheme="majorBidi" w:cstheme="majorBidi"/>
                <w:b w:val="0"/>
                <w:bCs w:val="0"/>
                <w:color w:val="000000" w:themeColor="text1"/>
                <w:sz w:val="24"/>
                <w:szCs w:val="24"/>
              </w:rPr>
            </w:pPr>
            <w:r>
              <w:rPr>
                <w:rFonts w:asciiTheme="majorBidi" w:hAnsiTheme="majorBidi" w:cstheme="majorBidi"/>
                <w:b/>
                <w:bCs/>
                <w:color w:val="000000" w:themeColor="text1"/>
                <w:sz w:val="24"/>
                <w:szCs w:val="24"/>
              </w:rPr>
              <w:t>Wall</w:t>
            </w:r>
          </w:p>
        </w:tc>
        <w:tc>
          <w:tcPr>
            <w:tcW w:w="4320" w:type="dxa"/>
            <w:tcBorders>
              <w:top w:val="single" w:color="000000" w:themeColor="text1" w:sz="8" w:space="0"/>
              <w:bottom w:val="single" w:color="000000" w:themeColor="text1" w:sz="8" w:space="0"/>
              <w:right w:val="single" w:color="000000" w:themeColor="text1" w:sz="8" w:space="0"/>
            </w:tcBorders>
          </w:tcPr>
          <w:p>
            <w:pPr>
              <w:spacing w:after="0" w:line="240" w:lineRule="auto"/>
              <w:rPr>
                <w:rFonts w:asciiTheme="majorBidi" w:hAnsiTheme="majorBidi" w:cstheme="majorBidi"/>
                <w:color w:val="000000" w:themeColor="text1"/>
                <w:sz w:val="24"/>
                <w:szCs w:val="24"/>
              </w:rPr>
            </w:pP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Mud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Cement Block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Plasterboard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Brick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Others: ________</w:t>
            </w:r>
          </w:p>
        </w:tc>
      </w:tr>
      <w:tr>
        <w:tblPrEx>
          <w:tblLayout w:type="fixed"/>
        </w:tblPrEx>
        <w:tc>
          <w:tcPr>
            <w:tcW w:w="4320" w:type="dxa"/>
          </w:tcPr>
          <w:p>
            <w:pPr>
              <w:spacing w:after="0" w:line="240" w:lineRule="auto"/>
              <w:rPr>
                <w:rFonts w:asciiTheme="majorBidi" w:hAnsiTheme="majorBidi" w:cstheme="majorBidi"/>
                <w:b w:val="0"/>
                <w:bCs w:val="0"/>
                <w:color w:val="000000" w:themeColor="text1"/>
                <w:sz w:val="24"/>
                <w:szCs w:val="24"/>
              </w:rPr>
            </w:pPr>
            <w:r>
              <w:rPr>
                <w:rFonts w:asciiTheme="majorBidi" w:hAnsiTheme="majorBidi" w:cstheme="majorBidi"/>
                <w:b/>
                <w:bCs/>
                <w:color w:val="000000" w:themeColor="text1"/>
                <w:sz w:val="24"/>
                <w:szCs w:val="24"/>
              </w:rPr>
              <w:t>Floor</w:t>
            </w:r>
          </w:p>
        </w:tc>
        <w:tc>
          <w:tcPr>
            <w:tcW w:w="4320" w:type="dxa"/>
          </w:tcPr>
          <w:p>
            <w:pPr>
              <w:spacing w:after="0" w:line="240" w:lineRule="auto"/>
              <w:rPr>
                <w:rFonts w:asciiTheme="majorBidi" w:hAnsiTheme="majorBidi" w:cstheme="majorBidi"/>
                <w:color w:val="000000" w:themeColor="text1"/>
                <w:sz w:val="24"/>
                <w:szCs w:val="24"/>
              </w:rPr>
            </w:pP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Bare concrete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Tiles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Vinyl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Screed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Others: ________</w:t>
            </w:r>
          </w:p>
        </w:tc>
      </w:tr>
      <w:tr>
        <w:tblPrEx>
          <w:tblLayout w:type="fixed"/>
        </w:tblPrEx>
        <w:tc>
          <w:tcPr>
            <w:tcW w:w="4320" w:type="dxa"/>
            <w:tcBorders>
              <w:top w:val="single" w:color="000000" w:themeColor="text1" w:sz="8" w:space="0"/>
              <w:left w:val="single" w:color="000000" w:themeColor="text1" w:sz="8" w:space="0"/>
              <w:bottom w:val="single" w:color="000000" w:themeColor="text1" w:sz="8" w:space="0"/>
            </w:tcBorders>
          </w:tcPr>
          <w:p>
            <w:pPr>
              <w:spacing w:after="0" w:line="240" w:lineRule="auto"/>
              <w:rPr>
                <w:rFonts w:asciiTheme="majorBidi" w:hAnsiTheme="majorBidi" w:cstheme="majorBidi"/>
                <w:b w:val="0"/>
                <w:bCs w:val="0"/>
                <w:color w:val="000000" w:themeColor="text1"/>
                <w:sz w:val="24"/>
                <w:szCs w:val="24"/>
              </w:rPr>
            </w:pPr>
            <w:r>
              <w:rPr>
                <w:rFonts w:asciiTheme="majorBidi" w:hAnsiTheme="majorBidi" w:cstheme="majorBidi"/>
                <w:b/>
                <w:bCs/>
                <w:color w:val="000000" w:themeColor="text1"/>
                <w:sz w:val="24"/>
                <w:szCs w:val="24"/>
              </w:rPr>
              <w:t>Roof</w:t>
            </w:r>
          </w:p>
        </w:tc>
        <w:tc>
          <w:tcPr>
            <w:tcW w:w="4320" w:type="dxa"/>
            <w:tcBorders>
              <w:top w:val="single" w:color="000000" w:themeColor="text1" w:sz="8" w:space="0"/>
              <w:bottom w:val="single" w:color="000000" w:themeColor="text1" w:sz="8" w:space="0"/>
              <w:right w:val="single" w:color="000000" w:themeColor="text1" w:sz="8" w:space="0"/>
            </w:tcBorders>
          </w:tcPr>
          <w:p>
            <w:pPr>
              <w:spacing w:after="0" w:line="240" w:lineRule="auto"/>
              <w:rPr>
                <w:rFonts w:asciiTheme="majorBidi" w:hAnsiTheme="majorBidi" w:cstheme="majorBidi"/>
                <w:color w:val="000000" w:themeColor="text1"/>
                <w:sz w:val="24"/>
                <w:szCs w:val="24"/>
              </w:rPr>
            </w:pP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Zinc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Asbestos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Stone-coated sheet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Others: ________</w:t>
            </w:r>
          </w:p>
        </w:tc>
      </w:tr>
      <w:tr>
        <w:tblPrEx>
          <w:tblLayout w:type="fixed"/>
        </w:tblPrEx>
        <w:tc>
          <w:tcPr>
            <w:tcW w:w="4320" w:type="dxa"/>
          </w:tcPr>
          <w:p>
            <w:pPr>
              <w:spacing w:after="0" w:line="240" w:lineRule="auto"/>
              <w:rPr>
                <w:rFonts w:asciiTheme="majorBidi" w:hAnsiTheme="majorBidi" w:cstheme="majorBidi"/>
                <w:b w:val="0"/>
                <w:bCs w:val="0"/>
                <w:color w:val="000000" w:themeColor="text1"/>
                <w:sz w:val="24"/>
                <w:szCs w:val="24"/>
              </w:rPr>
            </w:pPr>
            <w:r>
              <w:rPr>
                <w:rFonts w:asciiTheme="majorBidi" w:hAnsiTheme="majorBidi" w:cstheme="majorBidi"/>
                <w:b/>
                <w:bCs/>
                <w:color w:val="000000" w:themeColor="text1"/>
                <w:sz w:val="24"/>
                <w:szCs w:val="24"/>
              </w:rPr>
              <w:t>Ceiling</w:t>
            </w:r>
          </w:p>
        </w:tc>
        <w:tc>
          <w:tcPr>
            <w:tcW w:w="4320" w:type="dxa"/>
          </w:tcPr>
          <w:p>
            <w:pPr>
              <w:spacing w:after="0" w:line="240" w:lineRule="auto"/>
              <w:rPr>
                <w:rFonts w:asciiTheme="majorBidi" w:hAnsiTheme="majorBidi" w:cstheme="majorBidi"/>
                <w:color w:val="000000" w:themeColor="text1"/>
                <w:sz w:val="24"/>
                <w:szCs w:val="24"/>
              </w:rPr>
            </w:pP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POP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PVC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Plywood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Asbestos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None</w:t>
            </w:r>
          </w:p>
        </w:tc>
      </w:tr>
      <w:tr>
        <w:tblPrEx>
          <w:tblLayout w:type="fixed"/>
        </w:tblPrEx>
        <w:tc>
          <w:tcPr>
            <w:tcW w:w="4320" w:type="dxa"/>
            <w:tcBorders>
              <w:top w:val="single" w:color="000000" w:themeColor="text1" w:sz="8" w:space="0"/>
              <w:left w:val="single" w:color="000000" w:themeColor="text1" w:sz="8" w:space="0"/>
              <w:bottom w:val="single" w:color="000000" w:themeColor="text1" w:sz="8" w:space="0"/>
            </w:tcBorders>
          </w:tcPr>
          <w:p>
            <w:pPr>
              <w:spacing w:after="0" w:line="240" w:lineRule="auto"/>
              <w:rPr>
                <w:rFonts w:asciiTheme="majorBidi" w:hAnsiTheme="majorBidi" w:cstheme="majorBidi"/>
                <w:b w:val="0"/>
                <w:bCs w:val="0"/>
                <w:color w:val="000000" w:themeColor="text1"/>
                <w:sz w:val="24"/>
                <w:szCs w:val="24"/>
              </w:rPr>
            </w:pPr>
            <w:r>
              <w:rPr>
                <w:rFonts w:asciiTheme="majorBidi" w:hAnsiTheme="majorBidi" w:cstheme="majorBidi"/>
                <w:b/>
                <w:bCs/>
                <w:color w:val="000000" w:themeColor="text1"/>
                <w:sz w:val="24"/>
                <w:szCs w:val="24"/>
              </w:rPr>
              <w:t>Doors</w:t>
            </w:r>
          </w:p>
        </w:tc>
        <w:tc>
          <w:tcPr>
            <w:tcW w:w="4320" w:type="dxa"/>
            <w:tcBorders>
              <w:top w:val="single" w:color="000000" w:themeColor="text1" w:sz="8" w:space="0"/>
              <w:bottom w:val="single" w:color="000000" w:themeColor="text1" w:sz="8" w:space="0"/>
              <w:right w:val="single" w:color="000000" w:themeColor="text1" w:sz="8" w:space="0"/>
            </w:tcBorders>
          </w:tcPr>
          <w:p>
            <w:pPr>
              <w:spacing w:after="0" w:line="240" w:lineRule="auto"/>
              <w:rPr>
                <w:rFonts w:asciiTheme="majorBidi" w:hAnsiTheme="majorBidi" w:cstheme="majorBidi"/>
                <w:color w:val="000000" w:themeColor="text1"/>
                <w:sz w:val="24"/>
                <w:szCs w:val="24"/>
              </w:rPr>
            </w:pP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Wooden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Steel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Aluminum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Others: ________</w:t>
            </w:r>
          </w:p>
        </w:tc>
      </w:tr>
      <w:tr>
        <w:tblPrEx>
          <w:tblLayout w:type="fixed"/>
        </w:tblPrEx>
        <w:tc>
          <w:tcPr>
            <w:tcW w:w="4320" w:type="dxa"/>
          </w:tcPr>
          <w:p>
            <w:pPr>
              <w:spacing w:after="0" w:line="240" w:lineRule="auto"/>
              <w:rPr>
                <w:rFonts w:asciiTheme="majorBidi" w:hAnsiTheme="majorBidi" w:cstheme="majorBidi"/>
                <w:b w:val="0"/>
                <w:bCs w:val="0"/>
                <w:color w:val="000000" w:themeColor="text1"/>
                <w:sz w:val="24"/>
                <w:szCs w:val="24"/>
              </w:rPr>
            </w:pPr>
            <w:r>
              <w:rPr>
                <w:rFonts w:asciiTheme="majorBidi" w:hAnsiTheme="majorBidi" w:cstheme="majorBidi"/>
                <w:b/>
                <w:bCs/>
                <w:color w:val="000000" w:themeColor="text1"/>
                <w:sz w:val="24"/>
                <w:szCs w:val="24"/>
              </w:rPr>
              <w:t>Windows</w:t>
            </w:r>
          </w:p>
        </w:tc>
        <w:tc>
          <w:tcPr>
            <w:tcW w:w="4320" w:type="dxa"/>
          </w:tcPr>
          <w:p>
            <w:pPr>
              <w:spacing w:after="0" w:line="240" w:lineRule="auto"/>
              <w:rPr>
                <w:rFonts w:asciiTheme="majorBidi" w:hAnsiTheme="majorBidi" w:cstheme="majorBidi"/>
                <w:color w:val="000000" w:themeColor="text1"/>
                <w:sz w:val="24"/>
                <w:szCs w:val="24"/>
              </w:rPr>
            </w:pP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Louver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Sliding Glass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Metal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Wooden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Others: ________</w:t>
            </w:r>
          </w:p>
        </w:tc>
      </w:tr>
    </w:tbl>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14. What is the current </w:t>
      </w:r>
      <w:r>
        <w:rPr>
          <w:rFonts w:asciiTheme="majorBidi" w:hAnsiTheme="majorBidi" w:cstheme="majorBidi"/>
          <w:color w:val="000000" w:themeColor="text1"/>
          <w:sz w:val="24"/>
          <w:szCs w:val="24"/>
        </w:rPr>
        <w:t>condition of the following parts of your building? (Tick one for each):</w:t>
      </w:r>
    </w:p>
    <w:tbl>
      <w:tblPr>
        <w:tblStyle w:val="18"/>
        <w:tblW w:w="0" w:type="auto"/>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none" w:color="auto" w:sz="0" w:space="0"/>
          <w:insideV w:val="none" w:color="auto" w:sz="0" w:space="0"/>
        </w:tblBorders>
        <w:tblLayout w:type="fixed"/>
        <w:tblCellMar>
          <w:top w:w="0" w:type="dxa"/>
          <w:left w:w="108" w:type="dxa"/>
          <w:bottom w:w="0" w:type="dxa"/>
          <w:right w:w="108" w:type="dxa"/>
        </w:tblCellMar>
      </w:tblPr>
      <w:tblGrid>
        <w:gridCol w:w="1728"/>
        <w:gridCol w:w="1728"/>
        <w:gridCol w:w="1728"/>
        <w:gridCol w:w="1728"/>
        <w:gridCol w:w="1728"/>
      </w:tblGrid>
      <w:tr>
        <w:tblPrEx>
          <w:tblLayout w:type="fixed"/>
        </w:tblPrEx>
        <w:tc>
          <w:tcPr>
            <w:tcW w:w="1728" w:type="dxa"/>
            <w:shd w:val="clear" w:color="auto" w:fill="4F81BD" w:themeFill="accent1"/>
          </w:tcPr>
          <w:p>
            <w:pPr>
              <w:spacing w:before="0" w:after="0" w:line="240" w:lineRule="auto"/>
              <w:rPr>
                <w:rFonts w:asciiTheme="majorBidi" w:hAnsiTheme="majorBidi" w:cstheme="majorBidi"/>
                <w:b w:val="0"/>
                <w:bCs w:val="0"/>
                <w:color w:val="000000" w:themeColor="text1"/>
                <w:sz w:val="24"/>
                <w:szCs w:val="24"/>
              </w:rPr>
            </w:pPr>
            <w:r>
              <w:rPr>
                <w:rFonts w:asciiTheme="majorBidi" w:hAnsiTheme="majorBidi" w:cstheme="majorBidi"/>
                <w:b/>
                <w:bCs/>
                <w:color w:val="000000" w:themeColor="text1"/>
                <w:sz w:val="24"/>
                <w:szCs w:val="24"/>
              </w:rPr>
              <w:t>Component</w:t>
            </w:r>
          </w:p>
        </w:tc>
        <w:tc>
          <w:tcPr>
            <w:tcW w:w="1728" w:type="dxa"/>
            <w:shd w:val="clear" w:color="auto" w:fill="4F81BD" w:themeFill="accent1"/>
          </w:tcPr>
          <w:p>
            <w:pPr>
              <w:spacing w:before="0" w:after="0" w:line="240" w:lineRule="auto"/>
              <w:rPr>
                <w:rFonts w:asciiTheme="majorBidi" w:hAnsiTheme="majorBidi" w:cstheme="majorBidi"/>
                <w:b w:val="0"/>
                <w:bCs w:val="0"/>
                <w:color w:val="000000" w:themeColor="text1"/>
                <w:sz w:val="24"/>
                <w:szCs w:val="24"/>
              </w:rPr>
            </w:pPr>
            <w:r>
              <w:rPr>
                <w:rFonts w:asciiTheme="majorBidi" w:hAnsiTheme="majorBidi" w:cstheme="majorBidi"/>
                <w:b/>
                <w:bCs/>
                <w:color w:val="000000" w:themeColor="text1"/>
                <w:sz w:val="24"/>
                <w:szCs w:val="24"/>
              </w:rPr>
              <w:t>Excellent</w:t>
            </w:r>
          </w:p>
        </w:tc>
        <w:tc>
          <w:tcPr>
            <w:tcW w:w="1728" w:type="dxa"/>
            <w:shd w:val="clear" w:color="auto" w:fill="4F81BD" w:themeFill="accent1"/>
          </w:tcPr>
          <w:p>
            <w:pPr>
              <w:spacing w:before="0" w:after="0" w:line="240" w:lineRule="auto"/>
              <w:rPr>
                <w:rFonts w:asciiTheme="majorBidi" w:hAnsiTheme="majorBidi" w:cstheme="majorBidi"/>
                <w:b w:val="0"/>
                <w:bCs w:val="0"/>
                <w:color w:val="000000" w:themeColor="text1"/>
                <w:sz w:val="24"/>
                <w:szCs w:val="24"/>
              </w:rPr>
            </w:pPr>
            <w:r>
              <w:rPr>
                <w:rFonts w:asciiTheme="majorBidi" w:hAnsiTheme="majorBidi" w:cstheme="majorBidi"/>
                <w:b/>
                <w:bCs/>
                <w:color w:val="000000" w:themeColor="text1"/>
                <w:sz w:val="24"/>
                <w:szCs w:val="24"/>
              </w:rPr>
              <w:t>Good</w:t>
            </w:r>
          </w:p>
        </w:tc>
        <w:tc>
          <w:tcPr>
            <w:tcW w:w="1728" w:type="dxa"/>
            <w:shd w:val="clear" w:color="auto" w:fill="4F81BD" w:themeFill="accent1"/>
          </w:tcPr>
          <w:p>
            <w:pPr>
              <w:spacing w:before="0" w:after="0" w:line="240" w:lineRule="auto"/>
              <w:rPr>
                <w:rFonts w:asciiTheme="majorBidi" w:hAnsiTheme="majorBidi" w:cstheme="majorBidi"/>
                <w:b w:val="0"/>
                <w:bCs w:val="0"/>
                <w:color w:val="000000" w:themeColor="text1"/>
                <w:sz w:val="24"/>
                <w:szCs w:val="24"/>
              </w:rPr>
            </w:pPr>
            <w:r>
              <w:rPr>
                <w:rFonts w:asciiTheme="majorBidi" w:hAnsiTheme="majorBidi" w:cstheme="majorBidi"/>
                <w:b/>
                <w:bCs/>
                <w:color w:val="000000" w:themeColor="text1"/>
                <w:sz w:val="24"/>
                <w:szCs w:val="24"/>
              </w:rPr>
              <w:t>Fair</w:t>
            </w:r>
          </w:p>
        </w:tc>
        <w:tc>
          <w:tcPr>
            <w:tcW w:w="1728" w:type="dxa"/>
            <w:shd w:val="clear" w:color="auto" w:fill="4F81BD" w:themeFill="accent1"/>
          </w:tcPr>
          <w:p>
            <w:pPr>
              <w:spacing w:before="0" w:after="0" w:line="240" w:lineRule="auto"/>
              <w:rPr>
                <w:rFonts w:asciiTheme="majorBidi" w:hAnsiTheme="majorBidi" w:cstheme="majorBidi"/>
                <w:b w:val="0"/>
                <w:bCs w:val="0"/>
                <w:color w:val="000000" w:themeColor="text1"/>
                <w:sz w:val="24"/>
                <w:szCs w:val="24"/>
              </w:rPr>
            </w:pPr>
            <w:r>
              <w:rPr>
                <w:rFonts w:asciiTheme="majorBidi" w:hAnsiTheme="majorBidi" w:cstheme="majorBidi"/>
                <w:b/>
                <w:bCs/>
                <w:color w:val="000000" w:themeColor="text1"/>
                <w:sz w:val="24"/>
                <w:szCs w:val="24"/>
              </w:rPr>
              <w:t>Poor</w:t>
            </w:r>
          </w:p>
        </w:tc>
      </w:tr>
      <w:tr>
        <w:tblPrEx>
          <w:tblLayout w:type="fixed"/>
        </w:tblPrEx>
        <w:tc>
          <w:tcPr>
            <w:tcW w:w="1728" w:type="dxa"/>
            <w:tcBorders>
              <w:top w:val="single" w:color="4F81BD" w:themeColor="accent1" w:sz="8" w:space="0"/>
              <w:left w:val="single" w:color="4F81BD" w:themeColor="accent1" w:sz="8" w:space="0"/>
              <w:bottom w:val="single" w:color="4F81BD" w:themeColor="accent1" w:sz="8" w:space="0"/>
            </w:tcBorders>
          </w:tcPr>
          <w:p>
            <w:pPr>
              <w:spacing w:after="0" w:line="240" w:lineRule="auto"/>
              <w:rPr>
                <w:rFonts w:asciiTheme="majorBidi" w:hAnsiTheme="majorBidi" w:cstheme="majorBidi"/>
                <w:b w:val="0"/>
                <w:bCs w:val="0"/>
                <w:color w:val="000000" w:themeColor="text1"/>
                <w:sz w:val="24"/>
                <w:szCs w:val="24"/>
              </w:rPr>
            </w:pPr>
            <w:r>
              <w:rPr>
                <w:rFonts w:asciiTheme="majorBidi" w:hAnsiTheme="majorBidi" w:cstheme="majorBidi"/>
                <w:b/>
                <w:bCs/>
                <w:color w:val="000000" w:themeColor="text1"/>
                <w:sz w:val="24"/>
                <w:szCs w:val="24"/>
              </w:rPr>
              <w:t>Wall</w:t>
            </w:r>
          </w:p>
        </w:tc>
        <w:tc>
          <w:tcPr>
            <w:tcW w:w="1728" w:type="dxa"/>
            <w:tcBorders>
              <w:top w:val="single" w:color="4F81BD" w:themeColor="accent1" w:sz="8" w:space="0"/>
              <w:bottom w:val="single" w:color="4F81BD" w:themeColor="accent1" w:sz="8" w:space="0"/>
            </w:tcBorders>
          </w:tcPr>
          <w:p>
            <w:pPr>
              <w:spacing w:after="0" w:line="240" w:lineRule="auto"/>
              <w:rPr>
                <w:rFonts w:asciiTheme="majorBidi" w:hAnsiTheme="majorBidi" w:cstheme="majorBidi"/>
                <w:color w:val="000000" w:themeColor="text1"/>
                <w:sz w:val="24"/>
                <w:szCs w:val="24"/>
              </w:rPr>
            </w:pPr>
          </w:p>
        </w:tc>
        <w:tc>
          <w:tcPr>
            <w:tcW w:w="1728" w:type="dxa"/>
            <w:tcBorders>
              <w:top w:val="single" w:color="4F81BD" w:themeColor="accent1" w:sz="8" w:space="0"/>
              <w:bottom w:val="single" w:color="4F81BD" w:themeColor="accent1" w:sz="8" w:space="0"/>
            </w:tcBorders>
          </w:tcPr>
          <w:p>
            <w:pPr>
              <w:spacing w:after="0" w:line="240" w:lineRule="auto"/>
              <w:rPr>
                <w:rFonts w:asciiTheme="majorBidi" w:hAnsiTheme="majorBidi" w:cstheme="majorBidi"/>
                <w:color w:val="000000" w:themeColor="text1"/>
                <w:sz w:val="24"/>
                <w:szCs w:val="24"/>
              </w:rPr>
            </w:pPr>
          </w:p>
        </w:tc>
        <w:tc>
          <w:tcPr>
            <w:tcW w:w="1728" w:type="dxa"/>
            <w:tcBorders>
              <w:top w:val="single" w:color="4F81BD" w:themeColor="accent1" w:sz="8" w:space="0"/>
              <w:bottom w:val="single" w:color="4F81BD" w:themeColor="accent1" w:sz="8" w:space="0"/>
            </w:tcBorders>
          </w:tcPr>
          <w:p>
            <w:pPr>
              <w:spacing w:after="0" w:line="240" w:lineRule="auto"/>
              <w:rPr>
                <w:rFonts w:asciiTheme="majorBidi" w:hAnsiTheme="majorBidi" w:cstheme="majorBidi"/>
                <w:color w:val="000000" w:themeColor="text1"/>
                <w:sz w:val="24"/>
                <w:szCs w:val="24"/>
              </w:rPr>
            </w:pPr>
          </w:p>
        </w:tc>
        <w:tc>
          <w:tcPr>
            <w:tcW w:w="1728" w:type="dxa"/>
            <w:tcBorders>
              <w:top w:val="single" w:color="4F81BD" w:themeColor="accent1" w:sz="8" w:space="0"/>
              <w:bottom w:val="single" w:color="4F81BD" w:themeColor="accent1" w:sz="8" w:space="0"/>
              <w:right w:val="single" w:color="4F81BD" w:themeColor="accent1" w:sz="8" w:space="0"/>
            </w:tcBorders>
          </w:tcPr>
          <w:p>
            <w:pPr>
              <w:spacing w:after="0" w:line="240" w:lineRule="auto"/>
              <w:rPr>
                <w:rFonts w:asciiTheme="majorBidi" w:hAnsiTheme="majorBidi" w:cstheme="majorBidi"/>
                <w:color w:val="000000" w:themeColor="text1"/>
                <w:sz w:val="24"/>
                <w:szCs w:val="24"/>
              </w:rPr>
            </w:pPr>
          </w:p>
        </w:tc>
      </w:tr>
      <w:tr>
        <w:tblPrEx>
          <w:tblLayout w:type="fixed"/>
        </w:tblPrEx>
        <w:tc>
          <w:tcPr>
            <w:tcW w:w="1728" w:type="dxa"/>
          </w:tcPr>
          <w:p>
            <w:pPr>
              <w:spacing w:after="0" w:line="240" w:lineRule="auto"/>
              <w:rPr>
                <w:rFonts w:asciiTheme="majorBidi" w:hAnsiTheme="majorBidi" w:cstheme="majorBidi"/>
                <w:b w:val="0"/>
                <w:bCs w:val="0"/>
                <w:color w:val="000000" w:themeColor="text1"/>
                <w:sz w:val="24"/>
                <w:szCs w:val="24"/>
              </w:rPr>
            </w:pPr>
            <w:r>
              <w:rPr>
                <w:rFonts w:asciiTheme="majorBidi" w:hAnsiTheme="majorBidi" w:cstheme="majorBidi"/>
                <w:b/>
                <w:bCs/>
                <w:color w:val="000000" w:themeColor="text1"/>
                <w:sz w:val="24"/>
                <w:szCs w:val="24"/>
              </w:rPr>
              <w:t>Floor</w:t>
            </w:r>
          </w:p>
        </w:tc>
        <w:tc>
          <w:tcPr>
            <w:tcW w:w="1728" w:type="dxa"/>
          </w:tcPr>
          <w:p>
            <w:pPr>
              <w:spacing w:after="0" w:line="240" w:lineRule="auto"/>
              <w:rPr>
                <w:rFonts w:asciiTheme="majorBidi" w:hAnsiTheme="majorBidi" w:cstheme="majorBidi"/>
                <w:color w:val="000000" w:themeColor="text1"/>
                <w:sz w:val="24"/>
                <w:szCs w:val="24"/>
              </w:rPr>
            </w:pPr>
          </w:p>
        </w:tc>
        <w:tc>
          <w:tcPr>
            <w:tcW w:w="1728" w:type="dxa"/>
          </w:tcPr>
          <w:p>
            <w:pPr>
              <w:spacing w:after="0" w:line="240" w:lineRule="auto"/>
              <w:rPr>
                <w:rFonts w:asciiTheme="majorBidi" w:hAnsiTheme="majorBidi" w:cstheme="majorBidi"/>
                <w:color w:val="000000" w:themeColor="text1"/>
                <w:sz w:val="24"/>
                <w:szCs w:val="24"/>
              </w:rPr>
            </w:pPr>
          </w:p>
        </w:tc>
        <w:tc>
          <w:tcPr>
            <w:tcW w:w="1728" w:type="dxa"/>
          </w:tcPr>
          <w:p>
            <w:pPr>
              <w:spacing w:after="0" w:line="240" w:lineRule="auto"/>
              <w:rPr>
                <w:rFonts w:asciiTheme="majorBidi" w:hAnsiTheme="majorBidi" w:cstheme="majorBidi"/>
                <w:color w:val="000000" w:themeColor="text1"/>
                <w:sz w:val="24"/>
                <w:szCs w:val="24"/>
              </w:rPr>
            </w:pPr>
          </w:p>
        </w:tc>
        <w:tc>
          <w:tcPr>
            <w:tcW w:w="1728" w:type="dxa"/>
          </w:tcPr>
          <w:p>
            <w:pPr>
              <w:spacing w:after="0" w:line="240" w:lineRule="auto"/>
              <w:rPr>
                <w:rFonts w:asciiTheme="majorBidi" w:hAnsiTheme="majorBidi" w:cstheme="majorBidi"/>
                <w:color w:val="000000" w:themeColor="text1"/>
                <w:sz w:val="24"/>
                <w:szCs w:val="24"/>
              </w:rPr>
            </w:pPr>
          </w:p>
        </w:tc>
      </w:tr>
      <w:tr>
        <w:tblPrEx>
          <w:tblLayout w:type="fixed"/>
        </w:tblPrEx>
        <w:tc>
          <w:tcPr>
            <w:tcW w:w="1728" w:type="dxa"/>
            <w:tcBorders>
              <w:top w:val="single" w:color="4F81BD" w:themeColor="accent1" w:sz="8" w:space="0"/>
              <w:left w:val="single" w:color="4F81BD" w:themeColor="accent1" w:sz="8" w:space="0"/>
              <w:bottom w:val="single" w:color="4F81BD" w:themeColor="accent1" w:sz="8" w:space="0"/>
            </w:tcBorders>
          </w:tcPr>
          <w:p>
            <w:pPr>
              <w:spacing w:after="0" w:line="240" w:lineRule="auto"/>
              <w:rPr>
                <w:rFonts w:asciiTheme="majorBidi" w:hAnsiTheme="majorBidi" w:cstheme="majorBidi"/>
                <w:b w:val="0"/>
                <w:bCs w:val="0"/>
                <w:color w:val="000000" w:themeColor="text1"/>
                <w:sz w:val="24"/>
                <w:szCs w:val="24"/>
              </w:rPr>
            </w:pPr>
            <w:r>
              <w:rPr>
                <w:rFonts w:asciiTheme="majorBidi" w:hAnsiTheme="majorBidi" w:cstheme="majorBidi"/>
                <w:b/>
                <w:bCs/>
                <w:color w:val="000000" w:themeColor="text1"/>
                <w:sz w:val="24"/>
                <w:szCs w:val="24"/>
              </w:rPr>
              <w:t>Roof</w:t>
            </w:r>
          </w:p>
        </w:tc>
        <w:tc>
          <w:tcPr>
            <w:tcW w:w="1728" w:type="dxa"/>
            <w:tcBorders>
              <w:top w:val="single" w:color="4F81BD" w:themeColor="accent1" w:sz="8" w:space="0"/>
              <w:bottom w:val="single" w:color="4F81BD" w:themeColor="accent1" w:sz="8" w:space="0"/>
            </w:tcBorders>
          </w:tcPr>
          <w:p>
            <w:pPr>
              <w:spacing w:after="0" w:line="240" w:lineRule="auto"/>
              <w:rPr>
                <w:rFonts w:asciiTheme="majorBidi" w:hAnsiTheme="majorBidi" w:cstheme="majorBidi"/>
                <w:color w:val="000000" w:themeColor="text1"/>
                <w:sz w:val="24"/>
                <w:szCs w:val="24"/>
              </w:rPr>
            </w:pPr>
          </w:p>
        </w:tc>
        <w:tc>
          <w:tcPr>
            <w:tcW w:w="1728" w:type="dxa"/>
            <w:tcBorders>
              <w:top w:val="single" w:color="4F81BD" w:themeColor="accent1" w:sz="8" w:space="0"/>
              <w:bottom w:val="single" w:color="4F81BD" w:themeColor="accent1" w:sz="8" w:space="0"/>
            </w:tcBorders>
          </w:tcPr>
          <w:p>
            <w:pPr>
              <w:spacing w:after="0" w:line="240" w:lineRule="auto"/>
              <w:rPr>
                <w:rFonts w:asciiTheme="majorBidi" w:hAnsiTheme="majorBidi" w:cstheme="majorBidi"/>
                <w:color w:val="000000" w:themeColor="text1"/>
                <w:sz w:val="24"/>
                <w:szCs w:val="24"/>
              </w:rPr>
            </w:pPr>
          </w:p>
        </w:tc>
        <w:tc>
          <w:tcPr>
            <w:tcW w:w="1728" w:type="dxa"/>
            <w:tcBorders>
              <w:top w:val="single" w:color="4F81BD" w:themeColor="accent1" w:sz="8" w:space="0"/>
              <w:bottom w:val="single" w:color="4F81BD" w:themeColor="accent1" w:sz="8" w:space="0"/>
            </w:tcBorders>
          </w:tcPr>
          <w:p>
            <w:pPr>
              <w:spacing w:after="0" w:line="240" w:lineRule="auto"/>
              <w:rPr>
                <w:rFonts w:asciiTheme="majorBidi" w:hAnsiTheme="majorBidi" w:cstheme="majorBidi"/>
                <w:color w:val="000000" w:themeColor="text1"/>
                <w:sz w:val="24"/>
                <w:szCs w:val="24"/>
              </w:rPr>
            </w:pPr>
          </w:p>
        </w:tc>
        <w:tc>
          <w:tcPr>
            <w:tcW w:w="1728" w:type="dxa"/>
            <w:tcBorders>
              <w:top w:val="single" w:color="4F81BD" w:themeColor="accent1" w:sz="8" w:space="0"/>
              <w:bottom w:val="single" w:color="4F81BD" w:themeColor="accent1" w:sz="8" w:space="0"/>
              <w:right w:val="single" w:color="4F81BD" w:themeColor="accent1" w:sz="8" w:space="0"/>
            </w:tcBorders>
          </w:tcPr>
          <w:p>
            <w:pPr>
              <w:spacing w:after="0" w:line="240" w:lineRule="auto"/>
              <w:rPr>
                <w:rFonts w:asciiTheme="majorBidi" w:hAnsiTheme="majorBidi" w:cstheme="majorBidi"/>
                <w:color w:val="000000" w:themeColor="text1"/>
                <w:sz w:val="24"/>
                <w:szCs w:val="24"/>
              </w:rPr>
            </w:pPr>
          </w:p>
        </w:tc>
      </w:tr>
      <w:tr>
        <w:tblPrEx>
          <w:tblLayout w:type="fixed"/>
        </w:tblPrEx>
        <w:tc>
          <w:tcPr>
            <w:tcW w:w="1728" w:type="dxa"/>
          </w:tcPr>
          <w:p>
            <w:pPr>
              <w:spacing w:after="0" w:line="240" w:lineRule="auto"/>
              <w:rPr>
                <w:rFonts w:asciiTheme="majorBidi" w:hAnsiTheme="majorBidi" w:cstheme="majorBidi"/>
                <w:b w:val="0"/>
                <w:bCs w:val="0"/>
                <w:color w:val="000000" w:themeColor="text1"/>
                <w:sz w:val="24"/>
                <w:szCs w:val="24"/>
              </w:rPr>
            </w:pPr>
            <w:r>
              <w:rPr>
                <w:rFonts w:asciiTheme="majorBidi" w:hAnsiTheme="majorBidi" w:cstheme="majorBidi"/>
                <w:b/>
                <w:bCs/>
                <w:color w:val="000000" w:themeColor="text1"/>
                <w:sz w:val="24"/>
                <w:szCs w:val="24"/>
              </w:rPr>
              <w:t>Ceiling</w:t>
            </w:r>
          </w:p>
        </w:tc>
        <w:tc>
          <w:tcPr>
            <w:tcW w:w="1728" w:type="dxa"/>
          </w:tcPr>
          <w:p>
            <w:pPr>
              <w:spacing w:after="0" w:line="240" w:lineRule="auto"/>
              <w:rPr>
                <w:rFonts w:asciiTheme="majorBidi" w:hAnsiTheme="majorBidi" w:cstheme="majorBidi"/>
                <w:color w:val="000000" w:themeColor="text1"/>
                <w:sz w:val="24"/>
                <w:szCs w:val="24"/>
              </w:rPr>
            </w:pPr>
          </w:p>
        </w:tc>
        <w:tc>
          <w:tcPr>
            <w:tcW w:w="1728" w:type="dxa"/>
          </w:tcPr>
          <w:p>
            <w:pPr>
              <w:spacing w:after="0" w:line="240" w:lineRule="auto"/>
              <w:rPr>
                <w:rFonts w:asciiTheme="majorBidi" w:hAnsiTheme="majorBidi" w:cstheme="majorBidi"/>
                <w:color w:val="000000" w:themeColor="text1"/>
                <w:sz w:val="24"/>
                <w:szCs w:val="24"/>
              </w:rPr>
            </w:pPr>
          </w:p>
        </w:tc>
        <w:tc>
          <w:tcPr>
            <w:tcW w:w="1728" w:type="dxa"/>
          </w:tcPr>
          <w:p>
            <w:pPr>
              <w:spacing w:after="0" w:line="240" w:lineRule="auto"/>
              <w:rPr>
                <w:rFonts w:asciiTheme="majorBidi" w:hAnsiTheme="majorBidi" w:cstheme="majorBidi"/>
                <w:color w:val="000000" w:themeColor="text1"/>
                <w:sz w:val="24"/>
                <w:szCs w:val="24"/>
              </w:rPr>
            </w:pPr>
          </w:p>
        </w:tc>
        <w:tc>
          <w:tcPr>
            <w:tcW w:w="1728" w:type="dxa"/>
          </w:tcPr>
          <w:p>
            <w:pPr>
              <w:spacing w:after="0" w:line="240" w:lineRule="auto"/>
              <w:rPr>
                <w:rFonts w:asciiTheme="majorBidi" w:hAnsiTheme="majorBidi" w:cstheme="majorBidi"/>
                <w:color w:val="000000" w:themeColor="text1"/>
                <w:sz w:val="24"/>
                <w:szCs w:val="24"/>
              </w:rPr>
            </w:pPr>
          </w:p>
        </w:tc>
      </w:tr>
      <w:tr>
        <w:tblPrEx>
          <w:tblLayout w:type="fixed"/>
        </w:tblPrEx>
        <w:tc>
          <w:tcPr>
            <w:tcW w:w="1728" w:type="dxa"/>
            <w:tcBorders>
              <w:top w:val="single" w:color="4F81BD" w:themeColor="accent1" w:sz="8" w:space="0"/>
              <w:left w:val="single" w:color="4F81BD" w:themeColor="accent1" w:sz="8" w:space="0"/>
              <w:bottom w:val="single" w:color="4F81BD" w:themeColor="accent1" w:sz="8" w:space="0"/>
            </w:tcBorders>
          </w:tcPr>
          <w:p>
            <w:pPr>
              <w:spacing w:after="0" w:line="240" w:lineRule="auto"/>
              <w:rPr>
                <w:rFonts w:asciiTheme="majorBidi" w:hAnsiTheme="majorBidi" w:cstheme="majorBidi"/>
                <w:b w:val="0"/>
                <w:bCs w:val="0"/>
                <w:color w:val="000000" w:themeColor="text1"/>
                <w:sz w:val="24"/>
                <w:szCs w:val="24"/>
              </w:rPr>
            </w:pPr>
            <w:r>
              <w:rPr>
                <w:rFonts w:asciiTheme="majorBidi" w:hAnsiTheme="majorBidi" w:cstheme="majorBidi"/>
                <w:b/>
                <w:bCs/>
                <w:color w:val="000000" w:themeColor="text1"/>
                <w:sz w:val="24"/>
                <w:szCs w:val="24"/>
              </w:rPr>
              <w:t>Doors</w:t>
            </w:r>
          </w:p>
        </w:tc>
        <w:tc>
          <w:tcPr>
            <w:tcW w:w="1728" w:type="dxa"/>
            <w:tcBorders>
              <w:top w:val="single" w:color="4F81BD" w:themeColor="accent1" w:sz="8" w:space="0"/>
              <w:bottom w:val="single" w:color="4F81BD" w:themeColor="accent1" w:sz="8" w:space="0"/>
            </w:tcBorders>
          </w:tcPr>
          <w:p>
            <w:pPr>
              <w:spacing w:after="0" w:line="240" w:lineRule="auto"/>
              <w:rPr>
                <w:rFonts w:asciiTheme="majorBidi" w:hAnsiTheme="majorBidi" w:cstheme="majorBidi"/>
                <w:color w:val="000000" w:themeColor="text1"/>
                <w:sz w:val="24"/>
                <w:szCs w:val="24"/>
              </w:rPr>
            </w:pPr>
          </w:p>
        </w:tc>
        <w:tc>
          <w:tcPr>
            <w:tcW w:w="1728" w:type="dxa"/>
            <w:tcBorders>
              <w:top w:val="single" w:color="4F81BD" w:themeColor="accent1" w:sz="8" w:space="0"/>
              <w:bottom w:val="single" w:color="4F81BD" w:themeColor="accent1" w:sz="8" w:space="0"/>
            </w:tcBorders>
          </w:tcPr>
          <w:p>
            <w:pPr>
              <w:spacing w:after="0" w:line="240" w:lineRule="auto"/>
              <w:rPr>
                <w:rFonts w:asciiTheme="majorBidi" w:hAnsiTheme="majorBidi" w:cstheme="majorBidi"/>
                <w:color w:val="000000" w:themeColor="text1"/>
                <w:sz w:val="24"/>
                <w:szCs w:val="24"/>
              </w:rPr>
            </w:pPr>
          </w:p>
        </w:tc>
        <w:tc>
          <w:tcPr>
            <w:tcW w:w="1728" w:type="dxa"/>
            <w:tcBorders>
              <w:top w:val="single" w:color="4F81BD" w:themeColor="accent1" w:sz="8" w:space="0"/>
              <w:bottom w:val="single" w:color="4F81BD" w:themeColor="accent1" w:sz="8" w:space="0"/>
            </w:tcBorders>
          </w:tcPr>
          <w:p>
            <w:pPr>
              <w:spacing w:after="0" w:line="240" w:lineRule="auto"/>
              <w:rPr>
                <w:rFonts w:asciiTheme="majorBidi" w:hAnsiTheme="majorBidi" w:cstheme="majorBidi"/>
                <w:color w:val="000000" w:themeColor="text1"/>
                <w:sz w:val="24"/>
                <w:szCs w:val="24"/>
              </w:rPr>
            </w:pPr>
          </w:p>
        </w:tc>
        <w:tc>
          <w:tcPr>
            <w:tcW w:w="1728" w:type="dxa"/>
            <w:tcBorders>
              <w:top w:val="single" w:color="4F81BD" w:themeColor="accent1" w:sz="8" w:space="0"/>
              <w:bottom w:val="single" w:color="4F81BD" w:themeColor="accent1" w:sz="8" w:space="0"/>
              <w:right w:val="single" w:color="4F81BD" w:themeColor="accent1" w:sz="8" w:space="0"/>
            </w:tcBorders>
          </w:tcPr>
          <w:p>
            <w:pPr>
              <w:spacing w:after="0" w:line="240" w:lineRule="auto"/>
              <w:rPr>
                <w:rFonts w:asciiTheme="majorBidi" w:hAnsiTheme="majorBidi" w:cstheme="majorBidi"/>
                <w:color w:val="000000" w:themeColor="text1"/>
                <w:sz w:val="24"/>
                <w:szCs w:val="24"/>
              </w:rPr>
            </w:pPr>
          </w:p>
        </w:tc>
      </w:tr>
      <w:tr>
        <w:tblPrEx>
          <w:tblLayout w:type="fixed"/>
        </w:tblPrEx>
        <w:tc>
          <w:tcPr>
            <w:tcW w:w="1728" w:type="dxa"/>
          </w:tcPr>
          <w:p>
            <w:pPr>
              <w:spacing w:after="0" w:line="240" w:lineRule="auto"/>
              <w:rPr>
                <w:rFonts w:asciiTheme="majorBidi" w:hAnsiTheme="majorBidi" w:cstheme="majorBidi"/>
                <w:b w:val="0"/>
                <w:bCs w:val="0"/>
                <w:color w:val="000000" w:themeColor="text1"/>
                <w:sz w:val="24"/>
                <w:szCs w:val="24"/>
              </w:rPr>
            </w:pPr>
            <w:r>
              <w:rPr>
                <w:rFonts w:asciiTheme="majorBidi" w:hAnsiTheme="majorBidi" w:cstheme="majorBidi"/>
                <w:b/>
                <w:bCs/>
                <w:color w:val="000000" w:themeColor="text1"/>
                <w:sz w:val="24"/>
                <w:szCs w:val="24"/>
              </w:rPr>
              <w:t>Windows</w:t>
            </w:r>
          </w:p>
        </w:tc>
        <w:tc>
          <w:tcPr>
            <w:tcW w:w="1728" w:type="dxa"/>
          </w:tcPr>
          <w:p>
            <w:pPr>
              <w:spacing w:after="0" w:line="240" w:lineRule="auto"/>
              <w:rPr>
                <w:rFonts w:asciiTheme="majorBidi" w:hAnsiTheme="majorBidi" w:cstheme="majorBidi"/>
                <w:color w:val="000000" w:themeColor="text1"/>
                <w:sz w:val="24"/>
                <w:szCs w:val="24"/>
              </w:rPr>
            </w:pPr>
          </w:p>
        </w:tc>
        <w:tc>
          <w:tcPr>
            <w:tcW w:w="1728" w:type="dxa"/>
          </w:tcPr>
          <w:p>
            <w:pPr>
              <w:spacing w:after="0" w:line="240" w:lineRule="auto"/>
              <w:rPr>
                <w:rFonts w:asciiTheme="majorBidi" w:hAnsiTheme="majorBidi" w:cstheme="majorBidi"/>
                <w:color w:val="000000" w:themeColor="text1"/>
                <w:sz w:val="24"/>
                <w:szCs w:val="24"/>
              </w:rPr>
            </w:pPr>
          </w:p>
        </w:tc>
        <w:tc>
          <w:tcPr>
            <w:tcW w:w="1728" w:type="dxa"/>
          </w:tcPr>
          <w:p>
            <w:pPr>
              <w:spacing w:after="0" w:line="240" w:lineRule="auto"/>
              <w:rPr>
                <w:rFonts w:asciiTheme="majorBidi" w:hAnsiTheme="majorBidi" w:cstheme="majorBidi"/>
                <w:color w:val="000000" w:themeColor="text1"/>
                <w:sz w:val="24"/>
                <w:szCs w:val="24"/>
              </w:rPr>
            </w:pPr>
          </w:p>
        </w:tc>
        <w:tc>
          <w:tcPr>
            <w:tcW w:w="1728" w:type="dxa"/>
          </w:tcPr>
          <w:p>
            <w:pPr>
              <w:spacing w:after="0" w:line="240" w:lineRule="auto"/>
              <w:rPr>
                <w:rFonts w:asciiTheme="majorBidi" w:hAnsiTheme="majorBidi" w:cstheme="majorBidi"/>
                <w:color w:val="000000" w:themeColor="text1"/>
                <w:sz w:val="24"/>
                <w:szCs w:val="24"/>
              </w:rPr>
            </w:pPr>
          </w:p>
        </w:tc>
      </w:tr>
    </w:tbl>
    <w:p>
      <w:pPr>
        <w:pStyle w:val="3"/>
        <w:rPr>
          <w:rFonts w:asciiTheme="majorBidi" w:hAnsiTheme="majorBidi"/>
          <w:color w:val="000000" w:themeColor="text1"/>
          <w:sz w:val="24"/>
          <w:szCs w:val="24"/>
        </w:rPr>
      </w:pPr>
      <w:r>
        <w:rPr>
          <w:rFonts w:asciiTheme="majorBidi" w:hAnsiTheme="majorBidi"/>
          <w:color w:val="000000" w:themeColor="text1"/>
          <w:sz w:val="24"/>
          <w:szCs w:val="24"/>
        </w:rPr>
        <w:t>SECTION C: NEIGHBORHOOD QUALITY</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15. What is the condition of the access road to </w:t>
      </w:r>
      <w:r>
        <w:rPr>
          <w:rFonts w:asciiTheme="majorBidi" w:hAnsiTheme="majorBidi" w:cstheme="majorBidi"/>
          <w:color w:val="000000" w:themeColor="text1"/>
          <w:sz w:val="24"/>
          <w:szCs w:val="24"/>
        </w:rPr>
        <w:t>your property?</w:t>
      </w:r>
      <w:r>
        <w:rPr>
          <w:rFonts w:asciiTheme="majorBidi" w:hAnsiTheme="majorBidi" w:cstheme="majorBidi"/>
          <w:color w:val="000000" w:themeColor="text1"/>
          <w:sz w:val="24"/>
          <w:szCs w:val="24"/>
        </w:rPr>
        <w:br w:type="textWrapping"/>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Tarred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Untarred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Graded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Poor/Unpassable</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16. Is there an effective drainage system in your area?</w:t>
      </w:r>
      <w:r>
        <w:rPr>
          <w:rFonts w:asciiTheme="majorBidi" w:hAnsiTheme="majorBidi" w:cstheme="majorBidi"/>
          <w:color w:val="000000" w:themeColor="text1"/>
          <w:sz w:val="24"/>
          <w:szCs w:val="24"/>
        </w:rPr>
        <w:br w:type="textWrapping"/>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Yes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No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Partially</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17. What is the level of electricity supply in your area?</w:t>
      </w:r>
      <w:r>
        <w:rPr>
          <w:rFonts w:asciiTheme="majorBidi" w:hAnsiTheme="majorBidi" w:cstheme="majorBidi"/>
          <w:color w:val="000000" w:themeColor="text1"/>
          <w:sz w:val="24"/>
          <w:szCs w:val="24"/>
        </w:rPr>
        <w:br w:type="textWrapping"/>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Regular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Average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Poor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None</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18. What is the water supply situation?</w:t>
      </w:r>
      <w:r>
        <w:rPr>
          <w:rFonts w:asciiTheme="majorBidi" w:hAnsiTheme="majorBidi" w:cstheme="majorBidi"/>
          <w:color w:val="000000" w:themeColor="text1"/>
          <w:sz w:val="24"/>
          <w:szCs w:val="24"/>
        </w:rPr>
        <w:br w:type="textWrapping"/>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Borehole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Well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Public Tap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None</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19. How would you rate the level of security in your area?</w:t>
      </w:r>
      <w:r>
        <w:rPr>
          <w:rFonts w:asciiTheme="majorBidi" w:hAnsiTheme="majorBidi" w:cstheme="majorBidi"/>
          <w:color w:val="000000" w:themeColor="text1"/>
          <w:sz w:val="24"/>
          <w:szCs w:val="24"/>
        </w:rPr>
        <w:br w:type="textWrapping"/>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Very Good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Good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Fair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Poor</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20. Proximity to public facilities (choose all nearby):</w:t>
      </w:r>
      <w:r>
        <w:rPr>
          <w:rFonts w:asciiTheme="majorBidi" w:hAnsiTheme="majorBidi" w:cstheme="majorBidi"/>
          <w:color w:val="000000" w:themeColor="text1"/>
          <w:sz w:val="24"/>
          <w:szCs w:val="24"/>
        </w:rPr>
        <w:br w:type="textWrapping"/>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School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Hospital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Market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Police Station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Public Transport</w:t>
      </w:r>
    </w:p>
    <w:p>
      <w:pPr>
        <w:pStyle w:val="3"/>
        <w:rPr>
          <w:rFonts w:asciiTheme="majorBidi" w:hAnsiTheme="majorBidi"/>
          <w:color w:val="000000" w:themeColor="text1"/>
          <w:sz w:val="24"/>
          <w:szCs w:val="24"/>
        </w:rPr>
      </w:pPr>
      <w:r>
        <w:rPr>
          <w:rFonts w:asciiTheme="majorBidi" w:hAnsiTheme="majorBidi"/>
          <w:color w:val="000000" w:themeColor="text1"/>
          <w:sz w:val="24"/>
          <w:szCs w:val="24"/>
        </w:rPr>
        <w:t>SECTION D: PROPERTY VALUE AND PERCEPTION</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21. Estimated value of the property (if owner): ₦ ________________</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22. Monthly rent (if tenant): ₦ ________________</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23. Do you think the co</w:t>
      </w:r>
      <w:r>
        <w:rPr>
          <w:rFonts w:asciiTheme="majorBidi" w:hAnsiTheme="majorBidi" w:cstheme="majorBidi"/>
          <w:color w:val="000000" w:themeColor="text1"/>
          <w:sz w:val="24"/>
          <w:szCs w:val="24"/>
        </w:rPr>
        <w:t>ndition of the house affects its value?</w:t>
      </w:r>
      <w:r>
        <w:rPr>
          <w:rFonts w:asciiTheme="majorBidi" w:hAnsiTheme="majorBidi" w:cstheme="majorBidi"/>
          <w:color w:val="000000" w:themeColor="text1"/>
          <w:sz w:val="24"/>
          <w:szCs w:val="24"/>
        </w:rPr>
        <w:br w:type="textWrapping"/>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Yes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No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Not sure</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24. Do you think the quality of the neighborhood affects the rent or market value of properties?</w:t>
      </w:r>
      <w:r>
        <w:rPr>
          <w:rFonts w:asciiTheme="majorBidi" w:hAnsiTheme="majorBidi" w:cstheme="majorBidi"/>
          <w:color w:val="000000" w:themeColor="text1"/>
          <w:sz w:val="24"/>
          <w:szCs w:val="24"/>
        </w:rPr>
        <w:br w:type="textWrapping"/>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Yes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No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Not sure</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25. In your opinion, which factor affects property value more i</w:t>
      </w:r>
      <w:r>
        <w:rPr>
          <w:rFonts w:asciiTheme="majorBidi" w:hAnsiTheme="majorBidi" w:cstheme="majorBidi"/>
          <w:color w:val="000000" w:themeColor="text1"/>
          <w:sz w:val="24"/>
          <w:szCs w:val="24"/>
        </w:rPr>
        <w:t>n your area?</w:t>
      </w:r>
      <w:r>
        <w:rPr>
          <w:rFonts w:asciiTheme="majorBidi" w:hAnsiTheme="majorBidi" w:cstheme="majorBidi"/>
          <w:color w:val="000000" w:themeColor="text1"/>
          <w:sz w:val="24"/>
          <w:szCs w:val="24"/>
        </w:rPr>
        <w:br w:type="textWrapping"/>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House condition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Neighborhood quality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Both equally    </w:t>
      </w:r>
      <w:r>
        <w:rPr>
          <w:rFonts w:ascii="Segoe UI Symbol" w:hAnsi="Segoe UI Symbol" w:cs="Segoe UI Symbol"/>
          <w:color w:val="000000" w:themeColor="text1"/>
          <w:sz w:val="24"/>
          <w:szCs w:val="24"/>
        </w:rPr>
        <w:t>☐</w:t>
      </w:r>
      <w:r>
        <w:rPr>
          <w:rFonts w:asciiTheme="majorBidi" w:hAnsiTheme="majorBidi" w:cstheme="majorBidi"/>
          <w:color w:val="000000" w:themeColor="text1"/>
          <w:sz w:val="24"/>
          <w:szCs w:val="24"/>
        </w:rPr>
        <w:t xml:space="preserve"> Not sure</w:t>
      </w:r>
    </w:p>
    <w:p>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26. Suggestions for improving property value in your area:</w:t>
      </w:r>
      <w:r>
        <w:rPr>
          <w:rFonts w:asciiTheme="majorBidi" w:hAnsiTheme="majorBidi" w:cstheme="majorBidi"/>
          <w:color w:val="000000" w:themeColor="text1"/>
          <w:sz w:val="24"/>
          <w:szCs w:val="24"/>
        </w:rPr>
        <w:br w:type="textWrapping"/>
      </w:r>
      <w:r>
        <w:rPr>
          <w:rFonts w:asciiTheme="majorBidi" w:hAnsiTheme="majorBidi" w:cstheme="majorBidi"/>
          <w:color w:val="000000" w:themeColor="text1"/>
          <w:sz w:val="24"/>
          <w:szCs w:val="24"/>
        </w:rPr>
        <w:t xml:space="preserve">   ___________________________________________________________</w:t>
      </w:r>
      <w:r>
        <w:rPr>
          <w:rFonts w:asciiTheme="majorBidi" w:hAnsiTheme="majorBidi" w:cstheme="majorBidi"/>
          <w:color w:val="000000" w:themeColor="text1"/>
          <w:sz w:val="24"/>
          <w:szCs w:val="24"/>
        </w:rPr>
        <w:br w:type="textWrapping"/>
      </w:r>
      <w:r>
        <w:rPr>
          <w:rFonts w:asciiTheme="majorBidi" w:hAnsiTheme="majorBidi" w:cstheme="majorBidi"/>
          <w:color w:val="000000" w:themeColor="text1"/>
          <w:sz w:val="24"/>
          <w:szCs w:val="24"/>
        </w:rPr>
        <w:br w:type="textWrapping"/>
      </w:r>
      <w:r>
        <w:rPr>
          <w:rFonts w:asciiTheme="majorBidi" w:hAnsiTheme="majorBidi" w:cstheme="majorBidi"/>
          <w:color w:val="000000" w:themeColor="text1"/>
          <w:sz w:val="24"/>
          <w:szCs w:val="24"/>
        </w:rPr>
        <w:t>Thank you for your participation!</w:t>
      </w:r>
    </w:p>
    <w:sectPr>
      <w:pgSz w:w="12240" w:h="15840"/>
      <w:pgMar w:top="1440" w:right="1440" w:bottom="1440" w:left="1872" w:header="720" w:footer="720" w:gutter="0"/>
      <w:pgNumType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imSun">
    <w:altName w:val="宋体"/>
    <w:panose1 w:val="02010600030101010101"/>
    <w:charset w:val="86"/>
    <w:family w:val="auto"/>
    <w:pitch w:val="default"/>
    <w:sig w:usb0="00000000" w:usb1="00000000" w:usb2="00000016" w:usb3="00000000" w:csb0="00040001" w:csb1="00000000"/>
  </w:font>
  <w:font w:name="Tahoma">
    <w:panose1 w:val="020B0604030504040204"/>
    <w:charset w:val="00"/>
    <w:family w:val="swiss"/>
    <w:pitch w:val="default"/>
    <w:sig w:usb0="00000000" w:usb1="00000000" w:usb2="00000029" w:usb3="00000000" w:csb0="000101FF" w:csb1="00000000"/>
  </w:font>
  <w:font w:name="Arial MT">
    <w:altName w:val="Arial"/>
    <w:panose1 w:val="00000000000000000000"/>
    <w:charset w:val="01"/>
    <w:family w:val="swiss"/>
    <w:pitch w:val="default"/>
    <w:sig w:usb0="00000000" w:usb1="00000000" w:usb2="00000000" w:usb3="00000000" w:csb0="00000000" w:csb1="00000000"/>
  </w:font>
  <w:font w:name="Charter">
    <w:altName w:val="Times New Roman"/>
    <w:panose1 w:val="00000000000000000000"/>
    <w:charset w:val="00"/>
    <w:family w:val="auto"/>
    <w:pitch w:val="default"/>
    <w:sig w:usb0="00000000" w:usb1="00000000" w:usb2="00000000" w:usb3="00000000" w:csb0="00000000" w:csb1="00000000"/>
  </w:font>
  <w:font w:name="Segoe UI Symbol">
    <w:panose1 w:val="020B0502040204020203"/>
    <w:charset w:val="00"/>
    <w:family w:val="swiss"/>
    <w:pitch w:val="default"/>
    <w:sig w:usb0="00000000" w:usb1="00000000" w:usb2="000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56764"/>
    </w:sdtPr>
    <w:sdtContent>
      <w:p>
        <w:pPr>
          <w:pStyle w:val="8"/>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ii</w:t>
        </w:r>
        <w:r>
          <w:rPr>
            <w:rFonts w:ascii="Times New Roman" w:hAnsi="Times New Roman" w:cs="Times New Roman"/>
            <w:sz w:val="24"/>
            <w:szCs w:val="24"/>
          </w:rPr>
          <w:fldChar w:fldCharType="end"/>
        </w:r>
      </w:p>
    </w:sdtContent>
  </w:sdt>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FE6E71"/>
    <w:multiLevelType w:val="multilevel"/>
    <w:tmpl w:val="18FE6E71"/>
    <w:lvl w:ilvl="0" w:tentative="0">
      <w:start w:val="5"/>
      <w:numFmt w:val="decimal"/>
      <w:lvlText w:val="%1"/>
      <w:lvlJc w:val="left"/>
      <w:pPr>
        <w:ind w:left="360" w:hanging="360"/>
      </w:pPr>
      <w:rPr>
        <w:rFonts w:hint="default"/>
      </w:rPr>
    </w:lvl>
    <w:lvl w:ilvl="1" w:tentative="0">
      <w:start w:val="1"/>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560" w:hanging="1800"/>
      </w:pPr>
      <w:rPr>
        <w:rFonts w:hint="default"/>
      </w:rPr>
    </w:lvl>
  </w:abstractNum>
  <w:abstractNum w:abstractNumId="1">
    <w:nsid w:val="352D5095"/>
    <w:multiLevelType w:val="multilevel"/>
    <w:tmpl w:val="352D5095"/>
    <w:lvl w:ilvl="0" w:tentative="0">
      <w:start w:val="1"/>
      <w:numFmt w:val="low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2">
    <w:nsid w:val="35321002"/>
    <w:multiLevelType w:val="multilevel"/>
    <w:tmpl w:val="35321002"/>
    <w:lvl w:ilvl="0" w:tentative="0">
      <w:start w:val="1"/>
      <w:numFmt w:val="lowerRoman"/>
      <w:lvlText w:val="%1."/>
      <w:lvlJc w:val="right"/>
      <w:pPr>
        <w:tabs>
          <w:tab w:val="left" w:pos="720"/>
        </w:tabs>
        <w:ind w:left="720" w:hanging="360"/>
      </w:pPr>
    </w:lvl>
    <w:lvl w:ilvl="1" w:tentative="0">
      <w:start w:val="1"/>
      <w:numFmt w:val="lowerRoman"/>
      <w:lvlText w:val="%2."/>
      <w:lvlJc w:val="right"/>
      <w:pPr>
        <w:tabs>
          <w:tab w:val="left" w:pos="1440"/>
        </w:tabs>
        <w:ind w:left="1440" w:hanging="360"/>
      </w:pPr>
    </w:lvl>
    <w:lvl w:ilvl="2" w:tentative="0">
      <w:start w:val="1"/>
      <w:numFmt w:val="lowerRoman"/>
      <w:lvlText w:val="%3."/>
      <w:lvlJc w:val="right"/>
      <w:pPr>
        <w:tabs>
          <w:tab w:val="left" w:pos="2160"/>
        </w:tabs>
        <w:ind w:left="2160" w:hanging="360"/>
      </w:pPr>
    </w:lvl>
    <w:lvl w:ilvl="3" w:tentative="0">
      <w:start w:val="1"/>
      <w:numFmt w:val="lowerRoman"/>
      <w:lvlText w:val="%4."/>
      <w:lvlJc w:val="right"/>
      <w:pPr>
        <w:tabs>
          <w:tab w:val="left" w:pos="2880"/>
        </w:tabs>
        <w:ind w:left="2880" w:hanging="360"/>
      </w:pPr>
    </w:lvl>
    <w:lvl w:ilvl="4" w:tentative="0">
      <w:start w:val="1"/>
      <w:numFmt w:val="lowerRoman"/>
      <w:lvlText w:val="%5."/>
      <w:lvlJc w:val="right"/>
      <w:pPr>
        <w:tabs>
          <w:tab w:val="left" w:pos="3600"/>
        </w:tabs>
        <w:ind w:left="3600" w:hanging="360"/>
      </w:pPr>
    </w:lvl>
    <w:lvl w:ilvl="5" w:tentative="0">
      <w:start w:val="1"/>
      <w:numFmt w:val="lowerRoman"/>
      <w:lvlText w:val="%6."/>
      <w:lvlJc w:val="right"/>
      <w:pPr>
        <w:tabs>
          <w:tab w:val="left" w:pos="4320"/>
        </w:tabs>
        <w:ind w:left="4320" w:hanging="360"/>
      </w:pPr>
    </w:lvl>
    <w:lvl w:ilvl="6" w:tentative="0">
      <w:start w:val="1"/>
      <w:numFmt w:val="lowerRoman"/>
      <w:lvlText w:val="%7."/>
      <w:lvlJc w:val="right"/>
      <w:pPr>
        <w:tabs>
          <w:tab w:val="left" w:pos="5040"/>
        </w:tabs>
        <w:ind w:left="5040" w:hanging="360"/>
      </w:pPr>
    </w:lvl>
    <w:lvl w:ilvl="7" w:tentative="0">
      <w:start w:val="1"/>
      <w:numFmt w:val="lowerRoman"/>
      <w:lvlText w:val="%8."/>
      <w:lvlJc w:val="right"/>
      <w:pPr>
        <w:tabs>
          <w:tab w:val="left" w:pos="5760"/>
        </w:tabs>
        <w:ind w:left="5760" w:hanging="360"/>
      </w:pPr>
    </w:lvl>
    <w:lvl w:ilvl="8" w:tentative="0">
      <w:start w:val="1"/>
      <w:numFmt w:val="lowerRoman"/>
      <w:lvlText w:val="%9."/>
      <w:lvlJc w:val="right"/>
      <w:pPr>
        <w:tabs>
          <w:tab w:val="left" w:pos="6480"/>
        </w:tabs>
        <w:ind w:left="6480" w:hanging="360"/>
      </w:pPr>
    </w:lvl>
  </w:abstractNum>
  <w:abstractNum w:abstractNumId="3">
    <w:nsid w:val="3ED24987"/>
    <w:multiLevelType w:val="multilevel"/>
    <w:tmpl w:val="3ED24987"/>
    <w:lvl w:ilvl="0" w:tentative="0">
      <w:start w:val="3"/>
      <w:numFmt w:val="decimal"/>
      <w:lvlText w:val="%1"/>
      <w:lvlJc w:val="left"/>
      <w:pPr>
        <w:ind w:left="360" w:hanging="360"/>
      </w:pPr>
      <w:rPr>
        <w:rFonts w:hint="default"/>
      </w:rPr>
    </w:lvl>
    <w:lvl w:ilvl="1" w:tentative="0">
      <w:start w:val="2"/>
      <w:numFmt w:val="decimal"/>
      <w:lvlText w:val="%1.%2"/>
      <w:lvlJc w:val="left"/>
      <w:pPr>
        <w:ind w:left="960" w:hanging="360"/>
      </w:pPr>
      <w:rPr>
        <w:rFonts w:hint="default"/>
      </w:rPr>
    </w:lvl>
    <w:lvl w:ilvl="2" w:tentative="0">
      <w:start w:val="1"/>
      <w:numFmt w:val="decimal"/>
      <w:lvlText w:val="%1.%2.%3"/>
      <w:lvlJc w:val="left"/>
      <w:pPr>
        <w:ind w:left="1920" w:hanging="720"/>
      </w:pPr>
      <w:rPr>
        <w:rFonts w:hint="default"/>
      </w:rPr>
    </w:lvl>
    <w:lvl w:ilvl="3" w:tentative="0">
      <w:start w:val="1"/>
      <w:numFmt w:val="decimal"/>
      <w:lvlText w:val="%1.%2.%3.%4"/>
      <w:lvlJc w:val="left"/>
      <w:pPr>
        <w:ind w:left="2520" w:hanging="720"/>
      </w:pPr>
      <w:rPr>
        <w:rFonts w:hint="default"/>
      </w:rPr>
    </w:lvl>
    <w:lvl w:ilvl="4" w:tentative="0">
      <w:start w:val="1"/>
      <w:numFmt w:val="decimal"/>
      <w:lvlText w:val="%1.%2.%3.%4.%5"/>
      <w:lvlJc w:val="left"/>
      <w:pPr>
        <w:ind w:left="3480" w:hanging="1080"/>
      </w:pPr>
      <w:rPr>
        <w:rFonts w:hint="default"/>
      </w:rPr>
    </w:lvl>
    <w:lvl w:ilvl="5" w:tentative="0">
      <w:start w:val="1"/>
      <w:numFmt w:val="decimal"/>
      <w:lvlText w:val="%1.%2.%3.%4.%5.%6"/>
      <w:lvlJc w:val="left"/>
      <w:pPr>
        <w:ind w:left="4080" w:hanging="1080"/>
      </w:pPr>
      <w:rPr>
        <w:rFonts w:hint="default"/>
      </w:rPr>
    </w:lvl>
    <w:lvl w:ilvl="6" w:tentative="0">
      <w:start w:val="1"/>
      <w:numFmt w:val="decimal"/>
      <w:lvlText w:val="%1.%2.%3.%4.%5.%6.%7"/>
      <w:lvlJc w:val="left"/>
      <w:pPr>
        <w:ind w:left="5040" w:hanging="1440"/>
      </w:pPr>
      <w:rPr>
        <w:rFonts w:hint="default"/>
      </w:rPr>
    </w:lvl>
    <w:lvl w:ilvl="7" w:tentative="0">
      <w:start w:val="1"/>
      <w:numFmt w:val="decimal"/>
      <w:lvlText w:val="%1.%2.%3.%4.%5.%6.%7.%8"/>
      <w:lvlJc w:val="left"/>
      <w:pPr>
        <w:ind w:left="5640" w:hanging="1440"/>
      </w:pPr>
      <w:rPr>
        <w:rFonts w:hint="default"/>
      </w:rPr>
    </w:lvl>
    <w:lvl w:ilvl="8" w:tentative="0">
      <w:start w:val="1"/>
      <w:numFmt w:val="decimal"/>
      <w:lvlText w:val="%1.%2.%3.%4.%5.%6.%7.%8.%9"/>
      <w:lvlJc w:val="left"/>
      <w:pPr>
        <w:ind w:left="6600" w:hanging="1800"/>
      </w:pPr>
      <w:rPr>
        <w:rFonts w:hint="default"/>
      </w:rPr>
    </w:lvl>
  </w:abstractNum>
  <w:abstractNum w:abstractNumId="4">
    <w:nsid w:val="61721D72"/>
    <w:multiLevelType w:val="multilevel"/>
    <w:tmpl w:val="61721D7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61D16AD0"/>
    <w:multiLevelType w:val="multilevel"/>
    <w:tmpl w:val="61D16AD0"/>
    <w:lvl w:ilvl="0" w:tentative="0">
      <w:start w:val="1"/>
      <w:numFmt w:val="decimal"/>
      <w:lvlText w:val="%1.0."/>
      <w:lvlJc w:val="left"/>
      <w:pPr>
        <w:ind w:left="1080" w:hanging="360"/>
      </w:pPr>
      <w:rPr>
        <w:rFonts w:hint="default"/>
      </w:rPr>
    </w:lvl>
    <w:lvl w:ilvl="1" w:tentative="0">
      <w:start w:val="1"/>
      <w:numFmt w:val="decimal"/>
      <w:lvlText w:val="%1.%2."/>
      <w:lvlJc w:val="left"/>
      <w:pPr>
        <w:ind w:left="1800" w:hanging="360"/>
      </w:pPr>
      <w:rPr>
        <w:rFonts w:hint="default"/>
      </w:rPr>
    </w:lvl>
    <w:lvl w:ilvl="2" w:tentative="0">
      <w:start w:val="1"/>
      <w:numFmt w:val="decimal"/>
      <w:lvlText w:val="%1.%2.%3."/>
      <w:lvlJc w:val="left"/>
      <w:pPr>
        <w:ind w:left="2880" w:hanging="720"/>
      </w:pPr>
      <w:rPr>
        <w:rFonts w:hint="default"/>
      </w:rPr>
    </w:lvl>
    <w:lvl w:ilvl="3" w:tentative="0">
      <w:start w:val="1"/>
      <w:numFmt w:val="decimal"/>
      <w:lvlText w:val="%1.%2.%3.%4."/>
      <w:lvlJc w:val="left"/>
      <w:pPr>
        <w:ind w:left="3600" w:hanging="720"/>
      </w:pPr>
      <w:rPr>
        <w:rFonts w:hint="default"/>
      </w:rPr>
    </w:lvl>
    <w:lvl w:ilvl="4" w:tentative="0">
      <w:start w:val="1"/>
      <w:numFmt w:val="decimal"/>
      <w:lvlText w:val="%1.%2.%3.%4.%5."/>
      <w:lvlJc w:val="left"/>
      <w:pPr>
        <w:ind w:left="4680" w:hanging="1080"/>
      </w:pPr>
      <w:rPr>
        <w:rFonts w:hint="default"/>
      </w:rPr>
    </w:lvl>
    <w:lvl w:ilvl="5" w:tentative="0">
      <w:start w:val="1"/>
      <w:numFmt w:val="decimal"/>
      <w:lvlText w:val="%1.%2.%3.%4.%5.%6."/>
      <w:lvlJc w:val="left"/>
      <w:pPr>
        <w:ind w:left="5400" w:hanging="1080"/>
      </w:pPr>
      <w:rPr>
        <w:rFonts w:hint="default"/>
      </w:rPr>
    </w:lvl>
    <w:lvl w:ilvl="6" w:tentative="0">
      <w:start w:val="1"/>
      <w:numFmt w:val="decimal"/>
      <w:lvlText w:val="%1.%2.%3.%4.%5.%6.%7."/>
      <w:lvlJc w:val="left"/>
      <w:pPr>
        <w:ind w:left="6480" w:hanging="1440"/>
      </w:pPr>
      <w:rPr>
        <w:rFonts w:hint="default"/>
      </w:rPr>
    </w:lvl>
    <w:lvl w:ilvl="7" w:tentative="0">
      <w:start w:val="1"/>
      <w:numFmt w:val="decimal"/>
      <w:lvlText w:val="%1.%2.%3.%4.%5.%6.%7.%8."/>
      <w:lvlJc w:val="left"/>
      <w:pPr>
        <w:ind w:left="7200" w:hanging="1440"/>
      </w:pPr>
      <w:rPr>
        <w:rFonts w:hint="default"/>
      </w:rPr>
    </w:lvl>
    <w:lvl w:ilvl="8" w:tentative="0">
      <w:start w:val="1"/>
      <w:numFmt w:val="decimal"/>
      <w:lvlText w:val="%1.%2.%3.%4.%5.%6.%7.%8.%9."/>
      <w:lvlJc w:val="left"/>
      <w:pPr>
        <w:ind w:left="8280" w:hanging="1800"/>
      </w:pPr>
      <w:rPr>
        <w:rFonts w:hint="default"/>
      </w:rPr>
    </w:lvl>
  </w:abstractNum>
  <w:abstractNum w:abstractNumId="6">
    <w:nsid w:val="638817CF"/>
    <w:multiLevelType w:val="multilevel"/>
    <w:tmpl w:val="638817CF"/>
    <w:lvl w:ilvl="0" w:tentative="0">
      <w:start w:val="3"/>
      <w:numFmt w:val="decimal"/>
      <w:lvlText w:val="%1.0"/>
      <w:lvlJc w:val="left"/>
      <w:pPr>
        <w:ind w:left="1080" w:hanging="360"/>
      </w:pPr>
      <w:rPr>
        <w:rFonts w:hint="default"/>
      </w:rPr>
    </w:lvl>
    <w:lvl w:ilvl="1" w:tentative="0">
      <w:start w:val="1"/>
      <w:numFmt w:val="decimal"/>
      <w:lvlText w:val="%1.%2"/>
      <w:lvlJc w:val="left"/>
      <w:pPr>
        <w:ind w:left="1800" w:hanging="360"/>
      </w:pPr>
      <w:rPr>
        <w:rFonts w:hint="default"/>
      </w:rPr>
    </w:lvl>
    <w:lvl w:ilvl="2" w:tentative="0">
      <w:start w:val="1"/>
      <w:numFmt w:val="decimal"/>
      <w:lvlText w:val="%1.%2.%3"/>
      <w:lvlJc w:val="left"/>
      <w:pPr>
        <w:ind w:left="2880" w:hanging="720"/>
      </w:pPr>
      <w:rPr>
        <w:rFonts w:hint="default"/>
      </w:rPr>
    </w:lvl>
    <w:lvl w:ilvl="3" w:tentative="0">
      <w:start w:val="1"/>
      <w:numFmt w:val="decimal"/>
      <w:lvlText w:val="%1.%2.%3.%4"/>
      <w:lvlJc w:val="left"/>
      <w:pPr>
        <w:ind w:left="3600" w:hanging="720"/>
      </w:pPr>
      <w:rPr>
        <w:rFonts w:hint="default"/>
      </w:rPr>
    </w:lvl>
    <w:lvl w:ilvl="4" w:tentative="0">
      <w:start w:val="1"/>
      <w:numFmt w:val="decimal"/>
      <w:lvlText w:val="%1.%2.%3.%4.%5"/>
      <w:lvlJc w:val="left"/>
      <w:pPr>
        <w:ind w:left="4680" w:hanging="1080"/>
      </w:pPr>
      <w:rPr>
        <w:rFonts w:hint="default"/>
      </w:rPr>
    </w:lvl>
    <w:lvl w:ilvl="5" w:tentative="0">
      <w:start w:val="1"/>
      <w:numFmt w:val="decimal"/>
      <w:lvlText w:val="%1.%2.%3.%4.%5.%6"/>
      <w:lvlJc w:val="left"/>
      <w:pPr>
        <w:ind w:left="5400" w:hanging="1080"/>
      </w:pPr>
      <w:rPr>
        <w:rFonts w:hint="default"/>
      </w:rPr>
    </w:lvl>
    <w:lvl w:ilvl="6" w:tentative="0">
      <w:start w:val="1"/>
      <w:numFmt w:val="decimal"/>
      <w:lvlText w:val="%1.%2.%3.%4.%5.%6.%7"/>
      <w:lvlJc w:val="left"/>
      <w:pPr>
        <w:ind w:left="6480" w:hanging="1440"/>
      </w:pPr>
      <w:rPr>
        <w:rFonts w:hint="default"/>
      </w:rPr>
    </w:lvl>
    <w:lvl w:ilvl="7" w:tentative="0">
      <w:start w:val="1"/>
      <w:numFmt w:val="decimal"/>
      <w:lvlText w:val="%1.%2.%3.%4.%5.%6.%7.%8"/>
      <w:lvlJc w:val="left"/>
      <w:pPr>
        <w:ind w:left="7200" w:hanging="1440"/>
      </w:pPr>
      <w:rPr>
        <w:rFonts w:hint="default"/>
      </w:rPr>
    </w:lvl>
    <w:lvl w:ilvl="8" w:tentative="0">
      <w:start w:val="1"/>
      <w:numFmt w:val="decimal"/>
      <w:lvlText w:val="%1.%2.%3.%4.%5.%6.%7.%8.%9"/>
      <w:lvlJc w:val="left"/>
      <w:pPr>
        <w:ind w:left="8280" w:hanging="1800"/>
      </w:pPr>
      <w:rPr>
        <w:rFonts w:hint="default"/>
      </w:rPr>
    </w:lvl>
  </w:abstractNum>
  <w:abstractNum w:abstractNumId="7">
    <w:nsid w:val="68753284"/>
    <w:multiLevelType w:val="singleLevel"/>
    <w:tmpl w:val="68753284"/>
    <w:lvl w:ilvl="0" w:tentative="0">
      <w:start w:val="1"/>
      <w:numFmt w:val="decimal"/>
      <w:lvlText w:val="%1."/>
      <w:lvlJc w:val="left"/>
    </w:lvl>
  </w:abstractNum>
  <w:abstractNum w:abstractNumId="8">
    <w:nsid w:val="68837D87"/>
    <w:multiLevelType w:val="singleLevel"/>
    <w:tmpl w:val="68837D87"/>
    <w:lvl w:ilvl="0" w:tentative="0">
      <w:start w:val="1"/>
      <w:numFmt w:val="decimal"/>
      <w:lvlText w:val="%1."/>
      <w:lvlJc w:val="left"/>
    </w:lvl>
  </w:abstractNum>
  <w:num w:numId="1">
    <w:abstractNumId w:val="5"/>
  </w:num>
  <w:num w:numId="2">
    <w:abstractNumId w:val="6"/>
  </w:num>
  <w:num w:numId="3">
    <w:abstractNumId w:val="3"/>
  </w:num>
  <w:num w:numId="4">
    <w:abstractNumId w:val="0"/>
  </w:num>
  <w:num w:numId="5">
    <w:abstractNumId w:val="2"/>
  </w:num>
  <w:num w:numId="6">
    <w:abstractNumId w:val="1"/>
  </w:num>
  <w:num w:numId="7">
    <w:abstractNumId w:val="4"/>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2"/>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iPriority="9"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6"/>
    <w:qFormat/>
    <w:uiPriority w:val="1"/>
    <w:pPr>
      <w:keepNext/>
      <w:keepLines/>
      <w:spacing w:before="480" w:after="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31"/>
    <w:unhideWhenUsed/>
    <w:qFormat/>
    <w:uiPriority w:val="9"/>
    <w:pPr>
      <w:keepNext/>
      <w:keepLines/>
      <w:spacing w:before="40" w:after="0"/>
      <w:outlineLvl w:val="1"/>
    </w:pPr>
    <w:rPr>
      <w:rFonts w:asciiTheme="majorHAnsi" w:hAnsiTheme="majorHAnsi" w:eastAsiaTheme="majorEastAsia" w:cstheme="majorBidi"/>
      <w:color w:val="366091" w:themeColor="accent1" w:themeShade="BF"/>
      <w:sz w:val="26"/>
      <w:szCs w:val="26"/>
    </w:rPr>
  </w:style>
  <w:style w:type="paragraph" w:styleId="4">
    <w:name w:val="heading 3"/>
    <w:basedOn w:val="1"/>
    <w:next w:val="1"/>
    <w:link w:val="32"/>
    <w:unhideWhenUsed/>
    <w:qFormat/>
    <w:uiPriority w:val="9"/>
    <w:pPr>
      <w:keepNext/>
      <w:keepLines/>
      <w:spacing w:before="40" w:after="0"/>
      <w:outlineLvl w:val="2"/>
    </w:pPr>
    <w:rPr>
      <w:rFonts w:asciiTheme="majorHAnsi" w:hAnsiTheme="majorHAnsi" w:eastAsiaTheme="majorEastAsia" w:cstheme="majorBidi"/>
      <w:color w:val="244061" w:themeColor="accent1" w:themeShade="80"/>
      <w:sz w:val="24"/>
      <w:szCs w:val="24"/>
    </w:rPr>
  </w:style>
  <w:style w:type="paragraph" w:styleId="5">
    <w:name w:val="heading 4"/>
    <w:basedOn w:val="1"/>
    <w:next w:val="1"/>
    <w:link w:val="20"/>
    <w:qFormat/>
    <w:uiPriority w:val="1"/>
    <w:pPr>
      <w:widowControl w:val="0"/>
      <w:autoSpaceDE w:val="0"/>
      <w:autoSpaceDN w:val="0"/>
      <w:spacing w:after="0" w:line="240" w:lineRule="auto"/>
      <w:ind w:left="660"/>
      <w:outlineLvl w:val="3"/>
    </w:pPr>
    <w:rPr>
      <w:rFonts w:ascii="Arial" w:hAnsi="Arial" w:eastAsia="Arial" w:cs="Arial"/>
      <w:b/>
      <w:bCs/>
      <w:sz w:val="28"/>
      <w:szCs w:val="28"/>
    </w:rPr>
  </w:style>
  <w:style w:type="character" w:default="1" w:styleId="12">
    <w:name w:val="Default Paragraph Font"/>
    <w:unhideWhenUsed/>
    <w:uiPriority w:val="1"/>
  </w:style>
  <w:style w:type="table" w:default="1" w:styleId="15">
    <w:name w:val="Normal Table"/>
    <w:unhideWhenUsed/>
    <w:qFormat/>
    <w:uiPriority w:val="99"/>
    <w:tblPr>
      <w:tblLayout w:type="fixed"/>
      <w:tblCellMar>
        <w:top w:w="0" w:type="dxa"/>
        <w:left w:w="108" w:type="dxa"/>
        <w:bottom w:w="0" w:type="dxa"/>
        <w:right w:w="108" w:type="dxa"/>
      </w:tblCellMar>
    </w:tblPr>
  </w:style>
  <w:style w:type="paragraph" w:styleId="6">
    <w:name w:val="Balloon Text"/>
    <w:basedOn w:val="1"/>
    <w:link w:val="19"/>
    <w:unhideWhenUsed/>
    <w:uiPriority w:val="99"/>
    <w:pPr>
      <w:spacing w:after="0" w:line="240" w:lineRule="auto"/>
    </w:pPr>
    <w:rPr>
      <w:rFonts w:ascii="Tahoma" w:hAnsi="Tahoma" w:cs="Tahoma"/>
      <w:sz w:val="16"/>
      <w:szCs w:val="16"/>
    </w:rPr>
  </w:style>
  <w:style w:type="paragraph" w:styleId="7">
    <w:name w:val="Body Text"/>
    <w:basedOn w:val="1"/>
    <w:link w:val="23"/>
    <w:qFormat/>
    <w:uiPriority w:val="1"/>
    <w:pPr>
      <w:widowControl w:val="0"/>
      <w:autoSpaceDE w:val="0"/>
      <w:autoSpaceDN w:val="0"/>
      <w:spacing w:after="0" w:line="240" w:lineRule="auto"/>
    </w:pPr>
    <w:rPr>
      <w:rFonts w:ascii="Arial MT" w:hAnsi="Arial MT" w:eastAsia="Arial MT" w:cs="Arial MT"/>
      <w:sz w:val="28"/>
      <w:szCs w:val="28"/>
    </w:rPr>
  </w:style>
  <w:style w:type="paragraph" w:styleId="8">
    <w:name w:val="footer"/>
    <w:basedOn w:val="1"/>
    <w:link w:val="30"/>
    <w:unhideWhenUsed/>
    <w:uiPriority w:val="99"/>
    <w:pPr>
      <w:tabs>
        <w:tab w:val="center" w:pos="4680"/>
        <w:tab w:val="right" w:pos="9360"/>
      </w:tabs>
      <w:spacing w:after="0" w:line="240" w:lineRule="auto"/>
    </w:pPr>
  </w:style>
  <w:style w:type="paragraph" w:styleId="9">
    <w:name w:val="header"/>
    <w:basedOn w:val="1"/>
    <w:link w:val="29"/>
    <w:unhideWhenUsed/>
    <w:uiPriority w:val="99"/>
    <w:pPr>
      <w:tabs>
        <w:tab w:val="center" w:pos="4680"/>
        <w:tab w:val="right" w:pos="9360"/>
      </w:tabs>
      <w:spacing w:after="0" w:line="240" w:lineRule="auto"/>
    </w:pPr>
  </w:style>
  <w:style w:type="paragraph" w:styleId="10">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11">
    <w:name w:val="Title"/>
    <w:basedOn w:val="1"/>
    <w:link w:val="27"/>
    <w:qFormat/>
    <w:uiPriority w:val="1"/>
    <w:pPr>
      <w:widowControl w:val="0"/>
      <w:autoSpaceDE w:val="0"/>
      <w:autoSpaceDN w:val="0"/>
      <w:spacing w:before="56" w:after="0" w:line="240" w:lineRule="auto"/>
      <w:ind w:left="1941" w:right="1938"/>
      <w:jc w:val="center"/>
    </w:pPr>
    <w:rPr>
      <w:rFonts w:ascii="Arial" w:hAnsi="Arial" w:eastAsia="Arial" w:cs="Arial"/>
      <w:b/>
      <w:bCs/>
      <w:sz w:val="27"/>
      <w:szCs w:val="27"/>
    </w:rPr>
  </w:style>
  <w:style w:type="character" w:styleId="13">
    <w:name w:val="Emphasis"/>
    <w:basedOn w:val="12"/>
    <w:qFormat/>
    <w:uiPriority w:val="20"/>
    <w:rPr>
      <w:i/>
      <w:iCs/>
    </w:rPr>
  </w:style>
  <w:style w:type="character" w:styleId="14">
    <w:name w:val="Strong"/>
    <w:basedOn w:val="12"/>
    <w:qFormat/>
    <w:uiPriority w:val="22"/>
    <w:rPr>
      <w:b/>
      <w:bCs/>
    </w:rPr>
  </w:style>
  <w:style w:type="table" w:styleId="16">
    <w:name w:val="Table Grid"/>
    <w:basedOn w:val="15"/>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table" w:styleId="17">
    <w:name w:val="Light List"/>
    <w:basedOn w:val="15"/>
    <w:uiPriority w:val="61"/>
    <w:pPr>
      <w:spacing w:after="0" w:line="240" w:lineRule="auto"/>
    </w:pPr>
    <w:rPr>
      <w:rFonts w:asciiTheme="minorHAnsi" w:hAnsiTheme="minorHAnsi" w:eastAsiaTheme="minorEastAsia" w:cstheme="minorBidi"/>
      <w:sz w:val="22"/>
      <w:szCs w:val="22"/>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Layout w:type="fixed"/>
      <w:tblCellMar>
        <w:top w:w="0" w:type="dxa"/>
        <w:left w:w="108" w:type="dxa"/>
        <w:bottom w:w="0" w:type="dxa"/>
        <w:right w:w="108" w:type="dxa"/>
      </w:tblCellMar>
    </w:tblPr>
    <w:tblStylePr w:type="firstRow">
      <w:pPr>
        <w:spacing w:before="0" w:after="0" w:line="240" w:lineRule="auto"/>
      </w:pPr>
      <w:rPr>
        <w:b/>
        <w:bCs/>
        <w:color w:val="FFFFFF" w:themeColor="background1"/>
      </w:rPr>
      <w:tblPr>
        <w:tblLayout w:type="fixed"/>
      </w:tblPr>
      <w:tcPr>
        <w:shd w:val="clear" w:color="auto" w:fill="000000" w:themeFill="text1"/>
      </w:tcPr>
    </w:tblStylePr>
    <w:tblStylePr w:type="lastRow">
      <w:pPr>
        <w:spacing w:before="0" w:after="0" w:line="240" w:lineRule="auto"/>
      </w:pPr>
      <w:rPr>
        <w:b/>
        <w:bCs/>
      </w:rPr>
      <w:tblPr>
        <w:tblLayout w:type="fixed"/>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blLayout w:type="fixed"/>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blLayout w:type="fixed"/>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18">
    <w:name w:val="Light List Accent 1"/>
    <w:basedOn w:val="15"/>
    <w:uiPriority w:val="61"/>
    <w:pPr>
      <w:spacing w:after="0" w:line="240" w:lineRule="auto"/>
    </w:pPr>
    <w:rPr>
      <w:rFonts w:asciiTheme="minorHAnsi" w:hAnsiTheme="minorHAnsi" w:eastAsiaTheme="minorEastAsia" w:cstheme="minorBidi"/>
      <w:sz w:val="22"/>
      <w:szCs w:val="22"/>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Layout w:type="fixed"/>
      <w:tblCellMar>
        <w:top w:w="0" w:type="dxa"/>
        <w:left w:w="108" w:type="dxa"/>
        <w:bottom w:w="0" w:type="dxa"/>
        <w:right w:w="108" w:type="dxa"/>
      </w:tblCellMar>
    </w:tblPr>
    <w:tblStylePr w:type="firstRow">
      <w:pPr>
        <w:spacing w:before="0" w:after="0" w:line="240" w:lineRule="auto"/>
      </w:pPr>
      <w:rPr>
        <w:b/>
        <w:bCs/>
        <w:color w:val="FFFFFF" w:themeColor="background1"/>
      </w:rPr>
      <w:tblPr>
        <w:tblLayout w:type="fixed"/>
      </w:tblPr>
      <w:tcPr>
        <w:shd w:val="clear" w:color="auto" w:fill="4F81BD" w:themeFill="accent1"/>
      </w:tcPr>
    </w:tblStylePr>
    <w:tblStylePr w:type="lastRow">
      <w:pPr>
        <w:spacing w:before="0" w:after="0" w:line="240" w:lineRule="auto"/>
      </w:pPr>
      <w:rPr>
        <w:b/>
        <w:bCs/>
      </w:rPr>
      <w:tblPr>
        <w:tblLayout w:type="fixed"/>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blLayout w:type="fixed"/>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blLayout w:type="fixed"/>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character" w:customStyle="1" w:styleId="19">
    <w:name w:val="Balloon Text Char"/>
    <w:basedOn w:val="12"/>
    <w:link w:val="6"/>
    <w:semiHidden/>
    <w:uiPriority w:val="99"/>
    <w:rPr>
      <w:rFonts w:ascii="Tahoma" w:hAnsi="Tahoma" w:cs="Tahoma"/>
      <w:sz w:val="16"/>
      <w:szCs w:val="16"/>
    </w:rPr>
  </w:style>
  <w:style w:type="character" w:customStyle="1" w:styleId="20">
    <w:name w:val="Heading 4 Char"/>
    <w:basedOn w:val="12"/>
    <w:link w:val="5"/>
    <w:uiPriority w:val="1"/>
    <w:rPr>
      <w:rFonts w:ascii="Arial" w:hAnsi="Arial" w:eastAsia="Arial" w:cs="Arial"/>
      <w:b/>
      <w:bCs/>
      <w:sz w:val="28"/>
      <w:szCs w:val="28"/>
    </w:rPr>
  </w:style>
  <w:style w:type="character" w:customStyle="1" w:styleId="21">
    <w:name w:val="Body text_"/>
    <w:basedOn w:val="12"/>
    <w:link w:val="22"/>
    <w:uiPriority w:val="99"/>
    <w:rPr>
      <w:rFonts w:ascii="Times New Roman" w:hAnsi="Times New Roman" w:eastAsia="Times New Roman" w:cs="Times New Roman"/>
      <w:sz w:val="23"/>
      <w:szCs w:val="23"/>
      <w:shd w:val="clear" w:color="auto" w:fill="FFFFFF"/>
    </w:rPr>
  </w:style>
  <w:style w:type="paragraph" w:customStyle="1" w:styleId="22">
    <w:name w:val="Body Text1"/>
    <w:basedOn w:val="1"/>
    <w:link w:val="21"/>
    <w:uiPriority w:val="99"/>
    <w:pPr>
      <w:shd w:val="clear" w:color="auto" w:fill="FFFFFF"/>
      <w:spacing w:after="0" w:line="552" w:lineRule="exact"/>
      <w:ind w:hanging="360"/>
      <w:jc w:val="both"/>
    </w:pPr>
    <w:rPr>
      <w:rFonts w:ascii="Times New Roman" w:hAnsi="Times New Roman" w:eastAsia="Times New Roman" w:cs="Times New Roman"/>
      <w:sz w:val="23"/>
      <w:szCs w:val="23"/>
    </w:rPr>
  </w:style>
  <w:style w:type="character" w:customStyle="1" w:styleId="23">
    <w:name w:val="Body Text Char"/>
    <w:basedOn w:val="12"/>
    <w:link w:val="7"/>
    <w:uiPriority w:val="1"/>
    <w:rPr>
      <w:rFonts w:ascii="Arial MT" w:hAnsi="Arial MT" w:eastAsia="Arial MT" w:cs="Arial MT"/>
      <w:sz w:val="28"/>
      <w:szCs w:val="28"/>
    </w:rPr>
  </w:style>
  <w:style w:type="paragraph" w:customStyle="1" w:styleId="24">
    <w:name w:val="List Paragraph1"/>
    <w:basedOn w:val="1"/>
    <w:qFormat/>
    <w:uiPriority w:val="34"/>
    <w:pPr>
      <w:ind w:left="720"/>
      <w:contextualSpacing/>
    </w:pPr>
  </w:style>
  <w:style w:type="paragraph" w:customStyle="1" w:styleId="25">
    <w:name w:val="No Spacing1"/>
    <w:qFormat/>
    <w:uiPriority w:val="1"/>
    <w:pPr>
      <w:spacing w:after="0" w:line="240" w:lineRule="auto"/>
    </w:pPr>
    <w:rPr>
      <w:rFonts w:asciiTheme="minorHAnsi" w:hAnsiTheme="minorHAnsi" w:eastAsiaTheme="minorHAnsi" w:cstheme="minorBidi"/>
      <w:sz w:val="22"/>
      <w:szCs w:val="22"/>
      <w:lang w:val="en-US" w:eastAsia="en-US" w:bidi="ar-SA"/>
    </w:rPr>
  </w:style>
  <w:style w:type="character" w:customStyle="1" w:styleId="26">
    <w:name w:val="Heading 1 Char"/>
    <w:basedOn w:val="12"/>
    <w:link w:val="2"/>
    <w:uiPriority w:val="9"/>
    <w:rPr>
      <w:rFonts w:asciiTheme="majorHAnsi" w:hAnsiTheme="majorHAnsi" w:eastAsiaTheme="majorEastAsia" w:cstheme="majorBidi"/>
      <w:b/>
      <w:bCs/>
      <w:color w:val="366091" w:themeColor="accent1" w:themeShade="BF"/>
      <w:sz w:val="28"/>
      <w:szCs w:val="28"/>
    </w:rPr>
  </w:style>
  <w:style w:type="character" w:customStyle="1" w:styleId="27">
    <w:name w:val="Title Char"/>
    <w:basedOn w:val="12"/>
    <w:link w:val="11"/>
    <w:uiPriority w:val="1"/>
    <w:rPr>
      <w:rFonts w:ascii="Arial" w:hAnsi="Arial" w:eastAsia="Arial" w:cs="Arial"/>
      <w:b/>
      <w:bCs/>
      <w:sz w:val="27"/>
      <w:szCs w:val="27"/>
    </w:rPr>
  </w:style>
  <w:style w:type="paragraph" w:customStyle="1" w:styleId="28">
    <w:name w:val="Table Paragraph"/>
    <w:basedOn w:val="1"/>
    <w:qFormat/>
    <w:uiPriority w:val="1"/>
    <w:pPr>
      <w:widowControl w:val="0"/>
      <w:autoSpaceDE w:val="0"/>
      <w:autoSpaceDN w:val="0"/>
      <w:spacing w:before="2" w:after="0" w:line="240" w:lineRule="auto"/>
      <w:ind w:left="131"/>
    </w:pPr>
    <w:rPr>
      <w:rFonts w:ascii="Arial MT" w:hAnsi="Arial MT" w:eastAsia="Arial MT" w:cs="Arial MT"/>
    </w:rPr>
  </w:style>
  <w:style w:type="character" w:customStyle="1" w:styleId="29">
    <w:name w:val="Header Char"/>
    <w:basedOn w:val="12"/>
    <w:link w:val="9"/>
    <w:semiHidden/>
    <w:uiPriority w:val="99"/>
  </w:style>
  <w:style w:type="character" w:customStyle="1" w:styleId="30">
    <w:name w:val="Footer Char"/>
    <w:basedOn w:val="12"/>
    <w:link w:val="8"/>
    <w:uiPriority w:val="99"/>
  </w:style>
  <w:style w:type="character" w:customStyle="1" w:styleId="31">
    <w:name w:val="Heading 2 Char"/>
    <w:basedOn w:val="12"/>
    <w:link w:val="3"/>
    <w:semiHidden/>
    <w:uiPriority w:val="9"/>
    <w:rPr>
      <w:rFonts w:asciiTheme="majorHAnsi" w:hAnsiTheme="majorHAnsi" w:eastAsiaTheme="majorEastAsia" w:cstheme="majorBidi"/>
      <w:color w:val="366091" w:themeColor="accent1" w:themeShade="BF"/>
      <w:sz w:val="26"/>
      <w:szCs w:val="26"/>
      <w:lang w:val="en-US" w:eastAsia="en-US"/>
    </w:rPr>
  </w:style>
  <w:style w:type="character" w:customStyle="1" w:styleId="32">
    <w:name w:val="Heading 3 Char"/>
    <w:basedOn w:val="12"/>
    <w:link w:val="4"/>
    <w:semiHidden/>
    <w:uiPriority w:val="9"/>
    <w:rPr>
      <w:rFonts w:asciiTheme="majorHAnsi" w:hAnsiTheme="majorHAnsi" w:eastAsiaTheme="majorEastAsia" w:cstheme="majorBidi"/>
      <w:color w:val="244061" w:themeColor="accent1" w:themeShade="80"/>
      <w:sz w:val="24"/>
      <w:szCs w:val="24"/>
      <w:lang w:val="en-US"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51</Pages>
  <Words>10179</Words>
  <Characters>58025</Characters>
  <Lines>483</Lines>
  <Paragraphs>136</Paragraphs>
  <TotalTime>0</TotalTime>
  <ScaleCrop>false</ScaleCrop>
  <LinksUpToDate>false</LinksUpToDate>
  <CharactersWithSpaces>68068</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2025-07-15T19:15:00Z</dcterms:created>
  <dc:creator>User</dc:creator>
  <cp:lastModifiedBy>iPhone</cp:lastModifiedBy>
  <cp:lastPrinted>2025-07-15T19:13:00Z</cp:lastPrinted>
  <dcterms:modified xsi:type="dcterms:W3CDTF">2025-07-28T13:38:17Z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4A23A77CC7D5548D193176680D376928_33</vt:lpwstr>
  </property>
  <property fmtid="{D5CDD505-2E9C-101B-9397-08002B2CF9AE}" pid="3" name="KSOProductBuildVer">
    <vt:lpwstr>1033-11.33.90</vt:lpwstr>
  </property>
</Properties>
</file>