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3C" w:rsidRPr="00B06BB4" w:rsidRDefault="00E8113C" w:rsidP="00F1352F">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E8113C" w:rsidRPr="00991E59" w:rsidRDefault="00E8113C" w:rsidP="00F1352F">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F1352F" w:rsidRPr="00F1352F" w:rsidRDefault="00F1352F" w:rsidP="00F1352F">
      <w:pPr>
        <w:spacing w:after="0" w:line="480" w:lineRule="auto"/>
        <w:ind w:firstLine="720"/>
        <w:jc w:val="center"/>
        <w:rPr>
          <w:rFonts w:ascii="Arial Black" w:eastAsia="Batang" w:hAnsi="Arial Black"/>
          <w:b/>
          <w:color w:val="000000"/>
          <w:sz w:val="38"/>
          <w:szCs w:val="24"/>
        </w:rPr>
      </w:pPr>
      <w:r w:rsidRPr="00F1352F">
        <w:rPr>
          <w:rFonts w:ascii="Arial Black" w:eastAsia="Batang" w:hAnsi="Arial Black"/>
          <w:b/>
          <w:color w:val="000000"/>
          <w:sz w:val="38"/>
          <w:szCs w:val="24"/>
        </w:rPr>
        <w:t xml:space="preserve">OYEDELE MAYOWA </w:t>
      </w:r>
    </w:p>
    <w:p w:rsidR="00F1352F" w:rsidRPr="00F1352F" w:rsidRDefault="00F1352F" w:rsidP="00F1352F">
      <w:pPr>
        <w:spacing w:after="0" w:line="480" w:lineRule="auto"/>
        <w:ind w:firstLine="720"/>
        <w:jc w:val="center"/>
        <w:rPr>
          <w:rFonts w:ascii="Arial Black" w:eastAsia="Batang" w:hAnsi="Arial Black"/>
          <w:b/>
          <w:color w:val="000000"/>
          <w:sz w:val="38"/>
          <w:szCs w:val="24"/>
        </w:rPr>
      </w:pPr>
      <w:r w:rsidRPr="00F1352F">
        <w:rPr>
          <w:rFonts w:ascii="Arial Black" w:eastAsia="Batang" w:hAnsi="Arial Black"/>
          <w:b/>
          <w:color w:val="000000"/>
          <w:sz w:val="38"/>
          <w:szCs w:val="24"/>
        </w:rPr>
        <w:t>HND/23/SLT/FT/0404</w:t>
      </w:r>
    </w:p>
    <w:p w:rsidR="00E8113C" w:rsidRDefault="00E8113C" w:rsidP="00F1352F">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E8113C" w:rsidRPr="00E85461" w:rsidRDefault="00E8113C" w:rsidP="00F1352F">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E8113C" w:rsidRPr="00E85461" w:rsidRDefault="00E8113C" w:rsidP="00F1352F">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E8113C" w:rsidRPr="00E85461" w:rsidRDefault="00E8113C" w:rsidP="00F1352F">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E8113C" w:rsidRPr="00E85461" w:rsidRDefault="00E8113C" w:rsidP="00F1352F">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E8113C" w:rsidRPr="00E85461" w:rsidRDefault="00E8113C" w:rsidP="00F1352F">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E8113C" w:rsidRPr="00BF4168" w:rsidRDefault="00F1352F" w:rsidP="00E8113C">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219700" cy="7219950"/>
            <wp:effectExtent l="19050" t="0" r="0" b="0"/>
            <wp:docPr id="11" name="Picture 11" descr="C:\Users\ANOYNMOUS\Documents\CE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5.jpg"/>
                    <pic:cNvPicPr>
                      <a:picLocks noChangeAspect="1" noChangeArrowheads="1"/>
                    </pic:cNvPicPr>
                  </pic:nvPicPr>
                  <pic:blipFill>
                    <a:blip r:embed="rId7"/>
                    <a:srcRect/>
                    <a:stretch>
                      <a:fillRect/>
                    </a:stretch>
                  </pic:blipFill>
                  <pic:spPr bwMode="auto">
                    <a:xfrm>
                      <a:off x="0" y="0"/>
                      <a:ext cx="5219700" cy="7219950"/>
                    </a:xfrm>
                    <a:prstGeom prst="rect">
                      <a:avLst/>
                    </a:prstGeom>
                    <a:noFill/>
                    <a:ln w="9525">
                      <a:noFill/>
                      <a:miter lim="800000"/>
                      <a:headEnd/>
                      <a:tailEnd/>
                    </a:ln>
                  </pic:spPr>
                </pic:pic>
              </a:graphicData>
            </a:graphic>
          </wp:inline>
        </w:drawing>
      </w:r>
      <w:r w:rsidRPr="00F1352F">
        <w:rPr>
          <w:rFonts w:ascii="Times New Roman" w:hAnsi="Times New Roman"/>
          <w:b/>
          <w:sz w:val="24"/>
          <w:szCs w:val="26"/>
        </w:rPr>
        <w:t xml:space="preserve"> </w:t>
      </w:r>
      <w:r w:rsidR="00E8113C" w:rsidRPr="00BF4168">
        <w:rPr>
          <w:rFonts w:ascii="Times New Roman" w:eastAsia="Times New Roman" w:hAnsi="Times New Roman"/>
          <w:b/>
          <w:color w:val="000000"/>
          <w:sz w:val="28"/>
          <w:szCs w:val="28"/>
        </w:rPr>
        <w:lastRenderedPageBreak/>
        <w:t>DEDICATION</w:t>
      </w:r>
    </w:p>
    <w:p w:rsidR="00072B23" w:rsidRPr="00072B23" w:rsidRDefault="00072B23" w:rsidP="00072B23">
      <w:pPr>
        <w:spacing w:line="360" w:lineRule="auto"/>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I dedicate this project to Almighty Allah and to my loving family, whose constant support, sacrifices, and encouragement have been my driving force.</w:t>
      </w:r>
    </w:p>
    <w:p w:rsidR="00072B23" w:rsidRPr="00072B23" w:rsidRDefault="00072B23" w:rsidP="00072B23">
      <w:pPr>
        <w:spacing w:line="360" w:lineRule="auto"/>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To everyone who believed in me even when I doubted myself this is for you.</w:t>
      </w:r>
    </w:p>
    <w:p w:rsidR="00E8113C" w:rsidRPr="00BF4168" w:rsidRDefault="00072B23" w:rsidP="00072B23">
      <w:pPr>
        <w:spacing w:line="360" w:lineRule="auto"/>
        <w:jc w:val="both"/>
        <w:rPr>
          <w:rFonts w:ascii="Times New Roman" w:hAnsi="Times New Roman"/>
          <w:b/>
          <w:color w:val="000000"/>
          <w:sz w:val="28"/>
          <w:szCs w:val="28"/>
        </w:rPr>
      </w:pPr>
      <w:r w:rsidRPr="00072B23">
        <w:rPr>
          <w:rFonts w:ascii="Times New Roman" w:eastAsia="Times New Roman" w:hAnsi="Times New Roman"/>
          <w:color w:val="000000"/>
          <w:sz w:val="28"/>
          <w:szCs w:val="28"/>
        </w:rPr>
        <w:t>To the version of me that didn’t give up. For all the late nights, self-doubt, and setbacks I’m proud of how far I’ve come. This is just the beginning of great things in my life</w:t>
      </w:r>
      <w:r>
        <w:rPr>
          <w:rFonts w:ascii="Times New Roman" w:eastAsia="Times New Roman" w:hAnsi="Times New Roman"/>
          <w:color w:val="000000"/>
          <w:sz w:val="28"/>
          <w:szCs w:val="28"/>
        </w:rPr>
        <w:t>.</w:t>
      </w:r>
    </w:p>
    <w:p w:rsidR="00E8113C" w:rsidRPr="00BF4168" w:rsidRDefault="00E8113C" w:rsidP="00E8113C">
      <w:pPr>
        <w:spacing w:line="360" w:lineRule="auto"/>
        <w:ind w:left="5760"/>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072B23" w:rsidRPr="00072B23" w:rsidRDefault="00E8113C" w:rsidP="00072B23">
      <w:pPr>
        <w:shd w:val="clear" w:color="auto" w:fill="FFFFFF"/>
        <w:spacing w:after="0" w:line="360" w:lineRule="auto"/>
        <w:jc w:val="both"/>
        <w:rPr>
          <w:rFonts w:ascii="Times New Roman" w:eastAsia="Times New Roman" w:hAnsi="Times New Roman"/>
          <w:color w:val="000000"/>
          <w:sz w:val="28"/>
          <w:szCs w:val="28"/>
        </w:rPr>
      </w:pPr>
      <w:r w:rsidRPr="00BF4168">
        <w:rPr>
          <w:rFonts w:ascii="Times New Roman" w:eastAsia="Times New Roman" w:hAnsi="Times New Roman"/>
          <w:color w:val="000000"/>
          <w:sz w:val="28"/>
          <w:szCs w:val="28"/>
        </w:rPr>
        <w:t xml:space="preserve"> </w:t>
      </w:r>
      <w:r w:rsidRPr="00BF4168">
        <w:rPr>
          <w:rFonts w:ascii="Times New Roman" w:eastAsia="Times New Roman" w:hAnsi="Times New Roman"/>
          <w:color w:val="000000"/>
          <w:sz w:val="28"/>
          <w:szCs w:val="28"/>
        </w:rPr>
        <w:tab/>
      </w:r>
      <w:r w:rsidR="00072B23" w:rsidRPr="00072B23">
        <w:rPr>
          <w:rFonts w:ascii="Times New Roman" w:eastAsia="Times New Roman" w:hAnsi="Times New Roman"/>
          <w:color w:val="000000"/>
          <w:sz w:val="28"/>
          <w:szCs w:val="28"/>
        </w:rPr>
        <w:t>First and foremost, I would like to express my sincere gratitude to Almighty Allah for the strength, wisdom, and guidance throughout the course of this project.</w:t>
      </w:r>
    </w:p>
    <w:p w:rsidR="00072B23" w:rsidRPr="00072B23" w:rsidRDefault="00072B23" w:rsidP="00072B23">
      <w:pPr>
        <w:shd w:val="clear" w:color="auto" w:fill="FFFFFF"/>
        <w:spacing w:after="0" w:line="360" w:lineRule="auto"/>
        <w:ind w:firstLine="720"/>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My deepest appreciation goes to my supervisor, Mrs Oyagboola E.O for her valuable insights, encouragement, and constant support.</w:t>
      </w:r>
    </w:p>
    <w:p w:rsidR="00072B23" w:rsidRPr="00072B23" w:rsidRDefault="00072B23" w:rsidP="00072B23">
      <w:pPr>
        <w:shd w:val="clear" w:color="auto" w:fill="FFFFFF"/>
        <w:spacing w:after="0" w:line="360" w:lineRule="auto"/>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 xml:space="preserve">I am also grateful to my family, Mr &amp; Mrs OYEDELE for their unwavering support, prayers, and understanding during the course of this work and my time in school </w:t>
      </w:r>
    </w:p>
    <w:p w:rsidR="00072B23" w:rsidRPr="00072B23" w:rsidRDefault="00072B23" w:rsidP="00072B23">
      <w:pPr>
        <w:shd w:val="clear" w:color="auto" w:fill="FFFFFF"/>
        <w:spacing w:after="0" w:line="360" w:lineRule="auto"/>
        <w:ind w:firstLine="720"/>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My friends are also my biggest supporter, thanks for everything m</w:t>
      </w:r>
      <w:r>
        <w:rPr>
          <w:rFonts w:ascii="Times New Roman" w:eastAsia="Times New Roman" w:hAnsi="Times New Roman"/>
          <w:color w:val="000000"/>
          <w:sz w:val="28"/>
          <w:szCs w:val="28"/>
        </w:rPr>
        <w:t>ay we all meet at the top</w:t>
      </w:r>
      <w:r w:rsidRPr="00072B23">
        <w:rPr>
          <w:rFonts w:ascii="Times New Roman" w:eastAsia="Times New Roman" w:hAnsi="Times New Roman"/>
          <w:color w:val="000000"/>
          <w:sz w:val="28"/>
          <w:szCs w:val="28"/>
        </w:rPr>
        <w:t>.</w:t>
      </w:r>
    </w:p>
    <w:p w:rsidR="00072B23" w:rsidRPr="00072B23" w:rsidRDefault="00072B23" w:rsidP="00072B23">
      <w:pPr>
        <w:shd w:val="clear" w:color="auto" w:fill="FFFFFF"/>
        <w:spacing w:after="0" w:line="360" w:lineRule="auto"/>
        <w:ind w:firstLine="720"/>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 xml:space="preserve">I acknowledge everyone who in one way or the other, contributed to the success of this project and my time in school. I wouldn’t have made it through without you all </w:t>
      </w:r>
    </w:p>
    <w:p w:rsidR="00072B23" w:rsidRPr="00072B23" w:rsidRDefault="00072B23" w:rsidP="00072B23">
      <w:pPr>
        <w:shd w:val="clear" w:color="auto" w:fill="FFFFFF"/>
        <w:spacing w:after="0" w:line="360" w:lineRule="auto"/>
        <w:ind w:firstLine="720"/>
        <w:jc w:val="both"/>
        <w:rPr>
          <w:rFonts w:ascii="Times New Roman" w:eastAsia="Times New Roman" w:hAnsi="Times New Roman"/>
          <w:color w:val="000000"/>
          <w:sz w:val="28"/>
          <w:szCs w:val="28"/>
        </w:rPr>
      </w:pPr>
      <w:r w:rsidRPr="00072B23">
        <w:rPr>
          <w:rFonts w:ascii="Times New Roman" w:eastAsia="Times New Roman" w:hAnsi="Times New Roman"/>
          <w:color w:val="000000"/>
          <w:sz w:val="28"/>
          <w:szCs w:val="28"/>
        </w:rPr>
        <w:t>Last but not least, I wanna thank me for believing in me, I wanna thank me for doing all the hard work, I wanna thank me for having no days off, I wanna thank me for never quitting,I wanna thank me for being a giver and trying to give more than I receive, I wanna thank me for trying to do more right than wrong, I wanna thank me for just being me at all times.</w:t>
      </w:r>
    </w:p>
    <w:p w:rsidR="00E8113C" w:rsidRPr="00BF4168" w:rsidRDefault="00072B23" w:rsidP="00072B23">
      <w:pPr>
        <w:shd w:val="clear" w:color="auto" w:fill="FFFFFF"/>
        <w:spacing w:after="0" w:line="360" w:lineRule="auto"/>
        <w:jc w:val="both"/>
        <w:rPr>
          <w:rFonts w:ascii="Times New Roman" w:hAnsi="Times New Roman"/>
          <w:b/>
          <w:color w:val="000000"/>
          <w:sz w:val="28"/>
          <w:szCs w:val="28"/>
        </w:rPr>
      </w:pPr>
      <w:r w:rsidRPr="00072B23">
        <w:rPr>
          <w:rFonts w:ascii="Times New Roman" w:eastAsia="Times New Roman" w:hAnsi="Times New Roman"/>
          <w:color w:val="000000"/>
          <w:sz w:val="28"/>
          <w:szCs w:val="28"/>
        </w:rPr>
        <w:t>Thank you all.</w:t>
      </w: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BF4168" w:rsidRDefault="00E8113C" w:rsidP="00E8113C">
      <w:pPr>
        <w:spacing w:line="360" w:lineRule="auto"/>
        <w:jc w:val="center"/>
        <w:rPr>
          <w:rFonts w:ascii="Times New Roman" w:hAnsi="Times New Roman"/>
          <w:b/>
          <w:color w:val="000000"/>
          <w:sz w:val="28"/>
          <w:szCs w:val="28"/>
        </w:rPr>
      </w:pPr>
    </w:p>
    <w:p w:rsidR="00E8113C" w:rsidRPr="005122D9" w:rsidRDefault="00E8113C" w:rsidP="00E8113C">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t>TABLE OF CONTENTS</w:t>
      </w:r>
    </w:p>
    <w:p w:rsidR="00E8113C" w:rsidRPr="005122D9" w:rsidRDefault="00E8113C" w:rsidP="00E8113C">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E8113C" w:rsidRPr="00991E59" w:rsidRDefault="00E8113C" w:rsidP="00E8113C">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E8113C" w:rsidRPr="00991E59" w:rsidRDefault="00E8113C" w:rsidP="00E8113C">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E8113C" w:rsidRPr="00991E59" w:rsidRDefault="00E8113C" w:rsidP="00E8113C">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E8113C" w:rsidRPr="00EC5F83" w:rsidRDefault="00E8113C" w:rsidP="00E8113C">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E8113C" w:rsidRPr="00991E59" w:rsidRDefault="00E8113C" w:rsidP="00E8113C">
      <w:pPr>
        <w:tabs>
          <w:tab w:val="center" w:pos="8184"/>
        </w:tabs>
        <w:spacing w:after="128" w:line="360" w:lineRule="auto"/>
        <w:jc w:val="both"/>
        <w:rPr>
          <w:rFonts w:ascii="Times New Roman" w:hAnsi="Times New Roman"/>
          <w:sz w:val="26"/>
          <w:szCs w:val="26"/>
        </w:rPr>
      </w:pPr>
      <w:r w:rsidRPr="00991E59">
        <w:rPr>
          <w:rFonts w:ascii="Times New Roman" w:hAnsi="Times New Roman"/>
          <w:sz w:val="26"/>
          <w:szCs w:val="26"/>
        </w:rPr>
        <w:t>List of Tables</w:t>
      </w:r>
      <w:r>
        <w:rPr>
          <w:rFonts w:ascii="Times New Roman" w:hAnsi="Times New Roman"/>
          <w:sz w:val="26"/>
          <w:szCs w:val="26"/>
        </w:rPr>
        <w:t xml:space="preserve">                                                                                                    viii</w:t>
      </w:r>
      <w:r>
        <w:rPr>
          <w:rFonts w:ascii="Times New Roman" w:hAnsi="Times New Roman"/>
          <w:sz w:val="26"/>
          <w:szCs w:val="26"/>
        </w:rPr>
        <w:tab/>
      </w:r>
    </w:p>
    <w:p w:rsidR="00E8113C" w:rsidRPr="00991E59" w:rsidRDefault="00E8113C" w:rsidP="00E8113C">
      <w:pPr>
        <w:spacing w:line="360" w:lineRule="auto"/>
        <w:jc w:val="both"/>
        <w:rPr>
          <w:rFonts w:ascii="Times New Roman" w:hAnsi="Times New Roman"/>
          <w:sz w:val="26"/>
          <w:szCs w:val="26"/>
        </w:rPr>
      </w:pPr>
      <w:r w:rsidRPr="00991E59">
        <w:rPr>
          <w:rFonts w:ascii="Times New Roman" w:hAnsi="Times New Roman"/>
          <w:sz w:val="26"/>
          <w:szCs w:val="26"/>
        </w:rPr>
        <w:t>List of</w:t>
      </w:r>
      <w:r w:rsidRPr="00991E59">
        <w:rPr>
          <w:rFonts w:ascii="Times New Roman" w:hAnsi="Times New Roman"/>
          <w:sz w:val="26"/>
          <w:szCs w:val="26"/>
        </w:rPr>
        <w:tab/>
        <w:t xml:space="preserve"> Figures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ix</w:t>
      </w:r>
    </w:p>
    <w:p w:rsidR="00E8113C" w:rsidRPr="00991E59" w:rsidRDefault="00E8113C" w:rsidP="00E8113C">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x</w:t>
      </w:r>
    </w:p>
    <w:p w:rsidR="00E8113C" w:rsidRPr="00991E59" w:rsidRDefault="00E8113C" w:rsidP="00E8113C">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E8113C" w:rsidRPr="00991E59" w:rsidRDefault="00E8113C" w:rsidP="00E8113C">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E8113C" w:rsidRPr="00991E59"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E8113C" w:rsidRPr="00991E59"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E8113C" w:rsidRPr="00991E59" w:rsidRDefault="00E8113C" w:rsidP="00E8113C">
      <w:pPr>
        <w:pStyle w:val="NormalWeb"/>
        <w:spacing w:line="360" w:lineRule="auto"/>
        <w:jc w:val="both"/>
        <w:rPr>
          <w:color w:val="000000" w:themeColor="text1"/>
          <w:sz w:val="26"/>
          <w:szCs w:val="26"/>
        </w:rPr>
      </w:pPr>
      <w:r w:rsidRPr="00991E59">
        <w:rPr>
          <w:color w:val="000000" w:themeColor="text1"/>
          <w:sz w:val="26"/>
          <w:szCs w:val="26"/>
        </w:rPr>
        <w:lastRenderedPageBreak/>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E8113C" w:rsidRPr="00991E59" w:rsidRDefault="00E8113C" w:rsidP="00E8113C">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E8113C" w:rsidRPr="00991E59" w:rsidRDefault="00E8113C" w:rsidP="00E8113C">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E8113C" w:rsidRPr="00991E59" w:rsidRDefault="00E8113C" w:rsidP="00E8113C">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6-7</w:t>
      </w:r>
    </w:p>
    <w:p w:rsidR="00E8113C" w:rsidRPr="00991E59" w:rsidRDefault="00E8113C" w:rsidP="00E8113C">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7-8</w:t>
      </w:r>
    </w:p>
    <w:p w:rsidR="00E8113C" w:rsidRPr="00991E59" w:rsidRDefault="00E8113C" w:rsidP="00E8113C">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E8113C" w:rsidRPr="00991E59" w:rsidRDefault="00E8113C" w:rsidP="00E8113C">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E8113C" w:rsidRPr="00991E59" w:rsidRDefault="00E8113C" w:rsidP="00E8113C">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E8113C" w:rsidRPr="00991E59" w:rsidRDefault="00E8113C" w:rsidP="00E8113C">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E8113C" w:rsidRPr="00991E59" w:rsidRDefault="00E8113C" w:rsidP="00E8113C">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lastRenderedPageBreak/>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E8113C" w:rsidRPr="00991E59" w:rsidRDefault="00E8113C" w:rsidP="00E8113C">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E8113C" w:rsidRPr="00991E59" w:rsidRDefault="00E8113C" w:rsidP="00E8113C">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E8113C" w:rsidRPr="00991E59" w:rsidRDefault="00E8113C" w:rsidP="00E8113C">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E8113C" w:rsidRPr="00991E59" w:rsidRDefault="00E8113C" w:rsidP="00E8113C">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E8113C" w:rsidRPr="00991E59" w:rsidRDefault="00E8113C" w:rsidP="00E8113C">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E8113C" w:rsidRPr="00991E59"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E8113C" w:rsidRPr="00991E59"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E8113C" w:rsidRPr="00991E59"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E8113C" w:rsidRPr="00991E59" w:rsidRDefault="00E8113C" w:rsidP="00E8113C">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E8113C" w:rsidRPr="00991E59"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E8113C" w:rsidRPr="00991E59" w:rsidRDefault="00E8113C" w:rsidP="00E8113C">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E8113C" w:rsidRPr="00991E59" w:rsidRDefault="00E8113C" w:rsidP="00E8113C">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E8113C" w:rsidRPr="00991E59" w:rsidRDefault="00E8113C" w:rsidP="00E8113C">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E8113C" w:rsidRPr="00991E59" w:rsidRDefault="00E8113C" w:rsidP="00E8113C">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E8113C" w:rsidRPr="00991E59" w:rsidRDefault="00E8113C" w:rsidP="00E8113C">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lastRenderedPageBreak/>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E8113C" w:rsidRDefault="00E8113C" w:rsidP="00E8113C"/>
    <w:p w:rsidR="00E8113C" w:rsidRDefault="00E8113C" w:rsidP="00E8113C"/>
    <w:p w:rsidR="00E8113C" w:rsidRDefault="00E8113C" w:rsidP="00E8113C"/>
    <w:p w:rsidR="00E8113C" w:rsidRDefault="00E8113C" w:rsidP="00E8113C"/>
    <w:p w:rsidR="00E8113C" w:rsidRDefault="00E8113C" w:rsidP="00E8113C"/>
    <w:p w:rsidR="00E8113C" w:rsidRDefault="00E8113C" w:rsidP="00E8113C"/>
    <w:p w:rsidR="00E8113C" w:rsidRPr="0070493A" w:rsidRDefault="00E8113C" w:rsidP="00E8113C">
      <w:pPr>
        <w:tabs>
          <w:tab w:val="center" w:pos="8184"/>
        </w:tabs>
        <w:spacing w:after="128" w:line="360" w:lineRule="auto"/>
        <w:jc w:val="center"/>
        <w:rPr>
          <w:rFonts w:ascii="Times New Roman" w:hAnsi="Times New Roman"/>
          <w:b/>
          <w:sz w:val="26"/>
          <w:szCs w:val="26"/>
        </w:rPr>
      </w:pPr>
      <w:r w:rsidRPr="0070493A">
        <w:rPr>
          <w:rFonts w:ascii="Times New Roman" w:hAnsi="Times New Roman"/>
          <w:b/>
          <w:sz w:val="26"/>
          <w:szCs w:val="26"/>
        </w:rPr>
        <w:t>LIST OF TABLES</w:t>
      </w:r>
    </w:p>
    <w:p w:rsidR="00E8113C" w:rsidRPr="0070493A"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3.1.1:</w:t>
      </w:r>
      <w:r w:rsidRPr="0070493A">
        <w:rPr>
          <w:rFonts w:ascii="Times New Roman" w:eastAsia="Times New Roman" w:hAnsi="Times New Roman"/>
          <w:bCs/>
          <w:color w:val="000000" w:themeColor="text1"/>
          <w:sz w:val="26"/>
          <w:szCs w:val="26"/>
        </w:rPr>
        <w:tab/>
        <w:t>Results of Quantitative Phytochemical Analysis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E8113C" w:rsidRPr="0070493A"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3.1.2:</w:t>
      </w:r>
      <w:r w:rsidRPr="0070493A">
        <w:rPr>
          <w:rFonts w:ascii="Times New Roman" w:eastAsia="Times New Roman" w:hAnsi="Times New Roman"/>
          <w:bCs/>
          <w:color w:val="000000" w:themeColor="text1"/>
          <w:sz w:val="26"/>
          <w:szCs w:val="26"/>
        </w:rPr>
        <w:tab/>
        <w:t>Results of Qualitative Phytochemical Screening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24</w:t>
      </w:r>
    </w:p>
    <w:p w:rsidR="00E8113C" w:rsidRPr="0070493A" w:rsidRDefault="00E8113C" w:rsidP="00E8113C">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70493A">
        <w:rPr>
          <w:rFonts w:ascii="Times New Roman" w:eastAsia="Times New Roman" w:hAnsi="Times New Roman"/>
          <w:bCs/>
          <w:color w:val="000000" w:themeColor="text1"/>
          <w:sz w:val="26"/>
          <w:szCs w:val="26"/>
        </w:rPr>
        <w:t>Table 3.1.3: UV-VISIBLE Spectrophotometry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Default="00E8113C" w:rsidP="00E8113C">
      <w:pPr>
        <w:spacing w:line="360" w:lineRule="auto"/>
        <w:jc w:val="both"/>
        <w:rPr>
          <w:rFonts w:ascii="Times New Roman" w:hAnsi="Times New Roman"/>
          <w:sz w:val="26"/>
          <w:szCs w:val="26"/>
        </w:rPr>
      </w:pPr>
    </w:p>
    <w:p w:rsidR="00E8113C" w:rsidRPr="0070493A" w:rsidRDefault="00E8113C" w:rsidP="00E8113C">
      <w:pPr>
        <w:spacing w:line="360" w:lineRule="auto"/>
        <w:jc w:val="center"/>
        <w:rPr>
          <w:rFonts w:ascii="Times New Roman" w:hAnsi="Times New Roman"/>
          <w:b/>
          <w:sz w:val="26"/>
          <w:szCs w:val="26"/>
        </w:rPr>
      </w:pPr>
      <w:r>
        <w:rPr>
          <w:rFonts w:ascii="Times New Roman" w:hAnsi="Times New Roman"/>
          <w:b/>
          <w:sz w:val="26"/>
          <w:szCs w:val="26"/>
        </w:rPr>
        <w:t xml:space="preserve">LIST OF </w:t>
      </w:r>
      <w:r w:rsidRPr="0070493A">
        <w:rPr>
          <w:rFonts w:ascii="Times New Roman" w:hAnsi="Times New Roman"/>
          <w:b/>
          <w:sz w:val="26"/>
          <w:szCs w:val="26"/>
        </w:rPr>
        <w:t>FIGURES</w:t>
      </w:r>
    </w:p>
    <w:p w:rsidR="00E8113C" w:rsidRDefault="00E8113C" w:rsidP="00E8113C">
      <w:pPr>
        <w:pStyle w:val="NormalWeb"/>
        <w:spacing w:line="360" w:lineRule="auto"/>
        <w:jc w:val="both"/>
        <w:rPr>
          <w:rStyle w:val="Strong"/>
          <w:b w:val="0"/>
          <w:color w:val="000000" w:themeColor="text1"/>
          <w:sz w:val="26"/>
          <w:szCs w:val="26"/>
        </w:rPr>
      </w:pPr>
      <w:r>
        <w:t>Fig 1: Calotropis Procera plant showing leaves, flowers, and fruit/pods</w:t>
      </w:r>
      <w:r>
        <w:tab/>
      </w:r>
      <w:r>
        <w:tab/>
        <w:t>3</w:t>
      </w:r>
    </w:p>
    <w:p w:rsidR="00E8113C" w:rsidRPr="0070493A" w:rsidRDefault="00E8113C" w:rsidP="00E8113C">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Fig2: Wavelength scanning UV-Visible spectrophotometry</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E8113C" w:rsidRPr="00D479CE" w:rsidRDefault="00E8113C" w:rsidP="00E8113C">
      <w:pPr>
        <w:spacing w:before="100" w:beforeAutospacing="1" w:after="100" w:afterAutospacing="1" w:line="360" w:lineRule="auto"/>
        <w:jc w:val="both"/>
        <w:rPr>
          <w:rFonts w:ascii="Times New Roman" w:hAnsi="Times New Roman"/>
          <w:color w:val="000000" w:themeColor="text1"/>
          <w:sz w:val="26"/>
          <w:szCs w:val="26"/>
        </w:rPr>
      </w:pPr>
      <w:r>
        <w:rPr>
          <w:rFonts w:ascii="Times New Roman" w:hAnsi="Times New Roman"/>
          <w:sz w:val="26"/>
          <w:szCs w:val="26"/>
        </w:rPr>
        <w:t>Fig 3:</w:t>
      </w:r>
      <w:r w:rsidRPr="00D479CE">
        <w:rPr>
          <w:rFonts w:ascii="Times New Roman" w:hAnsi="Times New Roman"/>
          <w:sz w:val="26"/>
          <w:szCs w:val="26"/>
        </w:rPr>
        <w:t xml:space="preserve"> FTIR Spectrum of Silver Nanoparticle Synthesized by Calotropis Procera </w:t>
      </w:r>
      <w:r>
        <w:rPr>
          <w:rFonts w:ascii="Times New Roman" w:hAnsi="Times New Roman"/>
          <w:sz w:val="26"/>
          <w:szCs w:val="26"/>
        </w:rPr>
        <w:t>Seeds</w:t>
      </w:r>
      <w:r w:rsidRPr="00D479CE">
        <w:rPr>
          <w:rFonts w:ascii="Times New Roman" w:hAnsi="Times New Roman"/>
          <w:sz w:val="26"/>
          <w:szCs w:val="26"/>
        </w:rPr>
        <w:t xml:space="preserve"> Extracts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E8113C" w:rsidRPr="00D479CE" w:rsidRDefault="00E8113C" w:rsidP="00E8113C">
      <w:pPr>
        <w:spacing w:line="360" w:lineRule="auto"/>
        <w:jc w:val="both"/>
        <w:rPr>
          <w:rFonts w:ascii="Times New Roman" w:hAnsi="Times New Roman"/>
          <w:sz w:val="26"/>
          <w:szCs w:val="26"/>
        </w:rPr>
      </w:pPr>
      <w:r w:rsidRPr="00D479CE">
        <w:rPr>
          <w:rFonts w:ascii="Times New Roman" w:hAnsi="Times New Roman"/>
          <w:sz w:val="26"/>
          <w:szCs w:val="26"/>
        </w:rPr>
        <w:t>Fig 4</w:t>
      </w:r>
      <w:r>
        <w:rPr>
          <w:rFonts w:ascii="Times New Roman" w:hAnsi="Times New Roman"/>
          <w:sz w:val="26"/>
          <w:szCs w:val="26"/>
        </w:rPr>
        <w:t>:</w:t>
      </w:r>
      <w:r w:rsidRPr="00D479CE">
        <w:rPr>
          <w:rFonts w:ascii="Times New Roman" w:hAnsi="Times New Roman"/>
          <w:sz w:val="26"/>
          <w:szCs w:val="26"/>
        </w:rPr>
        <w:t xml:space="preserve"> SEM images of magnification 8000x and 9000x of the silver nanoparticles synthesized by Calotropis procera leaf extracts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E8113C" w:rsidRDefault="00E8113C" w:rsidP="00E8113C">
      <w:pPr>
        <w:spacing w:line="360" w:lineRule="auto"/>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Default="00E8113C" w:rsidP="00E8113C">
      <w:pPr>
        <w:spacing w:line="360" w:lineRule="auto"/>
        <w:jc w:val="center"/>
        <w:rPr>
          <w:rFonts w:ascii="Times New Roman" w:hAnsi="Times New Roman"/>
          <w:b/>
          <w:sz w:val="26"/>
          <w:szCs w:val="26"/>
        </w:rPr>
      </w:pPr>
    </w:p>
    <w:p w:rsidR="00E8113C" w:rsidRPr="005122D9" w:rsidRDefault="00E8113C" w:rsidP="00E8113C">
      <w:pPr>
        <w:spacing w:line="360" w:lineRule="auto"/>
        <w:jc w:val="center"/>
        <w:rPr>
          <w:rFonts w:ascii="Times New Roman" w:hAnsi="Times New Roman"/>
          <w:b/>
          <w:sz w:val="26"/>
          <w:szCs w:val="26"/>
        </w:rPr>
      </w:pPr>
      <w:r w:rsidRPr="005122D9">
        <w:rPr>
          <w:rFonts w:ascii="Times New Roman" w:hAnsi="Times New Roman"/>
          <w:b/>
          <w:sz w:val="26"/>
          <w:szCs w:val="26"/>
        </w:rPr>
        <w:t>ABSTRACT</w:t>
      </w:r>
    </w:p>
    <w:p w:rsidR="00E8113C" w:rsidRPr="005122D9" w:rsidRDefault="00E8113C" w:rsidP="00E8113C">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 xml:space="preserve">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w:t>
      </w:r>
      <w:r w:rsidRPr="005122D9">
        <w:rPr>
          <w:rFonts w:ascii="Times New Roman" w:hAnsi="Times New Roman"/>
          <w:i/>
          <w:sz w:val="26"/>
          <w:szCs w:val="26"/>
        </w:rPr>
        <w:lastRenderedPageBreak/>
        <w:t>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E8113C" w:rsidRDefault="00E8113C" w:rsidP="00E8113C">
      <w:pPr>
        <w:spacing w:line="360" w:lineRule="auto"/>
        <w:jc w:val="center"/>
        <w:rPr>
          <w:rFonts w:ascii="Times New Roman" w:hAnsi="Times New Roman"/>
          <w:b/>
          <w:sz w:val="26"/>
          <w:szCs w:val="26"/>
        </w:rPr>
      </w:pPr>
    </w:p>
    <w:p w:rsidR="00E8113C" w:rsidRPr="001E0C6B" w:rsidRDefault="00E8113C" w:rsidP="00E8113C">
      <w:pPr>
        <w:spacing w:line="360" w:lineRule="auto"/>
        <w:jc w:val="center"/>
        <w:rPr>
          <w:rFonts w:ascii="Times New Roman" w:hAnsi="Times New Roman"/>
          <w:b/>
          <w:sz w:val="26"/>
          <w:szCs w:val="26"/>
        </w:rPr>
      </w:pPr>
      <w:r w:rsidRPr="001E0C6B">
        <w:rPr>
          <w:rFonts w:ascii="Times New Roman" w:hAnsi="Times New Roman"/>
          <w:b/>
          <w:sz w:val="26"/>
          <w:szCs w:val="26"/>
        </w:rPr>
        <w:t>CHAPTER ONE</w:t>
      </w:r>
    </w:p>
    <w:p w:rsidR="00E8113C" w:rsidRPr="001E0C6B" w:rsidRDefault="00E8113C" w:rsidP="00E8113C">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E8113C" w:rsidRPr="001E0C6B" w:rsidRDefault="00E8113C" w:rsidP="00E8113C">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E8113C" w:rsidRPr="001E0C6B" w:rsidRDefault="00E8113C" w:rsidP="00E8113C">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w:t>
      </w:r>
      <w:r w:rsidRPr="001E0C6B">
        <w:rPr>
          <w:rFonts w:ascii="Times New Roman" w:hAnsi="Times New Roman"/>
          <w:sz w:val="26"/>
          <w:szCs w:val="26"/>
        </w:rPr>
        <w:lastRenderedPageBreak/>
        <w:t>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et al; 2011, Gardea-Torresdey JL, et al; 2003) Such as cytotoxic and antimicrobial activities.</w:t>
      </w:r>
    </w:p>
    <w:p w:rsidR="00E8113C" w:rsidRPr="001E0C6B" w:rsidRDefault="00E8113C" w:rsidP="00E8113C">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E8113C" w:rsidRPr="001E0C6B" w:rsidRDefault="00E8113C" w:rsidP="00E8113C">
      <w:pPr>
        <w:pStyle w:val="NormalWeb"/>
        <w:spacing w:line="360" w:lineRule="auto"/>
        <w:ind w:firstLine="720"/>
        <w:jc w:val="both"/>
        <w:rPr>
          <w:rStyle w:val="Strong"/>
          <w:b w:val="0"/>
          <w:color w:val="000000"/>
          <w:sz w:val="26"/>
          <w:szCs w:val="26"/>
        </w:rPr>
      </w:pPr>
      <w:r w:rsidRPr="001E0C6B">
        <w:rPr>
          <w:rStyle w:val="Strong"/>
          <w:b w:val="0"/>
          <w:color w:val="000000"/>
          <w:sz w:val="26"/>
          <w:szCs w:val="26"/>
        </w:rPr>
        <w:t xml:space="preserve">In the present study, green nontoxic eco-friendly rapid method for synthesis of AgNPs using serum latex of calotropis procera plant at 80°C was characterized </w:t>
      </w:r>
      <w:r w:rsidRPr="001E0C6B">
        <w:rPr>
          <w:rStyle w:val="Strong"/>
          <w:b w:val="0"/>
          <w:color w:val="000000"/>
          <w:sz w:val="26"/>
          <w:szCs w:val="26"/>
        </w:rPr>
        <w:lastRenderedPageBreak/>
        <w:t>and evaluated against bacteria, dermatophytes and phytopathogenic fungi and compared to the activity of untreated latex.</w:t>
      </w:r>
    </w:p>
    <w:p w:rsidR="00E8113C" w:rsidRPr="001E0C6B" w:rsidRDefault="00E8113C" w:rsidP="00E8113C">
      <w:pPr>
        <w:pStyle w:val="NormalWeb"/>
        <w:spacing w:line="360" w:lineRule="auto"/>
        <w:ind w:firstLine="720"/>
        <w:jc w:val="both"/>
        <w:rPr>
          <w:rStyle w:val="Strong"/>
          <w:b w:val="0"/>
          <w:color w:val="000000"/>
          <w:sz w:val="26"/>
          <w:szCs w:val="26"/>
        </w:rPr>
      </w:pPr>
    </w:p>
    <w:p w:rsidR="00E8113C" w:rsidRPr="001E0C6B" w:rsidRDefault="00E8113C" w:rsidP="00E8113C">
      <w:pPr>
        <w:pStyle w:val="NormalWeb"/>
        <w:spacing w:line="360" w:lineRule="auto"/>
        <w:ind w:firstLine="720"/>
        <w:jc w:val="both"/>
        <w:rPr>
          <w:rStyle w:val="Strong"/>
          <w:b w:val="0"/>
          <w:color w:val="000000"/>
          <w:sz w:val="26"/>
          <w:szCs w:val="26"/>
        </w:rPr>
      </w:pPr>
      <w:r>
        <w:rPr>
          <w:b/>
          <w:noProof/>
          <w:color w:val="000000"/>
          <w:sz w:val="26"/>
          <w:szCs w:val="26"/>
        </w:rPr>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E8113C" w:rsidRPr="001E0C6B" w:rsidRDefault="00E8113C" w:rsidP="00E8113C">
      <w:pPr>
        <w:pStyle w:val="NormalWeb"/>
        <w:spacing w:line="360" w:lineRule="auto"/>
        <w:jc w:val="both"/>
        <w:rPr>
          <w:rStyle w:val="Strong"/>
          <w:b w:val="0"/>
          <w:color w:val="000000"/>
          <w:sz w:val="26"/>
          <w:szCs w:val="26"/>
        </w:rPr>
      </w:pPr>
      <w:r w:rsidRPr="001E0C6B">
        <w:t>Fig 1. Calotropis Procera plant showing leaves, flowers, and fruit/pods.</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E8113C" w:rsidRPr="001E0C6B" w:rsidRDefault="00E8113C" w:rsidP="00E8113C">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E8113C" w:rsidRPr="001E0C6B" w:rsidRDefault="00E8113C" w:rsidP="00E8113C">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lastRenderedPageBreak/>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E8113C" w:rsidRPr="001E0C6B" w:rsidRDefault="00E8113C" w:rsidP="00E8113C">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E8113C" w:rsidRPr="001E0C6B" w:rsidRDefault="00E8113C" w:rsidP="00E8113C">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E8113C" w:rsidRPr="001E0C6B" w:rsidRDefault="00E8113C" w:rsidP="00E8113C">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E8113C" w:rsidRPr="001E0C6B" w:rsidRDefault="00E8113C" w:rsidP="00E8113C">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w:t>
      </w:r>
      <w:r w:rsidRPr="001E0C6B">
        <w:rPr>
          <w:color w:val="000000"/>
          <w:sz w:val="26"/>
          <w:szCs w:val="26"/>
        </w:rPr>
        <w:lastRenderedPageBreak/>
        <w:t xml:space="preserve">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E8113C" w:rsidRPr="001E0C6B" w:rsidRDefault="00E8113C" w:rsidP="00E8113C">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E8113C" w:rsidRPr="001E0C6B" w:rsidRDefault="00E8113C" w:rsidP="00E8113C">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E8113C" w:rsidRPr="001E0C6B" w:rsidRDefault="00E8113C" w:rsidP="00E8113C">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w:t>
      </w:r>
      <w:r w:rsidRPr="001E0C6B">
        <w:rPr>
          <w:rStyle w:val="Strong"/>
          <w:b w:val="0"/>
          <w:color w:val="000000"/>
          <w:sz w:val="26"/>
          <w:szCs w:val="26"/>
        </w:rPr>
        <w:lastRenderedPageBreak/>
        <w:t xml:space="preserve">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produce nanoscale metals at room temperature which not only reduce energy consumption but also simplify the synthesis process.</w:t>
      </w:r>
    </w:p>
    <w:p w:rsidR="00E8113C" w:rsidRPr="001E0C6B" w:rsidRDefault="00E8113C" w:rsidP="00E8113C">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E8113C" w:rsidRPr="001E0C6B" w:rsidRDefault="00E8113C" w:rsidP="00E8113C">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E8113C" w:rsidRPr="001E0C6B" w:rsidRDefault="00E8113C" w:rsidP="00E8113C">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w:t>
      </w:r>
      <w:r w:rsidRPr="001E0C6B">
        <w:rPr>
          <w:rStyle w:val="Strong"/>
          <w:b w:val="0"/>
          <w:color w:val="000000"/>
          <w:sz w:val="26"/>
          <w:szCs w:val="26"/>
        </w:rPr>
        <w:lastRenderedPageBreak/>
        <w:t xml:space="preserve">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E8113C" w:rsidRPr="001E0C6B" w:rsidRDefault="00E8113C" w:rsidP="00E8113C">
      <w:pPr>
        <w:pStyle w:val="NormalWeb"/>
        <w:spacing w:line="360" w:lineRule="auto"/>
        <w:ind w:firstLine="720"/>
        <w:jc w:val="both"/>
        <w:rPr>
          <w:bCs/>
          <w:color w:val="000000"/>
          <w:sz w:val="26"/>
          <w:szCs w:val="26"/>
        </w:rPr>
      </w:pPr>
      <w:r w:rsidRPr="001E0C6B">
        <w:rPr>
          <w:rStyle w:val="Strong"/>
          <w:b w:val="0"/>
          <w:sz w:val="26"/>
          <w:szCs w:val="26"/>
        </w:rPr>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E8113C" w:rsidRPr="001E0C6B" w:rsidRDefault="00E8113C" w:rsidP="00E8113C">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E8113C" w:rsidRPr="001E0C6B" w:rsidRDefault="00E8113C" w:rsidP="00E8113C">
      <w:pPr>
        <w:pStyle w:val="NormalWeb"/>
        <w:spacing w:line="360" w:lineRule="auto"/>
        <w:ind w:firstLine="720"/>
        <w:jc w:val="both"/>
        <w:rPr>
          <w:color w:val="000000"/>
          <w:sz w:val="26"/>
          <w:szCs w:val="26"/>
        </w:rPr>
      </w:pPr>
      <w:r w:rsidRPr="001E0C6B">
        <w:rPr>
          <w:rStyle w:val="Strong"/>
          <w:b w:val="0"/>
          <w:color w:val="000000"/>
          <w:sz w:val="26"/>
          <w:szCs w:val="26"/>
        </w:rPr>
        <w:t>The major phytochemical groups reported in the leaf extracts of C. procera are fatty acid ethyl esters (2-4%), palmitic acid esters (10-2%), phenolic acids (7-</w:t>
      </w:r>
      <w:r w:rsidRPr="001E0C6B">
        <w:rPr>
          <w:rStyle w:val="Strong"/>
          <w:b w:val="0"/>
          <w:color w:val="000000"/>
          <w:sz w:val="26"/>
          <w:szCs w:val="26"/>
        </w:rPr>
        <w:lastRenderedPageBreak/>
        <w:t xml:space="preserve">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w:t>
      </w:r>
      <w:r w:rsidRPr="001E0C6B">
        <w:rPr>
          <w:color w:val="000000"/>
          <w:sz w:val="26"/>
          <w:szCs w:val="26"/>
        </w:rPr>
        <w:lastRenderedPageBreak/>
        <w:t xml:space="preserve">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lastRenderedPageBreak/>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E8113C" w:rsidRPr="001E0C6B" w:rsidRDefault="00E8113C" w:rsidP="00E8113C">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t>
      </w:r>
      <w:r w:rsidRPr="001E0C6B">
        <w:rPr>
          <w:color w:val="000000"/>
          <w:sz w:val="26"/>
          <w:szCs w:val="26"/>
        </w:rPr>
        <w:lastRenderedPageBreak/>
        <w:t xml:space="preserve">widespread persistence unmanaged crop fields and thus it may impose adverse effects on the crops through allelopathy (Chassim et al, 2015). </w:t>
      </w:r>
    </w:p>
    <w:p w:rsidR="00E8113C" w:rsidRPr="001E0C6B" w:rsidRDefault="00E8113C" w:rsidP="00E8113C">
      <w:pPr>
        <w:pStyle w:val="NormalWeb"/>
        <w:spacing w:line="360" w:lineRule="auto"/>
        <w:ind w:firstLine="720"/>
        <w:jc w:val="both"/>
        <w:rPr>
          <w:color w:val="000000"/>
          <w:sz w:val="26"/>
          <w:szCs w:val="26"/>
        </w:rPr>
      </w:pPr>
      <w:r w:rsidRPr="001E0C6B">
        <w:rPr>
          <w:color w:val="000000"/>
          <w:sz w:val="26"/>
          <w:szCs w:val="26"/>
        </w:rPr>
        <w:t>The seed of Calotropis shows the various pharmaceutical activities; the flower are bell-shaped/drooping and are arranged in branched clusters on the tips of the stem. The fruits of the plant are papery and membranous with four slender compartments. In this review, some of the pharmacological activities of Calotropis Procera are mentioned.</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E8113C" w:rsidRPr="001E0C6B" w:rsidRDefault="00E8113C" w:rsidP="00E8113C">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E8113C" w:rsidRPr="001E0C6B" w:rsidRDefault="00E8113C" w:rsidP="00E8113C">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E8113C" w:rsidRPr="001E0C6B" w:rsidRDefault="00E8113C" w:rsidP="00E8113C">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E8113C" w:rsidRPr="001E0C6B" w:rsidRDefault="00E8113C" w:rsidP="00E8113C">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E8113C" w:rsidRPr="001E0C6B" w:rsidRDefault="00E8113C" w:rsidP="00E8113C">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E8113C" w:rsidRPr="001E0C6B" w:rsidRDefault="00E8113C" w:rsidP="00E8113C">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E8113C" w:rsidRPr="001E0C6B" w:rsidRDefault="00E8113C" w:rsidP="00E8113C">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E8113C" w:rsidRPr="001E0C6B" w:rsidRDefault="00E8113C" w:rsidP="00E8113C">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E8113C" w:rsidRPr="001E0C6B" w:rsidRDefault="00E8113C" w:rsidP="00E8113C">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E8113C" w:rsidRPr="001E0C6B" w:rsidRDefault="00E8113C" w:rsidP="00E8113C">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E8113C" w:rsidRPr="001E0C6B" w:rsidRDefault="00E8113C" w:rsidP="00E8113C">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lastRenderedPageBreak/>
        <w:t>Yoruba : Bombomu, Bomu-bomu</w:t>
      </w:r>
    </w:p>
    <w:p w:rsidR="00E8113C" w:rsidRPr="001E0C6B" w:rsidRDefault="00E8113C" w:rsidP="00E8113C">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E8113C" w:rsidRPr="001E0C6B" w:rsidRDefault="00E8113C" w:rsidP="00E8113C">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E8113C" w:rsidRPr="001E0C6B" w:rsidRDefault="00E8113C" w:rsidP="00E8113C">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CHAPTER TWO</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The mixture was allowed to cool and then it was filtered using Whattman No 1 Filter paper. The filtrate was collected and was stored at 4oC further analysis.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 1mM AgNO3 (Silver trioxonitrate (V)) solution was prepared by weighing 0.0170g of AgNO3 using an analytical balance and dissolving it in distilled water to reach the 100ml mark of a 100ml volumetric flask.</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2.3.1 Phytochemical Screening</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Saponins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 xml:space="preserve"> </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2.4 Characterization of Green Synthesized Nanoparticles</w:t>
      </w:r>
    </w:p>
    <w:p w:rsidR="00E8113C" w:rsidRPr="001E0C6B" w:rsidRDefault="00E8113C" w:rsidP="00E8113C">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3. Tune on the power of the instrument, wait until the initialization succeeded. In the small panel of instrument “Perkin Elmer Spectrum 100 Series” will be shown if the initialization succeeded, otherwise come to see Jianhua first.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4. Clean the sample holder by acetone with Kimwipes, make sure not to splash the acetone on the instrument.</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9. Data processing: Peak label: Select “view” from the menu, and then “label peaks”. If you want to label a special peak, “view”-------“cursor”-----“vertical continuous”, then move the cursor to the peak you want, and then “view”---- -</w:t>
      </w:r>
      <w:r w:rsidRPr="001E0C6B">
        <w:rPr>
          <w:rFonts w:ascii="Times New Roman" w:hAnsi="Times New Roman"/>
          <w:sz w:val="26"/>
          <w:szCs w:val="26"/>
        </w:rPr>
        <w:lastRenderedPageBreak/>
        <w:t xml:space="preserve">“label cursor”. Data saving: you can save your data as ASCII by “File”------ ---“Save as”, the select “ASCII (*. ASC) as the save as type.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Turn off the software, log off the computer, and switch off the instrument. Make sure to clean the sample holder completely before you leave FTIR. </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E8113C" w:rsidRPr="001E0C6B" w:rsidRDefault="00E8113C" w:rsidP="00E8113C">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w:t>
      </w:r>
      <w:r w:rsidRPr="001E0C6B">
        <w:rPr>
          <w:rFonts w:ascii="Times New Roman" w:hAnsi="Times New Roman"/>
          <w:sz w:val="26"/>
          <w:szCs w:val="26"/>
        </w:rPr>
        <w:lastRenderedPageBreak/>
        <w:t xml:space="preserve">spectra made from the characteristic X-rays, because the intensity of the BSE signal is strongly related to atomic number (Z) of the specimen.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high-pressure region around the sample in the ESEM neutralizes charge and provides an amplification of the secondary electron signal. Low-voltage SEM is </w:t>
      </w:r>
      <w:r w:rsidRPr="001E0C6B">
        <w:rPr>
          <w:rFonts w:ascii="Times New Roman" w:hAnsi="Times New Roman"/>
          <w:sz w:val="26"/>
          <w:szCs w:val="26"/>
        </w:rPr>
        <w:lastRenderedPageBreak/>
        <w:t>typically conducted in an FEG-SEM because the field emission guns (FEG) is capable of producing high primary electron brightness and small spot size even at low accelerating potentials.</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Embedding in a resin with further polishing to a mirror-like finish can be used for both biological and materials specimens when imaging in backscattered electrons or when doing quantitative X-rays microanalysis. </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7. Place a curvette filled with the blank solution in the spectrophotometer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Remove the blank and replace it with a curvette containing the plant extract.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E8113C" w:rsidRPr="001E0C6B" w:rsidRDefault="00E8113C" w:rsidP="00E8113C">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w:t>
      </w:r>
      <w:r w:rsidRPr="001E0C6B">
        <w:rPr>
          <w:rFonts w:ascii="Times New Roman" w:hAnsi="Times New Roman"/>
          <w:sz w:val="26"/>
          <w:szCs w:val="26"/>
        </w:rPr>
        <w:lastRenderedPageBreak/>
        <w:t xml:space="preserve">bacteria, which may be due to the thinner peptidoglycan layer and presence of beta barrel proteins called porins.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CHAPTER THREE</w:t>
      </w:r>
      <w:r w:rsidRPr="001E0C6B">
        <w:rPr>
          <w:rFonts w:ascii="Times New Roman" w:eastAsia="Times New Roman" w:hAnsi="Times New Roman"/>
          <w:color w:val="000000"/>
          <w:sz w:val="26"/>
          <w:szCs w:val="26"/>
        </w:rPr>
        <w:t xml:space="preserve"> </w:t>
      </w:r>
    </w:p>
    <w:p w:rsidR="00E8113C" w:rsidRPr="001E0C6B" w:rsidRDefault="00E8113C" w:rsidP="00E8113C">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E8113C" w:rsidRPr="001E0C6B" w:rsidRDefault="00E8113C" w:rsidP="00E8113C">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E8113C" w:rsidRPr="001E0C6B" w:rsidRDefault="00E8113C" w:rsidP="00E8113C">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rPr>
          <w:jc w:val="center"/>
        </w:trPr>
        <w:tc>
          <w:tcPr>
            <w:tcW w:w="333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E8113C" w:rsidRPr="001E0C6B" w:rsidRDefault="00E8113C" w:rsidP="00E8113C">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E8113C" w:rsidRPr="001E0C6B" w:rsidRDefault="00E8113C" w:rsidP="00E8113C">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lastRenderedPageBreak/>
        <w:t>The Calotropis Procera extract was observed under UV-Visible Spectrophotometry for its maximum absorbance and wavelength to confirm the reduction of Silver nitrate.</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Here is a TABLE shown below:</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E8113C" w:rsidRPr="001E0C6B" w:rsidTr="00ED56EF">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E8113C" w:rsidRPr="001E0C6B" w:rsidRDefault="00E8113C" w:rsidP="00E8113C">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E8113C" w:rsidRPr="001E0C6B" w:rsidRDefault="00E8113C" w:rsidP="00E8113C">
      <w:pPr>
        <w:spacing w:line="360" w:lineRule="auto"/>
        <w:jc w:val="both"/>
        <w:rPr>
          <w:rFonts w:ascii="Times New Roman" w:hAnsi="Times New Roman"/>
          <w:color w:val="000000"/>
          <w:sz w:val="26"/>
          <w:szCs w:val="26"/>
        </w:rPr>
      </w:pPr>
      <w:r>
        <w:rPr>
          <w:rFonts w:ascii="Times New Roman" w:hAnsi="Times New Roman"/>
          <w:noProof/>
          <w:color w:val="000000"/>
          <w:sz w:val="26"/>
          <w:szCs w:val="26"/>
        </w:rPr>
        <w:lastRenderedPageBreak/>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E8113C" w:rsidRPr="001E0C6B" w:rsidRDefault="00E8113C" w:rsidP="00E8113C">
      <w:pPr>
        <w:spacing w:line="360" w:lineRule="auto"/>
        <w:jc w:val="both"/>
        <w:rPr>
          <w:rFonts w:ascii="Times New Roman" w:hAnsi="Times New Roman"/>
          <w:b/>
          <w:sz w:val="26"/>
          <w:szCs w:val="26"/>
        </w:rPr>
      </w:pPr>
      <w:r w:rsidRPr="001E0C6B">
        <w:rPr>
          <w:rFonts w:ascii="Times New Roman" w:hAnsi="Times New Roman"/>
          <w:b/>
          <w:sz w:val="26"/>
          <w:szCs w:val="26"/>
        </w:rPr>
        <w:t>3.3 Antimicrobial Activity Evaluation</w:t>
      </w:r>
    </w:p>
    <w:p w:rsidR="00E8113C" w:rsidRPr="001E0C6B" w:rsidRDefault="00E8113C" w:rsidP="00E8113C">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E8113C" w:rsidRPr="001E0C6B" w:rsidTr="00ED56EF">
        <w:trPr>
          <w:gridAfter w:val="4"/>
          <w:wAfter w:w="5040" w:type="dxa"/>
        </w:trPr>
        <w:tc>
          <w:tcPr>
            <w:tcW w:w="2088"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E8113C" w:rsidRPr="001E0C6B" w:rsidTr="00ED56EF">
        <w:tc>
          <w:tcPr>
            <w:tcW w:w="2088"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E8113C" w:rsidRPr="001E0C6B" w:rsidTr="00ED56EF">
        <w:tc>
          <w:tcPr>
            <w:tcW w:w="20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E8113C" w:rsidRPr="001E0C6B" w:rsidTr="00ED56EF">
        <w:tc>
          <w:tcPr>
            <w:tcW w:w="20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c>
          <w:tcPr>
            <w:tcW w:w="20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lastRenderedPageBreak/>
              <w:t>Trichoderma spp</w:t>
            </w:r>
          </w:p>
        </w:tc>
        <w:tc>
          <w:tcPr>
            <w:tcW w:w="126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E8113C" w:rsidRPr="001E0C6B" w:rsidTr="00ED56EF">
        <w:tc>
          <w:tcPr>
            <w:tcW w:w="2088"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E8113C" w:rsidRPr="001E0C6B" w:rsidRDefault="00E8113C"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E8113C" w:rsidRPr="001E0C6B" w:rsidRDefault="00E8113C" w:rsidP="00E8113C">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8113C" w:rsidRPr="001E0C6B" w:rsidTr="00ED56EF">
        <w:tc>
          <w:tcPr>
            <w:tcW w:w="0" w:type="auto"/>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8113C" w:rsidRPr="001E0C6B" w:rsidRDefault="00E8113C"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FOURIER TRANSFORM INFRARED SPECTROPHOTOMETER </w:t>
      </w:r>
    </w:p>
    <w:p w:rsidR="00E8113C" w:rsidRPr="001E0C6B" w:rsidRDefault="00E8113C" w:rsidP="00E8113C">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E8113C" w:rsidRPr="001E0C6B" w:rsidRDefault="00E8113C" w:rsidP="00E8113C">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E8113C" w:rsidRPr="001E0C6B" w:rsidRDefault="00E8113C" w:rsidP="00E8113C">
      <w:pPr>
        <w:spacing w:line="360" w:lineRule="auto"/>
        <w:jc w:val="both"/>
        <w:rPr>
          <w:rFonts w:ascii="Times New Roman" w:hAnsi="Times New Roman"/>
          <w:sz w:val="26"/>
          <w:szCs w:val="26"/>
        </w:rPr>
      </w:pPr>
      <w:r>
        <w:rPr>
          <w:rFonts w:ascii="Times New Roman" w:hAnsi="Times New Roman"/>
          <w:noProof/>
          <w:sz w:val="26"/>
          <w:szCs w:val="26"/>
        </w:rPr>
        <w:lastRenderedPageBreak/>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E8113C" w:rsidRPr="001E0C6B" w:rsidRDefault="00E8113C" w:rsidP="00E8113C">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E8113C" w:rsidRPr="001E0C6B" w:rsidRDefault="00E8113C" w:rsidP="00E8113C">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E8113C" w:rsidRPr="001E0C6B" w:rsidRDefault="00E8113C" w:rsidP="00E8113C">
      <w:pPr>
        <w:spacing w:line="360" w:lineRule="auto"/>
        <w:jc w:val="both"/>
        <w:rPr>
          <w:rFonts w:ascii="Times New Roman" w:hAnsi="Times New Roman"/>
          <w:sz w:val="26"/>
          <w:szCs w:val="26"/>
        </w:rPr>
      </w:pPr>
      <w:r>
        <w:rPr>
          <w:rFonts w:ascii="Times New Roman" w:hAnsi="Times New Roman"/>
          <w:noProof/>
          <w:sz w:val="26"/>
          <w:szCs w:val="26"/>
        </w:rPr>
        <w:lastRenderedPageBreak/>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E8113C" w:rsidRPr="001E0C6B" w:rsidRDefault="00E8113C" w:rsidP="00E8113C">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E8113C" w:rsidRDefault="00E8113C" w:rsidP="00E8113C">
      <w:pPr>
        <w:spacing w:line="360" w:lineRule="auto"/>
        <w:ind w:left="720"/>
        <w:jc w:val="center"/>
        <w:rPr>
          <w:rFonts w:ascii="Times New Roman" w:hAnsi="Times New Roman"/>
          <w:b/>
          <w:sz w:val="26"/>
          <w:szCs w:val="26"/>
        </w:rPr>
      </w:pPr>
    </w:p>
    <w:p w:rsidR="00E8113C" w:rsidRDefault="00E8113C" w:rsidP="00E8113C">
      <w:pPr>
        <w:spacing w:line="360" w:lineRule="auto"/>
        <w:ind w:left="720"/>
        <w:jc w:val="center"/>
        <w:rPr>
          <w:rFonts w:ascii="Times New Roman" w:hAnsi="Times New Roman"/>
          <w:b/>
          <w:sz w:val="26"/>
          <w:szCs w:val="26"/>
        </w:rPr>
      </w:pPr>
    </w:p>
    <w:p w:rsidR="00E8113C" w:rsidRDefault="00E8113C" w:rsidP="00E8113C">
      <w:pPr>
        <w:spacing w:line="360" w:lineRule="auto"/>
        <w:ind w:left="720"/>
        <w:jc w:val="center"/>
        <w:rPr>
          <w:rFonts w:ascii="Times New Roman" w:hAnsi="Times New Roman"/>
          <w:b/>
          <w:sz w:val="26"/>
          <w:szCs w:val="26"/>
        </w:rPr>
      </w:pPr>
    </w:p>
    <w:p w:rsidR="00E8113C" w:rsidRPr="001E0C6B" w:rsidRDefault="00E8113C" w:rsidP="00E8113C">
      <w:pPr>
        <w:spacing w:line="360" w:lineRule="auto"/>
        <w:ind w:left="720"/>
        <w:jc w:val="center"/>
        <w:rPr>
          <w:rFonts w:ascii="Times New Roman" w:hAnsi="Times New Roman"/>
          <w:b/>
          <w:sz w:val="26"/>
          <w:szCs w:val="26"/>
        </w:rPr>
      </w:pPr>
      <w:r w:rsidRPr="001E0C6B">
        <w:rPr>
          <w:rFonts w:ascii="Times New Roman" w:hAnsi="Times New Roman"/>
          <w:b/>
          <w:sz w:val="26"/>
          <w:szCs w:val="26"/>
        </w:rPr>
        <w:t>CHAPTER FOUR</w:t>
      </w:r>
    </w:p>
    <w:p w:rsidR="00E8113C" w:rsidRPr="001E0C6B" w:rsidRDefault="00E8113C" w:rsidP="00E8113C">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E8113C" w:rsidRPr="0032504B" w:rsidRDefault="00E8113C" w:rsidP="00E8113C">
      <w:pPr>
        <w:spacing w:line="360" w:lineRule="auto"/>
        <w:jc w:val="both"/>
        <w:rPr>
          <w:rFonts w:ascii="Times New Roman" w:hAnsi="Times New Roman"/>
          <w:b/>
          <w:sz w:val="26"/>
          <w:szCs w:val="26"/>
        </w:rPr>
      </w:pPr>
      <w:r w:rsidRPr="0032504B">
        <w:rPr>
          <w:rFonts w:ascii="Times New Roman" w:hAnsi="Times New Roman"/>
          <w:b/>
          <w:sz w:val="26"/>
          <w:szCs w:val="26"/>
        </w:rPr>
        <w:lastRenderedPageBreak/>
        <w:t>4.1</w:t>
      </w:r>
      <w:r w:rsidRPr="0032504B">
        <w:rPr>
          <w:rFonts w:ascii="Times New Roman" w:hAnsi="Times New Roman"/>
          <w:b/>
          <w:sz w:val="26"/>
          <w:szCs w:val="26"/>
        </w:rPr>
        <w:tab/>
        <w:t>Discussion</w:t>
      </w:r>
    </w:p>
    <w:p w:rsidR="00E8113C" w:rsidRPr="0032504B" w:rsidRDefault="00E8113C" w:rsidP="00E8113C">
      <w:pPr>
        <w:pStyle w:val="Default"/>
        <w:spacing w:line="360" w:lineRule="auto"/>
        <w:jc w:val="both"/>
        <w:rPr>
          <w:sz w:val="26"/>
          <w:szCs w:val="26"/>
        </w:rPr>
      </w:pPr>
      <w:r w:rsidRPr="0032504B">
        <w:rPr>
          <w:b/>
          <w:bCs/>
          <w:sz w:val="26"/>
          <w:szCs w:val="26"/>
        </w:rPr>
        <w:t xml:space="preserve">Qualitative and Quantitative phytochemical analysis </w:t>
      </w:r>
    </w:p>
    <w:p w:rsidR="00E8113C" w:rsidRPr="0032504B" w:rsidRDefault="00E8113C" w:rsidP="00E8113C">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E8113C" w:rsidRPr="0032504B" w:rsidRDefault="00E8113C" w:rsidP="00E8113C">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E8113C" w:rsidRPr="0032504B" w:rsidRDefault="00E8113C" w:rsidP="00E8113C">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E8113C" w:rsidRPr="0032504B" w:rsidRDefault="00E8113C" w:rsidP="00E8113C">
      <w:pPr>
        <w:pStyle w:val="Default"/>
        <w:spacing w:line="360" w:lineRule="auto"/>
        <w:jc w:val="both"/>
        <w:rPr>
          <w:sz w:val="26"/>
          <w:szCs w:val="26"/>
        </w:rPr>
      </w:pPr>
      <w:r w:rsidRPr="0032504B">
        <w:rPr>
          <w:b/>
          <w:bCs/>
          <w:sz w:val="26"/>
          <w:szCs w:val="26"/>
        </w:rPr>
        <w:t xml:space="preserve">Green synthesis of Silver Nanoparticle </w:t>
      </w:r>
    </w:p>
    <w:p w:rsidR="00E8113C" w:rsidRPr="0032504B" w:rsidRDefault="00E8113C" w:rsidP="00E8113C">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An indication of AgNPs formation is the occurrence of discoloration in the solution. After some incubation time, it was reported that the AgNPs solution has discoloration to greyish color in fig 1.</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lastRenderedPageBreak/>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E8113C" w:rsidRPr="0032504B" w:rsidRDefault="00E8113C" w:rsidP="00E8113C">
      <w:pPr>
        <w:pStyle w:val="Default"/>
        <w:spacing w:line="360" w:lineRule="auto"/>
        <w:jc w:val="both"/>
        <w:rPr>
          <w:sz w:val="26"/>
          <w:szCs w:val="26"/>
        </w:rPr>
      </w:pPr>
      <w:r w:rsidRPr="0032504B">
        <w:rPr>
          <w:b/>
          <w:bCs/>
          <w:sz w:val="26"/>
          <w:szCs w:val="26"/>
        </w:rPr>
        <w:t>UV-Vis Spectroscopy</w:t>
      </w:r>
    </w:p>
    <w:p w:rsidR="00E8113C" w:rsidRPr="0032504B" w:rsidRDefault="00E8113C" w:rsidP="00E8113C">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E8113C" w:rsidRPr="0032504B" w:rsidRDefault="00E8113C" w:rsidP="00E8113C">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E8113C" w:rsidRPr="0032504B" w:rsidRDefault="00E8113C" w:rsidP="00E8113C">
      <w:pPr>
        <w:pStyle w:val="Default"/>
        <w:spacing w:line="360" w:lineRule="auto"/>
        <w:jc w:val="both"/>
        <w:rPr>
          <w:sz w:val="26"/>
          <w:szCs w:val="26"/>
        </w:rPr>
      </w:pPr>
      <w:r w:rsidRPr="0032504B">
        <w:rPr>
          <w:b/>
          <w:bCs/>
          <w:sz w:val="26"/>
          <w:szCs w:val="26"/>
        </w:rPr>
        <w:t xml:space="preserve">FTIR Spectroscopy </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E8113C"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E8113C" w:rsidRDefault="00E8113C" w:rsidP="00E8113C">
      <w:pPr>
        <w:spacing w:line="360" w:lineRule="auto"/>
        <w:jc w:val="both"/>
        <w:rPr>
          <w:rFonts w:ascii="Times New Roman" w:hAnsi="Times New Roman"/>
          <w:sz w:val="26"/>
          <w:szCs w:val="26"/>
        </w:rPr>
      </w:pPr>
    </w:p>
    <w:p w:rsidR="00E8113C" w:rsidRPr="0032504B" w:rsidRDefault="00E8113C" w:rsidP="00E8113C">
      <w:pPr>
        <w:spacing w:line="360" w:lineRule="auto"/>
        <w:jc w:val="both"/>
        <w:rPr>
          <w:rFonts w:ascii="Times New Roman" w:hAnsi="Times New Roman"/>
          <w:sz w:val="26"/>
          <w:szCs w:val="26"/>
        </w:rPr>
      </w:pPr>
    </w:p>
    <w:p w:rsidR="00E8113C" w:rsidRPr="0032504B" w:rsidRDefault="00E8113C" w:rsidP="00E8113C">
      <w:pPr>
        <w:pStyle w:val="Default"/>
        <w:spacing w:line="360" w:lineRule="auto"/>
        <w:jc w:val="both"/>
        <w:rPr>
          <w:sz w:val="26"/>
          <w:szCs w:val="26"/>
        </w:rPr>
      </w:pPr>
      <w:r w:rsidRPr="0032504B">
        <w:rPr>
          <w:b/>
          <w:bCs/>
          <w:sz w:val="26"/>
          <w:szCs w:val="26"/>
        </w:rPr>
        <w:t xml:space="preserve">Scanning Electron Microscopy (SEM) </w:t>
      </w:r>
    </w:p>
    <w:p w:rsidR="00E8113C" w:rsidRPr="0032504B" w:rsidRDefault="00E8113C" w:rsidP="00E8113C">
      <w:pPr>
        <w:pStyle w:val="Default"/>
        <w:spacing w:line="360" w:lineRule="auto"/>
        <w:jc w:val="both"/>
        <w:rPr>
          <w:sz w:val="26"/>
          <w:szCs w:val="26"/>
        </w:rPr>
      </w:pPr>
      <w:r w:rsidRPr="0032504B">
        <w:rPr>
          <w:sz w:val="26"/>
          <w:szCs w:val="26"/>
        </w:rPr>
        <w:lastRenderedPageBreak/>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E8113C" w:rsidRPr="0032504B" w:rsidRDefault="00E8113C" w:rsidP="00E8113C">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E8113C" w:rsidRPr="0032504B" w:rsidRDefault="00E8113C" w:rsidP="00E8113C">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E8113C" w:rsidRPr="0032504B" w:rsidRDefault="00E8113C" w:rsidP="00E8113C">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E8113C" w:rsidRPr="0032504B" w:rsidRDefault="00E8113C" w:rsidP="00E8113C">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E8113C" w:rsidRPr="0032504B" w:rsidRDefault="00E8113C" w:rsidP="00E8113C">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E8113C" w:rsidRDefault="00E8113C" w:rsidP="00E8113C">
      <w:pPr>
        <w:pStyle w:val="Default"/>
        <w:spacing w:line="360" w:lineRule="auto"/>
        <w:jc w:val="both"/>
        <w:rPr>
          <w:b/>
          <w:bCs/>
          <w:sz w:val="26"/>
          <w:szCs w:val="26"/>
        </w:rPr>
      </w:pPr>
    </w:p>
    <w:p w:rsidR="00E8113C" w:rsidRPr="0032504B" w:rsidRDefault="00E8113C" w:rsidP="00E8113C">
      <w:pPr>
        <w:pStyle w:val="Default"/>
        <w:spacing w:line="360" w:lineRule="auto"/>
        <w:jc w:val="both"/>
        <w:rPr>
          <w:sz w:val="26"/>
          <w:szCs w:val="26"/>
        </w:rPr>
      </w:pPr>
      <w:r w:rsidRPr="0032504B">
        <w:rPr>
          <w:b/>
          <w:bCs/>
          <w:sz w:val="26"/>
          <w:szCs w:val="26"/>
        </w:rPr>
        <w:t xml:space="preserve">4.2 CONCLUSION </w:t>
      </w:r>
    </w:p>
    <w:p w:rsidR="00E8113C" w:rsidRPr="0032504B" w:rsidRDefault="00E8113C" w:rsidP="00E8113C">
      <w:pPr>
        <w:pStyle w:val="Default"/>
        <w:spacing w:line="360" w:lineRule="auto"/>
        <w:jc w:val="both"/>
        <w:rPr>
          <w:sz w:val="26"/>
          <w:szCs w:val="26"/>
        </w:rPr>
      </w:pPr>
      <w:r w:rsidRPr="0032504B">
        <w:rPr>
          <w:sz w:val="26"/>
          <w:szCs w:val="26"/>
        </w:rPr>
        <w:lastRenderedPageBreak/>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E8113C" w:rsidRPr="0032504B" w:rsidRDefault="00E8113C" w:rsidP="00E8113C">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E8113C" w:rsidRPr="0032504B" w:rsidRDefault="00E8113C" w:rsidP="00E8113C">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E8113C" w:rsidRPr="0032504B" w:rsidRDefault="00E8113C" w:rsidP="00E8113C">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effective as that of antibiotics and other drugs in pharmaceutical applications. The </w:t>
      </w:r>
      <w:r w:rsidRPr="0032504B">
        <w:rPr>
          <w:rFonts w:ascii="Times New Roman" w:hAnsi="Times New Roman"/>
          <w:sz w:val="26"/>
          <w:szCs w:val="26"/>
        </w:rPr>
        <w:lastRenderedPageBreak/>
        <w:t>use of silver nanoparticles in drug delivery systems might be the future thrust in the field of medicine.</w:t>
      </w:r>
    </w:p>
    <w:p w:rsidR="00E8113C"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Pr="001E0C6B" w:rsidRDefault="00E8113C" w:rsidP="00E8113C">
      <w:pPr>
        <w:spacing w:line="360" w:lineRule="auto"/>
        <w:jc w:val="both"/>
        <w:rPr>
          <w:rFonts w:ascii="Times New Roman" w:hAnsi="Times New Roman"/>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p>
    <w:p w:rsidR="00E8113C" w:rsidRPr="001E0C6B" w:rsidRDefault="00E8113C" w:rsidP="00E8113C">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t>REFERENCES</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E8113C" w:rsidRPr="001E0C6B" w:rsidRDefault="00E8113C" w:rsidP="00E8113C">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E8113C" w:rsidRPr="001E0C6B" w:rsidRDefault="00E8113C" w:rsidP="00E8113C">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E8113C" w:rsidRPr="001E0C6B" w:rsidRDefault="00E8113C" w:rsidP="00E8113C">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E8113C" w:rsidRPr="001E0C6B" w:rsidRDefault="00E8113C" w:rsidP="00E8113C">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E8113C" w:rsidRPr="001E0C6B" w:rsidRDefault="00E8113C" w:rsidP="00E8113C">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6E36D3">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D0F" w:rsidRDefault="00063D0F" w:rsidP="005A0FC7">
      <w:pPr>
        <w:spacing w:after="0" w:line="240" w:lineRule="auto"/>
      </w:pPr>
      <w:r>
        <w:separator/>
      </w:r>
    </w:p>
  </w:endnote>
  <w:endnote w:type="continuationSeparator" w:id="1">
    <w:p w:rsidR="00063D0F" w:rsidRDefault="00063D0F" w:rsidP="005A0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5A0FC7">
    <w:pPr>
      <w:pStyle w:val="Footer"/>
      <w:jc w:val="center"/>
    </w:pPr>
    <w:r>
      <w:fldChar w:fldCharType="begin"/>
    </w:r>
    <w:r w:rsidR="00F1352F">
      <w:instrText xml:space="preserve"> PAGE   \* MERGEFORMAT </w:instrText>
    </w:r>
    <w:r>
      <w:fldChar w:fldCharType="separate"/>
    </w:r>
    <w:r w:rsidR="00072B23">
      <w:rPr>
        <w:noProof/>
      </w:rPr>
      <w:t>4</w:t>
    </w:r>
    <w:r>
      <w:fldChar w:fldCharType="end"/>
    </w:r>
  </w:p>
  <w:p w:rsidR="002E5604" w:rsidRDefault="00063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D0F" w:rsidRDefault="00063D0F" w:rsidP="005A0FC7">
      <w:pPr>
        <w:spacing w:after="0" w:line="240" w:lineRule="auto"/>
      </w:pPr>
      <w:r>
        <w:separator/>
      </w:r>
    </w:p>
  </w:footnote>
  <w:footnote w:type="continuationSeparator" w:id="1">
    <w:p w:rsidR="00063D0F" w:rsidRDefault="00063D0F" w:rsidP="005A0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113C"/>
    <w:rsid w:val="00063D0F"/>
    <w:rsid w:val="00072B23"/>
    <w:rsid w:val="00450E02"/>
    <w:rsid w:val="005A0FC7"/>
    <w:rsid w:val="00895A59"/>
    <w:rsid w:val="00961419"/>
    <w:rsid w:val="00A8396A"/>
    <w:rsid w:val="00B63180"/>
    <w:rsid w:val="00E8113C"/>
    <w:rsid w:val="00F1352F"/>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13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8113C"/>
    <w:rPr>
      <w:b/>
      <w:bCs/>
    </w:rPr>
  </w:style>
  <w:style w:type="paragraph" w:styleId="ListParagraph">
    <w:name w:val="List Paragraph"/>
    <w:basedOn w:val="Normal"/>
    <w:uiPriority w:val="34"/>
    <w:qFormat/>
    <w:rsid w:val="00E8113C"/>
    <w:pPr>
      <w:ind w:left="720"/>
      <w:contextualSpacing/>
    </w:pPr>
  </w:style>
  <w:style w:type="paragraph" w:styleId="Footer">
    <w:name w:val="footer"/>
    <w:basedOn w:val="Normal"/>
    <w:link w:val="FooterChar"/>
    <w:uiPriority w:val="99"/>
    <w:unhideWhenUsed/>
    <w:rsid w:val="00E8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13C"/>
    <w:rPr>
      <w:rFonts w:ascii="Calibri" w:eastAsia="Calibri" w:hAnsi="Calibri" w:cs="Times New Roman"/>
    </w:rPr>
  </w:style>
  <w:style w:type="character" w:styleId="Hyperlink">
    <w:name w:val="Hyperlink"/>
    <w:basedOn w:val="DefaultParagraphFont"/>
    <w:uiPriority w:val="99"/>
    <w:unhideWhenUsed/>
    <w:rsid w:val="00E8113C"/>
    <w:rPr>
      <w:color w:val="0000FF"/>
      <w:u w:val="single"/>
    </w:rPr>
  </w:style>
  <w:style w:type="paragraph" w:customStyle="1" w:styleId="Default">
    <w:name w:val="Default"/>
    <w:rsid w:val="00E811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81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3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53</Pages>
  <Words>8708</Words>
  <Characters>49638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2</cp:revision>
  <dcterms:created xsi:type="dcterms:W3CDTF">2025-07-24T10:51:00Z</dcterms:created>
  <dcterms:modified xsi:type="dcterms:W3CDTF">2025-07-27T11:46:00Z</dcterms:modified>
</cp:coreProperties>
</file>