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SULAIMON ABDULRAZAK OLAJIDE</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100</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bookmarkStart w:id="1" w:name="_GoBack"/>
      <w:bookmarkEnd w:id="1"/>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SULAIMON ABDULRAZAK OLAJIDE</w:t>
      </w:r>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 xml:space="preserve">100 </w:t>
      </w:r>
      <w:r>
        <w:rPr>
          <w:rFonts w:ascii="Times New Roman" w:hAnsi="Times New Roman" w:cs="Times New Roman"/>
          <w:sz w:val="24"/>
        </w:rPr>
        <w:t>in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SULAIMON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SULAIMON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2025-05-16T02:02:00Z</dcterms:created>
  <dc:creator>iPhone</dc:creator>
  <cp:lastModifiedBy>iPhone</cp:lastModifiedBy>
  <dcterms:modified xsi:type="dcterms:W3CDTF">2025-07-27T17:53:12Z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