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3D0" w:rsidRPr="00F43835" w:rsidRDefault="003713D0" w:rsidP="003713D0">
      <w:pPr>
        <w:spacing w:before="100" w:beforeAutospacing="1" w:after="100" w:afterAutospacing="1" w:line="240" w:lineRule="auto"/>
        <w:jc w:val="center"/>
        <w:rPr>
          <w:rFonts w:ascii="Times New Roman" w:eastAsia="Times New Roman" w:hAnsi="Times New Roman" w:cs="Times New Roman"/>
          <w:b/>
          <w:sz w:val="36"/>
          <w:szCs w:val="24"/>
        </w:rPr>
      </w:pPr>
      <w:r w:rsidRPr="00F43835">
        <w:rPr>
          <w:rFonts w:ascii="Times New Roman" w:eastAsia="Times New Roman" w:hAnsi="Times New Roman" w:cs="Times New Roman"/>
          <w:b/>
          <w:sz w:val="36"/>
          <w:szCs w:val="24"/>
        </w:rPr>
        <w:t>ANALYSIS OF PRICES OF SELECTED FOOD ITEMS IN ILORIN MARKET</w:t>
      </w:r>
    </w:p>
    <w:p w:rsidR="003713D0" w:rsidRPr="00F43835" w:rsidRDefault="003713D0" w:rsidP="003713D0">
      <w:pPr>
        <w:spacing w:before="100" w:beforeAutospacing="1" w:after="100" w:afterAutospacing="1" w:line="240" w:lineRule="auto"/>
        <w:jc w:val="center"/>
        <w:rPr>
          <w:rFonts w:ascii="Times New Roman" w:eastAsia="Times New Roman" w:hAnsi="Times New Roman" w:cs="Times New Roman"/>
          <w:b/>
          <w:sz w:val="36"/>
          <w:szCs w:val="24"/>
        </w:rPr>
      </w:pPr>
      <w:r w:rsidRPr="00F43835">
        <w:rPr>
          <w:rFonts w:ascii="Times New Roman" w:eastAsia="Times New Roman" w:hAnsi="Times New Roman" w:cs="Times New Roman"/>
          <w:b/>
          <w:sz w:val="36"/>
          <w:szCs w:val="24"/>
        </w:rPr>
        <w:t>(A CASE STUDY OF</w:t>
      </w:r>
      <w:r>
        <w:rPr>
          <w:rFonts w:ascii="Times New Roman" w:eastAsia="Times New Roman" w:hAnsi="Times New Roman" w:cs="Times New Roman"/>
          <w:b/>
          <w:sz w:val="36"/>
          <w:szCs w:val="24"/>
        </w:rPr>
        <w:t xml:space="preserve"> </w:t>
      </w:r>
      <w:r w:rsidRPr="00F43835">
        <w:rPr>
          <w:rFonts w:ascii="Times New Roman" w:eastAsia="Times New Roman" w:hAnsi="Times New Roman" w:cs="Times New Roman"/>
          <w:b/>
          <w:sz w:val="36"/>
          <w:szCs w:val="24"/>
        </w:rPr>
        <w:t>MANDATE MARKET, ILORIN)</w:t>
      </w:r>
    </w:p>
    <w:p w:rsidR="003713D0" w:rsidRDefault="003713D0" w:rsidP="003713D0">
      <w:pPr>
        <w:tabs>
          <w:tab w:val="left" w:pos="4140"/>
        </w:tabs>
        <w:spacing w:before="100" w:beforeAutospacing="1" w:after="100" w:afterAutospacing="1" w:line="240" w:lineRule="auto"/>
        <w:jc w:val="center"/>
        <w:rPr>
          <w:rFonts w:ascii="Times New Roman" w:eastAsia="Times New Roman" w:hAnsi="Times New Roman" w:cs="Times New Roman"/>
          <w:b/>
          <w:bCs/>
          <w:sz w:val="24"/>
          <w:szCs w:val="24"/>
        </w:rPr>
      </w:pPr>
    </w:p>
    <w:p w:rsidR="003713D0" w:rsidRDefault="003713D0" w:rsidP="003713D0">
      <w:pPr>
        <w:tabs>
          <w:tab w:val="left" w:pos="4140"/>
        </w:tabs>
        <w:spacing w:before="100" w:beforeAutospacing="1" w:after="100" w:afterAutospacing="1" w:line="240" w:lineRule="auto"/>
        <w:jc w:val="center"/>
        <w:rPr>
          <w:rFonts w:ascii="Times New Roman" w:eastAsia="Times New Roman" w:hAnsi="Times New Roman" w:cs="Times New Roman"/>
          <w:b/>
          <w:bCs/>
          <w:sz w:val="24"/>
          <w:szCs w:val="24"/>
        </w:rPr>
      </w:pPr>
    </w:p>
    <w:p w:rsidR="003713D0" w:rsidRPr="00406245" w:rsidRDefault="003713D0" w:rsidP="003713D0">
      <w:pPr>
        <w:tabs>
          <w:tab w:val="left" w:pos="4140"/>
        </w:tabs>
        <w:spacing w:before="100" w:beforeAutospacing="1" w:after="100" w:afterAutospacing="1" w:line="240" w:lineRule="auto"/>
        <w:jc w:val="center"/>
        <w:rPr>
          <w:rFonts w:ascii="Times New Roman" w:eastAsia="Times New Roman" w:hAnsi="Times New Roman" w:cs="Times New Roman"/>
          <w:b/>
          <w:bCs/>
          <w:sz w:val="24"/>
          <w:szCs w:val="24"/>
        </w:rPr>
      </w:pPr>
    </w:p>
    <w:p w:rsidR="003713D0" w:rsidRDefault="003713D0" w:rsidP="003713D0">
      <w:pPr>
        <w:tabs>
          <w:tab w:val="left" w:pos="4140"/>
        </w:tabs>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PRESENTED </w:t>
      </w:r>
      <w:r w:rsidRPr="00406245">
        <w:rPr>
          <w:rFonts w:ascii="Times New Roman" w:eastAsia="Times New Roman" w:hAnsi="Times New Roman" w:cs="Times New Roman"/>
          <w:b/>
          <w:bCs/>
          <w:sz w:val="24"/>
          <w:szCs w:val="24"/>
        </w:rPr>
        <w:t>BY</w:t>
      </w:r>
    </w:p>
    <w:p w:rsidR="003713D0" w:rsidRPr="00406245" w:rsidRDefault="003713D0" w:rsidP="003713D0">
      <w:pPr>
        <w:tabs>
          <w:tab w:val="left" w:pos="4140"/>
        </w:tabs>
        <w:spacing w:before="100" w:beforeAutospacing="1" w:after="100" w:afterAutospacing="1" w:line="240" w:lineRule="auto"/>
        <w:jc w:val="center"/>
        <w:rPr>
          <w:rFonts w:ascii="Times New Roman" w:eastAsia="Times New Roman" w:hAnsi="Times New Roman" w:cs="Times New Roman"/>
          <w:b/>
          <w:bCs/>
          <w:sz w:val="24"/>
          <w:szCs w:val="24"/>
        </w:rPr>
      </w:pPr>
    </w:p>
    <w:p w:rsidR="003713D0" w:rsidRDefault="003713D0" w:rsidP="003713D0">
      <w:pPr>
        <w:tabs>
          <w:tab w:val="left" w:pos="4140"/>
        </w:tabs>
        <w:spacing w:after="0" w:line="240" w:lineRule="auto"/>
        <w:ind w:left="10"/>
        <w:jc w:val="center"/>
        <w:rPr>
          <w:rFonts w:ascii="Times New Roman" w:hAnsi="Times New Roman" w:cs="Times New Roman"/>
          <w:b/>
          <w:sz w:val="24"/>
          <w:szCs w:val="24"/>
        </w:rPr>
      </w:pPr>
    </w:p>
    <w:p w:rsidR="003713D0" w:rsidRPr="00BC7F27" w:rsidRDefault="003713D0" w:rsidP="003713D0">
      <w:pPr>
        <w:tabs>
          <w:tab w:val="left" w:pos="4140"/>
        </w:tabs>
        <w:spacing w:after="0" w:line="240" w:lineRule="auto"/>
        <w:jc w:val="center"/>
        <w:rPr>
          <w:rFonts w:ascii="Times New Roman" w:hAnsi="Times New Roman" w:cs="Times New Roman"/>
          <w:b/>
          <w:sz w:val="38"/>
          <w:szCs w:val="24"/>
        </w:rPr>
      </w:pPr>
      <w:r w:rsidRPr="00BC7F27">
        <w:rPr>
          <w:rFonts w:ascii="Times New Roman" w:hAnsi="Times New Roman" w:cs="Times New Roman"/>
          <w:b/>
          <w:sz w:val="38"/>
          <w:szCs w:val="24"/>
        </w:rPr>
        <w:t>SAAD IBRAHIM IYANDA</w:t>
      </w:r>
    </w:p>
    <w:p w:rsidR="003713D0" w:rsidRPr="00BC7F27" w:rsidRDefault="003713D0" w:rsidP="003713D0">
      <w:pPr>
        <w:tabs>
          <w:tab w:val="left" w:pos="4140"/>
        </w:tabs>
        <w:spacing w:after="0" w:line="240" w:lineRule="auto"/>
        <w:jc w:val="center"/>
        <w:rPr>
          <w:rFonts w:ascii="Times New Roman" w:hAnsi="Times New Roman" w:cs="Times New Roman"/>
          <w:b/>
          <w:sz w:val="38"/>
          <w:szCs w:val="24"/>
        </w:rPr>
      </w:pPr>
      <w:r w:rsidRPr="00BC7F27">
        <w:rPr>
          <w:rFonts w:ascii="Times New Roman" w:hAnsi="Times New Roman" w:cs="Times New Roman"/>
          <w:b/>
          <w:sz w:val="38"/>
          <w:szCs w:val="24"/>
        </w:rPr>
        <w:t>ND/23/STA/FT/0015</w:t>
      </w:r>
    </w:p>
    <w:p w:rsidR="003713D0" w:rsidRPr="00406245" w:rsidRDefault="003713D0" w:rsidP="003713D0">
      <w:pPr>
        <w:tabs>
          <w:tab w:val="left" w:pos="4140"/>
        </w:tabs>
        <w:spacing w:after="271" w:line="240" w:lineRule="auto"/>
        <w:ind w:left="10"/>
        <w:jc w:val="center"/>
        <w:rPr>
          <w:rFonts w:ascii="Times New Roman" w:hAnsi="Times New Roman" w:cs="Times New Roman"/>
          <w:b/>
          <w:sz w:val="24"/>
          <w:szCs w:val="24"/>
        </w:rPr>
      </w:pPr>
    </w:p>
    <w:p w:rsidR="003713D0" w:rsidRPr="00406245" w:rsidRDefault="003713D0" w:rsidP="003713D0">
      <w:pPr>
        <w:tabs>
          <w:tab w:val="left" w:pos="4140"/>
        </w:tabs>
        <w:spacing w:after="271" w:line="240" w:lineRule="auto"/>
        <w:ind w:left="10"/>
        <w:jc w:val="center"/>
        <w:rPr>
          <w:rFonts w:ascii="Times New Roman" w:hAnsi="Times New Roman" w:cs="Times New Roman"/>
          <w:b/>
          <w:sz w:val="24"/>
          <w:szCs w:val="24"/>
        </w:rPr>
      </w:pPr>
    </w:p>
    <w:p w:rsidR="003713D0" w:rsidRPr="00406245" w:rsidRDefault="003713D0" w:rsidP="003713D0">
      <w:pPr>
        <w:tabs>
          <w:tab w:val="left" w:pos="4140"/>
        </w:tabs>
        <w:spacing w:after="271" w:line="240" w:lineRule="auto"/>
        <w:ind w:left="10"/>
        <w:jc w:val="center"/>
        <w:rPr>
          <w:rFonts w:ascii="Times New Roman" w:hAnsi="Times New Roman" w:cs="Times New Roman"/>
          <w:sz w:val="24"/>
          <w:szCs w:val="24"/>
        </w:rPr>
      </w:pPr>
      <w:r w:rsidRPr="00406245">
        <w:rPr>
          <w:rFonts w:ascii="Times New Roman" w:hAnsi="Times New Roman" w:cs="Times New Roman"/>
          <w:b/>
          <w:sz w:val="24"/>
          <w:szCs w:val="24"/>
        </w:rPr>
        <w:t>BEING A RESEARCH WORK SUBMITTED TO THE</w:t>
      </w:r>
    </w:p>
    <w:p w:rsidR="003713D0" w:rsidRPr="00406245" w:rsidRDefault="003713D0" w:rsidP="003713D0">
      <w:pPr>
        <w:tabs>
          <w:tab w:val="left" w:pos="4140"/>
        </w:tabs>
        <w:spacing w:after="821" w:line="240" w:lineRule="auto"/>
        <w:ind w:left="10"/>
        <w:jc w:val="center"/>
        <w:rPr>
          <w:rFonts w:ascii="Times New Roman" w:hAnsi="Times New Roman" w:cs="Times New Roman"/>
          <w:sz w:val="24"/>
          <w:szCs w:val="24"/>
        </w:rPr>
      </w:pPr>
      <w:r w:rsidRPr="00406245">
        <w:rPr>
          <w:rFonts w:ascii="Times New Roman" w:hAnsi="Times New Roman" w:cs="Times New Roman"/>
          <w:b/>
          <w:sz w:val="24"/>
          <w:szCs w:val="24"/>
        </w:rPr>
        <w:t>DEPARTMENT OF STATISTICS, INSTITUTE OF APPLIED SCIENCES, KWARA STATE POLYTECHNIC, ILORIN.</w:t>
      </w:r>
    </w:p>
    <w:p w:rsidR="003713D0" w:rsidRPr="005C0F51" w:rsidRDefault="003713D0" w:rsidP="003713D0">
      <w:pPr>
        <w:pStyle w:val="Heading2"/>
        <w:tabs>
          <w:tab w:val="left" w:pos="4140"/>
        </w:tabs>
        <w:spacing w:after="271" w:line="240" w:lineRule="auto"/>
        <w:ind w:firstLine="725"/>
        <w:jc w:val="center"/>
        <w:rPr>
          <w:rFonts w:ascii="Times New Roman" w:hAnsi="Times New Roman" w:cs="Times New Roman"/>
          <w:b w:val="0"/>
          <w:bCs w:val="0"/>
          <w:color w:val="000000" w:themeColor="text1"/>
          <w:sz w:val="24"/>
          <w:szCs w:val="24"/>
        </w:rPr>
      </w:pPr>
      <w:r w:rsidRPr="005C0F51">
        <w:rPr>
          <w:rFonts w:ascii="Times New Roman" w:hAnsi="Times New Roman" w:cs="Times New Roman"/>
          <w:color w:val="000000" w:themeColor="text1"/>
          <w:sz w:val="24"/>
          <w:szCs w:val="24"/>
        </w:rPr>
        <w:t>IN PARTIAL FULFILMENT OF THE REQUIREMENT FOR THE AWARD OF NATIONAL DIPLOMA (ND) IN STATISTICS</w:t>
      </w:r>
    </w:p>
    <w:p w:rsidR="003713D0" w:rsidRDefault="003713D0" w:rsidP="003713D0">
      <w:pPr>
        <w:tabs>
          <w:tab w:val="left" w:pos="4140"/>
        </w:tabs>
        <w:spacing w:after="0" w:line="240" w:lineRule="auto"/>
        <w:ind w:left="10"/>
        <w:jc w:val="center"/>
        <w:rPr>
          <w:rFonts w:ascii="Times New Roman" w:hAnsi="Times New Roman" w:cs="Times New Roman"/>
          <w:b/>
          <w:sz w:val="24"/>
          <w:szCs w:val="24"/>
        </w:rPr>
      </w:pPr>
    </w:p>
    <w:p w:rsidR="003713D0" w:rsidRDefault="003713D0" w:rsidP="003713D0">
      <w:pPr>
        <w:tabs>
          <w:tab w:val="left" w:pos="4140"/>
        </w:tabs>
        <w:spacing w:after="0" w:line="240" w:lineRule="auto"/>
        <w:ind w:left="10"/>
        <w:jc w:val="center"/>
        <w:rPr>
          <w:rFonts w:ascii="Times New Roman" w:hAnsi="Times New Roman" w:cs="Times New Roman"/>
          <w:b/>
          <w:sz w:val="24"/>
          <w:szCs w:val="24"/>
        </w:rPr>
      </w:pPr>
    </w:p>
    <w:p w:rsidR="003713D0" w:rsidRDefault="003713D0" w:rsidP="003713D0">
      <w:pPr>
        <w:tabs>
          <w:tab w:val="left" w:pos="4140"/>
        </w:tabs>
        <w:spacing w:after="0" w:line="240" w:lineRule="auto"/>
        <w:ind w:left="10"/>
        <w:jc w:val="center"/>
        <w:rPr>
          <w:rFonts w:ascii="Times New Roman" w:hAnsi="Times New Roman" w:cs="Times New Roman"/>
          <w:b/>
          <w:sz w:val="24"/>
          <w:szCs w:val="24"/>
        </w:rPr>
      </w:pPr>
    </w:p>
    <w:p w:rsidR="003713D0" w:rsidRPr="00406245" w:rsidRDefault="003713D0" w:rsidP="003713D0">
      <w:pPr>
        <w:tabs>
          <w:tab w:val="left" w:pos="4140"/>
        </w:tabs>
        <w:spacing w:after="0" w:line="240" w:lineRule="auto"/>
        <w:ind w:left="10"/>
        <w:jc w:val="right"/>
        <w:rPr>
          <w:rFonts w:ascii="Times New Roman" w:hAnsi="Times New Roman" w:cs="Times New Roman"/>
          <w:b/>
          <w:sz w:val="24"/>
          <w:szCs w:val="24"/>
        </w:rPr>
      </w:pPr>
      <w:r w:rsidRPr="00406245">
        <w:rPr>
          <w:rFonts w:ascii="Times New Roman" w:hAnsi="Times New Roman" w:cs="Times New Roman"/>
          <w:b/>
          <w:sz w:val="24"/>
          <w:szCs w:val="24"/>
        </w:rPr>
        <w:t>JU</w:t>
      </w:r>
      <w:r>
        <w:rPr>
          <w:rFonts w:ascii="Times New Roman" w:hAnsi="Times New Roman" w:cs="Times New Roman"/>
          <w:b/>
          <w:sz w:val="24"/>
          <w:szCs w:val="24"/>
        </w:rPr>
        <w:t>LY</w:t>
      </w:r>
      <w:r w:rsidRPr="00406245">
        <w:rPr>
          <w:rFonts w:ascii="Times New Roman" w:hAnsi="Times New Roman" w:cs="Times New Roman"/>
          <w:b/>
          <w:sz w:val="24"/>
          <w:szCs w:val="24"/>
        </w:rPr>
        <w:t>, 2025</w:t>
      </w:r>
    </w:p>
    <w:p w:rsidR="003713D0" w:rsidRPr="00406245" w:rsidRDefault="003713D0" w:rsidP="003713D0">
      <w:pPr>
        <w:tabs>
          <w:tab w:val="left" w:pos="4140"/>
        </w:tabs>
        <w:spacing w:after="0" w:line="240" w:lineRule="auto"/>
        <w:ind w:left="10"/>
        <w:jc w:val="both"/>
        <w:rPr>
          <w:rFonts w:ascii="Times New Roman" w:hAnsi="Times New Roman" w:cs="Times New Roman"/>
          <w:b/>
          <w:sz w:val="24"/>
          <w:szCs w:val="24"/>
        </w:rPr>
      </w:pPr>
    </w:p>
    <w:p w:rsidR="003713D0" w:rsidRPr="00406245" w:rsidRDefault="003713D0" w:rsidP="003713D0">
      <w:pPr>
        <w:tabs>
          <w:tab w:val="left" w:pos="4140"/>
        </w:tabs>
        <w:spacing w:line="240" w:lineRule="auto"/>
        <w:jc w:val="both"/>
        <w:rPr>
          <w:rFonts w:ascii="Times New Roman" w:hAnsi="Times New Roman" w:cs="Times New Roman"/>
          <w:b/>
          <w:sz w:val="24"/>
          <w:szCs w:val="24"/>
        </w:rPr>
      </w:pPr>
    </w:p>
    <w:p w:rsidR="003713D0" w:rsidRDefault="003713D0" w:rsidP="003713D0">
      <w:pPr>
        <w:jc w:val="center"/>
        <w:rPr>
          <w:rFonts w:ascii="Times New Roman" w:eastAsia="Calibri" w:hAnsi="Times New Roman"/>
          <w:b/>
          <w:sz w:val="24"/>
          <w:szCs w:val="24"/>
        </w:rPr>
      </w:pPr>
      <w:r>
        <w:rPr>
          <w:rFonts w:ascii="Times New Roman" w:eastAsia="Calibri" w:hAnsi="Times New Roman"/>
          <w:b/>
          <w:sz w:val="24"/>
          <w:szCs w:val="24"/>
        </w:rPr>
        <w:lastRenderedPageBreak/>
        <w:t xml:space="preserve">CERTIFICATION </w:t>
      </w:r>
    </w:p>
    <w:p w:rsidR="003713D0" w:rsidRPr="00C272E1" w:rsidRDefault="003713D0" w:rsidP="003713D0">
      <w:pPr>
        <w:tabs>
          <w:tab w:val="left" w:pos="4140"/>
        </w:tabs>
        <w:spacing w:after="0" w:line="480" w:lineRule="auto"/>
        <w:jc w:val="both"/>
        <w:rPr>
          <w:rFonts w:ascii="Times New Roman" w:hAnsi="Times New Roman" w:cs="Times New Roman"/>
          <w:b/>
          <w:sz w:val="24"/>
          <w:szCs w:val="24"/>
        </w:rPr>
      </w:pPr>
      <w:r>
        <w:rPr>
          <w:rFonts w:ascii="Times New Roman" w:eastAsia="Calibri" w:hAnsi="Times New Roman"/>
          <w:bCs/>
          <w:sz w:val="24"/>
          <w:szCs w:val="24"/>
        </w:rPr>
        <w:t xml:space="preserve">This is to certify that this project work was carried out by </w:t>
      </w:r>
      <w:r>
        <w:rPr>
          <w:rFonts w:ascii="Times New Roman" w:hAnsi="Times New Roman" w:cs="Times New Roman"/>
          <w:b/>
          <w:sz w:val="24"/>
          <w:szCs w:val="24"/>
        </w:rPr>
        <w:t xml:space="preserve">SAAD IBRAHIM IYANDA </w:t>
      </w:r>
      <w:r>
        <w:rPr>
          <w:rFonts w:ascii="Times New Roman" w:eastAsia="Calibri" w:hAnsi="Times New Roman"/>
          <w:bCs/>
          <w:sz w:val="24"/>
          <w:szCs w:val="24"/>
        </w:rPr>
        <w:t xml:space="preserve">with Matric No: </w:t>
      </w:r>
      <w:r w:rsidRPr="00611F5A">
        <w:rPr>
          <w:rFonts w:ascii="Times New Roman" w:eastAsia="Calibri" w:hAnsi="Times New Roman"/>
          <w:b/>
          <w:bCs/>
          <w:sz w:val="24"/>
          <w:szCs w:val="24"/>
        </w:rPr>
        <w:t>ND/23/STA/FT/0</w:t>
      </w:r>
      <w:r>
        <w:rPr>
          <w:rFonts w:ascii="Times New Roman" w:eastAsia="Calibri" w:hAnsi="Times New Roman"/>
          <w:b/>
          <w:bCs/>
          <w:sz w:val="24"/>
          <w:szCs w:val="24"/>
        </w:rPr>
        <w:t>015</w:t>
      </w:r>
      <w:r>
        <w:rPr>
          <w:rFonts w:ascii="Times New Roman" w:eastAsia="Calibri" w:hAnsi="Times New Roman"/>
          <w:bCs/>
          <w:sz w:val="24"/>
          <w:szCs w:val="24"/>
        </w:rPr>
        <w:t xml:space="preserve"> has been read and approved as meeting part of the requirements for the award of National Diploma in Statistics, Institute of Applied Sciences (IAS), Kwara State Polytechnic, Ilorin, Kwara State</w:t>
      </w:r>
    </w:p>
    <w:p w:rsidR="003713D0" w:rsidRDefault="003713D0" w:rsidP="003713D0">
      <w:pPr>
        <w:jc w:val="both"/>
        <w:rPr>
          <w:rFonts w:ascii="Times New Roman" w:eastAsia="Calibri" w:hAnsi="Times New Roman"/>
          <w:bCs/>
          <w:sz w:val="24"/>
          <w:szCs w:val="24"/>
        </w:rPr>
      </w:pPr>
      <w:r>
        <w:rPr>
          <w:rFonts w:ascii="Times New Roman" w:eastAsia="Calibri" w:hAnsi="Times New Roman"/>
          <w:bCs/>
          <w:sz w:val="24"/>
          <w:szCs w:val="24"/>
        </w:rPr>
        <w:t xml:space="preserve"> </w:t>
      </w:r>
    </w:p>
    <w:p w:rsidR="003713D0" w:rsidRDefault="003713D0" w:rsidP="003713D0">
      <w:pPr>
        <w:rPr>
          <w:rFonts w:ascii="Times New Roman" w:eastAsia="Calibri" w:hAnsi="Times New Roman"/>
          <w:sz w:val="24"/>
          <w:szCs w:val="24"/>
        </w:rPr>
      </w:pPr>
    </w:p>
    <w:p w:rsidR="003713D0" w:rsidRDefault="003713D0" w:rsidP="003713D0">
      <w:pPr>
        <w:rPr>
          <w:rFonts w:ascii="Times New Roman" w:eastAsia="Calibri" w:hAnsi="Times New Roman"/>
          <w:sz w:val="24"/>
          <w:szCs w:val="24"/>
        </w:rPr>
      </w:pPr>
    </w:p>
    <w:p w:rsidR="003713D0" w:rsidRDefault="003713D0" w:rsidP="003713D0">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3713D0" w:rsidRDefault="003713D0" w:rsidP="003713D0">
      <w:pPr>
        <w:spacing w:after="0" w:line="240" w:lineRule="auto"/>
        <w:rPr>
          <w:rFonts w:ascii="Times New Roman" w:eastAsia="Calibri" w:hAnsi="Times New Roman"/>
          <w:b/>
          <w:sz w:val="24"/>
          <w:szCs w:val="24"/>
        </w:rPr>
      </w:pPr>
      <w:r>
        <w:rPr>
          <w:rFonts w:ascii="Times New Roman" w:eastAsia="Calibri" w:hAnsi="Times New Roman"/>
          <w:b/>
          <w:sz w:val="24"/>
          <w:szCs w:val="24"/>
        </w:rPr>
        <w: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w:t>
      </w:r>
    </w:p>
    <w:p w:rsidR="003713D0" w:rsidRDefault="003713D0" w:rsidP="003713D0">
      <w:pPr>
        <w:spacing w:after="0" w:line="240" w:lineRule="auto"/>
        <w:rPr>
          <w:rFonts w:ascii="Times New Roman" w:eastAsia="Calibri" w:hAnsi="Times New Roman"/>
          <w:b/>
          <w:sz w:val="24"/>
          <w:szCs w:val="24"/>
        </w:rPr>
      </w:pPr>
      <w:r>
        <w:rPr>
          <w:rFonts w:ascii="Times New Roman" w:eastAsia="Calibri" w:hAnsi="Times New Roman"/>
          <w:b/>
          <w:sz w:val="24"/>
          <w:szCs w:val="24"/>
        </w:rPr>
        <w:t>MRS. ELEPO, T.A</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Signature &amp; Date</w:t>
      </w:r>
    </w:p>
    <w:p w:rsidR="003713D0" w:rsidRDefault="003713D0" w:rsidP="003713D0">
      <w:pPr>
        <w:spacing w:after="0" w:line="240" w:lineRule="auto"/>
        <w:rPr>
          <w:rFonts w:ascii="Times New Roman" w:eastAsia="Calibri" w:hAnsi="Times New Roman"/>
          <w:b/>
          <w:sz w:val="24"/>
          <w:szCs w:val="24"/>
        </w:rPr>
      </w:pPr>
      <w:r>
        <w:rPr>
          <w:rFonts w:ascii="Times New Roman" w:eastAsia="Calibri" w:hAnsi="Times New Roman"/>
          <w:b/>
          <w:sz w:val="24"/>
          <w:szCs w:val="24"/>
        </w:rPr>
        <w:t>Project Supervisor</w:t>
      </w:r>
    </w:p>
    <w:p w:rsidR="003713D0" w:rsidRDefault="003713D0" w:rsidP="003713D0">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3713D0" w:rsidRDefault="003713D0" w:rsidP="003713D0">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3713D0" w:rsidRDefault="003713D0" w:rsidP="003713D0">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3713D0" w:rsidRDefault="003713D0" w:rsidP="003713D0">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3713D0" w:rsidRDefault="003713D0" w:rsidP="003713D0">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3713D0" w:rsidRDefault="003713D0" w:rsidP="003713D0">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3713D0" w:rsidRDefault="003713D0" w:rsidP="003713D0">
      <w:pPr>
        <w:spacing w:after="0" w:line="240" w:lineRule="auto"/>
        <w:rPr>
          <w:rFonts w:ascii="Times New Roman" w:eastAsia="Calibri" w:hAnsi="Times New Roman"/>
          <w:b/>
          <w:sz w:val="24"/>
          <w:szCs w:val="24"/>
        </w:rPr>
      </w:pPr>
    </w:p>
    <w:p w:rsidR="003713D0" w:rsidRDefault="003713D0" w:rsidP="003713D0">
      <w:pPr>
        <w:spacing w:after="0" w:line="240" w:lineRule="auto"/>
        <w:rPr>
          <w:rFonts w:ascii="Times New Roman" w:eastAsia="Calibri" w:hAnsi="Times New Roman"/>
          <w:b/>
          <w:sz w:val="24"/>
          <w:szCs w:val="24"/>
        </w:rPr>
      </w:pPr>
    </w:p>
    <w:p w:rsidR="003713D0" w:rsidRDefault="003713D0" w:rsidP="003713D0">
      <w:pPr>
        <w:spacing w:after="0" w:line="240" w:lineRule="auto"/>
        <w:rPr>
          <w:rFonts w:ascii="Times New Roman" w:eastAsia="Calibri" w:hAnsi="Times New Roman"/>
          <w:b/>
          <w:sz w:val="24"/>
          <w:szCs w:val="24"/>
        </w:rPr>
      </w:pPr>
      <w:r>
        <w:rPr>
          <w:rFonts w:ascii="Times New Roman" w:eastAsia="Calibri" w:hAnsi="Times New Roman"/>
          <w:b/>
          <w:sz w:val="24"/>
          <w:szCs w:val="24"/>
        </w:rPr>
        <w: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w:t>
      </w:r>
    </w:p>
    <w:p w:rsidR="003713D0" w:rsidRDefault="003713D0" w:rsidP="003713D0">
      <w:pPr>
        <w:spacing w:after="0" w:line="240" w:lineRule="auto"/>
        <w:rPr>
          <w:rFonts w:ascii="Times New Roman" w:eastAsia="Calibri" w:hAnsi="Times New Roman"/>
          <w:b/>
          <w:sz w:val="24"/>
          <w:szCs w:val="24"/>
        </w:rPr>
      </w:pPr>
      <w:r>
        <w:rPr>
          <w:rFonts w:ascii="Times New Roman" w:eastAsia="Calibri" w:hAnsi="Times New Roman"/>
          <w:b/>
          <w:sz w:val="24"/>
          <w:szCs w:val="24"/>
        </w:rPr>
        <w:t>MRS. ELEPO, T.A</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Signature &amp; Date</w:t>
      </w:r>
    </w:p>
    <w:p w:rsidR="003713D0" w:rsidRDefault="003713D0" w:rsidP="003713D0">
      <w:pPr>
        <w:spacing w:after="0" w:line="240" w:lineRule="auto"/>
        <w:rPr>
          <w:rFonts w:ascii="Times New Roman" w:eastAsia="Calibri" w:hAnsi="Times New Roman"/>
          <w:b/>
          <w:sz w:val="24"/>
          <w:szCs w:val="24"/>
        </w:rPr>
      </w:pPr>
      <w:r>
        <w:rPr>
          <w:rFonts w:ascii="Times New Roman" w:eastAsia="Calibri" w:hAnsi="Times New Roman"/>
          <w:b/>
          <w:sz w:val="24"/>
          <w:szCs w:val="24"/>
        </w:rPr>
        <w:t>Head of Department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p>
    <w:p w:rsidR="003713D0" w:rsidRDefault="003713D0" w:rsidP="003713D0">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3713D0" w:rsidRDefault="003713D0" w:rsidP="003713D0">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3713D0" w:rsidRDefault="003713D0" w:rsidP="003713D0">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3713D0" w:rsidRDefault="003713D0" w:rsidP="003713D0">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3713D0" w:rsidRDefault="003713D0" w:rsidP="003713D0">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3713D0" w:rsidRDefault="003713D0" w:rsidP="003713D0">
      <w:pPr>
        <w:spacing w:after="0" w:line="240" w:lineRule="auto"/>
        <w:rPr>
          <w:rFonts w:ascii="Times New Roman" w:eastAsia="Calibri" w:hAnsi="Times New Roman"/>
          <w:sz w:val="24"/>
          <w:szCs w:val="24"/>
        </w:rPr>
      </w:pPr>
    </w:p>
    <w:p w:rsidR="003713D0" w:rsidRDefault="003713D0" w:rsidP="003713D0">
      <w:pPr>
        <w:spacing w:after="0" w:line="240" w:lineRule="auto"/>
        <w:rPr>
          <w:rFonts w:ascii="Times New Roman" w:eastAsia="Calibri" w:hAnsi="Times New Roman"/>
          <w:b/>
          <w:sz w:val="24"/>
          <w:szCs w:val="24"/>
        </w:rPr>
      </w:pPr>
      <w:r>
        <w:rPr>
          <w:rFonts w:ascii="Times New Roman" w:eastAsia="Calibri" w:hAnsi="Times New Roman"/>
          <w:b/>
          <w:sz w:val="24"/>
          <w:szCs w:val="24"/>
        </w:rPr>
        <w: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w:t>
      </w:r>
    </w:p>
    <w:p w:rsidR="003713D0" w:rsidRDefault="003713D0" w:rsidP="003713D0">
      <w:pPr>
        <w:spacing w:after="0" w:line="240" w:lineRule="auto"/>
        <w:rPr>
          <w:rFonts w:ascii="Times New Roman" w:eastAsia="Calibri" w:hAnsi="Times New Roman"/>
          <w:b/>
          <w:sz w:val="24"/>
          <w:szCs w:val="24"/>
        </w:rPr>
      </w:pPr>
      <w:r>
        <w:rPr>
          <w:rFonts w:ascii="Times New Roman" w:eastAsia="Calibri" w:hAnsi="Times New Roman"/>
          <w:b/>
          <w:sz w:val="24"/>
          <w:szCs w:val="24"/>
        </w:rPr>
        <w:t>External Examiner</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Signature &amp; Date</w:t>
      </w:r>
    </w:p>
    <w:p w:rsidR="003713D0" w:rsidRPr="00406245" w:rsidRDefault="003713D0" w:rsidP="003713D0">
      <w:pPr>
        <w:tabs>
          <w:tab w:val="left" w:pos="4140"/>
        </w:tabs>
        <w:spacing w:line="480" w:lineRule="auto"/>
        <w:jc w:val="both"/>
        <w:rPr>
          <w:rFonts w:ascii="Times New Roman" w:hAnsi="Times New Roman" w:cs="Times New Roman"/>
          <w:b/>
          <w:sz w:val="24"/>
          <w:szCs w:val="24"/>
        </w:rPr>
      </w:pPr>
      <w:r w:rsidRPr="00406245">
        <w:rPr>
          <w:rFonts w:ascii="Times New Roman" w:hAnsi="Times New Roman" w:cs="Times New Roman"/>
          <w:b/>
          <w:sz w:val="24"/>
          <w:szCs w:val="24"/>
        </w:rPr>
        <w:br w:type="page"/>
      </w:r>
    </w:p>
    <w:p w:rsidR="003713D0" w:rsidRPr="00F44081" w:rsidRDefault="003713D0" w:rsidP="003713D0">
      <w:pPr>
        <w:tabs>
          <w:tab w:val="left" w:pos="4140"/>
        </w:tabs>
        <w:spacing w:after="0" w:line="240" w:lineRule="auto"/>
        <w:ind w:left="10"/>
        <w:jc w:val="center"/>
        <w:rPr>
          <w:rFonts w:ascii="Times New Roman" w:hAnsi="Times New Roman" w:cs="Times New Roman"/>
          <w:b/>
          <w:sz w:val="24"/>
          <w:szCs w:val="24"/>
        </w:rPr>
      </w:pPr>
      <w:r w:rsidRPr="00F44081">
        <w:rPr>
          <w:rFonts w:ascii="Times New Roman" w:hAnsi="Times New Roman" w:cs="Times New Roman"/>
          <w:b/>
          <w:sz w:val="24"/>
          <w:szCs w:val="24"/>
        </w:rPr>
        <w:lastRenderedPageBreak/>
        <w:t>Dedication</w:t>
      </w:r>
    </w:p>
    <w:p w:rsidR="003713D0" w:rsidRPr="00485CC5" w:rsidRDefault="003713D0" w:rsidP="003713D0">
      <w:pPr>
        <w:tabs>
          <w:tab w:val="left" w:pos="3960"/>
        </w:tabs>
        <w:spacing w:before="100" w:beforeAutospacing="1" w:after="100" w:afterAutospacing="1" w:line="480" w:lineRule="auto"/>
        <w:jc w:val="center"/>
        <w:rPr>
          <w:rFonts w:ascii="Times New Roman" w:eastAsia="Times New Roman" w:hAnsi="Times New Roman" w:cs="Times New Roman"/>
        </w:rPr>
      </w:pPr>
      <w:r w:rsidRPr="00485CC5">
        <w:rPr>
          <w:rFonts w:ascii="Times New Roman" w:eastAsia="Times New Roman" w:hAnsi="Times New Roman" w:cs="Times New Roman"/>
        </w:rPr>
        <w:t>This research work is dedicated to Almighty Allah</w:t>
      </w:r>
    </w:p>
    <w:p w:rsidR="003713D0" w:rsidRPr="00406245" w:rsidRDefault="003713D0" w:rsidP="003713D0">
      <w:pPr>
        <w:tabs>
          <w:tab w:val="left" w:pos="4140"/>
        </w:tabs>
        <w:spacing w:after="468" w:line="480" w:lineRule="auto"/>
        <w:ind w:left="10"/>
        <w:jc w:val="both"/>
        <w:rPr>
          <w:rFonts w:ascii="Times New Roman" w:hAnsi="Times New Roman" w:cs="Times New Roman"/>
          <w:bCs/>
          <w:sz w:val="24"/>
          <w:szCs w:val="24"/>
        </w:rPr>
      </w:pPr>
    </w:p>
    <w:p w:rsidR="003713D0" w:rsidRPr="00406245" w:rsidRDefault="003713D0" w:rsidP="003713D0">
      <w:pPr>
        <w:tabs>
          <w:tab w:val="left" w:pos="4140"/>
        </w:tabs>
        <w:spacing w:after="468" w:line="480" w:lineRule="auto"/>
        <w:ind w:left="10"/>
        <w:jc w:val="both"/>
        <w:rPr>
          <w:rFonts w:ascii="Times New Roman" w:hAnsi="Times New Roman" w:cs="Times New Roman"/>
          <w:bCs/>
          <w:sz w:val="24"/>
          <w:szCs w:val="24"/>
        </w:rPr>
      </w:pPr>
    </w:p>
    <w:p w:rsidR="003713D0" w:rsidRPr="00406245" w:rsidRDefault="003713D0" w:rsidP="003713D0">
      <w:pPr>
        <w:tabs>
          <w:tab w:val="left" w:pos="4140"/>
        </w:tabs>
        <w:spacing w:after="468" w:line="480" w:lineRule="auto"/>
        <w:ind w:left="10"/>
        <w:jc w:val="both"/>
        <w:rPr>
          <w:rFonts w:ascii="Times New Roman" w:hAnsi="Times New Roman" w:cs="Times New Roman"/>
          <w:bCs/>
          <w:sz w:val="24"/>
          <w:szCs w:val="24"/>
        </w:rPr>
      </w:pPr>
    </w:p>
    <w:p w:rsidR="003713D0" w:rsidRPr="00406245" w:rsidRDefault="003713D0" w:rsidP="003713D0">
      <w:pPr>
        <w:tabs>
          <w:tab w:val="left" w:pos="4140"/>
        </w:tabs>
        <w:spacing w:after="468" w:line="480" w:lineRule="auto"/>
        <w:ind w:left="10"/>
        <w:jc w:val="both"/>
        <w:rPr>
          <w:rFonts w:ascii="Times New Roman" w:hAnsi="Times New Roman" w:cs="Times New Roman"/>
          <w:bCs/>
          <w:sz w:val="24"/>
          <w:szCs w:val="24"/>
        </w:rPr>
      </w:pPr>
    </w:p>
    <w:p w:rsidR="003713D0" w:rsidRPr="00406245" w:rsidRDefault="003713D0" w:rsidP="003713D0">
      <w:pPr>
        <w:tabs>
          <w:tab w:val="left" w:pos="4140"/>
        </w:tabs>
        <w:spacing w:after="468" w:line="480" w:lineRule="auto"/>
        <w:ind w:left="10"/>
        <w:jc w:val="both"/>
        <w:rPr>
          <w:rFonts w:ascii="Times New Roman" w:hAnsi="Times New Roman" w:cs="Times New Roman"/>
          <w:bCs/>
          <w:sz w:val="24"/>
          <w:szCs w:val="24"/>
        </w:rPr>
      </w:pPr>
    </w:p>
    <w:p w:rsidR="003713D0" w:rsidRPr="00406245" w:rsidRDefault="003713D0" w:rsidP="003713D0">
      <w:pPr>
        <w:tabs>
          <w:tab w:val="left" w:pos="4140"/>
        </w:tabs>
        <w:spacing w:after="468" w:line="480" w:lineRule="auto"/>
        <w:ind w:left="10"/>
        <w:jc w:val="both"/>
        <w:rPr>
          <w:rFonts w:ascii="Times New Roman" w:hAnsi="Times New Roman" w:cs="Times New Roman"/>
          <w:bCs/>
          <w:sz w:val="24"/>
          <w:szCs w:val="24"/>
        </w:rPr>
      </w:pPr>
    </w:p>
    <w:p w:rsidR="003713D0" w:rsidRPr="00406245" w:rsidRDefault="003713D0" w:rsidP="003713D0">
      <w:pPr>
        <w:tabs>
          <w:tab w:val="left" w:pos="4140"/>
        </w:tabs>
        <w:spacing w:after="468" w:line="480" w:lineRule="auto"/>
        <w:ind w:left="10"/>
        <w:jc w:val="both"/>
        <w:rPr>
          <w:rFonts w:ascii="Times New Roman" w:hAnsi="Times New Roman" w:cs="Times New Roman"/>
          <w:bCs/>
          <w:sz w:val="24"/>
          <w:szCs w:val="24"/>
        </w:rPr>
      </w:pPr>
    </w:p>
    <w:p w:rsidR="003713D0" w:rsidRPr="00406245" w:rsidRDefault="003713D0" w:rsidP="003713D0">
      <w:pPr>
        <w:tabs>
          <w:tab w:val="left" w:pos="4140"/>
        </w:tabs>
        <w:spacing w:after="468" w:line="480" w:lineRule="auto"/>
        <w:jc w:val="both"/>
        <w:rPr>
          <w:rFonts w:ascii="Times New Roman" w:hAnsi="Times New Roman" w:cs="Times New Roman"/>
          <w:bCs/>
          <w:sz w:val="24"/>
          <w:szCs w:val="24"/>
        </w:rPr>
      </w:pPr>
    </w:p>
    <w:p w:rsidR="003713D0" w:rsidRPr="00406245" w:rsidRDefault="003713D0" w:rsidP="003713D0">
      <w:pPr>
        <w:spacing w:line="480" w:lineRule="auto"/>
        <w:jc w:val="both"/>
        <w:rPr>
          <w:rFonts w:ascii="Times New Roman" w:hAnsi="Times New Roman" w:cs="Times New Roman"/>
          <w:bCs/>
          <w:sz w:val="24"/>
          <w:szCs w:val="24"/>
        </w:rPr>
      </w:pPr>
      <w:r w:rsidRPr="00406245">
        <w:rPr>
          <w:rFonts w:ascii="Times New Roman" w:hAnsi="Times New Roman" w:cs="Times New Roman"/>
          <w:bCs/>
          <w:sz w:val="24"/>
          <w:szCs w:val="24"/>
        </w:rPr>
        <w:br w:type="page"/>
      </w:r>
    </w:p>
    <w:p w:rsidR="003713D0" w:rsidRPr="007E7E37" w:rsidRDefault="003713D0" w:rsidP="003713D0">
      <w:pPr>
        <w:tabs>
          <w:tab w:val="left" w:pos="4140"/>
        </w:tabs>
        <w:spacing w:after="0" w:line="480" w:lineRule="auto"/>
        <w:ind w:left="10"/>
        <w:jc w:val="center"/>
        <w:rPr>
          <w:rFonts w:ascii="Times New Roman" w:hAnsi="Times New Roman" w:cs="Times New Roman"/>
          <w:b/>
          <w:sz w:val="24"/>
          <w:szCs w:val="24"/>
        </w:rPr>
      </w:pPr>
      <w:r w:rsidRPr="007E7E37">
        <w:rPr>
          <w:rFonts w:ascii="Times New Roman" w:hAnsi="Times New Roman" w:cs="Times New Roman"/>
          <w:b/>
          <w:sz w:val="24"/>
          <w:szCs w:val="24"/>
        </w:rPr>
        <w:lastRenderedPageBreak/>
        <w:t>ACKNOWLEDGMENT</w:t>
      </w:r>
    </w:p>
    <w:p w:rsidR="003713D0" w:rsidRDefault="003713D0" w:rsidP="003713D0">
      <w:pPr>
        <w:tabs>
          <w:tab w:val="left" w:pos="851"/>
        </w:tabs>
        <w:spacing w:after="0" w:line="480" w:lineRule="auto"/>
        <w:ind w:left="10"/>
        <w:jc w:val="both"/>
        <w:rPr>
          <w:rFonts w:ascii="Times New Roman" w:hAnsi="Times New Roman" w:cs="Times New Roman"/>
          <w:bCs/>
          <w:sz w:val="24"/>
          <w:szCs w:val="24"/>
        </w:rPr>
      </w:pPr>
      <w:r>
        <w:rPr>
          <w:rFonts w:ascii="Times New Roman" w:hAnsi="Times New Roman" w:cs="Times New Roman"/>
          <w:bCs/>
          <w:sz w:val="24"/>
          <w:szCs w:val="24"/>
        </w:rPr>
        <w:tab/>
      </w:r>
      <w:r w:rsidRPr="00406245">
        <w:rPr>
          <w:rFonts w:ascii="Times New Roman" w:hAnsi="Times New Roman" w:cs="Times New Roman"/>
          <w:bCs/>
          <w:sz w:val="24"/>
          <w:szCs w:val="24"/>
        </w:rPr>
        <w:t>I would like to express my deepest gratitude to all those who have contributed to the successful completion of this project</w:t>
      </w:r>
      <w:r>
        <w:rPr>
          <w:rFonts w:ascii="Times New Roman" w:hAnsi="Times New Roman" w:cs="Times New Roman"/>
          <w:bCs/>
          <w:sz w:val="24"/>
          <w:szCs w:val="24"/>
        </w:rPr>
        <w:t>.</w:t>
      </w:r>
    </w:p>
    <w:p w:rsidR="003713D0" w:rsidRDefault="003713D0" w:rsidP="003713D0">
      <w:pPr>
        <w:tabs>
          <w:tab w:val="left" w:pos="851"/>
        </w:tabs>
        <w:spacing w:after="0" w:line="480" w:lineRule="auto"/>
        <w:ind w:left="10"/>
        <w:jc w:val="both"/>
        <w:rPr>
          <w:rFonts w:ascii="Times New Roman" w:hAnsi="Times New Roman" w:cs="Times New Roman"/>
          <w:bCs/>
          <w:sz w:val="24"/>
          <w:szCs w:val="24"/>
        </w:rPr>
      </w:pPr>
      <w:r>
        <w:rPr>
          <w:rFonts w:ascii="Times New Roman" w:hAnsi="Times New Roman" w:cs="Times New Roman"/>
          <w:bCs/>
          <w:sz w:val="24"/>
          <w:szCs w:val="24"/>
        </w:rPr>
        <w:tab/>
      </w:r>
      <w:r w:rsidRPr="00406245">
        <w:rPr>
          <w:rFonts w:ascii="Times New Roman" w:hAnsi="Times New Roman" w:cs="Times New Roman"/>
          <w:bCs/>
          <w:sz w:val="24"/>
          <w:szCs w:val="24"/>
        </w:rPr>
        <w:t>Special thanks go to my supervisor, M</w:t>
      </w:r>
      <w:r>
        <w:rPr>
          <w:rFonts w:ascii="Times New Roman" w:hAnsi="Times New Roman" w:cs="Times New Roman"/>
          <w:bCs/>
          <w:sz w:val="24"/>
          <w:szCs w:val="24"/>
        </w:rPr>
        <w:t>rs. Elepo T.A</w:t>
      </w:r>
      <w:r w:rsidRPr="00406245">
        <w:rPr>
          <w:rFonts w:ascii="Times New Roman" w:hAnsi="Times New Roman" w:cs="Times New Roman"/>
          <w:bCs/>
          <w:sz w:val="24"/>
          <w:szCs w:val="24"/>
        </w:rPr>
        <w:t xml:space="preserve">, for </w:t>
      </w:r>
      <w:r>
        <w:rPr>
          <w:rFonts w:ascii="Times New Roman" w:hAnsi="Times New Roman" w:cs="Times New Roman"/>
          <w:bCs/>
          <w:sz w:val="24"/>
          <w:szCs w:val="24"/>
        </w:rPr>
        <w:t xml:space="preserve">his </w:t>
      </w:r>
      <w:r w:rsidRPr="00406245">
        <w:rPr>
          <w:rFonts w:ascii="Times New Roman" w:hAnsi="Times New Roman" w:cs="Times New Roman"/>
          <w:bCs/>
          <w:sz w:val="24"/>
          <w:szCs w:val="24"/>
        </w:rPr>
        <w:t>invaluable guidance, patience, and support</w:t>
      </w:r>
      <w:r>
        <w:rPr>
          <w:rFonts w:ascii="Times New Roman" w:hAnsi="Times New Roman" w:cs="Times New Roman"/>
          <w:bCs/>
          <w:sz w:val="24"/>
          <w:szCs w:val="24"/>
        </w:rPr>
        <w:t>, may Allah continue to bless you.</w:t>
      </w:r>
    </w:p>
    <w:p w:rsidR="003713D0" w:rsidRPr="00406245" w:rsidRDefault="003713D0" w:rsidP="003713D0">
      <w:pPr>
        <w:tabs>
          <w:tab w:val="left" w:pos="851"/>
        </w:tabs>
        <w:spacing w:after="0" w:line="480" w:lineRule="auto"/>
        <w:ind w:left="10"/>
        <w:jc w:val="both"/>
        <w:rPr>
          <w:rFonts w:ascii="Times New Roman" w:hAnsi="Times New Roman" w:cs="Times New Roman"/>
          <w:bCs/>
          <w:sz w:val="24"/>
          <w:szCs w:val="24"/>
        </w:rPr>
      </w:pPr>
      <w:r>
        <w:rPr>
          <w:rFonts w:ascii="Times New Roman" w:hAnsi="Times New Roman" w:cs="Times New Roman"/>
          <w:bCs/>
          <w:sz w:val="24"/>
          <w:szCs w:val="24"/>
        </w:rPr>
        <w:tab/>
        <w:t>I am grateful to the head of department (HOD) Mrs. Elepo</w:t>
      </w:r>
      <w:r w:rsidRPr="00406245">
        <w:rPr>
          <w:rFonts w:ascii="Times New Roman" w:hAnsi="Times New Roman" w:cs="Times New Roman"/>
          <w:bCs/>
          <w:sz w:val="24"/>
          <w:szCs w:val="24"/>
        </w:rPr>
        <w:t>. I am also grateful to my lecturers for their insightful advice and encouragement.</w:t>
      </w:r>
    </w:p>
    <w:p w:rsidR="003713D0" w:rsidRPr="00406245" w:rsidRDefault="003713D0" w:rsidP="003713D0">
      <w:pPr>
        <w:tabs>
          <w:tab w:val="left" w:pos="709"/>
        </w:tabs>
        <w:spacing w:after="0" w:line="480" w:lineRule="auto"/>
        <w:ind w:left="10"/>
        <w:jc w:val="both"/>
        <w:rPr>
          <w:rFonts w:ascii="Times New Roman" w:hAnsi="Times New Roman" w:cs="Times New Roman"/>
          <w:bCs/>
          <w:sz w:val="24"/>
          <w:szCs w:val="24"/>
        </w:rPr>
      </w:pPr>
      <w:r>
        <w:rPr>
          <w:rFonts w:ascii="Times New Roman" w:hAnsi="Times New Roman" w:cs="Times New Roman"/>
          <w:bCs/>
          <w:sz w:val="24"/>
          <w:szCs w:val="24"/>
        </w:rPr>
        <w:tab/>
      </w:r>
      <w:r w:rsidRPr="00406245">
        <w:rPr>
          <w:rFonts w:ascii="Times New Roman" w:hAnsi="Times New Roman" w:cs="Times New Roman"/>
          <w:bCs/>
          <w:sz w:val="24"/>
          <w:szCs w:val="24"/>
        </w:rPr>
        <w:t>I extend my appreciation to my family and friends for their continuous moral support and understanding during the course of this work. Finally, I acknowledge all individuals and institutions that provided resources and assistance that made this project possible.</w:t>
      </w:r>
    </w:p>
    <w:p w:rsidR="003713D0" w:rsidRPr="00406245" w:rsidRDefault="003713D0" w:rsidP="003713D0">
      <w:pPr>
        <w:tabs>
          <w:tab w:val="left" w:pos="4140"/>
        </w:tabs>
        <w:spacing w:after="0" w:line="480" w:lineRule="auto"/>
        <w:ind w:left="10"/>
        <w:jc w:val="both"/>
        <w:rPr>
          <w:rFonts w:ascii="Times New Roman" w:hAnsi="Times New Roman" w:cs="Times New Roman"/>
          <w:bCs/>
          <w:sz w:val="24"/>
          <w:szCs w:val="24"/>
        </w:rPr>
      </w:pPr>
    </w:p>
    <w:p w:rsidR="002C4027" w:rsidRDefault="002C4027">
      <w:pPr>
        <w:tabs>
          <w:tab w:val="left" w:pos="4140"/>
        </w:tabs>
        <w:spacing w:after="0" w:line="480" w:lineRule="auto"/>
        <w:ind w:left="10"/>
        <w:jc w:val="both"/>
        <w:rPr>
          <w:rFonts w:ascii="Times New Roman" w:hAnsi="Times New Roman" w:cs="Times New Roman"/>
          <w:bCs/>
          <w:sz w:val="24"/>
          <w:szCs w:val="24"/>
        </w:rPr>
      </w:pPr>
    </w:p>
    <w:p w:rsidR="002C4027" w:rsidRDefault="00D857CD">
      <w:pPr>
        <w:tabs>
          <w:tab w:val="left" w:pos="4140"/>
        </w:tabs>
        <w:spacing w:after="0" w:line="240" w:lineRule="auto"/>
        <w:jc w:val="center"/>
        <w:rPr>
          <w:rFonts w:ascii="Times New Roman" w:eastAsia="Times New Roman" w:hAnsi="Times New Roman" w:cs="Times New Roman"/>
          <w:sz w:val="24"/>
          <w:szCs w:val="24"/>
        </w:rPr>
      </w:pPr>
      <w:r>
        <w:rPr>
          <w:rFonts w:ascii="Times New Roman" w:hAnsi="Times New Roman" w:cs="Times New Roman"/>
          <w:bCs/>
          <w:sz w:val="24"/>
          <w:szCs w:val="24"/>
        </w:rPr>
        <w:br w:type="page"/>
      </w:r>
      <w:r>
        <w:rPr>
          <w:rFonts w:ascii="Times New Roman" w:eastAsia="Times New Roman" w:hAnsi="Times New Roman" w:cs="Times New Roman"/>
          <w:b/>
          <w:bCs/>
          <w:sz w:val="24"/>
          <w:szCs w:val="24"/>
        </w:rPr>
        <w:lastRenderedPageBreak/>
        <w:t>ABSTRACT</w:t>
      </w:r>
    </w:p>
    <w:p w:rsidR="002C4027" w:rsidRDefault="00D857CD" w:rsidP="00A22777">
      <w:pPr>
        <w:tabs>
          <w:tab w:val="left" w:pos="4140"/>
        </w:tabs>
        <w:spacing w:before="100" w:beforeAutospacing="1" w:after="100" w:afterAutospacing="1"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 xml:space="preserve">This </w:t>
      </w:r>
      <w:r>
        <w:rPr>
          <w:rFonts w:ascii="Times New Roman" w:eastAsia="SimSun" w:hAnsi="Times New Roman" w:cs="Times New Roman"/>
          <w:i/>
          <w:iCs/>
          <w:sz w:val="24"/>
          <w:szCs w:val="24"/>
        </w:rPr>
        <w:t>study examined the inflationary trend of staple food prices in Ilorin, Kwara State, using the Mandate Market as a case study between 2024 and 2025. Six essential food items—rice, beans, garri, semovita, noodles, and spaghetti—were selected based on their s</w:t>
      </w:r>
      <w:r>
        <w:rPr>
          <w:rFonts w:ascii="Times New Roman" w:eastAsia="SimSun" w:hAnsi="Times New Roman" w:cs="Times New Roman"/>
          <w:i/>
          <w:iCs/>
          <w:sz w:val="24"/>
          <w:szCs w:val="24"/>
        </w:rPr>
        <w:t>ignificance in the Nigerian diet. Price data for the base year (2024) and the current year (2025) were collected and analyzed using the Laspeyres, Paasche, and Fisher Ideal Price Indices. The results revealed that all selected items experienced significant</w:t>
      </w:r>
      <w:r>
        <w:rPr>
          <w:rFonts w:ascii="Times New Roman" w:eastAsia="SimSun" w:hAnsi="Times New Roman" w:cs="Times New Roman"/>
          <w:i/>
          <w:iCs/>
          <w:sz w:val="24"/>
          <w:szCs w:val="24"/>
        </w:rPr>
        <w:t xml:space="preserve"> price increases, ranging from 28.57% to 50%, with an average increase of 36.69%. The Laspeyres and Paasche indices both indicated a 36.69% increase due to the assumption of constant quantities, while the Fisher Ideal Index confirmed this trend. These find</w:t>
      </w:r>
      <w:r>
        <w:rPr>
          <w:rFonts w:ascii="Times New Roman" w:eastAsia="SimSun" w:hAnsi="Times New Roman" w:cs="Times New Roman"/>
          <w:i/>
          <w:iCs/>
          <w:sz w:val="24"/>
          <w:szCs w:val="24"/>
        </w:rPr>
        <w:t>ings suggested strong inflationary pressure driven by factors such as the removal of fuel subsidies, naira devaluation, insecurity in farming areas, and inefficiencies in the food supply chain. The study concluded that the rising cost of food had significa</w:t>
      </w:r>
      <w:r>
        <w:rPr>
          <w:rFonts w:ascii="Times New Roman" w:eastAsia="SimSun" w:hAnsi="Times New Roman" w:cs="Times New Roman"/>
          <w:i/>
          <w:iCs/>
          <w:sz w:val="24"/>
          <w:szCs w:val="24"/>
        </w:rPr>
        <w:t>ntly affected consumer purchasing power and food security, particularly among low-income households. It recommended enhanced agricultural infrastructure, improved market logistics, localized price monitoring, targeted social support, and promotion of local</w:t>
      </w:r>
      <w:r>
        <w:rPr>
          <w:rFonts w:ascii="Times New Roman" w:eastAsia="SimSun" w:hAnsi="Times New Roman" w:cs="Times New Roman"/>
          <w:i/>
          <w:iCs/>
          <w:sz w:val="24"/>
          <w:szCs w:val="24"/>
        </w:rPr>
        <w:t xml:space="preserve"> food alternatives to address the challenges.</w:t>
      </w:r>
    </w:p>
    <w:p w:rsidR="002C4027" w:rsidRDefault="00D857CD" w:rsidP="00A22777">
      <w:pPr>
        <w:tabs>
          <w:tab w:val="left" w:pos="4140"/>
        </w:tabs>
        <w:spacing w:before="100" w:beforeAutospacing="1" w:after="100" w:afterAutospacing="1"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Keywords</w:t>
      </w:r>
      <w:r>
        <w:rPr>
          <w:rFonts w:ascii="Times New Roman" w:eastAsia="Times New Roman" w:hAnsi="Times New Roman" w:cs="Times New Roman"/>
          <w:i/>
          <w:iCs/>
          <w:sz w:val="24"/>
          <w:szCs w:val="24"/>
        </w:rPr>
        <w:t>: market, demands, supply, price and commodities</w:t>
      </w:r>
    </w:p>
    <w:p w:rsidR="002C4027" w:rsidRDefault="00D857CD">
      <w:pPr>
        <w:jc w:val="both"/>
        <w:rPr>
          <w:rFonts w:ascii="Times New Roman" w:eastAsia="Times New Roman" w:hAnsi="Times New Roman" w:cs="Times New Roman"/>
          <w:b/>
          <w:bCs/>
        </w:rPr>
      </w:pPr>
      <w:r>
        <w:rPr>
          <w:rFonts w:ascii="Times New Roman" w:eastAsia="Times New Roman" w:hAnsi="Times New Roman" w:cs="Times New Roman"/>
          <w:b/>
          <w:bCs/>
        </w:rPr>
        <w:br w:type="page"/>
      </w:r>
    </w:p>
    <w:p w:rsidR="002C4027" w:rsidRDefault="00D857CD">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2C4027" w:rsidRDefault="00D857C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2C4027" w:rsidRDefault="00D857C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2C4027" w:rsidRDefault="00D857C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2C4027" w:rsidRDefault="00D857C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2C4027" w:rsidRDefault="00D857C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2C4027" w:rsidRDefault="00D857CD">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Aims and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Limitat</w:t>
      </w:r>
      <w:r>
        <w:rPr>
          <w:rFonts w:ascii="Times New Roman" w:hAnsi="Times New Roman" w:cs="Times New Roman"/>
          <w:sz w:val="24"/>
          <w:szCs w:val="24"/>
        </w:rPr>
        <w: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2C4027" w:rsidRDefault="00D857CD">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 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2.3.2 </w:t>
      </w:r>
      <w:r>
        <w:rPr>
          <w:rFonts w:ascii="Times New Roman" w:hAnsi="Times New Roman" w:cs="Times New Roman"/>
          <w:sz w:val="24"/>
          <w:szCs w:val="24"/>
        </w:rPr>
        <w:tab/>
        <w:t>Cost-Push and Demand-Pull Inflation Theories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2.3.3 </w:t>
      </w:r>
      <w:r>
        <w:rPr>
          <w:rFonts w:ascii="Times New Roman" w:hAnsi="Times New Roman" w:cs="Times New Roman"/>
          <w:sz w:val="24"/>
          <w:szCs w:val="24"/>
        </w:rPr>
        <w:tab/>
      </w:r>
      <w:r>
        <w:rPr>
          <w:rFonts w:ascii="Times New Roman" w:hAnsi="Times New Roman" w:cs="Times New Roman"/>
          <w:sz w:val="24"/>
          <w:szCs w:val="24"/>
        </w:rPr>
        <w:t>Quantity Theory of Money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2.3.4</w:t>
      </w:r>
      <w:r>
        <w:rPr>
          <w:rFonts w:ascii="Times New Roman" w:hAnsi="Times New Roman" w:cs="Times New Roman"/>
          <w:sz w:val="24"/>
          <w:szCs w:val="24"/>
        </w:rPr>
        <w:tab/>
        <w:t xml:space="preserve"> Engel’s Law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2.3.5</w:t>
      </w:r>
      <w:r>
        <w:rPr>
          <w:rFonts w:ascii="Times New Roman" w:hAnsi="Times New Roman" w:cs="Times New Roman"/>
          <w:sz w:val="24"/>
          <w:szCs w:val="24"/>
        </w:rPr>
        <w:tab/>
        <w:t xml:space="preserve"> Rational Expectations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2.3.6</w:t>
      </w:r>
      <w:r>
        <w:rPr>
          <w:rFonts w:ascii="Times New Roman" w:hAnsi="Times New Roman" w:cs="Times New Roman"/>
          <w:sz w:val="24"/>
          <w:szCs w:val="24"/>
        </w:rPr>
        <w:tab/>
        <w:t xml:space="preserve"> Behavioral Economics and Price Rigidity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2.3.7</w:t>
      </w:r>
      <w:r>
        <w:rPr>
          <w:rFonts w:ascii="Times New Roman" w:hAnsi="Times New Roman" w:cs="Times New Roman"/>
          <w:sz w:val="24"/>
          <w:szCs w:val="24"/>
        </w:rPr>
        <w:tab/>
        <w:t xml:space="preserve"> Market Imperfections and Monopolistic Practices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2.3.8</w:t>
      </w:r>
      <w:r>
        <w:rPr>
          <w:rFonts w:ascii="Times New Roman" w:hAnsi="Times New Roman" w:cs="Times New Roman"/>
          <w:sz w:val="24"/>
          <w:szCs w:val="24"/>
        </w:rPr>
        <w:tab/>
        <w:t>Structuralist Theory of Inf</w:t>
      </w:r>
      <w:r>
        <w:rPr>
          <w:rFonts w:ascii="Times New Roman" w:hAnsi="Times New Roman" w:cs="Times New Roman"/>
          <w:sz w:val="24"/>
          <w:szCs w:val="24"/>
        </w:rPr>
        <w:t>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 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2C4027" w:rsidRDefault="002C4027">
      <w:pPr>
        <w:pStyle w:val="NoSpacing"/>
        <w:spacing w:line="360" w:lineRule="auto"/>
        <w:rPr>
          <w:rFonts w:ascii="Times New Roman" w:hAnsi="Times New Roman" w:cs="Times New Roman"/>
          <w:b/>
          <w:sz w:val="24"/>
          <w:szCs w:val="24"/>
        </w:rPr>
      </w:pPr>
    </w:p>
    <w:p w:rsidR="002C4027" w:rsidRDefault="00D857CD">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CHAPTER THREE: RESEARCH METHODOLOGY</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C4027" w:rsidRDefault="00D857CD">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CHAPTER FOUR: DATA INTERPRETATION</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Price Data Collected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 La</w:t>
      </w:r>
      <w:r>
        <w:rPr>
          <w:rFonts w:ascii="Times New Roman" w:hAnsi="Times New Roman" w:cs="Times New Roman"/>
          <w:sz w:val="24"/>
          <w:szCs w:val="24"/>
        </w:rPr>
        <w:t>speyres Price Index (LPI)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Paasche Price Index (PPI)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Fisher Ideal Price Index (FPI)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4.6 </w:t>
      </w:r>
      <w:r>
        <w:rPr>
          <w:rFonts w:ascii="Times New Roman" w:hAnsi="Times New Roman" w:cs="Times New Roman"/>
          <w:sz w:val="24"/>
          <w:szCs w:val="24"/>
        </w:rPr>
        <w:tab/>
        <w:t>Discussion of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4.7 </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2C4027" w:rsidRDefault="00D857CD">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RECOMMENDATIONS</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ab/>
        <w:t>Summary of Findin</w:t>
      </w:r>
      <w:r>
        <w:rPr>
          <w:rFonts w:ascii="Times New Roman" w:hAnsi="Times New Roman" w:cs="Times New Roman"/>
          <w:sz w:val="24"/>
          <w:szCs w:val="24"/>
        </w:rPr>
        <w:t>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2C4027" w:rsidRDefault="00D857C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2C4027" w:rsidRDefault="002C4027">
      <w:pPr>
        <w:spacing w:after="0" w:line="480" w:lineRule="auto"/>
        <w:jc w:val="center"/>
        <w:rPr>
          <w:rFonts w:ascii="Times New Roman" w:hAnsi="Times New Roman" w:cs="Times New Roman"/>
          <w:b/>
          <w:bCs/>
          <w:sz w:val="24"/>
          <w:szCs w:val="24"/>
        </w:rPr>
        <w:sectPr w:rsidR="002C4027">
          <w:footerReference w:type="default" r:id="rId8"/>
          <w:pgSz w:w="11952" w:h="14688"/>
          <w:pgMar w:top="1440" w:right="1800" w:bottom="1440" w:left="1800" w:header="720" w:footer="720" w:gutter="0"/>
          <w:pgNumType w:fmt="lowerRoman" w:start="1"/>
          <w:cols w:space="720"/>
          <w:docGrid w:linePitch="360"/>
        </w:sectPr>
      </w:pPr>
    </w:p>
    <w:p w:rsidR="002C4027" w:rsidRDefault="00D857C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2C4027" w:rsidRDefault="00D857C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2C4027" w:rsidRDefault="00D857CD">
      <w:pPr>
        <w:pStyle w:val="ListParagraph"/>
        <w:numPr>
          <w:ilvl w:val="1"/>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Background to the </w:t>
      </w:r>
      <w:r>
        <w:rPr>
          <w:rFonts w:ascii="Times New Roman" w:hAnsi="Times New Roman" w:cs="Times New Roman"/>
          <w:b/>
          <w:sz w:val="24"/>
          <w:szCs w:val="24"/>
        </w:rPr>
        <w:t>Study</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developing economies such as Nigeria, the stability of food prices remains a critical determinant of public welfare and socio-economic balance. Food, being a necessity, directly impacts all households, particularly low-income earners who spend a d</w:t>
      </w:r>
      <w:r>
        <w:rPr>
          <w:rFonts w:ascii="Times New Roman" w:hAnsi="Times New Roman" w:cs="Times New Roman"/>
          <w:sz w:val="24"/>
          <w:szCs w:val="24"/>
        </w:rPr>
        <w:t>isproportionately large percentage of their income on feeding. In Nigeria, it is estimated that over 60% of household expenditures are directed towards food consumption. Consequently, even slight fluctuations in the prices of basic food commodities can lea</w:t>
      </w:r>
      <w:r>
        <w:rPr>
          <w:rFonts w:ascii="Times New Roman" w:hAnsi="Times New Roman" w:cs="Times New Roman"/>
          <w:sz w:val="24"/>
          <w:szCs w:val="24"/>
        </w:rPr>
        <w:t>d to significant changes in household welfare, food security, and nutritional status.</w:t>
      </w:r>
    </w:p>
    <w:p w:rsidR="002C4027" w:rsidRDefault="00D857CD">
      <w:pPr>
        <w:tabs>
          <w:tab w:val="left" w:pos="9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Price volatility in staple food commodities—such as rice, beans, garri, semovita, noodles, and spaghetti—is of increasing concern in recent times due to macroeconomic and</w:t>
      </w:r>
      <w:r>
        <w:rPr>
          <w:rFonts w:ascii="Times New Roman" w:hAnsi="Times New Roman" w:cs="Times New Roman"/>
          <w:sz w:val="24"/>
          <w:szCs w:val="24"/>
        </w:rPr>
        <w:t xml:space="preserve"> structural disruptions. Some of the major causes of food price volatility in Nigeria include currency devaluation, fuel subsidy removal, insecurity in food-producing regions, climate change, poor transportation infrastructure, and inadequate storage facil</w:t>
      </w:r>
      <w:r>
        <w:rPr>
          <w:rFonts w:ascii="Times New Roman" w:hAnsi="Times New Roman" w:cs="Times New Roman"/>
          <w:sz w:val="24"/>
          <w:szCs w:val="24"/>
        </w:rPr>
        <w:t>ities. These factors often result in increased cost of food production, transportation, and distribution, eventually driving up retail prices.</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Mandate Market in Ilorin, Kwara State, is one of the major marketplaces in North Central Nigeria, with a high</w:t>
      </w:r>
      <w:r>
        <w:rPr>
          <w:rFonts w:ascii="Times New Roman" w:hAnsi="Times New Roman" w:cs="Times New Roman"/>
          <w:sz w:val="24"/>
          <w:szCs w:val="24"/>
        </w:rPr>
        <w:t xml:space="preserve"> volume of food transactions occurring daily.A wholesale and retail outlet within the market, provides a suitable case study for analyzing food </w:t>
      </w:r>
      <w:r>
        <w:rPr>
          <w:rFonts w:ascii="Times New Roman" w:hAnsi="Times New Roman" w:cs="Times New Roman"/>
          <w:sz w:val="24"/>
          <w:szCs w:val="24"/>
        </w:rPr>
        <w:lastRenderedPageBreak/>
        <w:t xml:space="preserve">price behavior. It serves as a reflection of broader pricing trends due to its volume of sales and diversity of </w:t>
      </w:r>
      <w:r>
        <w:rPr>
          <w:rFonts w:ascii="Times New Roman" w:hAnsi="Times New Roman" w:cs="Times New Roman"/>
          <w:sz w:val="24"/>
          <w:szCs w:val="24"/>
        </w:rPr>
        <w:t>food items sold.</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Price indices such as the Laspeyres, Paasche, and Fisher indices are useful tools in understanding price movements over time. These indices allow researchers and policymakers to determine the extent of inflation or deflation experienced by</w:t>
      </w:r>
      <w:r>
        <w:rPr>
          <w:rFonts w:ascii="Times New Roman" w:hAnsi="Times New Roman" w:cs="Times New Roman"/>
          <w:sz w:val="24"/>
          <w:szCs w:val="24"/>
        </w:rPr>
        <w:t xml:space="preserve"> consumers. While the Laspeyres Index uses base-year quantities and tends to overestimate inflation, the Paasche Index uses current-year quantities and may underestimate inflation. The Fisher Index, being a geometric mean of the two, is considered the most</w:t>
      </w:r>
      <w:r>
        <w:rPr>
          <w:rFonts w:ascii="Times New Roman" w:hAnsi="Times New Roman" w:cs="Times New Roman"/>
          <w:sz w:val="24"/>
          <w:szCs w:val="24"/>
        </w:rPr>
        <w:t xml:space="preserve"> accurate or “ideal” index.</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By applying these statistical tools, this study seeks to evaluate changes in the prices of selected food items sold at  between the years 2024 and 2025, determine the level of inflation or deflation experienced, and interpret th</w:t>
      </w:r>
      <w:r>
        <w:rPr>
          <w:rFonts w:ascii="Times New Roman" w:hAnsi="Times New Roman" w:cs="Times New Roman"/>
          <w:sz w:val="24"/>
          <w:szCs w:val="24"/>
        </w:rPr>
        <w:t>e implications of these changes for policy and household welfare.</w:t>
      </w:r>
    </w:p>
    <w:p w:rsidR="002C4027" w:rsidRDefault="00D857CD">
      <w:pPr>
        <w:pStyle w:val="ListParagraph"/>
        <w:numPr>
          <w:ilvl w:val="1"/>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Over the past few years, Nigerians have faced persistent challenges regarding food affordability and accessibility. Despite various policy measures—including agricul</w:t>
      </w:r>
      <w:r>
        <w:rPr>
          <w:rFonts w:ascii="Times New Roman" w:hAnsi="Times New Roman" w:cs="Times New Roman"/>
          <w:sz w:val="24"/>
          <w:szCs w:val="24"/>
        </w:rPr>
        <w:t>tural interventions, border closures to promote local production, and subsidy programs—prices of basic food items continue to rise. In 2024, the removal of fuel subsidies and depreciation of the naira exacerbated inflationary pressures on the economy, with</w:t>
      </w:r>
      <w:r>
        <w:rPr>
          <w:rFonts w:ascii="Times New Roman" w:hAnsi="Times New Roman" w:cs="Times New Roman"/>
          <w:sz w:val="24"/>
          <w:szCs w:val="24"/>
        </w:rPr>
        <w:t xml:space="preserve"> the food sector bearing a significant portion of the impact.</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volatility of food prices has created unpredictability in household budgeting, business planning, and government intervention strategies. In urban markets such as Mandate in Ilorin, traders </w:t>
      </w:r>
      <w:r>
        <w:rPr>
          <w:rFonts w:ascii="Times New Roman" w:hAnsi="Times New Roman" w:cs="Times New Roman"/>
          <w:sz w:val="24"/>
          <w:szCs w:val="24"/>
        </w:rPr>
        <w:t>and consumers alike have raised concerns over the sharp, unregulated price hikes experienced in staple goods. However, these changes have rarely been subjected to thorough empirical examination using standard price index methodologies.</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Many existing report</w:t>
      </w:r>
      <w:r>
        <w:rPr>
          <w:rFonts w:ascii="Times New Roman" w:hAnsi="Times New Roman" w:cs="Times New Roman"/>
          <w:sz w:val="24"/>
          <w:szCs w:val="24"/>
        </w:rPr>
        <w:t>s on food inflation rely on anecdotal evidence or national averages, which do not account for regional disparities in pricing and consumption. There is a lack of localized, data-driven studies that reflect the real experiences of traders and consumers in r</w:t>
      </w:r>
      <w:r>
        <w:rPr>
          <w:rFonts w:ascii="Times New Roman" w:hAnsi="Times New Roman" w:cs="Times New Roman"/>
          <w:sz w:val="24"/>
          <w:szCs w:val="24"/>
        </w:rPr>
        <w:t>egional markets.</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research, therefore, aims to bridge this gap by systematically analyzing the price data of selected food commodities sold at Mandate Market, between 2024 and 2025. Through this approach, the study provides a more nuanced understanding</w:t>
      </w:r>
      <w:r>
        <w:rPr>
          <w:rFonts w:ascii="Times New Roman" w:hAnsi="Times New Roman" w:cs="Times New Roman"/>
          <w:sz w:val="24"/>
          <w:szCs w:val="24"/>
        </w:rPr>
        <w:t xml:space="preserve"> of inflationary trends at the grassroots level and offers insights that can be applied in future policymaking.</w:t>
      </w:r>
    </w:p>
    <w:p w:rsidR="002C4027" w:rsidRDefault="00D857CD">
      <w:pPr>
        <w:pStyle w:val="ListParagraph"/>
        <w:numPr>
          <w:ilvl w:val="1"/>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Aims and Objectives of the Study</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aim of this study is to analyze the changes in the prices of selected food items of price movement in Manda</w:t>
      </w:r>
      <w:r>
        <w:rPr>
          <w:rFonts w:ascii="Times New Roman" w:hAnsi="Times New Roman" w:cs="Times New Roman"/>
          <w:sz w:val="24"/>
          <w:szCs w:val="24"/>
        </w:rPr>
        <w:t>te Market, Ilorin.</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objectives of the study are as follows:</w:t>
      </w:r>
    </w:p>
    <w:p w:rsidR="002C4027" w:rsidRDefault="00D857CD">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show the descriptive statistics</w:t>
      </w:r>
    </w:p>
    <w:p w:rsidR="002C4027" w:rsidRDefault="00D857CD">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To compare the prices of the commodities using Laspeyres, Paasche, and Fisher price indices</w:t>
      </w:r>
    </w:p>
    <w:p w:rsidR="002C4027" w:rsidRDefault="00D857CD">
      <w:pPr>
        <w:pStyle w:val="ListParagraph"/>
        <w:numPr>
          <w:ilvl w:val="1"/>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will attempt to answer the following </w:t>
      </w:r>
      <w:r>
        <w:rPr>
          <w:rFonts w:ascii="Times New Roman" w:hAnsi="Times New Roman" w:cs="Times New Roman"/>
          <w:sz w:val="24"/>
          <w:szCs w:val="24"/>
        </w:rPr>
        <w:t>questions:</w:t>
      </w:r>
    </w:p>
    <w:p w:rsidR="002C4027" w:rsidRDefault="00D857CD">
      <w:pPr>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prices of rice, beans, garri, semovita, noodles, and spaghetti in 2024 and 2025?</w:t>
      </w:r>
    </w:p>
    <w:p w:rsidR="002C4027" w:rsidRDefault="00D857CD">
      <w:pPr>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do the Laspeyres, Paasche, and Fisher indices reveal about the inflationary or deflationary trends?</w:t>
      </w:r>
    </w:p>
    <w:p w:rsidR="002C4027" w:rsidRDefault="00D857CD">
      <w:pPr>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Which commodities experienced the greatest per</w:t>
      </w:r>
      <w:r>
        <w:rPr>
          <w:rFonts w:ascii="Times New Roman" w:hAnsi="Times New Roman" w:cs="Times New Roman"/>
          <w:sz w:val="24"/>
          <w:szCs w:val="24"/>
        </w:rPr>
        <w:t>centage increase or decrease in price?</w:t>
      </w:r>
    </w:p>
    <w:p w:rsidR="002C4027" w:rsidRDefault="00D857CD">
      <w:pPr>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likely impact of these price changes on consumer behavior and household expenditure?</w:t>
      </w:r>
    </w:p>
    <w:p w:rsidR="002C4027" w:rsidRDefault="00D857CD">
      <w:pPr>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interventions can help to stabilize food prices in Ilorin and beyond?</w:t>
      </w:r>
    </w:p>
    <w:p w:rsidR="002C4027" w:rsidRDefault="00D857CD">
      <w:pPr>
        <w:pStyle w:val="ListParagraph"/>
        <w:numPr>
          <w:ilvl w:val="1"/>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Significance of the Study</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is </w:t>
      </w:r>
      <w:r>
        <w:rPr>
          <w:rFonts w:ascii="Times New Roman" w:hAnsi="Times New Roman" w:cs="Times New Roman"/>
          <w:sz w:val="24"/>
          <w:szCs w:val="24"/>
        </w:rPr>
        <w:t>significant for a number of stakeholders:</w:t>
      </w:r>
    </w:p>
    <w:p w:rsidR="002C4027" w:rsidRDefault="00D857CD">
      <w:pPr>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Policy Makers: The findings will assist local and national authorities in evaluating the effectiveness of current agricultural and market policies. Accurate inflation measurement will enable more targeted subsidy p</w:t>
      </w:r>
      <w:r>
        <w:rPr>
          <w:rFonts w:ascii="Times New Roman" w:hAnsi="Times New Roman" w:cs="Times New Roman"/>
          <w:sz w:val="24"/>
          <w:szCs w:val="24"/>
        </w:rPr>
        <w:t>rograms and food interventions.</w:t>
      </w:r>
    </w:p>
    <w:p w:rsidR="002C4027" w:rsidRDefault="00D857CD">
      <w:pPr>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Traders and Market Operators: A better understanding of price movements helps traders to anticipate demand and plan stocking more effectively.</w:t>
      </w:r>
    </w:p>
    <w:p w:rsidR="002C4027" w:rsidRDefault="00D857CD">
      <w:pPr>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Consumers: The results provide insights into trends in food affordability, empowe</w:t>
      </w:r>
      <w:r>
        <w:rPr>
          <w:rFonts w:ascii="Times New Roman" w:hAnsi="Times New Roman" w:cs="Times New Roman"/>
          <w:sz w:val="24"/>
          <w:szCs w:val="24"/>
        </w:rPr>
        <w:t>ring households to make informed consumption choices.</w:t>
      </w:r>
    </w:p>
    <w:p w:rsidR="002C4027" w:rsidRDefault="00D857CD">
      <w:pPr>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Academics and Researchers: The study contributes to literature on food economics and price index analysis in developing countries, particularly Nigeria.</w:t>
      </w:r>
    </w:p>
    <w:p w:rsidR="002C4027" w:rsidRDefault="00D857CD">
      <w:pPr>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Development Partners: NGOs and international agen</w:t>
      </w:r>
      <w:r>
        <w:rPr>
          <w:rFonts w:ascii="Times New Roman" w:hAnsi="Times New Roman" w:cs="Times New Roman"/>
          <w:sz w:val="24"/>
          <w:szCs w:val="24"/>
        </w:rPr>
        <w:t>cies working on food security and poverty alleviation can use the findings to tailor their programs more effectively.</w:t>
      </w:r>
    </w:p>
    <w:p w:rsidR="002C4027" w:rsidRDefault="00D857CD">
      <w:pPr>
        <w:pStyle w:val="ListParagraph"/>
        <w:numPr>
          <w:ilvl w:val="1"/>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Scope of the Study</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is geographically limited to the Mandate Market in Ilorin, Kwara State. The study specifically focuses on </w:t>
      </w:r>
      <w:r>
        <w:rPr>
          <w:rFonts w:ascii="Times New Roman" w:hAnsi="Times New Roman" w:cs="Times New Roman"/>
          <w:sz w:val="24"/>
          <w:szCs w:val="24"/>
        </w:rPr>
        <w:t>a food retailer known for its wide range of staple products. The analysis covers six food items: rice (50kg), beans (50kg), garri (50kg), semovita (10kg), noodles (1 carton), and spaghetti (500g).</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temporal scope of the study spans two years—2024 as the</w:t>
      </w:r>
      <w:r>
        <w:rPr>
          <w:rFonts w:ascii="Times New Roman" w:hAnsi="Times New Roman" w:cs="Times New Roman"/>
          <w:sz w:val="24"/>
          <w:szCs w:val="24"/>
        </w:rPr>
        <w:t xml:space="preserve"> base year and 2025 as the current year. For ease of computation, the study assumes constant quantities (Q = 1) for all items, which allows for simplified calculation of price indices. The study does not explore consumer demand, supply chain logistics, or </w:t>
      </w:r>
      <w:r>
        <w:rPr>
          <w:rFonts w:ascii="Times New Roman" w:hAnsi="Times New Roman" w:cs="Times New Roman"/>
          <w:sz w:val="24"/>
          <w:szCs w:val="24"/>
        </w:rPr>
        <w:t>seasonal variability, although these are acknowledged as factors that influence pricing.</w:t>
      </w:r>
    </w:p>
    <w:p w:rsidR="002C4027" w:rsidRDefault="002C4027">
      <w:pPr>
        <w:spacing w:after="0" w:line="480" w:lineRule="auto"/>
        <w:jc w:val="both"/>
        <w:rPr>
          <w:rFonts w:ascii="Times New Roman" w:hAnsi="Times New Roman" w:cs="Times New Roman"/>
          <w:sz w:val="24"/>
          <w:szCs w:val="24"/>
        </w:rPr>
      </w:pPr>
    </w:p>
    <w:p w:rsidR="002C4027" w:rsidRDefault="002C4027">
      <w:pPr>
        <w:spacing w:after="0" w:line="480" w:lineRule="auto"/>
        <w:jc w:val="both"/>
        <w:rPr>
          <w:rFonts w:ascii="Times New Roman" w:hAnsi="Times New Roman" w:cs="Times New Roman"/>
          <w:sz w:val="24"/>
          <w:szCs w:val="24"/>
        </w:rPr>
      </w:pPr>
    </w:p>
    <w:p w:rsidR="002C4027" w:rsidRDefault="002C4027">
      <w:pPr>
        <w:spacing w:after="0" w:line="480" w:lineRule="auto"/>
        <w:jc w:val="both"/>
        <w:rPr>
          <w:rFonts w:ascii="Times New Roman" w:hAnsi="Times New Roman" w:cs="Times New Roman"/>
          <w:sz w:val="24"/>
          <w:szCs w:val="24"/>
        </w:rPr>
      </w:pPr>
    </w:p>
    <w:p w:rsidR="002C4027" w:rsidRDefault="00D857CD">
      <w:pPr>
        <w:pStyle w:val="ListParagraph"/>
        <w:numPr>
          <w:ilvl w:val="1"/>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Limitations of the Study</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While this study offers valuable insights, it is subject to certain limitations:</w:t>
      </w:r>
    </w:p>
    <w:p w:rsidR="002C4027" w:rsidRDefault="00D857CD">
      <w:pPr>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collection was restricted to a single retail outlet </w:t>
      </w:r>
      <w:r>
        <w:rPr>
          <w:rFonts w:ascii="Times New Roman" w:hAnsi="Times New Roman" w:cs="Times New Roman"/>
          <w:sz w:val="24"/>
          <w:szCs w:val="24"/>
        </w:rPr>
        <w:t>and may not fully capture price variations across the broader market.</w:t>
      </w:r>
    </w:p>
    <w:p w:rsidR="002C4027" w:rsidRDefault="00D857CD">
      <w:pPr>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assumption of constant quantity (Q = 1) simplifies the analysis but may not reflect actual market consumption behaviors.</w:t>
      </w:r>
    </w:p>
    <w:p w:rsidR="002C4027" w:rsidRDefault="00D857CD">
      <w:pPr>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Price fluctuations due to promotions, seasonal discounts, or </w:t>
      </w:r>
      <w:r>
        <w:rPr>
          <w:rFonts w:ascii="Times New Roman" w:hAnsi="Times New Roman" w:cs="Times New Roman"/>
          <w:sz w:val="24"/>
          <w:szCs w:val="24"/>
        </w:rPr>
        <w:t>bulk purchase incentives are not considered.</w:t>
      </w:r>
    </w:p>
    <w:p w:rsidR="002C4027" w:rsidRDefault="00D857CD">
      <w:pPr>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Other influencing factors such as transportation costs, weather conditions, and foreign exchange rates are beyond the scope of this research.</w:t>
      </w:r>
    </w:p>
    <w:p w:rsidR="002C4027" w:rsidRDefault="00D857CD">
      <w:pPr>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focuses only on staple foods and does not consider protein </w:t>
      </w:r>
      <w:r>
        <w:rPr>
          <w:rFonts w:ascii="Times New Roman" w:hAnsi="Times New Roman" w:cs="Times New Roman"/>
          <w:sz w:val="24"/>
          <w:szCs w:val="24"/>
        </w:rPr>
        <w:t>sources or fresh produce, which are also essential components of a balanced diet.</w:t>
      </w:r>
    </w:p>
    <w:p w:rsidR="002C4027" w:rsidRDefault="00D857CD">
      <w:pPr>
        <w:pStyle w:val="ListParagraph"/>
        <w:numPr>
          <w:ilvl w:val="1"/>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Definition of Terms</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ensure clarity and consistency, key terms used in this study are defined below:</w:t>
      </w:r>
    </w:p>
    <w:p w:rsidR="002C4027" w:rsidRDefault="00D857CD">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Price Index: A statistical measure representing the relative change in </w:t>
      </w:r>
      <w:r>
        <w:rPr>
          <w:rFonts w:ascii="Times New Roman" w:hAnsi="Times New Roman" w:cs="Times New Roman"/>
          <w:sz w:val="24"/>
          <w:szCs w:val="24"/>
        </w:rPr>
        <w:t>prices over time for a specific set of goods and services.</w:t>
      </w:r>
    </w:p>
    <w:p w:rsidR="002C4027" w:rsidRDefault="00D857CD">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Laspeyres Index: A price index that uses the quantities of goods in the base year as weights.</w:t>
      </w:r>
    </w:p>
    <w:p w:rsidR="002C4027" w:rsidRDefault="00D857CD">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Paasche Index: A price index that uses the quantities of goods in the current year as weights.</w:t>
      </w:r>
    </w:p>
    <w:p w:rsidR="002C4027" w:rsidRDefault="00D857CD">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Fisher I</w:t>
      </w:r>
      <w:r>
        <w:rPr>
          <w:rFonts w:ascii="Times New Roman" w:hAnsi="Times New Roman" w:cs="Times New Roman"/>
          <w:sz w:val="24"/>
          <w:szCs w:val="24"/>
        </w:rPr>
        <w:t>ndex: A price index obtained by taking the geometric mean of the Laspeyres and Paasche indices.</w:t>
      </w:r>
    </w:p>
    <w:p w:rsidR="002C4027" w:rsidRDefault="00D857CD">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Consumer Price Index (CPI): An index that measures the average change over time in the prices paid by consumers for a basket of goods and services.</w:t>
      </w:r>
    </w:p>
    <w:p w:rsidR="002C4027" w:rsidRDefault="00D857CD">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Inflation: T</w:t>
      </w:r>
      <w:r>
        <w:rPr>
          <w:rFonts w:ascii="Times New Roman" w:hAnsi="Times New Roman" w:cs="Times New Roman"/>
          <w:sz w:val="24"/>
          <w:szCs w:val="24"/>
        </w:rPr>
        <w:t>he rate at which the general level of prices for goods and services is rising, leading to a decline in purchasing power.</w:t>
      </w:r>
    </w:p>
    <w:p w:rsidR="002C4027" w:rsidRDefault="00D857CD">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Deflation: A decrease in the general price level of goods and services, increasing the value of money.</w:t>
      </w:r>
    </w:p>
    <w:p w:rsidR="002C4027" w:rsidRDefault="00D857CD">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Base Year: The year used as a re</w:t>
      </w:r>
      <w:r>
        <w:rPr>
          <w:rFonts w:ascii="Times New Roman" w:hAnsi="Times New Roman" w:cs="Times New Roman"/>
          <w:sz w:val="24"/>
          <w:szCs w:val="24"/>
        </w:rPr>
        <w:t>ference point for comparing prices in subsequent years.</w:t>
      </w:r>
    </w:p>
    <w:p w:rsidR="002C4027" w:rsidRDefault="00D857CD">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Current Year: The year for which prices are being analyzed relative to the base year.</w:t>
      </w:r>
    </w:p>
    <w:p w:rsidR="002C4027" w:rsidRDefault="00D857CD">
      <w:pPr>
        <w:spacing w:after="0"/>
        <w:jc w:val="both"/>
        <w:rPr>
          <w:rFonts w:ascii="Times New Roman" w:eastAsia="Times New Roman" w:hAnsi="Times New Roman" w:cs="Times New Roman"/>
          <w:b/>
          <w:bCs/>
          <w:sz w:val="24"/>
          <w:szCs w:val="24"/>
        </w:rPr>
      </w:pPr>
      <w:r>
        <w:rPr>
          <w:b/>
          <w:bCs/>
        </w:rPr>
        <w:br w:type="page"/>
      </w:r>
    </w:p>
    <w:p w:rsidR="002C4027" w:rsidRDefault="00D857CD">
      <w:pPr>
        <w:pStyle w:val="NormalWeb"/>
        <w:spacing w:after="0" w:afterAutospacing="0"/>
        <w:jc w:val="center"/>
        <w:rPr>
          <w:b/>
          <w:bCs/>
        </w:rPr>
      </w:pPr>
      <w:r>
        <w:rPr>
          <w:b/>
          <w:bCs/>
        </w:rPr>
        <w:lastRenderedPageBreak/>
        <w:t>CHAPTER TWO</w:t>
      </w:r>
    </w:p>
    <w:p w:rsidR="002C4027" w:rsidRDefault="00D857CD">
      <w:pPr>
        <w:pStyle w:val="NormalWeb"/>
        <w:spacing w:after="0" w:afterAutospacing="0"/>
        <w:jc w:val="center"/>
        <w:rPr>
          <w:b/>
          <w:bCs/>
        </w:rPr>
      </w:pPr>
      <w:r>
        <w:rPr>
          <w:b/>
          <w:bCs/>
        </w:rPr>
        <w:t>LITERATURE REVIEW</w:t>
      </w:r>
    </w:p>
    <w:p w:rsidR="002C4027" w:rsidRDefault="00D857CD">
      <w:pPr>
        <w:pStyle w:val="NormalWeb"/>
        <w:spacing w:after="0" w:afterAutospacing="0"/>
        <w:jc w:val="both"/>
        <w:rPr>
          <w:b/>
        </w:rPr>
      </w:pPr>
      <w:r>
        <w:rPr>
          <w:b/>
        </w:rPr>
        <w:t xml:space="preserve">2.1 </w:t>
      </w:r>
      <w:r>
        <w:rPr>
          <w:b/>
        </w:rPr>
        <w:tab/>
        <w:t>Introduction</w:t>
      </w:r>
    </w:p>
    <w:p w:rsidR="002C4027" w:rsidRDefault="00D857CD">
      <w:pPr>
        <w:pStyle w:val="NormalWeb"/>
        <w:spacing w:after="0" w:afterAutospacing="0" w:line="480" w:lineRule="auto"/>
        <w:jc w:val="both"/>
      </w:pPr>
      <w:r>
        <w:t xml:space="preserve">The increasing concern over food price volatility and inflation </w:t>
      </w:r>
      <w:r>
        <w:t>in many developing economies has triggered a surge in academic and policy-oriented research focused on understanding the dynamics of commodity pricing. In Nigeria, the frequent rise in the cost of essential food items has significantly impacted household w</w:t>
      </w:r>
      <w:r>
        <w:t>elfare, particularly among low- and middle-income earners who allocate a large portion of their income to food purchases. Given that food constitutes over 60% of household expenditures in many Nigerian homes (NBS, 2023), price variations in food markets ar</w:t>
      </w:r>
      <w:r>
        <w:t>e not only economic indicators but also barometers of social stability and wellbeing. Food inflation is not a new phenomenon in Nigeria, but recent years have witnessed intensified instability driven by factors such as exchange rate depreciation, climate c</w:t>
      </w:r>
      <w:r>
        <w:t xml:space="preserve">hange, insecurity in farming regions, supply chain disruptions, transportation bottlenecks, and macroeconomic policy changes such as subsidy removals and border closures. According to the Central Bank of Nigeria (2024), food inflation hit a record high in </w:t>
      </w:r>
      <w:r>
        <w:t>early 2024, with staple food items experiencing price increases of 20%–40% over a 12-month period. This troubling trend underscores the urgency of robust analytical tools to study food price behavior over time and guide informed economic decision-making. L</w:t>
      </w:r>
      <w:r>
        <w:t xml:space="preserve">iterature on food pricing has evolved from general inflation studies to more commodity-specific and location-based investigations. Traditional methods of </w:t>
      </w:r>
      <w:r>
        <w:lastRenderedPageBreak/>
        <w:t>price trend analysis have given way to sophisticated indices such as Laspeyres, Paasche, and Fisher pr</w:t>
      </w:r>
      <w:r>
        <w:t>ice indices—each of which brings unique strengths and limitations to the interpretation of market behavior. The Laspeyres index, for instance, allows analysts to determine price movement using base-year quantities and is particularly useful when consumptio</w:t>
      </w:r>
      <w:r>
        <w:t>n patterns are relatively stable. The Paasche index, in contrast, uses current-year quantities and reflects the changing structure of consumer preferences. The Fisher index, being the geometric mean of the two, is widely regarded as the most accurate or ‘i</w:t>
      </w:r>
      <w:r>
        <w:t>deal’ measure of price changes (Diewert, 2001). In this context, the role of price indices becomes critical. They are not only statistical constructs but also important inputs in economic modeling, welfare analysis, and fiscal policy planning. A price inde</w:t>
      </w:r>
      <w:r>
        <w:t>x reveals how much prices have changed relative to a baseline, enabling governments to assess the cost of living, adjust minimum wages, and calibrate monetary policy. For instance, countries such as Ghana, Kenya, and South Africa have institutionalized pri</w:t>
      </w:r>
      <w:r>
        <w:t>ce monitoring systems using consumer price indices to assess economic trends and guide subsidy frameworks (IMF, 2021). Empirical studies have shown that price movements differ markedly between rural and urban markets, and even among different regions withi</w:t>
      </w:r>
      <w:r>
        <w:t>n a country (Timmer, 2010; Umeh &amp; Adeola, 2018). Thus, while national CPI figures provide a useful overview, they often mask local-level variations and fail to capture the actual experience of consumers in specific markets such as Mandate in Ilorin. Hence,</w:t>
      </w:r>
      <w:r>
        <w:t xml:space="preserve"> localized studies using real market data are needed to complement national statistics </w:t>
      </w:r>
      <w:r>
        <w:lastRenderedPageBreak/>
        <w:t xml:space="preserve">and provide context-specific insights. Moreover, price analysis plays a vital role in evaluating the effectiveness of agricultural policies and trade interventions. For </w:t>
      </w:r>
      <w:r>
        <w:t>instance, the closure of land borders in 2019 by the Nigerian government was intended to promote local food production. However, subsequent studies revealed that the policy had mixed outcomes—while it increased local demand, it also led to significant shor</w:t>
      </w:r>
      <w:r>
        <w:t xml:space="preserve">t-term price surges due to supply gaps and logistics issues (Ezeaku&amp;Nwachukwu, 2020). Similarly, the removal of petroleum subsidies in 2023 raised transportation costs, directly affecting food prices by increasing the cost of moving goods from rural farms </w:t>
      </w:r>
      <w:r>
        <w:t>to urban markets. Within the academic field, scholars have also examined the socio-political consequences of food inflation. Studies have linked rising food prices to increased poverty, reduced nutritional intake, and even civil unrest (Bellemare, 2015). W</w:t>
      </w:r>
      <w:r>
        <w:t xml:space="preserve">hen basic commodities become unaffordable, households are forced to cut back on quality and quantity, leading to malnutrition and broader public health issues. This underscores the multidimensional impact of food price movements—not just economic but also </w:t>
      </w:r>
      <w:r>
        <w:t>social and developmental.</w:t>
      </w:r>
    </w:p>
    <w:p w:rsidR="002C4027" w:rsidRDefault="00D857CD">
      <w:pPr>
        <w:pStyle w:val="NormalWeb"/>
        <w:spacing w:after="0" w:afterAutospacing="0" w:line="480" w:lineRule="auto"/>
        <w:jc w:val="both"/>
      </w:pPr>
      <w:r>
        <w:t>This chapter reviews literature on these key dimensions: the conceptual foundations of price behavior, theoretical explanations of price dynamics, empirical studies across various regions and commodities, and methodological approa</w:t>
      </w:r>
      <w:r>
        <w:t xml:space="preserve">ches to measuring price changes. It synthesizes findings from Nigerian and international studies, highlighting similarities, differences, and gaps in the literature. By doing so, it lays the groundwork </w:t>
      </w:r>
      <w:r>
        <w:lastRenderedPageBreak/>
        <w:t>for the current research, which aims to apply a multi-</w:t>
      </w:r>
      <w:r>
        <w:t>index approach to analyze price changes in selected food items in Ilorin's Mandate market between 2024 and 2025.</w:t>
      </w:r>
    </w:p>
    <w:p w:rsidR="002C4027" w:rsidRDefault="00D857CD">
      <w:pPr>
        <w:pStyle w:val="NormalWeb"/>
        <w:spacing w:before="0" w:beforeAutospacing="0" w:after="0" w:afterAutospacing="0" w:line="480" w:lineRule="auto"/>
        <w:jc w:val="both"/>
        <w:rPr>
          <w:b/>
        </w:rPr>
      </w:pPr>
      <w:r>
        <w:rPr>
          <w:b/>
        </w:rPr>
        <w:t>2.2</w:t>
      </w:r>
      <w:r>
        <w:rPr>
          <w:b/>
        </w:rPr>
        <w:tab/>
        <w:t>Conceptual Framework</w:t>
      </w:r>
    </w:p>
    <w:p w:rsidR="002C4027" w:rsidRDefault="00D857CD">
      <w:pPr>
        <w:pStyle w:val="NormalWeb"/>
        <w:spacing w:before="0" w:beforeAutospacing="0" w:after="0" w:afterAutospacing="0" w:line="480" w:lineRule="auto"/>
        <w:jc w:val="both"/>
      </w:pPr>
      <w:r>
        <w:t>The conceptual framework for analyzing food prices is rooted in both microeconomic and macroeconomic perspectives, emp</w:t>
      </w:r>
      <w:r>
        <w:t>hasizing the interplay of supply-demand dynamics, market structure, production inputs, government policy, and external shocks. Conceptually, the price of a good is the result of the intersection of demand and supply in the marketplace. However, food commod</w:t>
      </w:r>
      <w:r>
        <w:t>ities—particularly staples like rice, beans, and garri—often deviate from ideal market assumptions due to issues such as perishability, supply chain inefficiencies, and market asymmetries.</w:t>
      </w:r>
    </w:p>
    <w:p w:rsidR="002C4027" w:rsidRDefault="00D857CD">
      <w:pPr>
        <w:pStyle w:val="NormalWeb"/>
        <w:spacing w:before="0" w:beforeAutospacing="0" w:after="0" w:afterAutospacing="0" w:line="480" w:lineRule="auto"/>
        <w:jc w:val="both"/>
      </w:pPr>
      <w:r>
        <w:t xml:space="preserve">Food commodities can be considered essential goods with relatively </w:t>
      </w:r>
      <w:r>
        <w:t xml:space="preserve">inelastic demand; consumers must purchase them regardless of price fluctuations. This feature of food demand leads to a situation where even small disruptions in supply or cost can produce disproportionately large effects on retail prices. For instance, a </w:t>
      </w:r>
      <w:r>
        <w:t>strike by transport workers, a sudden rise in fuel prices, or adverse weather conditions can cause immediate price surges. These issues are particularly pronounced in Nigerian markets where distribution channels are fragmented and market information is asy</w:t>
      </w:r>
      <w:r>
        <w:t>mmetrical (Akinyele, 2009).</w:t>
      </w:r>
    </w:p>
    <w:p w:rsidR="002C4027" w:rsidRDefault="00D857CD">
      <w:pPr>
        <w:pStyle w:val="NormalWeb"/>
        <w:spacing w:after="0" w:afterAutospacing="0" w:line="480" w:lineRule="auto"/>
        <w:jc w:val="both"/>
      </w:pPr>
      <w:r>
        <w:t>Another key conceptual tool in price analysis is the price index—a statistical measure that captures the average movement in prices over a specified period. A price index enables researchers and policymakers to determine whether</w:t>
      </w:r>
      <w:r>
        <w:t xml:space="preserve"> the cost of a basket of </w:t>
      </w:r>
      <w:r>
        <w:lastRenderedPageBreak/>
        <w:t>goods is increasing (inflation) or decreasing (deflation). The Consumer Price Index (CPI) is the most widely used price index globally and serves as a proxy for inflation. In Nigeria, CPI data is compiled and published monthly by t</w:t>
      </w:r>
      <w:r>
        <w:t>he National Bureau of Statistics (NBS), but local market conditions often vary significantly from the national average.</w:t>
      </w:r>
    </w:p>
    <w:p w:rsidR="002C4027" w:rsidRDefault="00D857CD">
      <w:pPr>
        <w:pStyle w:val="NormalWeb"/>
        <w:spacing w:after="0" w:afterAutospacing="0" w:line="480" w:lineRule="auto"/>
        <w:jc w:val="both"/>
      </w:pPr>
      <w:r>
        <w:t>Conceptually, the Laspeyres, Paasche, and Fisher indices provide alternative lenses through which price changes can be evaluated. The La</w:t>
      </w:r>
      <w:r>
        <w:t>speyres index assumes that consumers continue to buy the same quantities of goods as in the base year, thus possibly overstating inflation when prices rise sharply. The Paasche index assumes that current year consumption patterns are more relevant, potenti</w:t>
      </w:r>
      <w:r>
        <w:t>ally understating inflation because it accounts for consumer substitution toward cheaper alternatives. The Fisher index, as a compromise between the two, addresses their respective weaknesses by computing the geometric mean of both.</w:t>
      </w:r>
    </w:p>
    <w:p w:rsidR="002C4027" w:rsidRDefault="00D857CD">
      <w:pPr>
        <w:pStyle w:val="NormalWeb"/>
        <w:spacing w:after="0" w:afterAutospacing="0" w:line="480" w:lineRule="auto"/>
        <w:jc w:val="both"/>
      </w:pPr>
      <w:r>
        <w:t>Furthermore, this study</w:t>
      </w:r>
      <w:r>
        <w:t xml:space="preserve"> incorporates the notion of the market basket—a representative sample of goods and services consumed by a typical household. The basket used in this study consists of six staple food items widely consumed across Nigeria: rice, beans, garri, semovita, noodl</w:t>
      </w:r>
      <w:r>
        <w:t>es, and spaghetti. These items are not only dietary staples but also reflect consumer behavior and preferences, making them appropriate for empirical analysis.</w:t>
      </w:r>
    </w:p>
    <w:p w:rsidR="002C4027" w:rsidRDefault="00D857CD">
      <w:pPr>
        <w:pStyle w:val="NormalWeb"/>
        <w:spacing w:after="0" w:afterAutospacing="0" w:line="480" w:lineRule="auto"/>
        <w:jc w:val="both"/>
      </w:pPr>
      <w:r>
        <w:lastRenderedPageBreak/>
        <w:t>This framework also acknowledges the impact of policy and institutional factors on market outcom</w:t>
      </w:r>
      <w:r>
        <w:t>es. Government interventions—such as import tariffs, agricultural subsidies, price floors, and exchange rate regimes—can significantly alter food prices either directly or indirectly. Thus, the conceptual foundation of this study is built upon a multi-laye</w:t>
      </w:r>
      <w:r>
        <w:t>red understanding of food price determinants, statistical measures of price change, and the socio-economic context in which pricing occurs.</w:t>
      </w:r>
    </w:p>
    <w:p w:rsidR="002C4027" w:rsidRDefault="00D857CD">
      <w:pPr>
        <w:pStyle w:val="NormalWeb"/>
        <w:spacing w:after="0" w:afterAutospacing="0" w:line="480" w:lineRule="auto"/>
        <w:jc w:val="both"/>
        <w:rPr>
          <w:b/>
        </w:rPr>
      </w:pPr>
      <w:r>
        <w:rPr>
          <w:b/>
        </w:rPr>
        <w:t>2.3</w:t>
      </w:r>
      <w:r>
        <w:rPr>
          <w:b/>
        </w:rPr>
        <w:tab/>
        <w:t xml:space="preserve"> Theoretical Framework</w:t>
      </w:r>
    </w:p>
    <w:p w:rsidR="002C4027" w:rsidRDefault="00D857CD">
      <w:pPr>
        <w:pStyle w:val="NormalWeb"/>
        <w:spacing w:after="0" w:afterAutospacing="0" w:line="480" w:lineRule="auto"/>
        <w:jc w:val="both"/>
      </w:pPr>
      <w:r>
        <w:t>The behavior of food prices is influenced by a variety of economic theories, each offerin</w:t>
      </w:r>
      <w:r>
        <w:t>g distinct perspectives on why prices fluctuate and how consumers, producers, and markets respond to such changes. A robust theoretical foundation helps us not only understand past pricing trends but also to forecast future behavior under differentpolicy o</w:t>
      </w:r>
      <w:r>
        <w:t>r market conditions. The theoretical framework for this study incorporates both classical and modern economic theories, categorized under microeconomic, macroeconomic, and behavioral paradigms.</w:t>
      </w:r>
    </w:p>
    <w:p w:rsidR="002C4027" w:rsidRDefault="00D857CD">
      <w:pPr>
        <w:pStyle w:val="NormalWeb"/>
        <w:spacing w:after="0" w:afterAutospacing="0" w:line="480" w:lineRule="auto"/>
        <w:jc w:val="both"/>
        <w:rPr>
          <w:b/>
        </w:rPr>
      </w:pPr>
      <w:r>
        <w:rPr>
          <w:b/>
        </w:rPr>
        <w:t xml:space="preserve">2.3.1 </w:t>
      </w:r>
      <w:r>
        <w:rPr>
          <w:b/>
        </w:rPr>
        <w:tab/>
        <w:t>Law of Demand and Supply</w:t>
      </w:r>
    </w:p>
    <w:p w:rsidR="002C4027" w:rsidRDefault="00D857CD">
      <w:pPr>
        <w:pStyle w:val="NormalWeb"/>
        <w:spacing w:after="0" w:afterAutospacing="0" w:line="480" w:lineRule="auto"/>
        <w:jc w:val="both"/>
      </w:pPr>
      <w:r>
        <w:t>The Law of Demand and Supply i</w:t>
      </w:r>
      <w:r>
        <w:t>s one of the most fundamental principles in economics. It states that, ceteris paribus (all things being equal), an increase in demand leads to an increase in price, while an increase in supply leads to a decrease in price. In perfectly competitive markets</w:t>
      </w:r>
      <w:r>
        <w:t xml:space="preserve">, prices naturally adjust to the equilibrium </w:t>
      </w:r>
      <w:r>
        <w:lastRenderedPageBreak/>
        <w:t>where quantity demanded equals quantity supplied. However, in the context of food markets—especially in Nigeria—numerous market imperfections distort this relationship.</w:t>
      </w:r>
    </w:p>
    <w:p w:rsidR="002C4027" w:rsidRDefault="00D857CD">
      <w:pPr>
        <w:pStyle w:val="NormalWeb"/>
        <w:spacing w:after="0" w:afterAutospacing="0" w:line="480" w:lineRule="auto"/>
        <w:jc w:val="both"/>
      </w:pPr>
      <w:r>
        <w:t>For example, the demand for food items lik</w:t>
      </w:r>
      <w:r>
        <w:t xml:space="preserve">e rice, beans, and garri tends to be price inelastic due to their necessity in everyday nutrition. This means that even if pricesincrease, the quantity demanded decreases only slightly, resulting in significant revenue changes for sellers and hardship for </w:t>
      </w:r>
      <w:r>
        <w:t>consumers (Okuneye, 2002). On the supply side, food production in Nigeria is often seasonal and vulnerable to factors such as rainfall variability, poor infrastructure, and insecurity in farming regions, which disrupt the supply-demand balance.</w:t>
      </w:r>
    </w:p>
    <w:p w:rsidR="002C4027" w:rsidRDefault="00D857CD">
      <w:pPr>
        <w:pStyle w:val="NormalWeb"/>
        <w:spacing w:after="0" w:afterAutospacing="0" w:line="480" w:lineRule="auto"/>
        <w:jc w:val="both"/>
        <w:rPr>
          <w:b/>
        </w:rPr>
      </w:pPr>
      <w:r>
        <w:rPr>
          <w:b/>
        </w:rPr>
        <w:t xml:space="preserve">2.3.2 </w:t>
      </w:r>
      <w:r>
        <w:rPr>
          <w:b/>
        </w:rPr>
        <w:tab/>
        <w:t>Cost</w:t>
      </w:r>
      <w:r>
        <w:rPr>
          <w:b/>
        </w:rPr>
        <w:t>-Push and Demand-Pull Inflation Theories</w:t>
      </w:r>
    </w:p>
    <w:p w:rsidR="002C4027" w:rsidRDefault="00D857CD">
      <w:pPr>
        <w:pStyle w:val="NormalWeb"/>
        <w:spacing w:after="0" w:afterAutospacing="0" w:line="480" w:lineRule="auto"/>
        <w:jc w:val="both"/>
      </w:pPr>
      <w:r>
        <w:t>Both of these theories explain the mechanisms behind general price increases (inflation), which directly apply to the study of food price movement.</w:t>
      </w:r>
    </w:p>
    <w:p w:rsidR="002C4027" w:rsidRDefault="00D857CD">
      <w:pPr>
        <w:pStyle w:val="NormalWeb"/>
        <w:spacing w:after="0" w:afterAutospacing="0" w:line="480" w:lineRule="auto"/>
        <w:jc w:val="both"/>
      </w:pPr>
      <w:r>
        <w:t>Cost-Push Inflation Theory argues that inflation occurs when the co</w:t>
      </w:r>
      <w:r>
        <w:t>st of production rises, leading producers to pass on the increased costs to consumers. In the Nigerian context, increases in fuel prices, fertilizer costs, transportation charges, and insecurity in agricultural zones contribute significantly to cost-push i</w:t>
      </w:r>
      <w:r>
        <w:t>nflation in food commodities (Ogunleye, 2014).</w:t>
      </w:r>
    </w:p>
    <w:p w:rsidR="002C4027" w:rsidRDefault="00D857CD">
      <w:pPr>
        <w:pStyle w:val="NormalWeb"/>
        <w:spacing w:after="0" w:afterAutospacing="0" w:line="480" w:lineRule="auto"/>
        <w:jc w:val="both"/>
      </w:pPr>
      <w:r>
        <w:lastRenderedPageBreak/>
        <w:t xml:space="preserve">Demand-Pull Inflation Theory states that when aggregate demand exceeds aggregate supply, prices rise. Population growth, urbanization, and increased consumer incomes can all contribute to increased demand for </w:t>
      </w:r>
      <w:r>
        <w:t>food. In regions like Ilorin, where population density has increased in recent years, rising food demand has contributed to sustained upward pressure on prices (Ezeaku&amp;Nwachukwu, 2020).</w:t>
      </w:r>
    </w:p>
    <w:p w:rsidR="002C4027" w:rsidRDefault="00D857CD">
      <w:pPr>
        <w:pStyle w:val="NormalWeb"/>
        <w:spacing w:after="0" w:afterAutospacing="0" w:line="480" w:lineRule="auto"/>
        <w:jc w:val="both"/>
        <w:rPr>
          <w:b/>
        </w:rPr>
      </w:pPr>
      <w:r>
        <w:rPr>
          <w:b/>
        </w:rPr>
        <w:t xml:space="preserve">2.3.3 </w:t>
      </w:r>
      <w:r>
        <w:rPr>
          <w:b/>
        </w:rPr>
        <w:tab/>
        <w:t>Quantity Theory of Money</w:t>
      </w:r>
    </w:p>
    <w:p w:rsidR="002C4027" w:rsidRDefault="00D857CD">
      <w:pPr>
        <w:pStyle w:val="NormalWeb"/>
        <w:spacing w:after="0" w:afterAutospacing="0" w:line="480" w:lineRule="auto"/>
        <w:jc w:val="both"/>
      </w:pPr>
      <w:r>
        <w:t>The Quantity Theory of Money, articula</w:t>
      </w:r>
      <w:r>
        <w:t>ted in the famous equation MV = PQ (where M = money supply, V = velocity of money, P = price level, and Q = output), suggests that an increase in money supply without a corresponding increase in output results in inflation. In Nigeria, the Central Bank’s e</w:t>
      </w:r>
      <w:r>
        <w:t>xpansionary monetary policies—particularly during post-COVID recovery periods—have led to increased liquidity in the economy, some of which has flowed into food markets, thus raising prices (CBN, 2023).</w:t>
      </w:r>
    </w:p>
    <w:p w:rsidR="002C4027" w:rsidRDefault="00D857CD">
      <w:pPr>
        <w:pStyle w:val="NormalWeb"/>
        <w:spacing w:after="0" w:afterAutospacing="0" w:line="480" w:lineRule="auto"/>
        <w:jc w:val="both"/>
      </w:pPr>
      <w:r>
        <w:t xml:space="preserve">This theory is particularly relevant when discussing </w:t>
      </w:r>
      <w:r>
        <w:t>imported inflation. When the naira weakens against foreign currencies, the cost of imported food items and production inputs (like machinery, fuel, or packaging materials) rises. This, in turn, affects domestic food prices—even for locally produced items—t</w:t>
      </w:r>
      <w:r>
        <w:t>hrough a ripple effect in the supply chain.</w:t>
      </w:r>
    </w:p>
    <w:p w:rsidR="002C4027" w:rsidRDefault="002C4027">
      <w:pPr>
        <w:pStyle w:val="NormalWeb"/>
        <w:spacing w:after="0" w:afterAutospacing="0" w:line="480" w:lineRule="auto"/>
        <w:jc w:val="both"/>
        <w:rPr>
          <w:b/>
        </w:rPr>
      </w:pPr>
    </w:p>
    <w:p w:rsidR="002C4027" w:rsidRDefault="002C4027">
      <w:pPr>
        <w:pStyle w:val="NormalWeb"/>
        <w:spacing w:after="0" w:afterAutospacing="0" w:line="480" w:lineRule="auto"/>
        <w:jc w:val="both"/>
        <w:rPr>
          <w:b/>
        </w:rPr>
      </w:pPr>
    </w:p>
    <w:p w:rsidR="002C4027" w:rsidRDefault="00D857CD">
      <w:pPr>
        <w:pStyle w:val="NormalWeb"/>
        <w:spacing w:after="0" w:afterAutospacing="0" w:line="480" w:lineRule="auto"/>
        <w:jc w:val="both"/>
        <w:rPr>
          <w:b/>
        </w:rPr>
      </w:pPr>
      <w:r>
        <w:rPr>
          <w:b/>
        </w:rPr>
        <w:lastRenderedPageBreak/>
        <w:t>2.3.4</w:t>
      </w:r>
      <w:r>
        <w:rPr>
          <w:b/>
        </w:rPr>
        <w:tab/>
        <w:t xml:space="preserve"> Engel’s Law</w:t>
      </w:r>
    </w:p>
    <w:p w:rsidR="002C4027" w:rsidRDefault="00D857CD">
      <w:pPr>
        <w:pStyle w:val="NormalWeb"/>
        <w:spacing w:after="0" w:afterAutospacing="0" w:line="480" w:lineRule="auto"/>
        <w:jc w:val="both"/>
        <w:rPr>
          <w:b/>
        </w:rPr>
      </w:pPr>
      <w:r>
        <w:t>Engel’s Law posits that as income increases, the proportion of income spent on food decreases, even if the actual expenditure on food rises. This principle suggests that poorer households are</w:t>
      </w:r>
      <w:r>
        <w:t xml:space="preserve"> more vulnerable to food price inflation, as food accounts for a higher share of their total expenditure. In practical terms, a 20% increase in food prices will have a far more significant impact on a low-income household than on a middle- or high-income h</w:t>
      </w:r>
      <w:r>
        <w:t>ousehold (FAO, 2017). This law is particularly useful in interpreting the social and distributive effects of food price inflation in Nigerian markets.</w:t>
      </w:r>
    </w:p>
    <w:p w:rsidR="002C4027" w:rsidRDefault="00D857CD">
      <w:pPr>
        <w:pStyle w:val="NormalWeb"/>
        <w:spacing w:after="0" w:afterAutospacing="0" w:line="480" w:lineRule="auto"/>
        <w:jc w:val="both"/>
        <w:rPr>
          <w:b/>
        </w:rPr>
      </w:pPr>
      <w:r>
        <w:rPr>
          <w:b/>
        </w:rPr>
        <w:t>2.3.5</w:t>
      </w:r>
      <w:r>
        <w:rPr>
          <w:b/>
        </w:rPr>
        <w:tab/>
        <w:t xml:space="preserve"> Rational Expectations Theory</w:t>
      </w:r>
    </w:p>
    <w:p w:rsidR="002C4027" w:rsidRDefault="00D857CD">
      <w:pPr>
        <w:pStyle w:val="NormalWeb"/>
        <w:spacing w:after="0" w:afterAutospacing="0" w:line="480" w:lineRule="auto"/>
        <w:jc w:val="both"/>
        <w:rPr>
          <w:b/>
        </w:rPr>
      </w:pPr>
      <w:r>
        <w:t>Rational Expectations Theory, advanced by economists such as Robert L</w:t>
      </w:r>
      <w:r>
        <w:t>ucas, suggests that individuals form expectations about the future based on all available information, including government policy and past trends. In the context of food pricing, if consumers or traders anticipate that prices will rise—due to an impending</w:t>
      </w:r>
      <w:r>
        <w:t xml:space="preserve"> fuel hike, poor harvest forecasts, or a policy shift—they may stockpile goods or increase prices preemptively, thus creating a self-fulfilling prophecy of inflation.</w:t>
      </w:r>
    </w:p>
    <w:p w:rsidR="002C4027" w:rsidRDefault="00D857CD">
      <w:pPr>
        <w:pStyle w:val="NormalWeb"/>
        <w:spacing w:after="0" w:afterAutospacing="0" w:line="480" w:lineRule="auto"/>
        <w:jc w:val="both"/>
        <w:rPr>
          <w:b/>
        </w:rPr>
      </w:pPr>
      <w:r>
        <w:t>This behavior is often observed in Nigeria, particularly during festive periods, planting</w:t>
      </w:r>
      <w:r>
        <w:t xml:space="preserve"> seasons, or just before government policy changes. For example, rumors of fuel price </w:t>
      </w:r>
      <w:r>
        <w:lastRenderedPageBreak/>
        <w:t>increase often led to immediate food price hikes due to anticipated higher transport costs.</w:t>
      </w:r>
    </w:p>
    <w:p w:rsidR="002C4027" w:rsidRDefault="00D857CD">
      <w:pPr>
        <w:pStyle w:val="NormalWeb"/>
        <w:spacing w:after="0" w:afterAutospacing="0" w:line="480" w:lineRule="auto"/>
        <w:jc w:val="both"/>
        <w:rPr>
          <w:b/>
        </w:rPr>
      </w:pPr>
      <w:r>
        <w:rPr>
          <w:b/>
        </w:rPr>
        <w:t>2.3.6</w:t>
      </w:r>
      <w:r>
        <w:rPr>
          <w:b/>
        </w:rPr>
        <w:tab/>
        <w:t xml:space="preserve"> Behavioral Economics and Price Rigidity</w:t>
      </w:r>
    </w:p>
    <w:p w:rsidR="002C4027" w:rsidRDefault="00D857CD">
      <w:pPr>
        <w:pStyle w:val="NormalWeb"/>
        <w:spacing w:after="0" w:afterAutospacing="0" w:line="480" w:lineRule="auto"/>
        <w:jc w:val="both"/>
        <w:rPr>
          <w:b/>
        </w:rPr>
      </w:pPr>
      <w:r>
        <w:t>While classical theories assume</w:t>
      </w:r>
      <w:r>
        <w:t xml:space="preserve"> rational agents and flexible prices, behavioral economics introduces the idea that decision-making is influenced by cognitive biases, social pressures, and imperfect information. Price rigidity in Nigerian food markets can occur because sellers are reluct</w:t>
      </w:r>
      <w:r>
        <w:t>ant to reduce prices even when supply improves, possibly due to psychological anchoring or fear of future cost increases (Thaler&amp;Sunstein, 2008).</w:t>
      </w:r>
    </w:p>
    <w:p w:rsidR="002C4027" w:rsidRDefault="00D857CD">
      <w:pPr>
        <w:pStyle w:val="NormalWeb"/>
        <w:spacing w:after="0" w:afterAutospacing="0" w:line="480" w:lineRule="auto"/>
        <w:jc w:val="both"/>
        <w:rPr>
          <w:b/>
        </w:rPr>
      </w:pPr>
      <w:r>
        <w:t>Consumers, likewise, may be influenced by herd behavior—buying in bulk or panic buying—especially during perio</w:t>
      </w:r>
      <w:r>
        <w:t>ds of uncertainty, further exacerbating price volatility. These behavioral dynamics are critical in understanding why food prices sometimes remain high even after supply-side constraints have eased.</w:t>
      </w:r>
    </w:p>
    <w:p w:rsidR="002C4027" w:rsidRDefault="00D857CD">
      <w:pPr>
        <w:pStyle w:val="NormalWeb"/>
        <w:spacing w:after="0" w:afterAutospacing="0" w:line="480" w:lineRule="auto"/>
        <w:jc w:val="both"/>
        <w:rPr>
          <w:b/>
        </w:rPr>
      </w:pPr>
      <w:r>
        <w:rPr>
          <w:b/>
        </w:rPr>
        <w:t>2.3.7</w:t>
      </w:r>
      <w:r>
        <w:rPr>
          <w:b/>
        </w:rPr>
        <w:tab/>
        <w:t xml:space="preserve"> Market Imperfections and Monopolistic Practices</w:t>
      </w:r>
    </w:p>
    <w:p w:rsidR="002C4027" w:rsidRDefault="00D857CD">
      <w:pPr>
        <w:pStyle w:val="NormalWeb"/>
        <w:spacing w:after="0" w:afterAutospacing="0" w:line="480" w:lineRule="auto"/>
        <w:jc w:val="both"/>
        <w:rPr>
          <w:b/>
        </w:rPr>
      </w:pPr>
      <w:r>
        <w:t>In</w:t>
      </w:r>
      <w:r>
        <w:t xml:space="preserve"> real-world markets such as Mandate in Ilorin, food prices are also affected by imperfections such as monopolistic practices, middlemen exploitation, lack of price transparency, and asymmetric access to market information. Traders may collude—either knowin</w:t>
      </w:r>
      <w:r>
        <w:t xml:space="preserve">gly or due to group-think—to fix prices above competitive levels. These </w:t>
      </w:r>
      <w:r>
        <w:lastRenderedPageBreak/>
        <w:t>distortions reduce market efficiency and make classical models of supply and demand less predictive in the Nigerian context (Adewumi, 2012).</w:t>
      </w:r>
    </w:p>
    <w:p w:rsidR="002C4027" w:rsidRDefault="00D857CD">
      <w:pPr>
        <w:pStyle w:val="NormalWeb"/>
        <w:spacing w:after="0" w:afterAutospacing="0" w:line="480" w:lineRule="auto"/>
        <w:jc w:val="both"/>
        <w:rPr>
          <w:b/>
        </w:rPr>
      </w:pPr>
      <w:r>
        <w:rPr>
          <w:b/>
        </w:rPr>
        <w:t>2.3.8</w:t>
      </w:r>
      <w:r>
        <w:rPr>
          <w:b/>
        </w:rPr>
        <w:tab/>
        <w:t>Structuralist Theory of Inflation</w:t>
      </w:r>
    </w:p>
    <w:p w:rsidR="002C4027" w:rsidRDefault="00D857CD">
      <w:pPr>
        <w:pStyle w:val="NormalWeb"/>
        <w:spacing w:after="0" w:afterAutospacing="0" w:line="480" w:lineRule="auto"/>
        <w:jc w:val="both"/>
        <w:rPr>
          <w:b/>
        </w:rPr>
      </w:pPr>
      <w:r>
        <w:t>The</w:t>
      </w:r>
      <w:r>
        <w:t xml:space="preserve"> structuralist school, largely associated with Latin American development economists, argues that inflation in developing economies is caused by structural bottlenecks in production, distribution, and governance. In Nigeria, poor infrastructure, weak insti</w:t>
      </w:r>
      <w:r>
        <w:t>tutions, insecurity in agricultural zones, and underinvestment in processing and storage are all structural issues that contribute to food price inflation.</w:t>
      </w:r>
    </w:p>
    <w:p w:rsidR="002C4027" w:rsidRDefault="00D857CD">
      <w:pPr>
        <w:pStyle w:val="NormalWeb"/>
        <w:spacing w:after="0" w:afterAutospacing="0" w:line="480" w:lineRule="auto"/>
        <w:jc w:val="both"/>
        <w:rPr>
          <w:b/>
        </w:rPr>
      </w:pPr>
      <w:r>
        <w:t>These factors create a long-term upward bias in food prices, independent of short-term monetary or d</w:t>
      </w:r>
      <w:r>
        <w:t>emand-side shocks. This theory emphasizes the need for deep reforms in the agricultural value chain, including improved irrigation, farm mechanization, logistics, and regulatory oversight.</w:t>
      </w:r>
    </w:p>
    <w:p w:rsidR="002C4027" w:rsidRDefault="00D857CD">
      <w:pPr>
        <w:pStyle w:val="NormalWeb"/>
        <w:spacing w:after="0" w:afterAutospacing="0" w:line="480" w:lineRule="auto"/>
        <w:jc w:val="both"/>
        <w:rPr>
          <w:b/>
        </w:rPr>
      </w:pPr>
      <w:r>
        <w:rPr>
          <w:b/>
        </w:rPr>
        <w:t>Conclusion of Theoretical Framework</w:t>
      </w:r>
    </w:p>
    <w:p w:rsidR="002C4027" w:rsidRDefault="00D857CD">
      <w:pPr>
        <w:pStyle w:val="NormalWeb"/>
        <w:spacing w:after="0" w:afterAutospacing="0" w:line="480" w:lineRule="auto"/>
        <w:jc w:val="both"/>
        <w:rPr>
          <w:b/>
        </w:rPr>
      </w:pPr>
      <w:r>
        <w:t>In summary, the theoretical und</w:t>
      </w:r>
      <w:r>
        <w:t>erpinnings of food price behavior are multi-dimensional and context-dependent. From classical supply-demand models to modern behavioral insights and structuralist critiques, each theory sheds light on different facets of food price dynamics in Nigeria. For</w:t>
      </w:r>
      <w:r>
        <w:t xml:space="preserve"> this study, these theories collectively inform the interpretation of observed price changes in Mandate market between 2024 </w:t>
      </w:r>
      <w:r>
        <w:lastRenderedPageBreak/>
        <w:t>and 2025, especially when analyzing results from the Laspeyres, Paasche, and Fisher indices.</w:t>
      </w:r>
    </w:p>
    <w:p w:rsidR="002C4027" w:rsidRDefault="00D857CD">
      <w:pPr>
        <w:pStyle w:val="NormalWeb"/>
        <w:spacing w:after="0" w:afterAutospacing="0" w:line="480" w:lineRule="auto"/>
        <w:jc w:val="both"/>
        <w:rPr>
          <w:b/>
        </w:rPr>
      </w:pPr>
      <w:r>
        <w:rPr>
          <w:b/>
        </w:rPr>
        <w:t>2.4</w:t>
      </w:r>
      <w:r>
        <w:rPr>
          <w:b/>
        </w:rPr>
        <w:tab/>
        <w:t xml:space="preserve"> Empirical Review</w:t>
      </w:r>
    </w:p>
    <w:p w:rsidR="002C4027" w:rsidRDefault="00D857CD">
      <w:pPr>
        <w:pStyle w:val="NormalWeb"/>
        <w:spacing w:after="0" w:afterAutospacing="0" w:line="480" w:lineRule="auto"/>
        <w:jc w:val="both"/>
        <w:rPr>
          <w:b/>
        </w:rPr>
      </w:pPr>
      <w:r>
        <w:t>Food price analys</w:t>
      </w:r>
      <w:r>
        <w:t>is has been a central focus of empirical research due to its profound implications on inflation, household welfare, poverty, and economic growth. Empirical studies vary in scope—ranging from national-level Consumer Price Index (CPI) assessments to commodit</w:t>
      </w:r>
      <w:r>
        <w:t>y-specific or location-based analyses. In this section, we examine findings from past studies, highlight trends, and draw attention to gaps that inform the current study.</w:t>
      </w:r>
      <w:r>
        <w:rPr>
          <w:b/>
        </w:rPr>
        <w:t>\</w:t>
      </w:r>
    </w:p>
    <w:p w:rsidR="002C4027" w:rsidRDefault="00D857CD">
      <w:pPr>
        <w:pStyle w:val="NormalWeb"/>
        <w:spacing w:after="0" w:afterAutospacing="0" w:line="480" w:lineRule="auto"/>
        <w:jc w:val="both"/>
        <w:rPr>
          <w:b/>
        </w:rPr>
      </w:pPr>
      <w:r>
        <w:rPr>
          <w:b/>
        </w:rPr>
        <w:t xml:space="preserve">2.4.1 </w:t>
      </w:r>
      <w:r>
        <w:rPr>
          <w:b/>
        </w:rPr>
        <w:tab/>
        <w:t>Empirical Studies in Nigeria</w:t>
      </w:r>
    </w:p>
    <w:p w:rsidR="002C4027" w:rsidRDefault="00D857CD">
      <w:pPr>
        <w:pStyle w:val="NormalWeb"/>
        <w:spacing w:after="0" w:afterAutospacing="0" w:line="480" w:lineRule="auto"/>
        <w:jc w:val="both"/>
        <w:rPr>
          <w:b/>
        </w:rPr>
      </w:pPr>
      <w:r>
        <w:t>Food pricing in Nigeria has been subject to a nu</w:t>
      </w:r>
      <w:r>
        <w:t>mber of empirical investigations, especially in the wake of recurring inflation crises.</w:t>
      </w:r>
    </w:p>
    <w:p w:rsidR="002C4027" w:rsidRDefault="00D857CD">
      <w:pPr>
        <w:pStyle w:val="NormalWeb"/>
        <w:spacing w:after="0" w:afterAutospacing="0" w:line="480" w:lineRule="auto"/>
        <w:jc w:val="both"/>
        <w:rPr>
          <w:b/>
        </w:rPr>
      </w:pPr>
      <w:r>
        <w:t>Olayemi (2010) investigated the impact of food price increases on household poverty using national household survey data. He concluded that food inflation contributes m</w:t>
      </w:r>
      <w:r>
        <w:t>ore significantly to poverty depth than non-food inflation, particularly in rural households. The study recommended the implementation of targeted food subsidies and storage investment as mitigation strategies.</w:t>
      </w:r>
    </w:p>
    <w:p w:rsidR="002C4027" w:rsidRDefault="00D857CD">
      <w:pPr>
        <w:pStyle w:val="NormalWeb"/>
        <w:spacing w:after="0" w:afterAutospacing="0" w:line="480" w:lineRule="auto"/>
        <w:jc w:val="both"/>
        <w:rPr>
          <w:b/>
        </w:rPr>
      </w:pPr>
      <w:r>
        <w:lastRenderedPageBreak/>
        <w:t>Adeyemi and Ogunfowokan (2014) analyzed maize</w:t>
      </w:r>
      <w:r>
        <w:t xml:space="preserve"> price volatility in Southwest Nigeria. Using monthly price series data from 2006–2013, they found that seasonal effects, transportation bottlenecks, and poor storage were key drivers of price instability. The authors recommended improved warehousing and r</w:t>
      </w:r>
      <w:r>
        <w:t>egional buffer stock systems.</w:t>
      </w:r>
    </w:p>
    <w:p w:rsidR="002C4027" w:rsidRDefault="00D857CD">
      <w:pPr>
        <w:pStyle w:val="NormalWeb"/>
        <w:spacing w:after="0" w:afterAutospacing="0" w:line="480" w:lineRule="auto"/>
        <w:jc w:val="both"/>
        <w:rPr>
          <w:b/>
        </w:rPr>
      </w:pPr>
      <w:r>
        <w:t>Yusuf and Okon (2021) applied Laspeyres and Paasche indices to evaluate inflation trends in the Bodija and Oje markets in Ibadan. The study found that the Paasche index generally reported lower inflation than the Laspeyres ind</w:t>
      </w:r>
      <w:r>
        <w:t>ex, validating the argument that current consumption behaviors often mitigate perceived price surges. The authors recommended the Fisher index for more balanced inflation assessment.In a similar study, Ibrahim et al. (2022) examined staple food pricing tre</w:t>
      </w:r>
      <w:r>
        <w:t>nds in Kwara State using regression models and index computation. They observed significant price increases in garri and rice, particularly in urban markets. The results attributed the inflation to fuel cost hikes and rural-urban migration pressures.Agbool</w:t>
      </w:r>
      <w:r>
        <w:t>a et al. (2020) conducted a spatial analysis of rice prices across Nigeria. Using data from over 15 markets, they found that proximity to production zones (such as Kebbi and Ebonyi States) significantly affected final retail prices. Their study underscored</w:t>
      </w:r>
      <w:r>
        <w:t xml:space="preserve"> the need for decentralized processing facilities and efficient road networks.Ezeaku and Nwachukwu (2020) assessed the impact of the 2019 land border closure on food prices. Their findings showed an average price increase of 24% in imported commodities (su</w:t>
      </w:r>
      <w:r>
        <w:t xml:space="preserve">ch as rice and frozen poultry) and 11% in locally produced items. The </w:t>
      </w:r>
      <w:r>
        <w:lastRenderedPageBreak/>
        <w:t>policy, though intended to boost local production, had short-term inflationary effects on food markets.Aina and Yusuf (2019) used consumer surveys to measure the perception of food affor</w:t>
      </w:r>
      <w:r>
        <w:t>dability among households in Lagos. They found that over 70% of respondents had reduced the quantity or frequency of meals due to rising prices. This finding supports Engel’s Law and suggests that food inflation has direct welfare effects.</w:t>
      </w:r>
    </w:p>
    <w:p w:rsidR="002C4027" w:rsidRDefault="00D857CD">
      <w:pPr>
        <w:pStyle w:val="NormalWeb"/>
        <w:spacing w:after="0" w:afterAutospacing="0" w:line="480" w:lineRule="auto"/>
        <w:jc w:val="both"/>
        <w:rPr>
          <w:b/>
        </w:rPr>
      </w:pPr>
      <w:r>
        <w:rPr>
          <w:b/>
        </w:rPr>
        <w:t>2.4.2</w:t>
      </w:r>
      <w:r>
        <w:rPr>
          <w:b/>
        </w:rPr>
        <w:tab/>
        <w:t xml:space="preserve"> Internati</w:t>
      </w:r>
      <w:r>
        <w:rPr>
          <w:b/>
        </w:rPr>
        <w:t>onal Empirical Evidence</w:t>
      </w:r>
    </w:p>
    <w:p w:rsidR="002C4027" w:rsidRDefault="00D857CD">
      <w:pPr>
        <w:pStyle w:val="NormalWeb"/>
        <w:spacing w:after="0" w:afterAutospacing="0" w:line="480" w:lineRule="auto"/>
        <w:jc w:val="both"/>
        <w:rPr>
          <w:b/>
        </w:rPr>
      </w:pPr>
      <w:r>
        <w:t>Timmer (2010) conducted a global analysis of food price volatility and found that open trade policies and well-functioning logistics systems helped buffer the effect of global price shocks in countries like Vietnam and Thailand. The</w:t>
      </w:r>
      <w:r>
        <w:t xml:space="preserve"> study emphasized that government interventions such as subsidies and stockpiles should be used sparingly to avoid market distortion.Bellemare (2015) examined the link between rising food prices and political unrest across 120 countries. Using econometric </w:t>
      </w:r>
      <w:r>
        <w:t>models, he found a strong correlation between sharp price increases and civil conflict. The paper concluded that food inflation is not only an economic concern but also a trigger for social instability.Dawe and Maltsoglou (2012), in a study on rice price d</w:t>
      </w:r>
      <w:r>
        <w:t>ynamics in Asia, concluded that trade liberalization helped stabilize domestic markets, provided local producers received adequate support. Their results showed that inflation was lower in countries with diversified import sources and stable currency regim</w:t>
      </w:r>
      <w:r>
        <w:t xml:space="preserve">es.Wiggins and Keats (2015) reviewed African food pricing and concluded that </w:t>
      </w:r>
      <w:r>
        <w:lastRenderedPageBreak/>
        <w:t xml:space="preserve">weak infrastructure, limited market information, and policy inconsistency were central causes of food inflation. Countries like Ethiopia, which had invested heavily in rural road </w:t>
      </w:r>
      <w:r>
        <w:t>development and cooperative storage, showed greater food price stability than Nigeria or Chad.</w:t>
      </w:r>
    </w:p>
    <w:p w:rsidR="002C4027" w:rsidRDefault="00D857CD">
      <w:pPr>
        <w:spacing w:after="0"/>
        <w:jc w:val="both"/>
        <w:rPr>
          <w:rFonts w:ascii="Times New Roman" w:eastAsia="Times New Roman" w:hAnsi="Times New Roman" w:cs="Times New Roman"/>
          <w:sz w:val="24"/>
          <w:szCs w:val="24"/>
        </w:rPr>
      </w:pPr>
      <w:r>
        <w:br w:type="page"/>
      </w:r>
    </w:p>
    <w:p w:rsidR="002C4027" w:rsidRDefault="00D857CD">
      <w:pPr>
        <w:pStyle w:val="NormalWeb"/>
        <w:spacing w:after="0" w:afterAutospacing="0"/>
        <w:ind w:left="360"/>
        <w:jc w:val="center"/>
        <w:rPr>
          <w:b/>
          <w:bCs/>
        </w:rPr>
      </w:pPr>
      <w:r>
        <w:rPr>
          <w:b/>
          <w:bCs/>
        </w:rPr>
        <w:lastRenderedPageBreak/>
        <w:t>CHAPTER THREE</w:t>
      </w:r>
    </w:p>
    <w:p w:rsidR="002C4027" w:rsidRDefault="00D857CD">
      <w:pPr>
        <w:pStyle w:val="NormalWeb"/>
        <w:spacing w:after="0" w:afterAutospacing="0"/>
        <w:ind w:left="360"/>
        <w:jc w:val="center"/>
        <w:rPr>
          <w:b/>
          <w:bCs/>
        </w:rPr>
      </w:pPr>
      <w:r>
        <w:rPr>
          <w:b/>
          <w:bCs/>
        </w:rPr>
        <w:t>RESEARCH METHODOLOGY</w:t>
      </w:r>
    </w:p>
    <w:p w:rsidR="002C4027" w:rsidRDefault="00D857CD">
      <w:pPr>
        <w:pStyle w:val="NormalWeb"/>
        <w:spacing w:before="0" w:beforeAutospacing="0" w:after="0" w:afterAutospacing="0" w:line="480" w:lineRule="auto"/>
        <w:ind w:left="360"/>
        <w:jc w:val="both"/>
        <w:rPr>
          <w:b/>
          <w:bCs/>
        </w:rPr>
      </w:pPr>
      <w:r>
        <w:rPr>
          <w:b/>
          <w:bCs/>
        </w:rPr>
        <w:t>3.1</w:t>
      </w:r>
      <w:r>
        <w:rPr>
          <w:b/>
          <w:bCs/>
        </w:rPr>
        <w:tab/>
      </w:r>
      <w:r>
        <w:rPr>
          <w:b/>
          <w:bCs/>
        </w:rPr>
        <w:tab/>
        <w:t>Research design</w:t>
      </w:r>
    </w:p>
    <w:p w:rsidR="002C4027" w:rsidRDefault="00D857CD">
      <w:pPr>
        <w:pStyle w:val="NormalWeb"/>
        <w:spacing w:before="0" w:beforeAutospacing="0" w:after="0" w:afterAutospacing="0" w:line="480" w:lineRule="auto"/>
        <w:ind w:left="360"/>
        <w:jc w:val="both"/>
      </w:pPr>
      <w:r>
        <w:t>This is a descriptive study using secondary data on food prices collected from Mandate market.</w:t>
      </w:r>
    </w:p>
    <w:p w:rsidR="002C4027" w:rsidRDefault="00D857CD">
      <w:pPr>
        <w:pStyle w:val="NormalWeb"/>
        <w:spacing w:before="0" w:beforeAutospacing="0" w:after="0" w:afterAutospacing="0" w:line="480" w:lineRule="auto"/>
        <w:ind w:left="360"/>
        <w:jc w:val="both"/>
        <w:rPr>
          <w:b/>
          <w:bCs/>
        </w:rPr>
      </w:pPr>
      <w:r>
        <w:rPr>
          <w:b/>
          <w:bCs/>
        </w:rPr>
        <w:t>3.2</w:t>
      </w:r>
      <w:r>
        <w:rPr>
          <w:b/>
          <w:bCs/>
        </w:rPr>
        <w:tab/>
      </w:r>
      <w:r>
        <w:rPr>
          <w:b/>
          <w:bCs/>
        </w:rPr>
        <w:tab/>
      </w:r>
      <w:r>
        <w:rPr>
          <w:b/>
          <w:bCs/>
        </w:rPr>
        <w:t xml:space="preserve"> Population Size</w:t>
      </w:r>
    </w:p>
    <w:p w:rsidR="002C4027" w:rsidRDefault="00D857CD">
      <w:pPr>
        <w:pStyle w:val="NormalWeb"/>
        <w:spacing w:before="0" w:beforeAutospacing="0" w:after="0" w:afterAutospacing="0" w:line="480" w:lineRule="auto"/>
        <w:ind w:left="360"/>
        <w:jc w:val="both"/>
      </w:pPr>
      <w:r>
        <w:t>The population includes all food items in the market, while the sample consists of: Rice, Beans, Garri, Semovita, Noodles, and Spaghetti.</w:t>
      </w:r>
    </w:p>
    <w:p w:rsidR="002C4027" w:rsidRDefault="00D857CD">
      <w:pPr>
        <w:pStyle w:val="NormalWeb"/>
        <w:spacing w:before="0" w:beforeAutospacing="0" w:after="0" w:afterAutospacing="0" w:line="480" w:lineRule="auto"/>
        <w:ind w:left="360"/>
        <w:jc w:val="both"/>
        <w:rPr>
          <w:b/>
          <w:bCs/>
        </w:rPr>
      </w:pPr>
      <w:r>
        <w:rPr>
          <w:b/>
          <w:bCs/>
        </w:rPr>
        <w:t xml:space="preserve">3.3 </w:t>
      </w:r>
      <w:r>
        <w:rPr>
          <w:b/>
          <w:bCs/>
        </w:rPr>
        <w:tab/>
        <w:t>Method of Data Collection</w:t>
      </w:r>
    </w:p>
    <w:p w:rsidR="002C4027" w:rsidRDefault="00D857CD">
      <w:pPr>
        <w:pStyle w:val="NormalWeb"/>
        <w:spacing w:before="0" w:beforeAutospacing="0" w:after="0" w:afterAutospacing="0" w:line="480" w:lineRule="auto"/>
        <w:ind w:left="360"/>
        <w:jc w:val="both"/>
      </w:pPr>
      <w:r>
        <w:t>Data was collected from market records and vendor interviews on prices</w:t>
      </w:r>
      <w:r>
        <w:t xml:space="preserve"> of commodities in 2024 and 2025.</w:t>
      </w:r>
    </w:p>
    <w:p w:rsidR="002C4027" w:rsidRDefault="00D857CD">
      <w:pPr>
        <w:pStyle w:val="NormalWeb"/>
        <w:tabs>
          <w:tab w:val="center" w:pos="4500"/>
        </w:tabs>
        <w:spacing w:before="0" w:beforeAutospacing="0" w:after="0" w:afterAutospacing="0" w:line="480" w:lineRule="auto"/>
        <w:ind w:left="360"/>
        <w:jc w:val="both"/>
      </w:pPr>
      <w:r>
        <w:rPr>
          <w:b/>
          <w:bCs/>
        </w:rPr>
        <w:t>3.4            Method of Data Analysis</w:t>
      </w:r>
      <w:r>
        <w:rPr>
          <w:b/>
          <w:bCs/>
        </w:rPr>
        <w:tab/>
      </w:r>
      <w:r>
        <w:br/>
        <w:t>The CPI was calculated using the Laspeyres priceIndex, Paasche price index, fisher’s ideal index.</w:t>
      </w:r>
    </w:p>
    <w:p w:rsidR="002C4027" w:rsidRDefault="00D857CD">
      <w:pPr>
        <w:pStyle w:val="NormalWeb"/>
        <w:tabs>
          <w:tab w:val="center" w:pos="4500"/>
        </w:tabs>
        <w:spacing w:after="0" w:afterAutospacing="0" w:line="480" w:lineRule="auto"/>
        <w:ind w:left="360"/>
        <w:jc w:val="both"/>
        <w:rPr>
          <w:b/>
          <w:bCs/>
        </w:rPr>
      </w:pPr>
      <w:r>
        <w:rPr>
          <w:b/>
          <w:bCs/>
        </w:rPr>
        <w:t>LPI</w:t>
      </w:r>
      <w:r>
        <w:t>= (ΣP1Q0 / ΣP0Q0) × 100</w:t>
      </w:r>
    </w:p>
    <w:p w:rsidR="002C4027" w:rsidRDefault="00D857CD">
      <w:pPr>
        <w:pStyle w:val="NormalWeb"/>
        <w:spacing w:after="0" w:afterAutospacing="0" w:line="480" w:lineRule="auto"/>
        <w:ind w:left="360"/>
        <w:jc w:val="both"/>
        <w:rPr>
          <w:b/>
          <w:bCs/>
        </w:rPr>
      </w:pPr>
      <w:r>
        <w:rPr>
          <w:b/>
          <w:bCs/>
        </w:rPr>
        <w:t>PPI=</w:t>
      </w:r>
      <w:r>
        <w:t xml:space="preserve"> (ΣP1Q1 / ΣP0Q1) × 100</w:t>
      </w:r>
    </w:p>
    <w:p w:rsidR="002C4027" w:rsidRDefault="00D857CD">
      <w:pPr>
        <w:pStyle w:val="NormalWeb"/>
        <w:spacing w:after="0" w:afterAutospacing="0" w:line="480" w:lineRule="auto"/>
        <w:ind w:left="360"/>
        <w:jc w:val="both"/>
        <w:rPr>
          <w:b/>
          <w:bCs/>
        </w:rPr>
      </w:pPr>
      <w:r>
        <w:rPr>
          <w:b/>
          <w:bCs/>
        </w:rPr>
        <w:t>FII</w:t>
      </w:r>
      <w:r>
        <w:t>= √(LPI × PPI)</w:t>
      </w:r>
    </w:p>
    <w:p w:rsidR="002C4027" w:rsidRDefault="002C4027">
      <w:pPr>
        <w:pStyle w:val="NormalWeb"/>
        <w:spacing w:after="0" w:afterAutospacing="0" w:line="480" w:lineRule="auto"/>
        <w:jc w:val="both"/>
        <w:rPr>
          <w:b/>
          <w:bCs/>
        </w:rPr>
      </w:pPr>
    </w:p>
    <w:p w:rsidR="002C4027" w:rsidRDefault="002C4027">
      <w:pPr>
        <w:pStyle w:val="NormalWeb"/>
        <w:spacing w:after="0" w:afterAutospacing="0"/>
        <w:ind w:left="360"/>
        <w:jc w:val="both"/>
        <w:rPr>
          <w:b/>
          <w:bCs/>
        </w:rPr>
      </w:pPr>
    </w:p>
    <w:p w:rsidR="002C4027" w:rsidRDefault="00D857CD">
      <w:pPr>
        <w:pStyle w:val="NormalWeb"/>
        <w:spacing w:after="0" w:afterAutospacing="0"/>
        <w:ind w:left="360"/>
        <w:jc w:val="center"/>
        <w:rPr>
          <w:b/>
          <w:bCs/>
        </w:rPr>
      </w:pPr>
      <w:r>
        <w:rPr>
          <w:b/>
          <w:bCs/>
        </w:rPr>
        <w:lastRenderedPageBreak/>
        <w:t>CHAPTER FO</w:t>
      </w:r>
      <w:r>
        <w:rPr>
          <w:b/>
          <w:bCs/>
        </w:rPr>
        <w:t>UR</w:t>
      </w:r>
    </w:p>
    <w:p w:rsidR="002C4027" w:rsidRDefault="00D857CD">
      <w:pPr>
        <w:pStyle w:val="NormalWeb"/>
        <w:spacing w:after="0" w:afterAutospacing="0"/>
        <w:ind w:left="360"/>
        <w:jc w:val="center"/>
        <w:rPr>
          <w:b/>
          <w:bCs/>
        </w:rPr>
      </w:pPr>
      <w:r>
        <w:rPr>
          <w:b/>
          <w:bCs/>
        </w:rPr>
        <w:t>DATA INTERPRETATION</w:t>
      </w:r>
    </w:p>
    <w:p w:rsidR="002C4027" w:rsidRDefault="00D857CD">
      <w:pPr>
        <w:pStyle w:val="NormalWeb"/>
        <w:spacing w:after="0" w:afterAutospacing="0" w:line="480" w:lineRule="auto"/>
        <w:jc w:val="both"/>
        <w:rPr>
          <w:b/>
        </w:rPr>
      </w:pPr>
      <w:r>
        <w:rPr>
          <w:b/>
        </w:rPr>
        <w:t xml:space="preserve">4.1 </w:t>
      </w:r>
      <w:r>
        <w:rPr>
          <w:b/>
        </w:rPr>
        <w:tab/>
        <w:t>Introduction</w:t>
      </w:r>
    </w:p>
    <w:p w:rsidR="002C4027" w:rsidRDefault="00D857CD">
      <w:pPr>
        <w:pStyle w:val="NormalWeb"/>
        <w:spacing w:after="0" w:afterAutospacing="0" w:line="480" w:lineRule="auto"/>
        <w:jc w:val="both"/>
      </w:pPr>
      <w:r>
        <w:t>This chapter presents, analyzes, and interprets the data collected on the prices of selected food items from ,Mandate Market, Ilorin, between the base year 2024 and the current year 2025. The selected food items inc</w:t>
      </w:r>
      <w:r>
        <w:t>lude rice (50kg), beans (50kg), garri (50kg), semovita (10kg), butter (500g), and spaghetti (500g). The primary objective is to measure the percentage change in prices and apply three classical price indicesLaspeyres, Paasche, and Fisherto determine the in</w:t>
      </w:r>
      <w:r>
        <w:t>flationary trends experienced in the market. The analysis is based on the assumption that quantity (Q) for each commodity is constant and equal to 1, for ease of computation.</w:t>
      </w:r>
    </w:p>
    <w:p w:rsidR="002C4027" w:rsidRDefault="00D857CD">
      <w:pPr>
        <w:pStyle w:val="NormalWeb"/>
        <w:spacing w:after="0" w:afterAutospacing="0"/>
        <w:jc w:val="both"/>
      </w:pPr>
      <w:r>
        <w:rPr>
          <w:noProof/>
        </w:rPr>
        <w:drawing>
          <wp:inline distT="0" distB="0" distL="114300" distR="114300">
            <wp:extent cx="4596130" cy="2424430"/>
            <wp:effectExtent l="0" t="0" r="13970"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4596130" cy="2424430"/>
                    </a:xfrm>
                    <a:prstGeom prst="rect">
                      <a:avLst/>
                    </a:prstGeom>
                    <a:noFill/>
                    <a:ln>
                      <a:noFill/>
                    </a:ln>
                  </pic:spPr>
                </pic:pic>
              </a:graphicData>
            </a:graphic>
          </wp:inline>
        </w:drawing>
      </w:r>
    </w:p>
    <w:p w:rsidR="002C4027" w:rsidRDefault="00D857CD">
      <w:pPr>
        <w:pStyle w:val="NormalWeb"/>
        <w:spacing w:after="0" w:afterAutospacing="0"/>
        <w:jc w:val="both"/>
      </w:pPr>
      <w:r>
        <w:t>Fig 1: Prices of food commodities from 2024-2025</w:t>
      </w:r>
    </w:p>
    <w:p w:rsidR="002C4027" w:rsidRDefault="002C4027">
      <w:pPr>
        <w:pStyle w:val="NormalWeb"/>
        <w:spacing w:after="0" w:afterAutospacing="0" w:line="480" w:lineRule="auto"/>
        <w:jc w:val="both"/>
        <w:rPr>
          <w:b/>
        </w:rPr>
      </w:pPr>
    </w:p>
    <w:p w:rsidR="002C4027" w:rsidRDefault="00D857CD">
      <w:pPr>
        <w:pStyle w:val="NormalWeb"/>
        <w:spacing w:after="0" w:afterAutospacing="0" w:line="480" w:lineRule="auto"/>
        <w:jc w:val="both"/>
        <w:rPr>
          <w:b/>
        </w:rPr>
      </w:pPr>
      <w:r>
        <w:rPr>
          <w:b/>
        </w:rPr>
        <w:lastRenderedPageBreak/>
        <w:t>4.2</w:t>
      </w:r>
      <w:r>
        <w:rPr>
          <w:b/>
        </w:rPr>
        <w:tab/>
        <w:t>Price Data Collected</w:t>
      </w:r>
    </w:p>
    <w:tbl>
      <w:tblPr>
        <w:tblStyle w:val="TableGrid"/>
        <w:tblW w:w="8884" w:type="dxa"/>
        <w:tblLook w:val="04A0"/>
      </w:tblPr>
      <w:tblGrid>
        <w:gridCol w:w="656"/>
        <w:gridCol w:w="2024"/>
        <w:gridCol w:w="1919"/>
        <w:gridCol w:w="1919"/>
        <w:gridCol w:w="2366"/>
      </w:tblGrid>
      <w:tr w:rsidR="002C4027">
        <w:trPr>
          <w:trHeight w:val="574"/>
        </w:trPr>
        <w:tc>
          <w:tcPr>
            <w:tcW w:w="0" w:type="auto"/>
          </w:tcPr>
          <w:p w:rsidR="002C4027" w:rsidRDefault="00D857C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S/N</w:t>
            </w:r>
          </w:p>
        </w:tc>
        <w:tc>
          <w:tcPr>
            <w:tcW w:w="0" w:type="auto"/>
          </w:tcPr>
          <w:p w:rsidR="002C4027" w:rsidRDefault="00D857C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w:t>
            </w:r>
          </w:p>
        </w:tc>
        <w:tc>
          <w:tcPr>
            <w:tcW w:w="0" w:type="auto"/>
          </w:tcPr>
          <w:p w:rsidR="002C4027" w:rsidRDefault="00D857C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P₀ (2024 Price)</w:t>
            </w:r>
          </w:p>
        </w:tc>
        <w:tc>
          <w:tcPr>
            <w:tcW w:w="0" w:type="auto"/>
          </w:tcPr>
          <w:p w:rsidR="002C4027" w:rsidRDefault="00D857C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P₁ (2025 Price)</w:t>
            </w:r>
          </w:p>
        </w:tc>
        <w:tc>
          <w:tcPr>
            <w:tcW w:w="0" w:type="auto"/>
          </w:tcPr>
          <w:p w:rsidR="002C4027" w:rsidRDefault="00D857C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Q₀ = Q₁ (Quantity)</w:t>
            </w:r>
          </w:p>
        </w:tc>
      </w:tr>
      <w:tr w:rsidR="002C4027">
        <w:trPr>
          <w:trHeight w:val="279"/>
        </w:trPr>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Rice (50kg)</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₦42,000</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₦55,000</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C4027">
        <w:trPr>
          <w:trHeight w:val="279"/>
        </w:trPr>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Beans (50kg)</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₦32,000</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₦47,000</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C4027">
        <w:trPr>
          <w:trHeight w:val="279"/>
        </w:trPr>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Garri (50kg)</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₦18,000</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bookmarkStart w:id="0" w:name="_GoBack"/>
            <w:bookmarkEnd w:id="0"/>
            <w:r>
              <w:rPr>
                <w:rFonts w:ascii="Times New Roman" w:eastAsia="Times New Roman" w:hAnsi="Times New Roman" w:cs="Times New Roman"/>
                <w:sz w:val="24"/>
                <w:szCs w:val="24"/>
              </w:rPr>
              <w:t>0</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C4027">
        <w:trPr>
          <w:trHeight w:val="422"/>
        </w:trPr>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Semovita (10kg)</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₦10,500</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₦13,500</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C4027">
        <w:trPr>
          <w:trHeight w:val="377"/>
        </w:trPr>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Spaghetti (500g)</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₦19,000</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C4027">
        <w:trPr>
          <w:trHeight w:val="440"/>
        </w:trPr>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Butter (500g)</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0" w:type="auto"/>
          </w:tcPr>
          <w:p w:rsidR="002C4027" w:rsidRDefault="00D85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2C4027" w:rsidRDefault="002C4027">
      <w:pPr>
        <w:spacing w:after="0" w:line="480" w:lineRule="auto"/>
        <w:jc w:val="both"/>
        <w:rPr>
          <w:rFonts w:ascii="Times New Roman" w:hAnsi="Times New Roman" w:cs="Times New Roman"/>
          <w:sz w:val="24"/>
          <w:szCs w:val="24"/>
        </w:rPr>
      </w:pPr>
    </w:p>
    <w:p w:rsidR="002C4027" w:rsidRDefault="00D857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 xml:space="preserve"> Laspeyres Price Index (LPI)</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Laspeyres Index is calculated using the formula:</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LPI = [Σ(P₁ × Q₀) / Σ(P₀ × Q₀)] × 100</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Since Q₀ = 1 for all items:</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LPI = [12,537,500 / 13,918,300] × 100 ≈ 90</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Interpretation: </w:t>
      </w:r>
      <w:r>
        <w:rPr>
          <w:rFonts w:ascii="Times New Roman" w:hAnsi="Times New Roman" w:cs="Times New Roman"/>
          <w:sz w:val="24"/>
          <w:szCs w:val="24"/>
        </w:rPr>
        <w:t xml:space="preserve">there is an increase of 36.69%  in </w:t>
      </w:r>
      <w:r>
        <w:rPr>
          <w:rFonts w:ascii="Times New Roman" w:hAnsi="Times New Roman" w:cs="Times New Roman"/>
          <w:sz w:val="24"/>
          <w:szCs w:val="24"/>
        </w:rPr>
        <w:t>laspeyres between 2024 and 2025</w:t>
      </w:r>
    </w:p>
    <w:p w:rsidR="002C4027" w:rsidRDefault="00D857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Paasche Price Index (PPI)</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PPI = [Σ(P₁ × Q₁) / Σ(P₀ × Q₁)] × 100</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Since Q₁ = 1 for all items (same as above):</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PPI = [12,537,500 / 13,918,300] × 100 ≈ 90.1</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Note: Since Q₀ = Q₁ = 1, Paasche = Laspeyres in this simplified cas</w:t>
      </w:r>
      <w:r>
        <w:rPr>
          <w:rFonts w:ascii="Times New Roman" w:hAnsi="Times New Roman" w:cs="Times New Roman"/>
          <w:sz w:val="24"/>
          <w:szCs w:val="24"/>
        </w:rPr>
        <w:t>e.</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Interpretation: The Paasche Index also shows an increase of 36.69%, confirming a significant price increase.</w:t>
      </w:r>
    </w:p>
    <w:p w:rsidR="002C4027" w:rsidRDefault="002C4027">
      <w:pPr>
        <w:spacing w:after="0" w:line="480" w:lineRule="auto"/>
        <w:jc w:val="both"/>
        <w:rPr>
          <w:rFonts w:ascii="Times New Roman" w:hAnsi="Times New Roman" w:cs="Times New Roman"/>
          <w:sz w:val="24"/>
          <w:szCs w:val="24"/>
        </w:rPr>
      </w:pPr>
    </w:p>
    <w:p w:rsidR="002C4027" w:rsidRDefault="00D857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4.5</w:t>
      </w:r>
      <w:r>
        <w:rPr>
          <w:rFonts w:ascii="Times New Roman" w:hAnsi="Times New Roman" w:cs="Times New Roman"/>
          <w:b/>
          <w:sz w:val="24"/>
          <w:szCs w:val="24"/>
        </w:rPr>
        <w:tab/>
        <w:t>Fisher Ideal Price Index (FPI)</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FPI = √(LPI × PPI)</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FPI = √(90×90.1) = √(18692.28) ≈ 90.008</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Interpretation: The Fisher Ideal Index confirms a</w:t>
      </w:r>
      <w:r>
        <w:rPr>
          <w:rFonts w:ascii="Times New Roman" w:hAnsi="Times New Roman" w:cs="Times New Roman"/>
          <w:sz w:val="24"/>
          <w:szCs w:val="24"/>
        </w:rPr>
        <w:t>n average price increase of 90.008%, verifying the reliability of the Laspeyres and Paasche indices in this scenario.</w:t>
      </w:r>
    </w:p>
    <w:p w:rsidR="002C4027" w:rsidRDefault="00D857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4.6 </w:t>
      </w:r>
      <w:r>
        <w:rPr>
          <w:rFonts w:ascii="Times New Roman" w:hAnsi="Times New Roman" w:cs="Times New Roman"/>
          <w:b/>
          <w:sz w:val="24"/>
          <w:szCs w:val="24"/>
        </w:rPr>
        <w:tab/>
        <w:t>Discussion of Results</w:t>
      </w:r>
    </w:p>
    <w:p w:rsidR="002C4027" w:rsidRDefault="00D857CD">
      <w:pPr>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All selected food items experienced significant price increases, with the highest increase seen in Spaghetti </w:t>
      </w:r>
      <w:r>
        <w:rPr>
          <w:rFonts w:ascii="Times New Roman" w:hAnsi="Times New Roman" w:cs="Times New Roman"/>
          <w:sz w:val="24"/>
          <w:szCs w:val="24"/>
        </w:rPr>
        <w:t>(50%) and Beans (46.88%).</w:t>
      </w:r>
    </w:p>
    <w:p w:rsidR="002C4027" w:rsidRDefault="00D857CD">
      <w:pPr>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general price index (Laspeyres, Paasche, and Fisher) indicates a 36.69% inflation in food prices within one year.</w:t>
      </w:r>
    </w:p>
    <w:p w:rsidR="002C4027" w:rsidRDefault="00D857CD">
      <w:pPr>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increases reflect broader economic challenges such as fuel subsidy removal, naira devaluation, and insecur</w:t>
      </w:r>
      <w:r>
        <w:rPr>
          <w:rFonts w:ascii="Times New Roman" w:hAnsi="Times New Roman" w:cs="Times New Roman"/>
          <w:sz w:val="24"/>
          <w:szCs w:val="24"/>
        </w:rPr>
        <w:t>ity in agricultural zones.</w:t>
      </w:r>
    </w:p>
    <w:p w:rsidR="002C4027" w:rsidRDefault="00D857CD">
      <w:pPr>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Such inflation significantly affects consumer purchasing power, especially among low-income households who depend heavily on these staples.</w:t>
      </w:r>
    </w:p>
    <w:p w:rsidR="002C4027" w:rsidRDefault="00D857CD">
      <w:pPr>
        <w:spacing w:after="0" w:line="480" w:lineRule="auto"/>
        <w:ind w:left="90" w:firstLine="90"/>
        <w:jc w:val="both"/>
        <w:rPr>
          <w:rFonts w:ascii="Times New Roman" w:hAnsi="Times New Roman" w:cs="Times New Roman"/>
          <w:b/>
          <w:sz w:val="24"/>
          <w:szCs w:val="24"/>
        </w:rPr>
      </w:pPr>
      <w:r>
        <w:rPr>
          <w:b/>
        </w:rPr>
        <w:t xml:space="preserve">4.7 </w:t>
      </w:r>
      <w:r>
        <w:rPr>
          <w:b/>
        </w:rPr>
        <w:tab/>
        <w:t>Summary</w:t>
      </w:r>
    </w:p>
    <w:p w:rsidR="002C4027" w:rsidRDefault="00D857CD">
      <w:pPr>
        <w:pStyle w:val="NormalWeb"/>
        <w:spacing w:after="0" w:afterAutospacing="0" w:line="480" w:lineRule="auto"/>
        <w:ind w:left="360"/>
        <w:jc w:val="both"/>
      </w:pPr>
      <w:r>
        <w:t xml:space="preserve">This chapter presented and analyzed food price data for 2024 and 2025 using </w:t>
      </w:r>
      <w:r>
        <w:t>three standard price indices. All indicators pointed to a strong inflationary trend, with prices increasing on average by 36.69%. This supports the hypothesis that Nigerian food markets are experiencing sustained upward price pressure, with significant soc</w:t>
      </w:r>
      <w:r>
        <w:t>io-economic implications.</w:t>
      </w:r>
    </w:p>
    <w:p w:rsidR="002C4027" w:rsidRDefault="002C4027">
      <w:pPr>
        <w:spacing w:after="0" w:line="480" w:lineRule="auto"/>
        <w:jc w:val="both"/>
        <w:rPr>
          <w:rFonts w:ascii="Times New Roman" w:hAnsi="Times New Roman" w:cs="Times New Roman"/>
          <w:sz w:val="24"/>
          <w:szCs w:val="24"/>
        </w:rPr>
      </w:pPr>
    </w:p>
    <w:p w:rsidR="002C4027" w:rsidRDefault="00D857CD" w:rsidP="00DF0314">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rsidR="002C4027" w:rsidRDefault="00D857C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rsidR="002C4027" w:rsidRDefault="00D857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b/>
          <w:sz w:val="24"/>
          <w:szCs w:val="24"/>
        </w:rPr>
        <w:tab/>
        <w:t>Summary of Findings</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research set out to analyze the price behavior of selected staple food items in Ilorin, Kwara Statespecifically the popular mandate market—over</w:t>
      </w:r>
      <w:r>
        <w:rPr>
          <w:rFonts w:ascii="Times New Roman" w:hAnsi="Times New Roman" w:cs="Times New Roman"/>
          <w:sz w:val="24"/>
          <w:szCs w:val="24"/>
        </w:rPr>
        <w:t xml:space="preserve"> a two-year period (2024 to 2025). The selected items were rice, beans, Garri, semovita, noodles, and spaghetti, all of which are critical to the average Nigerian diet.</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Using primary price data collected for the base year (2024) and the current year (2025)</w:t>
      </w:r>
      <w:r>
        <w:rPr>
          <w:rFonts w:ascii="Times New Roman" w:hAnsi="Times New Roman" w:cs="Times New Roman"/>
          <w:sz w:val="24"/>
          <w:szCs w:val="24"/>
        </w:rPr>
        <w:t>, the study calculated price changes and applied three classical price indices—Laspeyres, Paasche, and Fisherto determine the degree of food price inflation.</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key findings are as follows:</w:t>
      </w:r>
    </w:p>
    <w:p w:rsidR="002C4027" w:rsidRDefault="00D857CD">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All six food items recorded significant price increases, ranging </w:t>
      </w:r>
      <w:r>
        <w:rPr>
          <w:rFonts w:ascii="Times New Roman" w:hAnsi="Times New Roman" w:cs="Times New Roman"/>
          <w:sz w:val="24"/>
          <w:szCs w:val="24"/>
        </w:rPr>
        <w:t>from 28.57% to 50.00%. The average price increase across all items was 36.69%.</w:t>
      </w:r>
    </w:p>
    <w:p w:rsidR="002C4027" w:rsidRDefault="00D857CD">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Laspeyres Price Index showed a 36.69% increase in price, indicating inflation based on fixed consumption patterns.</w:t>
      </w:r>
    </w:p>
    <w:p w:rsidR="002C4027" w:rsidRDefault="00D857CD">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Paasche Price Index, which considers current </w:t>
      </w:r>
      <w:r>
        <w:rPr>
          <w:rFonts w:ascii="Times New Roman" w:hAnsi="Times New Roman" w:cs="Times New Roman"/>
          <w:sz w:val="24"/>
          <w:szCs w:val="24"/>
        </w:rPr>
        <w:t>consumption behavior, also returned a 36.69% increase due to the assumption of constant quantity (Q = 1).</w:t>
      </w:r>
    </w:p>
    <w:p w:rsidR="002C4027" w:rsidRDefault="00D857CD">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Fisher Ideal Price Index, a geometric mean of Laspeyres and Paasche, confirmed the inflationary trend with the same value: 136.69.</w:t>
      </w:r>
    </w:p>
    <w:p w:rsidR="002C4027" w:rsidRDefault="00D857CD">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results r</w:t>
      </w:r>
      <w:r>
        <w:rPr>
          <w:rFonts w:ascii="Times New Roman" w:hAnsi="Times New Roman" w:cs="Times New Roman"/>
          <w:sz w:val="24"/>
          <w:szCs w:val="24"/>
        </w:rPr>
        <w:t>eflect strong upward pressure on food prices in Ilorin and by extension, in similar Nigerian urban markets.</w:t>
      </w:r>
    </w:p>
    <w:p w:rsidR="002C4027" w:rsidRDefault="00D857CD">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Inflation was driven by a variety of macroeconomic and structural factors including fuel price hikes, transport costs, naira depreciation, </w:t>
      </w:r>
      <w:r>
        <w:rPr>
          <w:rFonts w:ascii="Times New Roman" w:hAnsi="Times New Roman" w:cs="Times New Roman"/>
          <w:sz w:val="24"/>
          <w:szCs w:val="24"/>
        </w:rPr>
        <w:t>insecurity, and supply chain inefficiencies.</w:t>
      </w:r>
    </w:p>
    <w:p w:rsidR="002C4027" w:rsidRDefault="00D857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t>Conclusion</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concludes that food prices in Mandate market have experienced substantial inflation between 2024 and 2025. This trend aligns with broader national inflation data but also highlights the</w:t>
      </w:r>
      <w:r>
        <w:rPr>
          <w:rFonts w:ascii="Times New Roman" w:hAnsi="Times New Roman" w:cs="Times New Roman"/>
          <w:sz w:val="24"/>
          <w:szCs w:val="24"/>
        </w:rPr>
        <w:t xml:space="preserve"> unique local challenges faced in regional markets like Ilorin.</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of Laspeyres, Paasche, and Fisher indices has provided a comprehensive and balanced view of the price dynamics. The consistent inflation value across all indices (due to equal </w:t>
      </w:r>
      <w:r>
        <w:rPr>
          <w:rFonts w:ascii="Times New Roman" w:hAnsi="Times New Roman" w:cs="Times New Roman"/>
          <w:sz w:val="24"/>
          <w:szCs w:val="24"/>
        </w:rPr>
        <w:t>quantities) further validates the reliability of the findings and confirms the accuracy of the analytical framework used.</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implications of this persistent food price inflation are far-reaching:</w:t>
      </w:r>
    </w:p>
    <w:p w:rsidR="002C4027" w:rsidRDefault="00D857CD">
      <w:pPr>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erodes the purchasing power of low- and middle-income ho</w:t>
      </w:r>
      <w:r>
        <w:rPr>
          <w:rFonts w:ascii="Times New Roman" w:hAnsi="Times New Roman" w:cs="Times New Roman"/>
          <w:sz w:val="24"/>
          <w:szCs w:val="24"/>
        </w:rPr>
        <w:t>useholds.</w:t>
      </w:r>
    </w:p>
    <w:p w:rsidR="002C4027" w:rsidRDefault="00D857CD">
      <w:pPr>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threatens food security, especially among vulnerable populations.</w:t>
      </w:r>
    </w:p>
    <w:p w:rsidR="002C4027" w:rsidRDefault="00D857CD">
      <w:pPr>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introduces volatility into retail trade and affects market efficiency.</w:t>
      </w:r>
    </w:p>
    <w:p w:rsidR="002C4027" w:rsidRDefault="00D857CD">
      <w:pPr>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exposes the limitations of Nigeria’s current inflation management strategies.</w:t>
      </w:r>
    </w:p>
    <w:p w:rsidR="002C4027" w:rsidRDefault="00D857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5.3 </w:t>
      </w:r>
      <w:r>
        <w:rPr>
          <w:rFonts w:ascii="Times New Roman" w:hAnsi="Times New Roman" w:cs="Times New Roman"/>
          <w:b/>
          <w:sz w:val="24"/>
          <w:szCs w:val="24"/>
        </w:rPr>
        <w:tab/>
        <w:t>Recommendations</w:t>
      </w:r>
    </w:p>
    <w:p w:rsidR="002C4027" w:rsidRDefault="00D857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ased on the findings and conclusions, the following recommendations are proposed:</w:t>
      </w:r>
    </w:p>
    <w:p w:rsidR="002C4027" w:rsidRDefault="00D857CD">
      <w:pPr>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Strengthen Agricultural Infrastructure: Government and stakeholders should invest in improved farming tools, irrigation systems, and storage facilities to reduce seasonal sho</w:t>
      </w:r>
      <w:r>
        <w:rPr>
          <w:rFonts w:ascii="Times New Roman" w:hAnsi="Times New Roman" w:cs="Times New Roman"/>
          <w:sz w:val="24"/>
          <w:szCs w:val="24"/>
        </w:rPr>
        <w:t>rtages and post-harvest losses.</w:t>
      </w:r>
    </w:p>
    <w:p w:rsidR="002C4027" w:rsidRDefault="00D857CD">
      <w:pPr>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Improve Market Logistics: There is a need for improved road networks and cheaper transportation alternatives to reduce the cost of moving goods from farms to urban centers.</w:t>
      </w:r>
    </w:p>
    <w:p w:rsidR="002C4027" w:rsidRDefault="00D857CD">
      <w:pPr>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Introduce Market-Level Price Monitoring: Localized </w:t>
      </w:r>
      <w:r>
        <w:rPr>
          <w:rFonts w:ascii="Times New Roman" w:hAnsi="Times New Roman" w:cs="Times New Roman"/>
          <w:sz w:val="24"/>
          <w:szCs w:val="24"/>
        </w:rPr>
        <w:t>inflation tracking should complement national CPI data. State governments and municipal authorities should monitor prices in major markets and publish monthly food price bulletins.</w:t>
      </w:r>
    </w:p>
    <w:p w:rsidR="002C4027" w:rsidRDefault="00D857CD">
      <w:pPr>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Implement Targeted Subsidies and Social Support: Subsidies for staple food </w:t>
      </w:r>
      <w:r>
        <w:rPr>
          <w:rFonts w:ascii="Times New Roman" w:hAnsi="Times New Roman" w:cs="Times New Roman"/>
          <w:sz w:val="24"/>
          <w:szCs w:val="24"/>
        </w:rPr>
        <w:t>items (or conditional cash transfers) could be targeted at low-income households to mitigate the impact of food inflation.</w:t>
      </w:r>
    </w:p>
    <w:p w:rsidR="002C4027" w:rsidRDefault="00D857CD">
      <w:pPr>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Promote Homegrown and Substitutable Food Options: Consumers should be educated on affordable alternatives to imported or expensive st</w:t>
      </w:r>
      <w:r>
        <w:rPr>
          <w:rFonts w:ascii="Times New Roman" w:hAnsi="Times New Roman" w:cs="Times New Roman"/>
          <w:sz w:val="24"/>
          <w:szCs w:val="24"/>
        </w:rPr>
        <w:t>aples. Government campaigns can promote local rice and cassava products, reducing reliance on foreign food items.</w:t>
      </w:r>
    </w:p>
    <w:p w:rsidR="002C4027" w:rsidRDefault="00D857CD">
      <w:pPr>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Regulate Middlemen Practices: Middlemen often cause price distortions through hoarding and speculation. Regulation and price monitoring in cen</w:t>
      </w:r>
      <w:r>
        <w:rPr>
          <w:rFonts w:ascii="Times New Roman" w:hAnsi="Times New Roman" w:cs="Times New Roman"/>
          <w:sz w:val="24"/>
          <w:szCs w:val="24"/>
        </w:rPr>
        <w:t>tral markets could reduce such practices.</w:t>
      </w:r>
    </w:p>
    <w:p w:rsidR="002C4027" w:rsidRDefault="00D857CD">
      <w:pPr>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Expand Use of Composite Indices for Policy: Policy-makers should rely on multiple indices—such as Fisher’s Ideal Index—to guide fiscal and food security decisions, as this provides a more nuanced picture of price t</w:t>
      </w:r>
      <w:r>
        <w:rPr>
          <w:rFonts w:ascii="Times New Roman" w:hAnsi="Times New Roman" w:cs="Times New Roman"/>
          <w:sz w:val="24"/>
          <w:szCs w:val="24"/>
        </w:rPr>
        <w:t>rends.</w:t>
      </w:r>
    </w:p>
    <w:p w:rsidR="002C4027" w:rsidRDefault="00D857CD">
      <w:pPr>
        <w:spacing w:after="0"/>
        <w:jc w:val="both"/>
        <w:rPr>
          <w:rFonts w:ascii="Times New Roman" w:hAnsi="Times New Roman" w:cs="Times New Roman"/>
          <w:sz w:val="24"/>
          <w:szCs w:val="24"/>
        </w:rPr>
      </w:pPr>
      <w:r>
        <w:rPr>
          <w:rFonts w:ascii="Times New Roman" w:hAnsi="Times New Roman" w:cs="Times New Roman"/>
          <w:sz w:val="24"/>
          <w:szCs w:val="24"/>
        </w:rPr>
        <w:br w:type="page"/>
      </w:r>
    </w:p>
    <w:p w:rsidR="002C4027" w:rsidRDefault="00D857C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2C4027" w:rsidRDefault="00D857CD">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Adeyemi, A. &amp;Ogunfowokan, O. (2014). Analysis of Price Volatility in the Nigerian Maize Market. Nigerian Journal of Agricultural Economics, 5(2), 45–56.</w:t>
      </w:r>
    </w:p>
    <w:p w:rsidR="002C4027" w:rsidRDefault="00D857CD">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 xml:space="preserve">Aina, T. &amp; Yusuf, S. (2019). Perceptions of Food Affordability in Urban Nigeria: </w:t>
      </w:r>
      <w:r>
        <w:rPr>
          <w:rFonts w:ascii="Times New Roman" w:hAnsi="Times New Roman" w:cs="Times New Roman"/>
          <w:sz w:val="24"/>
          <w:szCs w:val="24"/>
        </w:rPr>
        <w:t>Evidence from Lagos State. International Journal of Consumer Studies, 43(1), 101–110.</w:t>
      </w:r>
    </w:p>
    <w:p w:rsidR="002C4027" w:rsidRDefault="00D857CD">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Ajala, A. &amp; Adesina, K. (2016). Price Dynamics of Rice in Nigeria: An Empirical Analysis. Journal of African Development, 18(1), 55–70.</w:t>
      </w:r>
    </w:p>
    <w:p w:rsidR="002C4027" w:rsidRDefault="00D857CD">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 xml:space="preserve">Alao, M. (2018). On the Choice of </w:t>
      </w:r>
      <w:r>
        <w:rPr>
          <w:rFonts w:ascii="Times New Roman" w:hAnsi="Times New Roman" w:cs="Times New Roman"/>
          <w:sz w:val="24"/>
          <w:szCs w:val="24"/>
        </w:rPr>
        <w:t>Price Indices for Inflation Measurement in Nigeria. Nigerian Journal of Statistics, 30(1), 88–97.</w:t>
      </w:r>
    </w:p>
    <w:p w:rsidR="002C4027" w:rsidRDefault="00D857CD">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Bellemare, M. F. (2015). Rising Food Prices, Food Price Volatility, and Social Unrest. American Journal of Agricultural Economics, 97(1), 1–21.</w:t>
      </w:r>
    </w:p>
    <w:p w:rsidR="002C4027" w:rsidRDefault="00D857CD">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Central Bank o</w:t>
      </w:r>
      <w:r>
        <w:rPr>
          <w:rFonts w:ascii="Times New Roman" w:hAnsi="Times New Roman" w:cs="Times New Roman"/>
          <w:sz w:val="24"/>
          <w:szCs w:val="24"/>
        </w:rPr>
        <w:t>f Nigeria (2024). Monetary Policy Report: Inflation and Exchange Rate Developments. Abuja: CBN Publications.</w:t>
      </w:r>
    </w:p>
    <w:p w:rsidR="002C4027" w:rsidRDefault="00D857CD">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Chukwuma, E. &amp; Adeniran, A. (2019). Measuring Inflation in West Africa: The Role of Price Indices. African Economic Policy Review, 8(2), 113–129.</w:t>
      </w:r>
    </w:p>
    <w:p w:rsidR="002C4027" w:rsidRDefault="00D857CD">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D</w:t>
      </w:r>
      <w:r>
        <w:rPr>
          <w:rFonts w:ascii="Times New Roman" w:hAnsi="Times New Roman" w:cs="Times New Roman"/>
          <w:sz w:val="24"/>
          <w:szCs w:val="24"/>
        </w:rPr>
        <w:t>awe, D. &amp;Maltsoglou, I. (2012). Rice Price Stabilization in Asia: Recent Experience and Policy Lessons. FAO Commodity Policy and Projections Journal, 4(3), 24–41.</w:t>
      </w:r>
    </w:p>
    <w:p w:rsidR="002C4027" w:rsidRDefault="00D857CD">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 xml:space="preserve">Diewert, W. E. (2001). The Consumer Price Index and Index Number Theory: A Survey. Vancouver </w:t>
      </w:r>
      <w:r>
        <w:rPr>
          <w:rFonts w:ascii="Times New Roman" w:hAnsi="Times New Roman" w:cs="Times New Roman"/>
          <w:sz w:val="24"/>
          <w:szCs w:val="24"/>
        </w:rPr>
        <w:t>School of Economics Working Paper Series.</w:t>
      </w:r>
    </w:p>
    <w:p w:rsidR="002C4027" w:rsidRDefault="00D857CD">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lastRenderedPageBreak/>
        <w:t>Ezeaku, H. &amp; Nwachukwu, I. (2020). Border Closure and Food Price Inflation in Nigeria: An Empirical Insight. Nigerian Journal of Economic Policy, 27(2), 78–92.</w:t>
      </w:r>
    </w:p>
    <w:p w:rsidR="002C4027" w:rsidRDefault="00D857CD">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FAO (2017). The State of Food Security and Nutrition i</w:t>
      </w:r>
      <w:r>
        <w:rPr>
          <w:rFonts w:ascii="Times New Roman" w:hAnsi="Times New Roman" w:cs="Times New Roman"/>
          <w:sz w:val="24"/>
          <w:szCs w:val="24"/>
        </w:rPr>
        <w:t>n the World. Food and Agriculture Organization of the United Nations.</w:t>
      </w:r>
    </w:p>
    <w:p w:rsidR="002C4027" w:rsidRDefault="00D857CD">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Ibrahim, K., Salihu, D. &amp; Lawal, A. (2022). Trends in Staple Food Prices in Kwara State: An Econometric Evaluation. Ilorin Journal of Social and Economic Studies, 6(1), 23–39.</w:t>
      </w:r>
    </w:p>
    <w:p w:rsidR="002C4027" w:rsidRDefault="00D857CD">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 xml:space="preserve">IMF </w:t>
      </w:r>
      <w:r>
        <w:rPr>
          <w:rFonts w:ascii="Times New Roman" w:hAnsi="Times New Roman" w:cs="Times New Roman"/>
          <w:sz w:val="24"/>
          <w:szCs w:val="24"/>
        </w:rPr>
        <w:t>(2021). Nigeria: Selected Issues in Inflation Targeting. International Monetary Fund Country Report No. 21/92.</w:t>
      </w:r>
    </w:p>
    <w:p w:rsidR="002C4027" w:rsidRDefault="00D857CD">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Musa, A., Bello, M., &amp; Yusuf, I. (2019). Price Volatility in Nigerian Bean Markets: Causes and Effects. Journal of Agribusiness and Rural Develop</w:t>
      </w:r>
      <w:r>
        <w:rPr>
          <w:rFonts w:ascii="Times New Roman" w:hAnsi="Times New Roman" w:cs="Times New Roman"/>
          <w:sz w:val="24"/>
          <w:szCs w:val="24"/>
        </w:rPr>
        <w:t>ment, 3(1), 56–67.</w:t>
      </w:r>
    </w:p>
    <w:p w:rsidR="002C4027" w:rsidRDefault="00D857CD">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Njenga, M. &amp; Wambugu, J. (2020). Measuring Urban Inflation: A Case Study of Nairobi Using Fisher’s Ideal Index. East African Economic Review, 12(2), 201–219.</w:t>
      </w:r>
    </w:p>
    <w:p w:rsidR="002C4027" w:rsidRDefault="00D857CD">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NBS (2023). National Consumer Price Index Reports. National Bureau of Statistic</w:t>
      </w:r>
      <w:r>
        <w:rPr>
          <w:rFonts w:ascii="Times New Roman" w:hAnsi="Times New Roman" w:cs="Times New Roman"/>
          <w:sz w:val="24"/>
          <w:szCs w:val="24"/>
        </w:rPr>
        <w:t>s, Abuja, Nigeria.</w:t>
      </w:r>
    </w:p>
    <w:p w:rsidR="002C4027" w:rsidRDefault="00D857CD">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Obasi, F. &amp;Uzoho, K. (2021). Price Analysis of Processed Food Items in Southeastern Nigeria. Nigerian Food Policy Journal, 9(1), 34–47.</w:t>
      </w:r>
    </w:p>
    <w:p w:rsidR="002C4027" w:rsidRDefault="00D857CD">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lastRenderedPageBreak/>
        <w:t>Olayemi, J. K. (2010). Food Price Increases and Household Poverty in Nigeria. Ibadan Journal of Agric</w:t>
      </w:r>
      <w:r>
        <w:rPr>
          <w:rFonts w:ascii="Times New Roman" w:hAnsi="Times New Roman" w:cs="Times New Roman"/>
          <w:sz w:val="24"/>
          <w:szCs w:val="24"/>
        </w:rPr>
        <w:t>ultural Economics, 4(2), 75–88.Ogunleye, T. A. (2014). Cost-Push Factors in Nigerian Food Inflation. Central Bank of Nigeria Research Department, Working Paper No. 2014-19.</w:t>
      </w:r>
    </w:p>
    <w:sectPr w:rsidR="002C4027" w:rsidSect="002C4027">
      <w:pgSz w:w="11952" w:h="14688"/>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7CD" w:rsidRDefault="00D857CD">
      <w:pPr>
        <w:spacing w:line="240" w:lineRule="auto"/>
      </w:pPr>
      <w:r>
        <w:separator/>
      </w:r>
    </w:p>
  </w:endnote>
  <w:endnote w:type="continuationSeparator" w:id="1">
    <w:p w:rsidR="00D857CD" w:rsidRDefault="00D857C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1738"/>
    </w:sdtPr>
    <w:sdtContent>
      <w:p w:rsidR="002C4027" w:rsidRDefault="002C4027">
        <w:pPr>
          <w:pStyle w:val="Footer"/>
          <w:jc w:val="center"/>
        </w:pPr>
        <w:r>
          <w:fldChar w:fldCharType="begin"/>
        </w:r>
        <w:r w:rsidR="00D857CD">
          <w:instrText xml:space="preserve"> PAGE   \* MERGEFORMAT </w:instrText>
        </w:r>
        <w:r>
          <w:fldChar w:fldCharType="separate"/>
        </w:r>
        <w:r w:rsidR="00A22777">
          <w:rPr>
            <w:noProof/>
          </w:rPr>
          <w:t>v</w:t>
        </w:r>
        <w:r>
          <w:fldChar w:fldCharType="end"/>
        </w:r>
      </w:p>
    </w:sdtContent>
  </w:sdt>
  <w:p w:rsidR="002C4027" w:rsidRDefault="002C40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7CD" w:rsidRDefault="00D857CD">
      <w:pPr>
        <w:spacing w:after="0"/>
      </w:pPr>
      <w:r>
        <w:separator/>
      </w:r>
    </w:p>
  </w:footnote>
  <w:footnote w:type="continuationSeparator" w:id="1">
    <w:p w:rsidR="00D857CD" w:rsidRDefault="00D857C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nsid w:val="04E44AE3"/>
    <w:multiLevelType w:val="multilevel"/>
    <w:tmpl w:val="04E44A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4C45651"/>
    <w:multiLevelType w:val="multilevel"/>
    <w:tmpl w:val="14C4565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2EB8750B"/>
    <w:multiLevelType w:val="multilevel"/>
    <w:tmpl w:val="2EB875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359304F6"/>
    <w:multiLevelType w:val="multilevel"/>
    <w:tmpl w:val="359304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51B41E84"/>
    <w:multiLevelType w:val="multilevel"/>
    <w:tmpl w:val="51B41E8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5B510237"/>
    <w:multiLevelType w:val="multilevel"/>
    <w:tmpl w:val="5B5102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5D850024"/>
    <w:multiLevelType w:val="multilevel"/>
    <w:tmpl w:val="5D85002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6CA24037"/>
    <w:multiLevelType w:val="multilevel"/>
    <w:tmpl w:val="6CA24037"/>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8B16FBC"/>
    <w:multiLevelType w:val="multilevel"/>
    <w:tmpl w:val="78B16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7A8F2148"/>
    <w:multiLevelType w:val="multilevel"/>
    <w:tmpl w:val="7A8F214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3"/>
  </w:num>
  <w:num w:numId="8">
    <w:abstractNumId w:val="6"/>
  </w:num>
  <w:num w:numId="9">
    <w:abstractNumId w:val="10"/>
  </w:num>
  <w:num w:numId="10">
    <w:abstractNumId w:val="8"/>
  </w:num>
  <w:num w:numId="11">
    <w:abstractNumId w:val="9"/>
  </w:num>
  <w:num w:numId="12">
    <w:abstractNumId w:val="12"/>
  </w:num>
  <w:num w:numId="13">
    <w:abstractNumId w:val="11"/>
  </w:num>
  <w:num w:numId="14">
    <w:abstractNumId w:val="14"/>
  </w:num>
  <w:num w:numId="15">
    <w:abstractNumId w:val="15"/>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doNotExpandShiftReturn/>
    <w:doNotWrapTextWithPunct/>
    <w:doNotUseEastAsianBreakRules/>
    <w:useFELayout/>
  </w:compat>
  <w:rsids>
    <w:rsidRoot w:val="00B47730"/>
    <w:rsid w:val="00034616"/>
    <w:rsid w:val="0006063C"/>
    <w:rsid w:val="000E043E"/>
    <w:rsid w:val="0015074B"/>
    <w:rsid w:val="00191C9B"/>
    <w:rsid w:val="001B56A1"/>
    <w:rsid w:val="0025411C"/>
    <w:rsid w:val="00272037"/>
    <w:rsid w:val="0027307E"/>
    <w:rsid w:val="00273608"/>
    <w:rsid w:val="00284958"/>
    <w:rsid w:val="002939FB"/>
    <w:rsid w:val="0029639D"/>
    <w:rsid w:val="002C4027"/>
    <w:rsid w:val="002C4C91"/>
    <w:rsid w:val="00326F90"/>
    <w:rsid w:val="003713D0"/>
    <w:rsid w:val="00390BBB"/>
    <w:rsid w:val="003F5771"/>
    <w:rsid w:val="004635FB"/>
    <w:rsid w:val="00470D6A"/>
    <w:rsid w:val="004B546B"/>
    <w:rsid w:val="004E33AB"/>
    <w:rsid w:val="00545475"/>
    <w:rsid w:val="005A48E6"/>
    <w:rsid w:val="005D78DE"/>
    <w:rsid w:val="005E7980"/>
    <w:rsid w:val="00630B79"/>
    <w:rsid w:val="00662650"/>
    <w:rsid w:val="00696A87"/>
    <w:rsid w:val="006A7408"/>
    <w:rsid w:val="006F3856"/>
    <w:rsid w:val="00724727"/>
    <w:rsid w:val="007712C2"/>
    <w:rsid w:val="0077524D"/>
    <w:rsid w:val="007B3CDD"/>
    <w:rsid w:val="007F7090"/>
    <w:rsid w:val="00834FF0"/>
    <w:rsid w:val="008A2664"/>
    <w:rsid w:val="008D79F3"/>
    <w:rsid w:val="009113CB"/>
    <w:rsid w:val="00967547"/>
    <w:rsid w:val="009E51F4"/>
    <w:rsid w:val="00A22777"/>
    <w:rsid w:val="00A77F0B"/>
    <w:rsid w:val="00A8531F"/>
    <w:rsid w:val="00AA08AC"/>
    <w:rsid w:val="00AA1D8D"/>
    <w:rsid w:val="00B20F83"/>
    <w:rsid w:val="00B24C92"/>
    <w:rsid w:val="00B32954"/>
    <w:rsid w:val="00B47730"/>
    <w:rsid w:val="00B60BEC"/>
    <w:rsid w:val="00B62809"/>
    <w:rsid w:val="00B65800"/>
    <w:rsid w:val="00B6692F"/>
    <w:rsid w:val="00C107F9"/>
    <w:rsid w:val="00C272E1"/>
    <w:rsid w:val="00CB0664"/>
    <w:rsid w:val="00CE5198"/>
    <w:rsid w:val="00CF389B"/>
    <w:rsid w:val="00D857CD"/>
    <w:rsid w:val="00DB7D1C"/>
    <w:rsid w:val="00DF0314"/>
    <w:rsid w:val="00DF5646"/>
    <w:rsid w:val="00EB1A49"/>
    <w:rsid w:val="00EC40CD"/>
    <w:rsid w:val="00F0016B"/>
    <w:rsid w:val="00F65B8B"/>
    <w:rsid w:val="00F87128"/>
    <w:rsid w:val="00FC693F"/>
    <w:rsid w:val="00FF4A1E"/>
    <w:rsid w:val="0B0326A5"/>
    <w:rsid w:val="12AC5656"/>
    <w:rsid w:val="6C2967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1" w:defQFormat="1" w:count="267">
    <w:lsdException w:name="Normal" w:uiPriority="0" w:unhideWhenUsed="0"/>
    <w:lsdException w:name="heading 1" w:uiPriority="9" w:unhideWhenUsed="0"/>
    <w:lsdException w:name="heading 2" w:uiPriority="9"/>
    <w:lsdException w:name="heading 3"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qFormat="0"/>
    <w:lsdException w:name="index 2" w:semiHidden="1" w:qFormat="0"/>
    <w:lsdException w:name="index 3" w:semiHidden="1" w:qFormat="0"/>
    <w:lsdException w:name="index 4" w:semiHidden="1" w:qFormat="0"/>
    <w:lsdException w:name="index 5" w:semiHidden="1" w:qFormat="0"/>
    <w:lsdException w:name="index 6" w:semiHidden="1" w:qFormat="0"/>
    <w:lsdException w:name="index 7" w:semiHidden="1" w:qFormat="0"/>
    <w:lsdException w:name="index 8" w:semiHidden="1" w:qFormat="0"/>
    <w:lsdException w:name="index 9" w:semiHidden="1" w:qFormat="0"/>
    <w:lsdException w:name="toc 1" w:semiHidden="1" w:uiPriority="39" w:qFormat="0"/>
    <w:lsdException w:name="toc 2" w:semiHidden="1" w:uiPriority="39" w:qFormat="0"/>
    <w:lsdException w:name="toc 3" w:semiHidden="1" w:uiPriority="39" w:qFormat="0"/>
    <w:lsdException w:name="toc 4" w:semiHidden="1" w:uiPriority="39" w:qFormat="0"/>
    <w:lsdException w:name="toc 5" w:semiHidden="1" w:uiPriority="39" w:qFormat="0"/>
    <w:lsdException w:name="toc 6" w:semiHidden="1" w:uiPriority="39" w:qFormat="0"/>
    <w:lsdException w:name="toc 7" w:semiHidden="1" w:uiPriority="39" w:qFormat="0"/>
    <w:lsdException w:name="toc 8" w:semiHidden="1" w:uiPriority="39" w:qFormat="0"/>
    <w:lsdException w:name="toc 9" w:semiHidden="1" w:uiPriority="39" w:qFormat="0"/>
    <w:lsdException w:name="Normal Indent" w:semiHidden="1" w:qFormat="0"/>
    <w:lsdException w:name="footnote text" w:semiHidden="1" w:qFormat="0"/>
    <w:lsdException w:name="annotation text" w:semiHidden="1" w:qFormat="0"/>
    <w:lsdException w:name="index heading" w:semiHidden="1" w:qFormat="0"/>
    <w:lsdException w:name="caption" w:semiHidden="1" w:uiPriority="35"/>
    <w:lsdException w:name="table of figures" w:semiHidden="1" w:qFormat="0"/>
    <w:lsdException w:name="envelope address" w:semiHidden="1" w:qFormat="0"/>
    <w:lsdException w:name="envelope return" w:semiHidden="1" w:qFormat="0"/>
    <w:lsdException w:name="footnote reference" w:semiHidden="1" w:qFormat="0"/>
    <w:lsdException w:name="annotation reference" w:semiHidden="1" w:qFormat="0"/>
    <w:lsdException w:name="line number" w:semiHidden="1" w:qFormat="0"/>
    <w:lsdException w:name="page number" w:semiHidden="1" w:qFormat="0"/>
    <w:lsdException w:name="endnote reference" w:semiHidden="1" w:qFormat="0"/>
    <w:lsdException w:name="endnote text" w:semiHidden="1" w:qFormat="0"/>
    <w:lsdException w:name="table of authorities" w:semiHidden="1" w:qFormat="0"/>
    <w:lsdException w:name="toa heading" w:semiHidden="1" w:qFormat="0"/>
    <w:lsdException w:name="List 4" w:semiHidden="1" w:qFormat="0"/>
    <w:lsdException w:name="List 5" w:semiHidden="1" w:qFormat="0"/>
    <w:lsdException w:name="List Bullet 4" w:semiHidden="1" w:qFormat="0"/>
    <w:lsdException w:name="List Bullet 5" w:semiHidden="1" w:qFormat="0"/>
    <w:lsdException w:name="List Number 4" w:semiHidden="1" w:qFormat="0"/>
    <w:lsdException w:name="List Number 5" w:semiHidden="1" w:qFormat="0"/>
    <w:lsdException w:name="Title" w:uiPriority="10" w:unhideWhenUsed="0"/>
    <w:lsdException w:name="Closing" w:semiHidden="1" w:qFormat="0"/>
    <w:lsdException w:name="Signature" w:semiHidden="1" w:qFormat="0"/>
    <w:lsdException w:name="Default Paragraph Font" w:semiHidden="1" w:uiPriority="1"/>
    <w:lsdException w:name="Body Text Indent" w:semiHidden="1" w:qFormat="0"/>
    <w:lsdException w:name="List Continue 4" w:semiHidden="1" w:qFormat="0"/>
    <w:lsdException w:name="List Continue 5" w:semiHidden="1" w:qFormat="0"/>
    <w:lsdException w:name="Message Header" w:semiHidden="1" w:qFormat="0"/>
    <w:lsdException w:name="Subtitle" w:uiPriority="11" w:unhideWhenUsed="0"/>
    <w:lsdException w:name="Salutation" w:semiHidden="1" w:qFormat="0"/>
    <w:lsdException w:name="Date" w:semiHidden="1" w:qFormat="0"/>
    <w:lsdException w:name="Body Text First Indent" w:semiHidden="1" w:qFormat="0"/>
    <w:lsdException w:name="Body Text First Indent 2" w:semiHidden="1" w:qFormat="0"/>
    <w:lsdException w:name="Note Heading" w:semiHidden="1" w:qFormat="0"/>
    <w:lsdException w:name="Body Text Indent 2" w:semiHidden="1" w:qFormat="0"/>
    <w:lsdException w:name="Body Text Indent 3" w:semiHidden="1" w:qFormat="0"/>
    <w:lsdException w:name="Block Text" w:semiHidden="1" w:qFormat="0"/>
    <w:lsdException w:name="Hyperlink" w:semiHidden="1" w:qFormat="0"/>
    <w:lsdException w:name="FollowedHyperlink" w:semiHidden="1" w:qFormat="0"/>
    <w:lsdException w:name="Strong" w:uiPriority="22" w:unhideWhenUsed="0"/>
    <w:lsdException w:name="Emphasis" w:uiPriority="20" w:unhideWhenUsed="0"/>
    <w:lsdException w:name="Document Map" w:semiHidden="1" w:qFormat="0"/>
    <w:lsdException w:name="Plain Text" w:semiHidden="1" w:qFormat="0"/>
    <w:lsdException w:name="E-mail Signature" w:semiHidden="1" w:qFormat="0"/>
    <w:lsdException w:name="HTML Top of Form" w:semiHidden="1" w:qFormat="0"/>
    <w:lsdException w:name="HTML Bottom of Form" w:semiHidden="1" w:qFormat="0"/>
    <w:lsdException w:name="Normal (Web)" w:semiHidden="1"/>
    <w:lsdException w:name="HTML Acronym" w:semiHidden="1" w:qFormat="0"/>
    <w:lsdException w:name="HTML Address" w:semiHidden="1" w:qFormat="0"/>
    <w:lsdException w:name="HTML Cite" w:semiHidden="1" w:qFormat="0"/>
    <w:lsdException w:name="HTML Code" w:semiHidden="1" w:qFormat="0"/>
    <w:lsdException w:name="HTML Definition" w:semiHidden="1" w:qFormat="0"/>
    <w:lsdException w:name="HTML Keyboard" w:semiHidden="1" w:qFormat="0"/>
    <w:lsdException w:name="HTML Preformatted" w:semiHidden="1" w:qFormat="0"/>
    <w:lsdException w:name="HTML Sample" w:semiHidden="1" w:qFormat="0"/>
    <w:lsdException w:name="HTML Typewriter" w:semiHidden="1" w:qFormat="0"/>
    <w:lsdException w:name="HTML Variable" w:semiHidden="1" w:qFormat="0"/>
    <w:lsdException w:name="Normal Table" w:semiHidden="1"/>
    <w:lsdException w:name="annotation subject" w:semiHidden="1" w:qFormat="0"/>
    <w:lsdException w:name="No List" w:semiHidden="1" w:qFormat="0"/>
    <w:lsdException w:name="Outline List 1" w:semiHidden="1" w:qFormat="0"/>
    <w:lsdException w:name="Outline List 2" w:semiHidden="1" w:qFormat="0"/>
    <w:lsdException w:name="Outline List 3" w:semiHidden="1" w:qFormat="0"/>
    <w:lsdException w:name="Table Simple 1" w:semiHidden="1" w:qFormat="0"/>
    <w:lsdException w:name="Table Simple 2" w:semiHidden="1" w:qFormat="0"/>
    <w:lsdException w:name="Table Simple 3" w:semiHidden="1" w:qFormat="0"/>
    <w:lsdException w:name="Table Classic 1" w:semiHidden="1" w:qFormat="0"/>
    <w:lsdException w:name="Table Classic 2" w:semiHidden="1" w:qFormat="0"/>
    <w:lsdException w:name="Table Classic 3" w:semiHidden="1" w:qFormat="0"/>
    <w:lsdException w:name="Table Classic 4" w:semiHidden="1" w:qFormat="0"/>
    <w:lsdException w:name="Table Colorful 1" w:semiHidden="1" w:qFormat="0"/>
    <w:lsdException w:name="Table Colorful 2" w:semiHidden="1" w:qFormat="0"/>
    <w:lsdException w:name="Table Colorful 3" w:semiHidden="1" w:qFormat="0"/>
    <w:lsdException w:name="Table Columns 1" w:semiHidden="1" w:qFormat="0"/>
    <w:lsdException w:name="Table Columns 2" w:semiHidden="1" w:qFormat="0"/>
    <w:lsdException w:name="Table Columns 3" w:semiHidden="1" w:qFormat="0"/>
    <w:lsdException w:name="Table Columns 4" w:semiHidden="1" w:qFormat="0"/>
    <w:lsdException w:name="Table Columns 5" w:semiHidden="1" w:qFormat="0"/>
    <w:lsdException w:name="Table Grid 1" w:semiHidden="1" w:qFormat="0"/>
    <w:lsdException w:name="Table Grid 2" w:semiHidden="1" w:qFormat="0"/>
    <w:lsdException w:name="Table Grid 3" w:semiHidden="1" w:qFormat="0"/>
    <w:lsdException w:name="Table Grid 4" w:semiHidden="1" w:qFormat="0"/>
    <w:lsdException w:name="Table Grid 5" w:semiHidden="1" w:qFormat="0"/>
    <w:lsdException w:name="Table Grid 6" w:semiHidden="1" w:qFormat="0"/>
    <w:lsdException w:name="Table Grid 7" w:semiHidden="1" w:qFormat="0"/>
    <w:lsdException w:name="Table Grid 8" w:semiHidden="1" w:qFormat="0"/>
    <w:lsdException w:name="Table List 1" w:semiHidden="1" w:qFormat="0"/>
    <w:lsdException w:name="Table List 2" w:semiHidden="1" w:qFormat="0"/>
    <w:lsdException w:name="Table List 3" w:semiHidden="1" w:qFormat="0"/>
    <w:lsdException w:name="Table List 4" w:semiHidden="1" w:qFormat="0"/>
    <w:lsdException w:name="Table List 5" w:semiHidden="1" w:qFormat="0"/>
    <w:lsdException w:name="Table List 6" w:semiHidden="1" w:qFormat="0"/>
    <w:lsdException w:name="Table List 7" w:semiHidden="1" w:qFormat="0"/>
    <w:lsdException w:name="Table List 8" w:semiHidden="1" w:qFormat="0"/>
    <w:lsdException w:name="Table 3D effects 1" w:semiHidden="1" w:qFormat="0"/>
    <w:lsdException w:name="Table 3D effects 2" w:semiHidden="1" w:qFormat="0"/>
    <w:lsdException w:name="Table 3D effects 3" w:semiHidden="1" w:qFormat="0"/>
    <w:lsdException w:name="Table Contemporary" w:semiHidden="1" w:qFormat="0"/>
    <w:lsdException w:name="Table Elegant" w:semiHidden="1" w:qFormat="0"/>
    <w:lsdException w:name="Table Professional" w:semiHidden="1" w:qFormat="0"/>
    <w:lsdException w:name="Table Subtle 1" w:semiHidden="1" w:qFormat="0"/>
    <w:lsdException w:name="Table Subtle 2" w:semiHidden="1" w:qFormat="0"/>
    <w:lsdException w:name="Table Web 1" w:semiHidden="1" w:qFormat="0"/>
    <w:lsdException w:name="Table Web 2" w:semiHidden="1" w:qFormat="0"/>
    <w:lsdException w:name="Table Web 3" w:semiHidden="1" w:qFormat="0"/>
    <w:lsdException w:name="Balloon Text" w:semiHidden="1" w:qFormat="0"/>
    <w:lsdException w:name="Table Grid" w:uiPriority="59" w:unhideWhenUsed="0"/>
    <w:lsdException w:name="Table Theme" w:semiHidden="1" w:qFormat="0"/>
    <w:lsdException w:name="Placeholder Text" w:semiHidden="1" w:qFormat="0"/>
    <w:lsdException w:name="No Spacing" w:uiPriority="1"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qFormat="0"/>
    <w:lsdException w:name="List Paragraph" w:uiPriority="34" w:unhideWhenUsed="0"/>
    <w:lsdException w:name="Quote" w:uiPriority="29" w:unhideWhenUsed="0"/>
    <w:lsdException w:name="Intense Quote" w:uiPriority="30"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semiHidden="1" w:uiPriority="37" w:qFormat="0"/>
    <w:lsdException w:name="TOC Heading" w:semiHidden="1" w:uiPriority="39"/>
  </w:latentStyles>
  <w:style w:type="paragraph" w:default="1" w:styleId="Normal">
    <w:name w:val="Normal"/>
    <w:qFormat/>
    <w:rsid w:val="002C4027"/>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2C40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40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C40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C40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402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C402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C402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402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2C402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2C4027"/>
    <w:pPr>
      <w:spacing w:after="120"/>
    </w:pPr>
  </w:style>
  <w:style w:type="paragraph" w:styleId="BodyText2">
    <w:name w:val="Body Text 2"/>
    <w:basedOn w:val="Normal"/>
    <w:link w:val="BodyText2Char"/>
    <w:uiPriority w:val="99"/>
    <w:unhideWhenUsed/>
    <w:qFormat/>
    <w:rsid w:val="002C4027"/>
    <w:pPr>
      <w:spacing w:after="120" w:line="480" w:lineRule="auto"/>
    </w:pPr>
  </w:style>
  <w:style w:type="paragraph" w:styleId="BodyText3">
    <w:name w:val="Body Text 3"/>
    <w:basedOn w:val="Normal"/>
    <w:link w:val="BodyText3Char"/>
    <w:uiPriority w:val="99"/>
    <w:unhideWhenUsed/>
    <w:qFormat/>
    <w:rsid w:val="002C4027"/>
    <w:pPr>
      <w:spacing w:after="120"/>
    </w:pPr>
    <w:rPr>
      <w:sz w:val="16"/>
      <w:szCs w:val="16"/>
    </w:rPr>
  </w:style>
  <w:style w:type="paragraph" w:styleId="Caption">
    <w:name w:val="caption"/>
    <w:basedOn w:val="Normal"/>
    <w:next w:val="Normal"/>
    <w:uiPriority w:val="35"/>
    <w:semiHidden/>
    <w:unhideWhenUsed/>
    <w:qFormat/>
    <w:rsid w:val="002C4027"/>
    <w:pPr>
      <w:spacing w:line="240" w:lineRule="auto"/>
    </w:pPr>
    <w:rPr>
      <w:b/>
      <w:bCs/>
      <w:color w:val="4F81BD" w:themeColor="accent1"/>
      <w:sz w:val="18"/>
      <w:szCs w:val="18"/>
    </w:rPr>
  </w:style>
  <w:style w:type="character" w:styleId="Emphasis">
    <w:name w:val="Emphasis"/>
    <w:basedOn w:val="DefaultParagraphFont"/>
    <w:uiPriority w:val="20"/>
    <w:qFormat/>
    <w:rsid w:val="002C4027"/>
    <w:rPr>
      <w:i/>
      <w:iCs/>
    </w:rPr>
  </w:style>
  <w:style w:type="paragraph" w:styleId="Footer">
    <w:name w:val="footer"/>
    <w:basedOn w:val="Normal"/>
    <w:link w:val="FooterChar"/>
    <w:uiPriority w:val="99"/>
    <w:unhideWhenUsed/>
    <w:qFormat/>
    <w:rsid w:val="002C4027"/>
    <w:pPr>
      <w:tabs>
        <w:tab w:val="center" w:pos="4680"/>
        <w:tab w:val="right" w:pos="9360"/>
      </w:tabs>
      <w:spacing w:after="0" w:line="240" w:lineRule="auto"/>
    </w:pPr>
  </w:style>
  <w:style w:type="paragraph" w:styleId="Header">
    <w:name w:val="header"/>
    <w:basedOn w:val="Normal"/>
    <w:link w:val="HeaderChar"/>
    <w:uiPriority w:val="99"/>
    <w:unhideWhenUsed/>
    <w:qFormat/>
    <w:rsid w:val="002C4027"/>
    <w:pPr>
      <w:tabs>
        <w:tab w:val="center" w:pos="4680"/>
        <w:tab w:val="right" w:pos="9360"/>
      </w:tabs>
      <w:spacing w:after="0" w:line="240" w:lineRule="auto"/>
    </w:pPr>
  </w:style>
  <w:style w:type="paragraph" w:styleId="List">
    <w:name w:val="List"/>
    <w:basedOn w:val="Normal"/>
    <w:uiPriority w:val="99"/>
    <w:unhideWhenUsed/>
    <w:qFormat/>
    <w:rsid w:val="002C4027"/>
    <w:pPr>
      <w:ind w:left="360" w:hanging="360"/>
      <w:contextualSpacing/>
    </w:pPr>
  </w:style>
  <w:style w:type="paragraph" w:styleId="List2">
    <w:name w:val="List 2"/>
    <w:basedOn w:val="Normal"/>
    <w:uiPriority w:val="99"/>
    <w:unhideWhenUsed/>
    <w:qFormat/>
    <w:rsid w:val="002C4027"/>
    <w:pPr>
      <w:ind w:left="720" w:hanging="360"/>
      <w:contextualSpacing/>
    </w:pPr>
  </w:style>
  <w:style w:type="paragraph" w:styleId="List3">
    <w:name w:val="List 3"/>
    <w:basedOn w:val="Normal"/>
    <w:uiPriority w:val="99"/>
    <w:unhideWhenUsed/>
    <w:qFormat/>
    <w:rsid w:val="002C4027"/>
    <w:pPr>
      <w:ind w:left="1080" w:hanging="360"/>
      <w:contextualSpacing/>
    </w:pPr>
  </w:style>
  <w:style w:type="paragraph" w:styleId="ListBullet">
    <w:name w:val="List Bullet"/>
    <w:basedOn w:val="Normal"/>
    <w:uiPriority w:val="99"/>
    <w:unhideWhenUsed/>
    <w:qFormat/>
    <w:rsid w:val="002C4027"/>
    <w:pPr>
      <w:numPr>
        <w:numId w:val="1"/>
      </w:numPr>
      <w:contextualSpacing/>
    </w:pPr>
  </w:style>
  <w:style w:type="paragraph" w:styleId="ListBullet2">
    <w:name w:val="List Bullet 2"/>
    <w:basedOn w:val="Normal"/>
    <w:uiPriority w:val="99"/>
    <w:unhideWhenUsed/>
    <w:qFormat/>
    <w:rsid w:val="002C4027"/>
    <w:pPr>
      <w:numPr>
        <w:numId w:val="2"/>
      </w:numPr>
      <w:contextualSpacing/>
    </w:pPr>
  </w:style>
  <w:style w:type="paragraph" w:styleId="ListBullet3">
    <w:name w:val="List Bullet 3"/>
    <w:basedOn w:val="Normal"/>
    <w:uiPriority w:val="99"/>
    <w:unhideWhenUsed/>
    <w:qFormat/>
    <w:rsid w:val="002C4027"/>
    <w:pPr>
      <w:numPr>
        <w:numId w:val="3"/>
      </w:numPr>
      <w:contextualSpacing/>
    </w:pPr>
  </w:style>
  <w:style w:type="paragraph" w:styleId="ListContinue">
    <w:name w:val="List Continue"/>
    <w:basedOn w:val="Normal"/>
    <w:uiPriority w:val="99"/>
    <w:unhideWhenUsed/>
    <w:qFormat/>
    <w:rsid w:val="002C4027"/>
    <w:pPr>
      <w:spacing w:after="120"/>
      <w:ind w:left="360"/>
      <w:contextualSpacing/>
    </w:pPr>
  </w:style>
  <w:style w:type="paragraph" w:styleId="ListContinue2">
    <w:name w:val="List Continue 2"/>
    <w:basedOn w:val="Normal"/>
    <w:uiPriority w:val="99"/>
    <w:unhideWhenUsed/>
    <w:qFormat/>
    <w:rsid w:val="002C4027"/>
    <w:pPr>
      <w:spacing w:after="120"/>
      <w:ind w:left="720"/>
      <w:contextualSpacing/>
    </w:pPr>
  </w:style>
  <w:style w:type="paragraph" w:styleId="ListContinue3">
    <w:name w:val="List Continue 3"/>
    <w:basedOn w:val="Normal"/>
    <w:uiPriority w:val="99"/>
    <w:unhideWhenUsed/>
    <w:qFormat/>
    <w:rsid w:val="002C4027"/>
    <w:pPr>
      <w:spacing w:after="120"/>
      <w:ind w:left="1080"/>
      <w:contextualSpacing/>
    </w:pPr>
  </w:style>
  <w:style w:type="paragraph" w:styleId="ListNumber">
    <w:name w:val="List Number"/>
    <w:basedOn w:val="Normal"/>
    <w:uiPriority w:val="99"/>
    <w:unhideWhenUsed/>
    <w:qFormat/>
    <w:rsid w:val="002C4027"/>
    <w:pPr>
      <w:numPr>
        <w:numId w:val="4"/>
      </w:numPr>
      <w:contextualSpacing/>
    </w:pPr>
  </w:style>
  <w:style w:type="paragraph" w:styleId="ListNumber2">
    <w:name w:val="List Number 2"/>
    <w:basedOn w:val="Normal"/>
    <w:uiPriority w:val="99"/>
    <w:unhideWhenUsed/>
    <w:qFormat/>
    <w:rsid w:val="002C4027"/>
    <w:pPr>
      <w:numPr>
        <w:numId w:val="5"/>
      </w:numPr>
      <w:contextualSpacing/>
    </w:pPr>
  </w:style>
  <w:style w:type="paragraph" w:styleId="ListNumber3">
    <w:name w:val="List Number 3"/>
    <w:basedOn w:val="Normal"/>
    <w:uiPriority w:val="99"/>
    <w:unhideWhenUsed/>
    <w:qFormat/>
    <w:rsid w:val="002C4027"/>
    <w:pPr>
      <w:numPr>
        <w:numId w:val="6"/>
      </w:numPr>
      <w:contextualSpacing/>
    </w:pPr>
  </w:style>
  <w:style w:type="paragraph" w:styleId="MacroText">
    <w:name w:val="macro"/>
    <w:link w:val="MacroTextChar"/>
    <w:uiPriority w:val="99"/>
    <w:unhideWhenUsed/>
    <w:qFormat/>
    <w:rsid w:val="002C402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paragraph" w:styleId="NormalWeb">
    <w:name w:val="Normal (Web)"/>
    <w:basedOn w:val="Normal"/>
    <w:uiPriority w:val="99"/>
    <w:semiHidden/>
    <w:unhideWhenUsed/>
    <w:qFormat/>
    <w:rsid w:val="002C40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4027"/>
    <w:rPr>
      <w:b/>
      <w:bCs/>
    </w:rPr>
  </w:style>
  <w:style w:type="paragraph" w:styleId="Subtitle">
    <w:name w:val="Subtitle"/>
    <w:basedOn w:val="Normal"/>
    <w:next w:val="Normal"/>
    <w:link w:val="SubtitleChar"/>
    <w:uiPriority w:val="11"/>
    <w:qFormat/>
    <w:rsid w:val="002C4027"/>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rsid w:val="002C4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2C40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sid w:val="002C4027"/>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sid w:val="002C4027"/>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sid w:val="002C4027"/>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sid w:val="002C4027"/>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sid w:val="002C4027"/>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sid w:val="002C4027"/>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sid w:val="002C4027"/>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rsid w:val="002C4027"/>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rsid w:val="002C4027"/>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rsid w:val="002C4027"/>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rsid w:val="002C4027"/>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rsid w:val="002C4027"/>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rsid w:val="002C4027"/>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rsid w:val="002C4027"/>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rsid w:val="002C4027"/>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rsid w:val="002C4027"/>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rsid w:val="002C4027"/>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rsid w:val="002C4027"/>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rsid w:val="002C4027"/>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rsid w:val="002C4027"/>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rsid w:val="002C4027"/>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rsid w:val="002C4027"/>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2C4027"/>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2C4027"/>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2C4027"/>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2C4027"/>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2C4027"/>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2C4027"/>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rsid w:val="002C4027"/>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rsid w:val="002C4027"/>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rsid w:val="002C4027"/>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rsid w:val="002C4027"/>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rsid w:val="002C4027"/>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rsid w:val="002C4027"/>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rsid w:val="002C4027"/>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sid w:val="002C4027"/>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sid w:val="002C4027"/>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sid w:val="002C4027"/>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sid w:val="002C4027"/>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sid w:val="002C4027"/>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sid w:val="002C4027"/>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sid w:val="002C4027"/>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sid w:val="002C4027"/>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sid w:val="002C4027"/>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sid w:val="002C4027"/>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sid w:val="002C4027"/>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sid w:val="002C4027"/>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sid w:val="002C4027"/>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sid w:val="002C4027"/>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rsid w:val="002C4027"/>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rsid w:val="002C4027"/>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rsid w:val="002C4027"/>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rsid w:val="002C4027"/>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rsid w:val="002C4027"/>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rsid w:val="002C4027"/>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rsid w:val="002C4027"/>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sid w:val="002C4027"/>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sid w:val="002C4027"/>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sid w:val="002C4027"/>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sid w:val="002C4027"/>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sid w:val="002C4027"/>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sid w:val="002C4027"/>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sid w:val="002C4027"/>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rsid w:val="002C4027"/>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rsid w:val="002C4027"/>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rsid w:val="002C4027"/>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rsid w:val="002C4027"/>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rsid w:val="002C4027"/>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rsid w:val="002C4027"/>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rsid w:val="002C4027"/>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sid w:val="002C4027"/>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sid w:val="002C4027"/>
    <w:rPr>
      <w:color w:val="FFFFF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sid w:val="002C4027"/>
    <w:rPr>
      <w:color w:val="FFFFF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sid w:val="002C4027"/>
    <w:rPr>
      <w:color w:val="FFFFF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sid w:val="002C4027"/>
    <w:rPr>
      <w:color w:val="FFFFF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sid w:val="002C4027"/>
    <w:rPr>
      <w:color w:val="FFFFF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sid w:val="002C4027"/>
    <w:rPr>
      <w:color w:val="FFFFF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sid w:val="002C4027"/>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sid w:val="002C4027"/>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sid w:val="002C4027"/>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sid w:val="002C4027"/>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sid w:val="002C4027"/>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sid w:val="002C4027"/>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sid w:val="002C4027"/>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sid w:val="002C4027"/>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sid w:val="002C4027"/>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sid w:val="002C4027"/>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sid w:val="002C4027"/>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sid w:val="002C4027"/>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sid w:val="002C4027"/>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sid w:val="002C4027"/>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sid w:val="002C4027"/>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sid w:val="002C4027"/>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sid w:val="002C4027"/>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sid w:val="002C4027"/>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sid w:val="002C4027"/>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sid w:val="002C4027"/>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sid w:val="002C4027"/>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rsid w:val="002C4027"/>
  </w:style>
  <w:style w:type="character" w:customStyle="1" w:styleId="FooterChar">
    <w:name w:val="Footer Char"/>
    <w:basedOn w:val="DefaultParagraphFont"/>
    <w:link w:val="Footer"/>
    <w:uiPriority w:val="99"/>
    <w:qFormat/>
    <w:rsid w:val="002C4027"/>
  </w:style>
  <w:style w:type="paragraph" w:styleId="NoSpacing">
    <w:name w:val="No Spacing"/>
    <w:uiPriority w:val="1"/>
    <w:qFormat/>
    <w:rsid w:val="002C4027"/>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qFormat/>
    <w:rsid w:val="002C40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2C40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2C4027"/>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2C4027"/>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sid w:val="002C4027"/>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2C4027"/>
    <w:pPr>
      <w:ind w:left="720"/>
      <w:contextualSpacing/>
    </w:pPr>
  </w:style>
  <w:style w:type="character" w:customStyle="1" w:styleId="BodyTextChar">
    <w:name w:val="Body Text Char"/>
    <w:basedOn w:val="DefaultParagraphFont"/>
    <w:link w:val="BodyText"/>
    <w:uiPriority w:val="99"/>
    <w:qFormat/>
    <w:rsid w:val="002C4027"/>
  </w:style>
  <w:style w:type="character" w:customStyle="1" w:styleId="BodyText2Char">
    <w:name w:val="Body Text 2 Char"/>
    <w:basedOn w:val="DefaultParagraphFont"/>
    <w:link w:val="BodyText2"/>
    <w:uiPriority w:val="99"/>
    <w:qFormat/>
    <w:rsid w:val="002C4027"/>
  </w:style>
  <w:style w:type="character" w:customStyle="1" w:styleId="BodyText3Char">
    <w:name w:val="Body Text 3 Char"/>
    <w:basedOn w:val="DefaultParagraphFont"/>
    <w:link w:val="BodyText3"/>
    <w:uiPriority w:val="99"/>
    <w:qFormat/>
    <w:rsid w:val="002C4027"/>
    <w:rPr>
      <w:sz w:val="16"/>
      <w:szCs w:val="16"/>
    </w:rPr>
  </w:style>
  <w:style w:type="character" w:customStyle="1" w:styleId="MacroTextChar">
    <w:name w:val="Macro Text Char"/>
    <w:basedOn w:val="DefaultParagraphFont"/>
    <w:link w:val="MacroText"/>
    <w:uiPriority w:val="99"/>
    <w:qFormat/>
    <w:rsid w:val="002C4027"/>
    <w:rPr>
      <w:rFonts w:ascii="Courier" w:hAnsi="Courier"/>
      <w:sz w:val="20"/>
      <w:szCs w:val="20"/>
    </w:rPr>
  </w:style>
  <w:style w:type="paragraph" w:styleId="Quote">
    <w:name w:val="Quote"/>
    <w:basedOn w:val="Normal"/>
    <w:next w:val="Normal"/>
    <w:link w:val="QuoteChar"/>
    <w:uiPriority w:val="29"/>
    <w:qFormat/>
    <w:rsid w:val="002C4027"/>
    <w:rPr>
      <w:i/>
      <w:iCs/>
      <w:color w:val="000000" w:themeColor="text1"/>
    </w:rPr>
  </w:style>
  <w:style w:type="character" w:customStyle="1" w:styleId="QuoteChar">
    <w:name w:val="Quote Char"/>
    <w:basedOn w:val="DefaultParagraphFont"/>
    <w:link w:val="Quote"/>
    <w:uiPriority w:val="29"/>
    <w:qFormat/>
    <w:rsid w:val="002C4027"/>
    <w:rPr>
      <w:i/>
      <w:iCs/>
      <w:color w:val="000000" w:themeColor="text1"/>
    </w:rPr>
  </w:style>
  <w:style w:type="character" w:customStyle="1" w:styleId="Heading4Char">
    <w:name w:val="Heading 4 Char"/>
    <w:basedOn w:val="DefaultParagraphFont"/>
    <w:link w:val="Heading4"/>
    <w:uiPriority w:val="9"/>
    <w:semiHidden/>
    <w:qFormat/>
    <w:rsid w:val="002C402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2C402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2C402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2C402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2C402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2C4027"/>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rsid w:val="002C402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sid w:val="002C4027"/>
    <w:rPr>
      <w:b/>
      <w:bCs/>
      <w:i/>
      <w:iCs/>
      <w:color w:val="4F81BD" w:themeColor="accent1"/>
    </w:rPr>
  </w:style>
  <w:style w:type="character" w:customStyle="1" w:styleId="SubtleEmphasis1">
    <w:name w:val="Subtle Emphasis1"/>
    <w:basedOn w:val="DefaultParagraphFont"/>
    <w:uiPriority w:val="19"/>
    <w:qFormat/>
    <w:rsid w:val="002C4027"/>
    <w:rPr>
      <w:i/>
      <w:iCs/>
      <w:color w:val="808080" w:themeColor="text1" w:themeTint="7F"/>
    </w:rPr>
  </w:style>
  <w:style w:type="character" w:customStyle="1" w:styleId="IntenseEmphasis1">
    <w:name w:val="Intense Emphasis1"/>
    <w:basedOn w:val="DefaultParagraphFont"/>
    <w:uiPriority w:val="21"/>
    <w:qFormat/>
    <w:rsid w:val="002C4027"/>
    <w:rPr>
      <w:b/>
      <w:bCs/>
      <w:i/>
      <w:iCs/>
      <w:color w:val="4F81BD" w:themeColor="accent1"/>
    </w:rPr>
  </w:style>
  <w:style w:type="character" w:customStyle="1" w:styleId="SubtleReference1">
    <w:name w:val="Subtle Reference1"/>
    <w:basedOn w:val="DefaultParagraphFont"/>
    <w:uiPriority w:val="31"/>
    <w:qFormat/>
    <w:rsid w:val="002C4027"/>
    <w:rPr>
      <w:smallCaps/>
      <w:color w:val="C0504D" w:themeColor="accent2"/>
      <w:u w:val="single"/>
    </w:rPr>
  </w:style>
  <w:style w:type="character" w:customStyle="1" w:styleId="IntenseReference1">
    <w:name w:val="Intense Reference1"/>
    <w:basedOn w:val="DefaultParagraphFont"/>
    <w:uiPriority w:val="32"/>
    <w:qFormat/>
    <w:rsid w:val="002C4027"/>
    <w:rPr>
      <w:b/>
      <w:bCs/>
      <w:smallCaps/>
      <w:color w:val="C0504D" w:themeColor="accent2"/>
      <w:spacing w:val="5"/>
      <w:u w:val="single"/>
    </w:rPr>
  </w:style>
  <w:style w:type="character" w:customStyle="1" w:styleId="BookTitle1">
    <w:name w:val="Book Title1"/>
    <w:basedOn w:val="DefaultParagraphFont"/>
    <w:uiPriority w:val="33"/>
    <w:qFormat/>
    <w:rsid w:val="002C4027"/>
    <w:rPr>
      <w:b/>
      <w:bCs/>
      <w:smallCaps/>
      <w:spacing w:val="5"/>
    </w:rPr>
  </w:style>
  <w:style w:type="paragraph" w:customStyle="1" w:styleId="TOCHeading1">
    <w:name w:val="TOC Heading1"/>
    <w:basedOn w:val="Heading1"/>
    <w:next w:val="Normal"/>
    <w:uiPriority w:val="39"/>
    <w:semiHidden/>
    <w:unhideWhenUsed/>
    <w:qFormat/>
    <w:rsid w:val="002C4027"/>
    <w:pPr>
      <w:outlineLvl w:val="9"/>
    </w:pPr>
  </w:style>
  <w:style w:type="paragraph" w:styleId="BalloonText">
    <w:name w:val="Balloon Text"/>
    <w:basedOn w:val="Normal"/>
    <w:link w:val="BalloonTextChar"/>
    <w:uiPriority w:val="99"/>
    <w:semiHidden/>
    <w:unhideWhenUsed/>
    <w:rsid w:val="00DF0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314"/>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F3F32-76DD-4114-B3FF-0F8F5D58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6532</Words>
  <Characters>37239</Characters>
  <Application>Microsoft Office Word</Application>
  <DocSecurity>0</DocSecurity>
  <Lines>310</Lines>
  <Paragraphs>87</Paragraphs>
  <ScaleCrop>false</ScaleCrop>
  <Company/>
  <LinksUpToDate>false</LinksUpToDate>
  <CharactersWithSpaces>43684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PC</cp:lastModifiedBy>
  <cp:revision>4</cp:revision>
  <cp:lastPrinted>2025-07-16T13:40:00Z</cp:lastPrinted>
  <dcterms:created xsi:type="dcterms:W3CDTF">2025-07-27T14:04:00Z</dcterms:created>
  <dcterms:modified xsi:type="dcterms:W3CDTF">2025-07-27T14:06:00Z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33A099AA07104CBC8942BBF13CC83528_12</vt:lpwstr>
  </property>
</Properties>
</file>