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AND ANTIBACTERIAL PROPERTIES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B06AC" w:rsidRPr="008B06AC" w:rsidRDefault="00E02A16" w:rsidP="008B06AC">
      <w:pPr>
        <w:pStyle w:val="NormalWeb"/>
        <w:spacing w:after="150" w:line="18" w:lineRule="atLeast"/>
        <w:jc w:val="center"/>
        <w:rPr>
          <w:rFonts w:eastAsiaTheme="minorHAnsi" w:cstheme="minorBidi"/>
          <w:b/>
          <w:bCs/>
          <w:color w:val="000000"/>
          <w:sz w:val="32"/>
          <w:szCs w:val="32"/>
          <w:lang w:val="en-GB"/>
        </w:rPr>
      </w:pPr>
      <w:r w:rsidRPr="00E02A16">
        <w:rPr>
          <w:rFonts w:eastAsiaTheme="minorHAnsi" w:cstheme="minorBidi"/>
          <w:b/>
          <w:bCs/>
          <w:color w:val="000000"/>
          <w:sz w:val="32"/>
          <w:szCs w:val="32"/>
          <w:lang w:val="en-GB"/>
        </w:rPr>
        <w:t>BENJAMIN AYANFE ADENIYI</w:t>
      </w:r>
    </w:p>
    <w:p w:rsidR="001A3FE8" w:rsidRDefault="00E02A16" w:rsidP="008B06AC">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lang w:val="en-GB"/>
        </w:rPr>
        <w:t>HND/23/SLT/FT/0752</w:t>
      </w:r>
      <w:bookmarkEnd w:id="0"/>
    </w:p>
    <w:p w:rsidR="001A3FE8" w:rsidRDefault="001A3FE8" w:rsidP="001A3FE8">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Default="001A3FE8" w:rsidP="001A3FE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02A16" w:rsidRPr="00E02A16">
        <w:rPr>
          <w:rFonts w:ascii="Times New Roman" w:hAnsi="Times New Roman"/>
          <w:b/>
          <w:bCs/>
          <w:color w:val="000000"/>
          <w:sz w:val="32"/>
          <w:szCs w:val="32"/>
        </w:rPr>
        <w:t>BENJAMIN AYANFE ADENIYI</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E02A16">
        <w:rPr>
          <w:rFonts w:ascii="Times New Roman" w:hAnsi="Times New Roman"/>
          <w:b/>
          <w:bCs/>
          <w:color w:val="000000"/>
          <w:sz w:val="28"/>
          <w:szCs w:val="32"/>
        </w:rPr>
        <w:t>HND/23/SLT/FT/0752</w:t>
      </w:r>
      <w:r>
        <w:rPr>
          <w:rFonts w:ascii="Times New Roman" w:hAnsi="Times New Roman"/>
          <w:b/>
          <w:bCs/>
          <w:color w:val="000000"/>
          <w:sz w:val="28"/>
          <w:szCs w:val="32"/>
        </w:rPr>
        <w:t xml:space="preserve"> </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Technology, Microbiology unit, Institute o</w:t>
      </w:r>
      <w:r w:rsidR="00E7311F" w:rsidRPr="00823C62">
        <w:rPr>
          <w:rFonts w:ascii="Times New Roman" w:hAnsi="Times New Roman"/>
          <w:color w:val="000000"/>
          <w:sz w:val="26"/>
          <w:szCs w:val="26"/>
        </w:rPr>
        <w:t>f Applied Sciences (IAS) Kwara State Polytechnic Ilorin and it has been approved In partial fulfilment of the requirements of the Award of Higher National Diploma (HND)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A3FE8">
        <w:rPr>
          <w:rFonts w:ascii="Times New Roman" w:hAnsi="Times New Roman"/>
          <w:b/>
          <w:color w:val="000000"/>
          <w:sz w:val="28"/>
          <w:szCs w:val="28"/>
        </w:rPr>
        <w:t xml:space="preserve"> </w:t>
      </w:r>
      <w:r w:rsidR="001A3FE8">
        <w:rPr>
          <w:rFonts w:ascii="Times New Roman" w:hAnsi="Times New Roman"/>
          <w:b/>
          <w:color w:val="000000"/>
          <w:sz w:val="28"/>
          <w:szCs w:val="28"/>
        </w:rPr>
        <w:tab/>
        <w:t xml:space="preserve">                                                        DATE</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1A3FE8">
        <w:rPr>
          <w:rFonts w:ascii="Times New Roman" w:hAnsi="Times New Roman"/>
          <w:b/>
          <w:color w:val="000000"/>
          <w:sz w:val="28"/>
          <w:szCs w:val="28"/>
        </w:rPr>
        <w:t xml:space="preserve">)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1A3FE8" w:rsidRPr="00E02A16" w:rsidRDefault="00E02A16" w:rsidP="00E02A16">
      <w:pPr>
        <w:spacing w:after="0" w:line="480" w:lineRule="auto"/>
        <w:jc w:val="both"/>
        <w:rPr>
          <w:rFonts w:ascii="Times New Roman" w:hAnsi="Times New Roman"/>
          <w:color w:val="000000"/>
          <w:sz w:val="28"/>
          <w:szCs w:val="28"/>
        </w:rPr>
      </w:pPr>
      <w:r w:rsidRPr="00E02A16">
        <w:rPr>
          <w:rFonts w:ascii="Times New Roman" w:hAnsi="Times New Roman"/>
          <w:color w:val="000000"/>
          <w:sz w:val="28"/>
          <w:szCs w:val="28"/>
        </w:rPr>
        <w:t xml:space="preserve">This project is dedicated to Almighty God who spared my life to witness the end of </w:t>
      </w:r>
      <w:r>
        <w:rPr>
          <w:rFonts w:ascii="Times New Roman" w:hAnsi="Times New Roman"/>
          <w:color w:val="000000"/>
          <w:sz w:val="28"/>
          <w:szCs w:val="28"/>
        </w:rPr>
        <w:t xml:space="preserve">my HIGHER NATIONAL DIPLOMA(HND) </w:t>
      </w:r>
      <w:r w:rsidRPr="00E02A16">
        <w:rPr>
          <w:rFonts w:ascii="Times New Roman" w:hAnsi="Times New Roman"/>
          <w:color w:val="000000"/>
          <w:sz w:val="28"/>
          <w:szCs w:val="28"/>
        </w:rPr>
        <w:t>And also to my late father MR. BENJAMIN may he continue to rest in the peace,</w:t>
      </w:r>
      <w:r>
        <w:rPr>
          <w:rFonts w:ascii="Times New Roman" w:hAnsi="Times New Roman"/>
          <w:color w:val="000000"/>
          <w:sz w:val="28"/>
          <w:szCs w:val="28"/>
        </w:rPr>
        <w:t xml:space="preserve"> </w:t>
      </w:r>
      <w:r w:rsidRPr="00E02A16">
        <w:rPr>
          <w:rFonts w:ascii="Times New Roman" w:hAnsi="Times New Roman"/>
          <w:color w:val="000000"/>
          <w:sz w:val="28"/>
          <w:szCs w:val="28"/>
        </w:rPr>
        <w:t>And to my wonderful and ever caring mother MRS. BENJAMIN and my siblings</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1A3FE8" w:rsidRDefault="00E02A16" w:rsidP="00E02A16">
      <w:pPr>
        <w:spacing w:line="360" w:lineRule="auto"/>
        <w:jc w:val="both"/>
        <w:rPr>
          <w:rFonts w:ascii="Times New Roman" w:hAnsi="Times New Roman"/>
          <w:sz w:val="28"/>
          <w:szCs w:val="28"/>
        </w:rPr>
      </w:pPr>
      <w:r w:rsidRPr="00E02A16">
        <w:rPr>
          <w:rFonts w:ascii="Times New Roman" w:hAnsi="Times New Roman"/>
          <w:sz w:val="28"/>
          <w:szCs w:val="28"/>
        </w:rPr>
        <w:t xml:space="preserve">  First of all, my sincere gratitude goes to  Almighty God for his mercy and guidance for sparing my life</w:t>
      </w:r>
      <w:r>
        <w:rPr>
          <w:rFonts w:ascii="Times New Roman" w:hAnsi="Times New Roman"/>
          <w:sz w:val="28"/>
          <w:szCs w:val="28"/>
        </w:rPr>
        <w:t xml:space="preserve"> through</w:t>
      </w:r>
      <w:r w:rsidRPr="00E02A16">
        <w:rPr>
          <w:rFonts w:ascii="Times New Roman" w:hAnsi="Times New Roman"/>
          <w:sz w:val="28"/>
          <w:szCs w:val="28"/>
        </w:rPr>
        <w:t>out my HIGHER NATIONAL DIPLOMA and for the succe</w:t>
      </w:r>
      <w:r>
        <w:rPr>
          <w:rFonts w:ascii="Times New Roman" w:hAnsi="Times New Roman"/>
          <w:sz w:val="28"/>
          <w:szCs w:val="28"/>
        </w:rPr>
        <w:t xml:space="preserve">ssful of this project write up. </w:t>
      </w:r>
      <w:r w:rsidRPr="00E02A16">
        <w:rPr>
          <w:rFonts w:ascii="Times New Roman" w:hAnsi="Times New Roman"/>
          <w:sz w:val="28"/>
          <w:szCs w:val="28"/>
        </w:rPr>
        <w:t>I also acknowledge the support from my mother, my brothers and my friends I am so blessed to have you all</w:t>
      </w:r>
      <w:r>
        <w:rPr>
          <w:rFonts w:ascii="Times New Roman" w:hAnsi="Times New Roman"/>
          <w:sz w:val="28"/>
          <w:szCs w:val="28"/>
        </w:rPr>
        <w:t xml:space="preserve">. </w:t>
      </w:r>
      <w:r w:rsidRPr="00E02A16">
        <w:rPr>
          <w:rFonts w:ascii="Times New Roman" w:hAnsi="Times New Roman"/>
          <w:sz w:val="28"/>
          <w:szCs w:val="28"/>
        </w:rPr>
        <w:t>I am highly grateful to my supervisor, in person of MR. YAHYA MOHAMMED GOGATA for his devoted supervision, direction and encouragement throughout the practical of this project, may God almighty bless him and grant h</w:t>
      </w:r>
      <w:r>
        <w:rPr>
          <w:rFonts w:ascii="Times New Roman" w:hAnsi="Times New Roman"/>
          <w:sz w:val="28"/>
          <w:szCs w:val="28"/>
        </w:rPr>
        <w:t>im his all heart desires (Amen).</w:t>
      </w:r>
      <w:r w:rsidRPr="00E02A16">
        <w:rPr>
          <w:rFonts w:ascii="Times New Roman" w:hAnsi="Times New Roman"/>
          <w:sz w:val="28"/>
          <w:szCs w:val="28"/>
        </w:rPr>
        <w:t xml:space="preserve"> And lastly, my next appreciation goes to my siblings for their motivation, kindness and financial support may God continue to bless and strength</w:t>
      </w:r>
      <w:r>
        <w:rPr>
          <w:rFonts w:ascii="Times New Roman" w:hAnsi="Times New Roman"/>
          <w:sz w:val="28"/>
          <w:szCs w:val="28"/>
        </w:rPr>
        <w:t xml:space="preserve">en you guys at all times (Amen). </w:t>
      </w:r>
      <w:r w:rsidRPr="00E02A16">
        <w:rPr>
          <w:rFonts w:ascii="Times New Roman" w:hAnsi="Times New Roman"/>
          <w:sz w:val="28"/>
          <w:szCs w:val="28"/>
        </w:rPr>
        <w:t>Nevertheless, my thanks and appreciation goes to all my friends in and off campus that made my staying on campus a wonderful and colorful experience, and I want to thank me for not giving up</w:t>
      </w:r>
      <w:r w:rsidR="001A3FE8" w:rsidRPr="00E14956">
        <w:rPr>
          <w:rFonts w:ascii="Times New Roman" w:hAnsi="Times New Roman"/>
          <w:sz w:val="28"/>
          <w:szCs w:val="28"/>
        </w:rPr>
        <w:t xml:space="preserve"> </w:t>
      </w:r>
    </w:p>
    <w:p w:rsidR="001A3FE8" w:rsidRDefault="001A3FE8" w:rsidP="001A3FE8">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 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 triangulare wild) is often used interchangeably with Talinum 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is a vegetable crop native to growth in Africa, and central and south America (USDA, NRCS 2020). This crop belongs to the purslane family, portulaceae.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(Jacox). Wild) is often used interchangeably with talinum 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seeds :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leaves of waterleaf are one of its prominent features. They are green, succulent, and triangular in shape, hence the scientific name triangulare. The 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r w:rsidR="00E87233">
        <w:rPr>
          <w:rFonts w:ascii="New roman" w:hAnsi="New roman"/>
          <w:sz w:val="26"/>
          <w:szCs w:val="26"/>
        </w:rPr>
        <w:t xml:space="preserve">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r w:rsidR="00E87233">
        <w:rPr>
          <w:rFonts w:ascii="New roman" w:hAnsi="New roman"/>
          <w:sz w:val="26"/>
          <w:szCs w:val="26"/>
        </w:rPr>
        <w:t>Kwara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 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emposition and antoxidant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 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01" w:rsidRDefault="00E96C01" w:rsidP="00986A96">
      <w:pPr>
        <w:spacing w:after="0" w:line="240" w:lineRule="auto"/>
      </w:pPr>
      <w:r>
        <w:separator/>
      </w:r>
    </w:p>
  </w:endnote>
  <w:endnote w:type="continuationSeparator" w:id="0">
    <w:p w:rsidR="00E96C01" w:rsidRDefault="00E96C01"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E96C01">
          <w:rPr>
            <w:noProof/>
          </w:rPr>
          <w:t>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01" w:rsidRDefault="00E96C01" w:rsidP="00986A96">
      <w:pPr>
        <w:spacing w:after="0" w:line="240" w:lineRule="auto"/>
      </w:pPr>
      <w:r>
        <w:separator/>
      </w:r>
    </w:p>
  </w:footnote>
  <w:footnote w:type="continuationSeparator" w:id="0">
    <w:p w:rsidR="00E96C01" w:rsidRDefault="00E96C01"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E7AEE"/>
    <w:rsid w:val="00816248"/>
    <w:rsid w:val="0083711D"/>
    <w:rsid w:val="008A667F"/>
    <w:rsid w:val="008B06AC"/>
    <w:rsid w:val="008E6BA9"/>
    <w:rsid w:val="00906F5C"/>
    <w:rsid w:val="00914203"/>
    <w:rsid w:val="0092435D"/>
    <w:rsid w:val="00986A96"/>
    <w:rsid w:val="00A9127E"/>
    <w:rsid w:val="00B40D1C"/>
    <w:rsid w:val="00BB006A"/>
    <w:rsid w:val="00C247D3"/>
    <w:rsid w:val="00C343DB"/>
    <w:rsid w:val="00C605FB"/>
    <w:rsid w:val="00D310B4"/>
    <w:rsid w:val="00E02A16"/>
    <w:rsid w:val="00E7311F"/>
    <w:rsid w:val="00E87233"/>
    <w:rsid w:val="00E96C01"/>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6857</Words>
  <Characters>39090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2025-07-26T14:09:00Z</dcterms:created>
  <dcterms:modified xsi:type="dcterms:W3CDTF">2025-07-26T14:09:00Z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