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2"/>
          <w:szCs w:val="24"/>
          <w:spacing w:val="0"/>
        </w:rPr>
      </w:pPr>
      <w:r>
        <w:drawing>
          <wp:inline distT="0" distB="0" distL="0" distR="0">
            <wp:extent cx="1371600" cy="129857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l="-9332" t="-10011" r="-7814" b="-8333"/>
                    <a:stretch>
                      <a:fillRect/>
                    </a:stretch>
                  </pic:blipFill>
                  <pic:spPr>
                    <a:xfrm>
                      <a:off x="0" y="0"/>
                      <a:ext cx="1371600" cy="1298575"/>
                    </a:xfrm>
                    <a:prstGeom prst="rect"/>
                    <a:ln>
                      <a:noFill/>
                    </a:ln>
                  </pic:spPr>
                </pic:pic>
              </a:graphicData>
            </a:graphic>
          </wp:inline>
        </w:drawing>
      </w:r>
    </w:p>
    <w:p>
      <w:pPr>
        <w:pStyle w:val="normal"/>
        <w:ind w:right="4"/>
        <w:snapToGrid w:val="0"/>
        <w:jc w:val="center"/>
        <w:spacing w:after="160" w:afterAutospacing="0" w:before="240" w:beforeAutospacing="0" w:line="259"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PROJECT RESEARCH WORK</w:t>
      </w:r>
    </w:p>
    <w:p>
      <w:pPr>
        <w:pStyle w:val="normal"/>
        <w:ind w:right="4"/>
        <w:snapToGrid w:val="0"/>
        <w:jc w:val="center"/>
        <w:tabs>
          <w:tab w:val="center" w:pos="4153"/>
          <w:tab w:val="right" w:pos="8307"/>
        </w:tabs>
        <w:spacing w:after="160" w:afterAutospacing="0" w:before="240" w:beforeAutospacing="0" w:line="259"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ON</w:t>
      </w:r>
    </w:p>
    <w:p>
      <w:pPr>
        <w:pStyle w:val="normal"/>
        <w:ind w:right="4"/>
        <w:snapToGrid w:val="0"/>
        <w:jc w:val="center"/>
        <w:spacing w:after="160" w:afterAutospacing="0" w:before="240" w:beforeAutospacing="0" w:line="259" w:lineRule="auto"/>
        <w:textAlignment w:val="baseline"/>
        <w:rPr>
          <w:caps w:val="off"/>
          <w:rFonts w:ascii="Times New Roman" w:hAnsi="Times New Roman" w:cs="Times New Roman"/>
          <w:b/>
          <w:i/>
          <w:w w:val="100"/>
          <w:sz w:val="28"/>
          <w:szCs w:val="28"/>
          <w:spacing w:val="0"/>
        </w:rPr>
      </w:pPr>
      <w:r>
        <w:rPr>
          <w:caps w:val="off"/>
          <w:rFonts w:ascii="Times New Roman" w:hAnsi="Times New Roman" w:cs="Times New Roman"/>
          <w:b/>
          <w:i w:val="0"/>
          <w:w w:val="100"/>
          <w:sz w:val="28"/>
          <w:szCs w:val="28"/>
          <w:spacing w:val="0"/>
        </w:rPr>
        <w:t xml:space="preserve">ANTIBACTERIAL EFFICACY OF BLUE GUM (EUCALYPTUS GLOBULUS) ON METHICILLIN RESISTANT </w:t>
      </w:r>
      <w:r>
        <w:rPr>
          <w:caps w:val="off"/>
          <w:rFonts w:ascii="Times New Roman" w:hAnsi="Times New Roman" w:cs="Times New Roman"/>
          <w:b/>
          <w:i/>
          <w:w w:val="100"/>
          <w:sz w:val="28"/>
          <w:szCs w:val="28"/>
          <w:spacing w:val="0"/>
        </w:rPr>
        <w:t>Staphylococcus aureus</w:t>
      </w:r>
      <w:r>
        <w:rPr>
          <w:caps w:val="off"/>
          <w:rFonts w:ascii="Times New Roman" w:hAnsi="Times New Roman" w:cs="Times New Roman"/>
          <w:b/>
          <w:i w:val="0"/>
          <w:w w:val="100"/>
          <w:sz w:val="28"/>
          <w:szCs w:val="28"/>
          <w:spacing w:val="0"/>
        </w:rPr>
        <w:t xml:space="preserve"> AND E</w:t>
      </w:r>
      <w:r>
        <w:rPr>
          <w:caps w:val="off"/>
          <w:rFonts w:ascii="Times New Roman" w:hAnsi="Times New Roman" w:cs="Times New Roman"/>
          <w:b/>
          <w:i/>
          <w:w w:val="100"/>
          <w:sz w:val="28"/>
          <w:szCs w:val="28"/>
          <w:spacing w:val="0"/>
        </w:rPr>
        <w:t xml:space="preserve">scherichia coli </w:t>
      </w:r>
    </w:p>
    <w:p>
      <w:pPr>
        <w:pStyle w:val="normal"/>
        <w:ind w:right="4"/>
        <w:snapToGrid w:val="0"/>
        <w:jc w:val="center"/>
        <w:spacing w:after="160" w:afterAutospacing="0" w:before="240" w:beforeAutospacing="0" w:line="259"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BY</w:t>
      </w:r>
    </w:p>
    <w:p>
      <w:pPr>
        <w:pStyle w:val="normal"/>
        <w:ind w:right="4"/>
        <w:snapToGrid w:val="0"/>
        <w:jc w:val="center"/>
        <w:spacing w:after="160" w:afterAutospacing="0" w:before="240" w:beforeAutospacing="0" w:line="259" w:lineRule="auto"/>
        <w:textAlignment w:val="baseline"/>
        <w:rPr>
          <w:caps w:val="off"/>
          <w:rFonts w:ascii="Times New Roman" w:hAnsi="Times New Roman" w:cs="Times New Roman"/>
          <w:b/>
          <w:bCs/>
          <w:i w:val="0"/>
          <w:w w:val="100"/>
          <w:sz w:val="28"/>
          <w:szCs w:val="28"/>
          <w:spacing w:val="0"/>
        </w:rPr>
      </w:pPr>
      <w:r>
        <w:rPr>
          <w:caps w:val="off"/>
          <w:lang w:val="en-US"/>
          <w:rFonts w:ascii="Times New Roman" w:hAnsi="Times New Roman" w:cs="Times New Roman"/>
          <w:b/>
          <w:bCs/>
          <w:i w:val="0"/>
          <w:w w:val="100"/>
          <w:sz w:val="28"/>
          <w:szCs w:val="28"/>
          <w:spacing w:val="0"/>
        </w:rPr>
        <w:t>USMAN SHA'ABA YUSUF</w:t>
      </w:r>
    </w:p>
    <w:p>
      <w:pPr>
        <w:pStyle w:val="normal"/>
        <w:ind w:right="4"/>
        <w:snapToGrid w:val="0"/>
        <w:jc w:val="center"/>
        <w:spacing w:after="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HND/23/SLT/FT/</w:t>
      </w:r>
      <w:r>
        <w:rPr>
          <w:caps w:val="off"/>
          <w:lang w:val="en-US"/>
          <w:rFonts w:ascii="Times New Roman" w:hAnsi="Times New Roman" w:cs="Times New Roman"/>
          <w:b/>
          <w:bCs/>
          <w:i w:val="0"/>
          <w:w w:val="100"/>
          <w:sz w:val="28"/>
          <w:szCs w:val="28"/>
          <w:spacing w:val="0"/>
        </w:rPr>
        <w:t>1179</w:t>
      </w:r>
    </w:p>
    <w:p>
      <w:pPr>
        <w:pStyle w:val="normal"/>
        <w:ind w:right="4"/>
        <w:snapToGrid w:val="0"/>
        <w:jc w:val="center"/>
        <w:spacing w:after="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SUPERVISED BY: DAGBA IB (MRS.)</w:t>
      </w:r>
    </w:p>
    <w:p>
      <w:pPr>
        <w:pStyle w:val="normal"/>
        <w:ind w:right="4"/>
        <w:snapToGrid w:val="0"/>
        <w:jc w:val="center"/>
        <w:spacing w:after="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SUBMITTED TO:</w:t>
      </w:r>
    </w:p>
    <w:p>
      <w:pPr>
        <w:pStyle w:val="normal"/>
        <w:ind w:left="720" w:right="4"/>
        <w:snapToGrid w:val="0"/>
        <w:jc w:val="center"/>
        <w:spacing w:after="16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THE DEPARTMENT OF SCIENCE LABORATORY TECHNOLOGY, INSTITUTE OF APPLIED SCIENCES (IAS),</w:t>
      </w:r>
    </w:p>
    <w:p>
      <w:pPr>
        <w:pStyle w:val="normal"/>
        <w:ind w:left="720" w:right="4"/>
        <w:snapToGrid w:val="0"/>
        <w:jc w:val="center"/>
        <w:spacing w:after="16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KWARA STATE POLYTECHNIC, ILORIN</w:t>
      </w:r>
    </w:p>
    <w:p>
      <w:pPr>
        <w:pStyle w:val="normal"/>
        <w:ind w:left="720" w:right="4"/>
        <w:snapToGrid w:val="0"/>
        <w:jc w:val="center"/>
        <w:spacing w:after="160" w:afterAutospacing="0" w:before="240" w:beforeAutospacing="0" w:line="360" w:lineRule="auto"/>
        <w:textAlignment w:val="baseline"/>
        <w:rPr>
          <w:caps w:val="off"/>
          <w:rFonts w:ascii="Times New Roman" w:hAnsi="Times New Roman" w:cs="Times New Roman"/>
          <w:b/>
          <w:bCs/>
          <w:i w:val="0"/>
          <w:w w:val="100"/>
          <w:sz w:val="28"/>
          <w:szCs w:val="28"/>
          <w:spacing w:val="0"/>
        </w:rPr>
      </w:pPr>
      <w:r>
        <w:rPr>
          <w:caps w:val="off"/>
          <w:rFonts w:ascii="Times New Roman" w:hAnsi="Times New Roman" w:cs="Times New Roman"/>
          <w:b/>
          <w:bCs/>
          <w:i w:val="0"/>
          <w:w w:val="100"/>
          <w:sz w:val="28"/>
          <w:szCs w:val="28"/>
          <w:spacing w:val="0"/>
        </w:rPr>
        <w:t>IN PARTIAL FULFILMENT OF THE REQUIREMENT FOR THE HIGHER NATIONAL DIPLOMA (HND) SCIENCE LABORATORY TECHNOLOGY (MICROBIOLOGY OPTION)</w:t>
      </w:r>
    </w:p>
    <w:p>
      <w:pPr>
        <w:pStyle w:val="normal"/>
        <w:snapToGrid w:val="0"/>
        <w:jc w:val="right"/>
        <w:spacing w:after="160" w:afterAutospacing="0" w:before="240" w:beforeAutospacing="0" w:line="360" w:lineRule="auto"/>
        <w:textAlignment w:val="baseline"/>
        <w:rPr>
          <w:caps w:val="off"/>
          <w:rFonts w:ascii="Times New Roman" w:hAnsi="Times New Roman" w:cs="Times New Roman"/>
          <w:b/>
          <w:i w:val="0"/>
          <w:w w:val="100"/>
          <w:sz w:val="28"/>
          <w:szCs w:val="28"/>
          <w:spacing w:val="0"/>
        </w:rPr>
      </w:pPr>
      <w:r>
        <w:rPr>
          <w:caps w:val="off"/>
          <w:rFonts w:ascii="Times New Roman" w:hAnsi="Times New Roman" w:cs="Times New Roman"/>
          <w:b/>
          <w:i w:val="0"/>
          <w:w w:val="100"/>
          <w:sz w:val="28"/>
          <w:szCs w:val="28"/>
          <w:spacing w:val="0"/>
        </w:rPr>
        <w:t>JULY, 2025</w:t>
      </w:r>
    </w:p>
    <w:p>
      <w:pPr>
        <w:pStyle w:val="normal"/>
        <w:ind w:right="27"/>
        <w:snapToGrid w:val="0"/>
        <w:spacing w:after="160" w:afterAutospacing="0" w:before="240" w:beforeAutospacing="0" w:line="259" w:lineRule="auto"/>
        <w:textAlignment w:val="baseline"/>
        <w:rPr>
          <w:caps w:val="off"/>
          <w:rFonts w:ascii="Times New Roman" w:hAnsi="Times New Roman" w:cs="Times New Roman"/>
          <w:b/>
          <w:bCs/>
          <w:i w:val="0"/>
          <w:w w:val="100"/>
          <w:sz w:val="28"/>
          <w:szCs w:val="28"/>
          <w:spacing w:val="0"/>
        </w:rPr>
      </w:pPr>
    </w:p>
    <w:p>
      <w:pPr>
        <w:pStyle w:val="Heading1"/>
        <w:snapToGrid w:val="0"/>
        <w:jc w:val="center"/>
        <w:spacing w:after="0" w:afterAutospacing="0" w:before="240" w:beforeAutospacing="0" w:line="480" w:lineRule="auto"/>
        <w:textAlignment w:val="baseline"/>
        <w:rPr>
          <w:caps w:val="off"/>
          <w:rFonts w:eastAsia="Times New Roman" w:cs="Times New Roman"/>
          <w:b w:val="0"/>
          <w:i w:val="0"/>
          <w:color w:val="000000"/>
          <w:w w:val="100"/>
          <w:sz w:val="28"/>
          <w:szCs w:val="28"/>
          <w:spacing w:val="0"/>
        </w:rPr>
      </w:pPr>
      <w:r>
        <w:rPr>
          <w:caps w:val="off"/>
          <w:rFonts w:eastAsia="Times New Roman" w:cs="Times New Roman"/>
          <w:b/>
          <w:i w:val="0"/>
          <w:color w:val="000000"/>
          <w:w w:val="100"/>
          <w:sz w:val="28"/>
          <w:szCs w:val="28"/>
          <w:spacing w:val="0"/>
        </w:rPr>
        <w:t>CERTIFICATION</w:t>
      </w:r>
    </w:p>
    <w:p>
      <w:pPr>
        <w:pStyle w:val="normal"/>
        <w:ind w:right="27" w:firstLine="720"/>
        <w:snapToGrid w:val="0"/>
        <w:jc w:val="both"/>
        <w:spacing w:after="160" w:afterAutospacing="0" w:before="0" w:beforeAutospacing="0" w:line="480" w:lineRule="auto"/>
        <w:textAlignment w:val="baseline"/>
        <w:rPr>
          <w:caps w:val="off"/>
          <w:rFonts w:ascii="Times New Roman" w:hAnsi="Times New Roman" w:cs="Times New Roman"/>
          <w:b w:val="0"/>
          <w:i w:val="0"/>
          <w:w w:val="100"/>
          <w:sz w:val="24"/>
          <w:szCs w:val="24"/>
          <w:spacing w:val="0"/>
        </w:rPr>
      </w:pPr>
      <w:r>
        <w:rPr>
          <w:caps w:val="off"/>
          <w:rFonts w:ascii="Times New Roman" w:hAnsi="Times New Roman" w:cs="Times New Roman"/>
          <w:b w:val="0"/>
          <w:i w:val="0"/>
          <w:w w:val="100"/>
          <w:sz w:val="24"/>
          <w:szCs w:val="24"/>
          <w:spacing w:val="0"/>
        </w:rPr>
        <w:t xml:space="preserve">This is to certify that this Project report was written by </w:t>
      </w:r>
      <w:r>
        <w:rPr>
          <w:caps w:val="off"/>
          <w:lang w:val="en-US"/>
          <w:rFonts w:ascii="Times New Roman" w:hAnsi="Times New Roman" w:cs="Times New Roman"/>
          <w:b w:val="0"/>
          <w:i w:val="0"/>
          <w:w w:val="100"/>
          <w:sz w:val="24"/>
          <w:szCs w:val="24"/>
          <w:spacing w:val="0"/>
        </w:rPr>
        <w:t>USMAN SHA'ABA YUSUF</w:t>
      </w:r>
      <w:r>
        <w:rPr>
          <w:caps w:val="off"/>
          <w:rFonts w:ascii="Times New Roman" w:hAnsi="Times New Roman" w:cs="Times New Roman"/>
          <w:b w:val="0"/>
          <w:i w:val="0"/>
          <w:w w:val="100"/>
          <w:sz w:val="24"/>
          <w:szCs w:val="24"/>
          <w:spacing w:val="0"/>
        </w:rPr>
        <w:t xml:space="preserve"> with matric number HND/23/SLT/FT/</w:t>
      </w:r>
      <w:r>
        <w:rPr>
          <w:caps w:val="off"/>
          <w:lang w:val="en-US"/>
          <w:rFonts w:ascii="Times New Roman" w:hAnsi="Times New Roman" w:cs="Times New Roman"/>
          <w:b w:val="0"/>
          <w:i w:val="0"/>
          <w:w w:val="100"/>
          <w:sz w:val="24"/>
          <w:szCs w:val="24"/>
          <w:spacing w:val="0"/>
        </w:rPr>
        <w:t>0001</w:t>
      </w:r>
      <w:r>
        <w:rPr>
          <w:caps w:val="off"/>
          <w:rFonts w:ascii="Times New Roman" w:hAnsi="Times New Roman" w:cs="Times New Roman"/>
          <w:b w:val="0"/>
          <w:i w:val="0"/>
          <w:w w:val="100"/>
          <w:sz w:val="24"/>
          <w:szCs w:val="24"/>
          <w:spacing w:val="0"/>
        </w:rPr>
        <w:t xml:space="preserve">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8"/>
          <w:szCs w:val="28"/>
          <w:spacing w:val="0"/>
        </w:rPr>
      </w:pPr>
      <w:r>
        <mc:AlternateContent>
          <mc:Choice Requires="wps">
            <w:drawing>
              <wp:anchor distT="0" distB="0" distL="0" distR="0" behindDoc="0" locked="0" layoutInCell="1" simplePos="0" relativeHeight="4" allowOverlap="1" hidden="0">
                <wp:simplePos x="0" y="0"/>
                <wp:positionH relativeFrom="column">
                  <wp:posOffset>3809999</wp:posOffset>
                </wp:positionH>
                <wp:positionV relativeFrom="paragraph">
                  <wp:posOffset>182880</wp:posOffset>
                </wp:positionV>
                <wp:extent cx="2057400" cy="9525"/>
                <wp:effectExtent l="4762" t="4762" r="4762" b="4762"/>
                <wp:wrapNone/>
                <wp:docPr id="1026" name="shape1026" hidden="0"/>
                <wp:cNvGraphicFramePr/>
                <a:graphic xmlns:a="http://schemas.openxmlformats.org/drawingml/2006/main">
                  <a:graphicData uri="http://schemas.microsoft.com/office/word/2010/wordprocessingShape">
                    <wps:wsp>
                      <wps:cNvSpPr>
                        <a:spLocks noRot="1"/>
                      </wps:cNvSpPr>
                      <wps:spPr>
                        <a:xfrm flipV="1">
                          <a:off x="0" y="0"/>
                          <a:ext cx="2057400" cy="9525"/>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26" type="#_x0000_t32" o:spt="32" style="position:absolute;margin-left:300pt;margin-top:14.4pt;width:162pt;height:0.75pt;mso-wrap-style:infront;mso-position-horizontal-relative:column;mso-position-vertical-relative:line;v-text-anchor:top;flip:y;z-index:4" coordsize="21600, 21600" o:allowincell="t" filled="f" stroked="t" strokecolor="#0" strokeweight="0.75pt">
                <v:stroke joinstyle="round"/>
              </v:shape>
            </w:pict>
          </mc:Fallback>
        </mc:AlternateContent>
      </w:r>
      <w:r>
        <mc:AlternateContent>
          <mc:Choice Requires="wps">
            <w:drawing>
              <wp:anchor distT="0" distB="0" distL="0" distR="0" behindDoc="0" locked="0" layoutInCell="1" simplePos="0" relativeHeight="2" allowOverlap="1" hidden="0">
                <wp:simplePos x="0" y="0"/>
                <wp:positionH relativeFrom="column">
                  <wp:posOffset>85725</wp:posOffset>
                </wp:positionH>
                <wp:positionV relativeFrom="paragraph">
                  <wp:posOffset>182880</wp:posOffset>
                </wp:positionV>
                <wp:extent cx="2057400" cy="0"/>
                <wp:effectExtent l="4762" t="4762" r="4762" b="4762"/>
                <wp:wrapNone/>
                <wp:docPr id="1027" name="shape1027" hidden="0"/>
                <wp:cNvGraphicFramePr/>
                <a:graphic xmlns:a="http://schemas.openxmlformats.org/drawingml/2006/main">
                  <a:graphicData uri="http://schemas.microsoft.com/office/word/2010/wordprocessingShape">
                    <wps:wsp>
                      <wps:cNvSpPr>
                        <a:spLocks noRot="1"/>
                      </wps:cNvSpPr>
                      <wps:spPr>
                        <a:xfrm>
                          <a:off x="0" y="0"/>
                          <a:ext cx="2057400" cy="0"/>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27" type="#_x0000_t32" o:spt="32" style="position:absolute;margin-left:6.75pt;margin-top:14.4pt;width:162pt;height:0pt;mso-wrap-style:infront;mso-position-horizontal-relative:column;mso-position-vertical-relative:line;v-text-anchor:top;z-index:2" coordsize="21600, 21600" o:allowincell="t" filled="f" stroked="t" strokecolor="#0" strokeweight="0.75pt">
                <v:stroke joinstyle="round"/>
              </v:shape>
            </w:pict>
          </mc:Fallback>
        </mc:AlternateConten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DAGBA IB ( MRS )</w:t>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 xml:space="preserve">    </w:t>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DATE</w:t>
      </w:r>
    </w:p>
    <w:p>
      <w:pPr>
        <w:pStyle w:val="normal"/>
        <w:ind w:firstLine="284"/>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(Project Supervisor)</w:t>
      </w:r>
    </w:p>
    <w:p>
      <w:pPr>
        <w:pStyle w:val="normal"/>
        <w:ind w:firstLine="284"/>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mc:AlternateContent>
          <mc:Choice Requires="wps">
            <w:drawing>
              <wp:anchor distT="0" distB="0" distL="0" distR="0" behindDoc="0" locked="0" layoutInCell="1" simplePos="0" relativeHeight="3" allowOverlap="1" hidden="0">
                <wp:simplePos x="0" y="0"/>
                <wp:positionH relativeFrom="column">
                  <wp:posOffset>3809999</wp:posOffset>
                </wp:positionH>
                <wp:positionV relativeFrom="paragraph">
                  <wp:posOffset>186055</wp:posOffset>
                </wp:positionV>
                <wp:extent cx="2057400" cy="9525"/>
                <wp:effectExtent l="4762" t="4762" r="4762" b="4762"/>
                <wp:wrapNone/>
                <wp:docPr id="1028" name="shape1028" hidden="0"/>
                <wp:cNvGraphicFramePr/>
                <a:graphic xmlns:a="http://schemas.openxmlformats.org/drawingml/2006/main">
                  <a:graphicData uri="http://schemas.microsoft.com/office/word/2010/wordprocessingShape">
                    <wps:wsp>
                      <wps:cNvSpPr>
                        <a:spLocks noRot="1"/>
                      </wps:cNvSpPr>
                      <wps:spPr>
                        <a:xfrm flipV="1">
                          <a:off x="0" y="0"/>
                          <a:ext cx="2057400" cy="9525"/>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28" type="#_x0000_t32" o:spt="32" style="position:absolute;margin-left:300pt;margin-top:14.65pt;width:162pt;height:0.75pt;mso-wrap-style:infront;mso-position-horizontal-relative:column;mso-position-vertical-relative:line;v-text-anchor:top;flip:y;z-index:3" coordsize="21600, 21600" o:allowincell="t" filled="f" stroked="t" strokecolor="#0" strokeweight="0.75pt">
                <v:stroke joinstyle="round"/>
              </v:shape>
            </w:pict>
          </mc:Fallback>
        </mc:AlternateContent>
      </w:r>
      <w:r>
        <mc:AlternateContent>
          <mc:Choice Requires="wps">
            <w:drawing>
              <wp:anchor distT="0" distB="0" distL="0" distR="0" behindDoc="0" locked="0" layoutInCell="1" simplePos="0" relativeHeight="5" allowOverlap="1" hidden="0">
                <wp:simplePos x="0" y="0"/>
                <wp:positionH relativeFrom="column">
                  <wp:posOffset>28575</wp:posOffset>
                </wp:positionH>
                <wp:positionV relativeFrom="paragraph">
                  <wp:posOffset>144780</wp:posOffset>
                </wp:positionV>
                <wp:extent cx="2057400" cy="9525"/>
                <wp:effectExtent l="4762" t="4762" r="4762" b="4762"/>
                <wp:wrapNone/>
                <wp:docPr id="1029" name="shape1029" hidden="0"/>
                <wp:cNvGraphicFramePr/>
                <a:graphic xmlns:a="http://schemas.openxmlformats.org/drawingml/2006/main">
                  <a:graphicData uri="http://schemas.microsoft.com/office/word/2010/wordprocessingShape">
                    <wps:wsp>
                      <wps:cNvSpPr>
                        <a:spLocks noRot="1"/>
                      </wps:cNvSpPr>
                      <wps:spPr>
                        <a:xfrm flipV="1">
                          <a:off x="0" y="0"/>
                          <a:ext cx="2057400" cy="9525"/>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29" type="#_x0000_t32" o:spt="32" style="position:absolute;margin-left:2.25pt;margin-top:11.4pt;width:162pt;height:0.75pt;mso-wrap-style:infront;mso-position-horizontal-relative:column;mso-position-vertical-relative:line;v-text-anchor:top;flip:y;z-index:5" coordsize="21600, 21600" o:allowincell="t" filled="f" stroked="t" strokecolor="#0" strokeweight="0.75pt">
                <v:stroke joinstyle="round"/>
              </v:shape>
            </w:pict>
          </mc:Fallback>
        </mc:AlternateConten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MISS AHMED T.</w:t>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 xml:space="preserve">   </w:t>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 xml:space="preserve">           DATE</w: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(Head of Unit)</w: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6"/>
          <w:szCs w:val="26"/>
          <w:spacing w:val="0"/>
        </w:rPr>
      </w:pPr>
      <w:r>
        <mc:AlternateContent>
          <mc:Choice Requires="wps">
            <w:drawing>
              <wp:anchor distT="0" distB="0" distL="0" distR="0" behindDoc="0" locked="0" layoutInCell="1" simplePos="0" relativeHeight="7" allowOverlap="1" hidden="0">
                <wp:simplePos x="0" y="0"/>
                <wp:positionH relativeFrom="column">
                  <wp:posOffset>3857625</wp:posOffset>
                </wp:positionH>
                <wp:positionV relativeFrom="paragraph">
                  <wp:posOffset>299085</wp:posOffset>
                </wp:positionV>
                <wp:extent cx="2057400" cy="9525"/>
                <wp:effectExtent l="4762" t="4762" r="4762" b="4762"/>
                <wp:wrapNone/>
                <wp:docPr id="1030" name="shape1030" hidden="0"/>
                <wp:cNvGraphicFramePr/>
                <a:graphic xmlns:a="http://schemas.openxmlformats.org/drawingml/2006/main">
                  <a:graphicData uri="http://schemas.microsoft.com/office/word/2010/wordprocessingShape">
                    <wps:wsp>
                      <wps:cNvSpPr>
                        <a:spLocks noRot="1"/>
                      </wps:cNvSpPr>
                      <wps:spPr>
                        <a:xfrm flipV="1">
                          <a:off x="0" y="0"/>
                          <a:ext cx="2057400" cy="9525"/>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30" type="#_x0000_t32" o:spt="32" style="position:absolute;margin-left:303.75pt;margin-top:23.55pt;width:162pt;height:0.75pt;mso-wrap-style:infront;mso-position-horizontal-relative:column;mso-position-vertical-relative:line;v-text-anchor:top;flip:y;z-index:7" coordsize="21600, 21600" o:allowincell="t" filled="f" stroked="t" strokecolor="#0" strokeweight="0.75pt">
                <v:stroke joinstyle="round"/>
              </v:shape>
            </w:pict>
          </mc:Fallback>
        </mc:AlternateContent>
      </w:r>
      <w:r>
        <mc:AlternateContent>
          <mc:Choice Requires="wps">
            <w:drawing>
              <wp:anchor distT="0" distB="0" distL="0" distR="0" behindDoc="0" locked="0" layoutInCell="1" simplePos="0" relativeHeight="6" allowOverlap="1" hidden="0">
                <wp:simplePos x="0" y="0"/>
                <wp:positionH relativeFrom="column">
                  <wp:posOffset>85725</wp:posOffset>
                </wp:positionH>
                <wp:positionV relativeFrom="paragraph">
                  <wp:posOffset>299085</wp:posOffset>
                </wp:positionV>
                <wp:extent cx="2057400" cy="9525"/>
                <wp:effectExtent l="4762" t="4762" r="4762" b="4762"/>
                <wp:wrapNone/>
                <wp:docPr id="1031" name="shape1031" hidden="0"/>
                <wp:cNvGraphicFramePr/>
                <a:graphic xmlns:a="http://schemas.openxmlformats.org/drawingml/2006/main">
                  <a:graphicData uri="http://schemas.microsoft.com/office/word/2010/wordprocessingShape">
                    <wps:wsp>
                      <wps:cNvSpPr>
                        <a:spLocks noRot="1"/>
                      </wps:cNvSpPr>
                      <wps:spPr>
                        <a:xfrm flipV="1">
                          <a:off x="0" y="0"/>
                          <a:ext cx="2057400" cy="9525"/>
                        </a:xfrm>
                        <a:prstGeom prst="straightConnector1">
                          <a:avLst/>
                        </a:prstGeom>
                        <a:ln>
                          <a:solidFill>
                            <a:srgbClr val="000000"/>
                          </a:solidFill>
                        </a:ln>
                      </wps:spPr>
                      <wps:bodyPr rot="0" vert="horz" wrap="square" lIns="91440" tIns="45720" rIns="91440" bIns="45720" anchor="t">
                        <a:noAutofit/>
                      </wps:bodyPr>
                    </wps:wsp>
                  </a:graphicData>
                </a:graphic>
              </wp:anchor>
            </w:drawing>
          </mc:Choice>
          <mc:Fallback>
            <w:pict>
              <v:shapetype coordsize="21600, 21600" path="m0,0l21600,21600e"/>
              <v:shape id="1031" type="#_x0000_t32" o:spt="32" style="position:absolute;margin-left:6.75pt;margin-top:23.55pt;width:162pt;height:0.75pt;mso-wrap-style:infront;mso-position-horizontal-relative:column;mso-position-vertical-relative:line;v-text-anchor:top;flip:y;z-index:6" coordsize="21600, 21600" o:allowincell="t" filled="f" stroked="t" strokecolor="#0" strokeweight="0.75pt">
                <v:stroke joinstyle="round"/>
              </v:shape>
            </w:pict>
          </mc:Fallback>
        </mc:AlternateContent>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DR. USMAN ABDULKAREEM</w:t>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rFonts w:ascii="Times New Roman" w:hAnsi="Times New Roman" w:cs="Times New Roman"/>
          <w:b w:val="0"/>
          <w:i w:val="0"/>
          <w:w w:val="100"/>
          <w:sz w:val="26"/>
          <w:szCs w:val="26"/>
          <w:spacing w:val="0"/>
        </w:rPr>
        <w:tab/>
      </w:r>
      <w:r>
        <w:rPr>
          <w:caps w:val="off"/>
          <w:lang w:val="en-US"/>
          <w:rFonts w:ascii="Times New Roman" w:hAnsi="Times New Roman" w:cs="Times New Roman"/>
          <w:b w:val="0"/>
          <w:i w:val="0"/>
          <w:w w:val="100"/>
          <w:sz w:val="26"/>
          <w:szCs w:val="26"/>
          <w:spacing w:val="0"/>
        </w:rPr>
        <w:t xml:space="preserve">         </w:t>
      </w:r>
      <w:r>
        <w:rPr>
          <w:caps w:val="off"/>
          <w:rFonts w:ascii="Times New Roman" w:hAnsi="Times New Roman" w:cs="Times New Roman"/>
          <w:b w:val="0"/>
          <w:i w:val="0"/>
          <w:w w:val="100"/>
          <w:sz w:val="26"/>
          <w:szCs w:val="26"/>
          <w:spacing w:val="0"/>
        </w:rPr>
        <w:t xml:space="preserve">  DATE</w: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r>
        <w:rPr>
          <w:caps w:val="off"/>
          <w:rFonts w:ascii="Times New Roman" w:hAnsi="Times New Roman" w:cs="Times New Roman"/>
          <w:b w:val="0"/>
          <w:i w:val="0"/>
          <w:w w:val="100"/>
          <w:sz w:val="26"/>
          <w:szCs w:val="26"/>
          <w:spacing w:val="0"/>
        </w:rPr>
        <w:t xml:space="preserve">       (Head of Department)</w:t>
      </w:r>
    </w:p>
    <w:p>
      <w:pPr>
        <w:pStyle w:val="normal"/>
        <w:snapToGrid w:val="0"/>
        <w:spacing w:after="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6"/>
          <w:szCs w:val="26"/>
          <w:spacing w:val="0"/>
        </w:rPr>
      </w:pPr>
    </w:p>
    <w:p>
      <w:pPr>
        <w:pStyle w:val="Heading1"/>
        <w:snapToGrid w:val="0"/>
        <w:spacing w:after="0" w:afterAutospacing="0" w:before="240" w:beforeAutospacing="0" w:line="480" w:lineRule="auto"/>
        <w:textAlignment w:val="baseline"/>
        <w:rPr>
          <w:caps w:val="off"/>
          <w:rFonts w:eastAsia="Times New Roman" w:cs="Times New Roman"/>
          <w:b/>
          <w:i w:val="0"/>
          <w:color w:val="000000"/>
          <w:w w:val="100"/>
          <w:sz w:val="24"/>
          <w:szCs w:val="24"/>
          <w:spacing w:val="0"/>
        </w:rPr>
      </w:pPr>
    </w:p>
    <w:p>
      <w:pPr>
        <w:pStyle w:val="Heading1"/>
        <w:snapToGrid w:val="0"/>
        <w:jc w:val="center"/>
        <w:spacing w:after="0" w:afterAutospacing="0" w:before="240" w:beforeAutospacing="0" w:line="480" w:lineRule="auto"/>
        <w:textAlignment w:val="baseline"/>
        <w:rPr>
          <w:caps w:val="off"/>
          <w:rFonts w:eastAsia="Times New Roman" w:cs="Times New Roman"/>
          <w:b/>
          <w:i w:val="0"/>
          <w:color w:val="000000"/>
          <w:w w:val="100"/>
          <w:sz w:val="24"/>
          <w:szCs w:val="24"/>
          <w:spacing w:val="0"/>
        </w:rPr>
      </w:pP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val="0"/>
          <w:i w:val="0"/>
          <w:color w:val="000000"/>
          <w:w w:val="100"/>
          <w:sz w:val="24"/>
          <w:spacing w:val="0"/>
        </w:rPr>
      </w:pPr>
      <w:r>
        <w:rPr>
          <w:caps w:val="off"/>
          <w:rFonts w:eastAsia="Times New Roman" w:cs="Times New Roman"/>
          <w:b/>
          <w:i w:val="0"/>
          <w:color w:val="000000"/>
          <w:w w:val="100"/>
          <w:sz w:val="24"/>
          <w:szCs w:val="24"/>
          <w:spacing w:val="0"/>
        </w:rPr>
        <w:t>DEDICATION</w:t>
      </w:r>
    </w:p>
    <w:p>
      <w:pPr>
        <w:pStyle w:val="normal"/>
        <w:snapToGrid w:val="0"/>
        <w:spacing w:after="160" w:afterAutospacing="0" w:before="0" w:beforeAutospacing="0" w:line="480" w:lineRule="auto"/>
        <w:textAlignment w:val="baseline"/>
        <w:rPr>
          <w:caps w:val="off"/>
          <w:rFonts w:ascii="Times New Roman" w:eastAsia="Times New Roman" w:hAnsi="Times New Roman" w:cs="Times New Roman"/>
          <w:b w:val="0"/>
          <w:i w:val="0"/>
          <w:w w:val="100"/>
          <w:sz w:val="22"/>
          <w:szCs w:val="24"/>
          <w:spacing w:val="0"/>
        </w:rPr>
      </w:pPr>
      <w:r>
        <w:rPr>
          <w:caps w:val="off"/>
          <w:rFonts w:ascii="Times New Roman" w:eastAsia="Times New Roman" w:hAnsi="Times New Roman" w:cs="Times New Roman"/>
          <w:b w:val="0"/>
          <w:i w:val="0"/>
          <w:w w:val="100"/>
          <w:sz w:val="22"/>
          <w:szCs w:val="24"/>
          <w:spacing w:val="0"/>
        </w:rPr>
        <w:t>I dedicated this project to almighty God for He is the one that makes this Programme completion a reality and also to my family as a whole.</w:t>
      </w:r>
    </w:p>
    <w:p>
      <w:pPr>
        <w:pStyle w:val="normal"/>
        <w:ind w:right="27" w:firstLine="720"/>
        <w:snapToGrid w:val="0"/>
        <w:spacing w:after="160" w:afterAutospacing="0" w:before="0" w:beforeAutospacing="0" w:line="360" w:lineRule="auto"/>
        <w:textAlignment w:val="baseline"/>
        <w:rPr>
          <w:caps w:val="off"/>
          <w:rFonts w:ascii="Times New Roman" w:hAnsi="Times New Roman" w:cs="Times New Roman"/>
          <w:b w:val="0"/>
          <w:i w:val="0"/>
          <w:w w:val="100"/>
          <w:sz w:val="28"/>
          <w:szCs w:val="28"/>
          <w:spacing w:val="0"/>
        </w:rPr>
      </w:pPr>
    </w:p>
    <w:p>
      <w:pPr>
        <w:pStyle w:val="normal"/>
        <w:snapToGrid w:val="0"/>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normal"/>
        <w:snapToGrid w:val="0"/>
        <w:jc w:val="center"/>
        <w:spacing w:after="160" w:afterAutospacing="0" w:before="0" w:beforeAutospacing="0" w:line="360" w:lineRule="auto"/>
        <w:textAlignment w:val="baseline"/>
        <w:rPr>
          <w:caps w:val="off"/>
          <w:rFonts w:ascii="Times New Roman" w:hAnsi="Times New Roman" w:cs="Times New Roman"/>
          <w:b/>
          <w:i w:val="0"/>
          <w:w w:val="100"/>
          <w:sz w:val="26"/>
          <w:szCs w:val="26"/>
          <w:spacing w:val="0"/>
        </w:rPr>
      </w:pPr>
    </w:p>
    <w:p>
      <w:pPr>
        <w:pStyle w:val="Heading1"/>
        <w:snapToGrid w:val="0"/>
        <w:jc w:val="center"/>
        <w:spacing w:after="0" w:afterAutospacing="0" w:before="240" w:beforeAutospacing="0" w:line="480" w:lineRule="auto"/>
        <w:textAlignment w:val="baseline"/>
        <w:rPr>
          <w:caps w:val="off"/>
          <w:rFonts w:eastAsia="Times New Roman" w:cs="Times New Roman"/>
          <w:b w:val="0"/>
          <w:i w:val="0"/>
          <w:color w:val="000000"/>
          <w:w w:val="100"/>
          <w:sz w:val="24"/>
          <w:szCs w:val="24"/>
          <w:spacing w:val="0"/>
        </w:rPr>
      </w:pP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Heading1"/>
        <w:snapToGrid w:val="0"/>
        <w:jc w:val="center"/>
        <w:spacing w:after="0" w:afterAutospacing="0" w:before="240" w:beforeAutospacing="0" w:line="480" w:lineRule="auto"/>
        <w:textAlignment w:val="baseline"/>
        <w:rPr>
          <w:caps w:val="off"/>
          <w:rFonts w:eastAsia="Times New Roman" w:cs="Times New Roman"/>
          <w:b/>
          <w:i w:val="0"/>
          <w:color w:val="000000"/>
          <w:w w:val="100"/>
          <w:sz w:val="24"/>
          <w:szCs w:val="24"/>
          <w:spacing w:val="0"/>
        </w:rPr>
      </w:pPr>
    </w:p>
    <w:p>
      <w:pPr>
        <w:pStyle w:val="Heading1"/>
        <w:snapToGrid w:val="0"/>
        <w:jc w:val="center"/>
        <w:spacing w:after="0" w:afterAutospacing="0" w:before="240" w:beforeAutospacing="0" w:line="480" w:lineRule="auto"/>
        <w:textAlignment w:val="baseline"/>
        <w:rPr>
          <w:caps w:val="off"/>
          <w:rFonts w:eastAsia="Times New Roman" w:cs="Times New Roman"/>
          <w:b w:val="0"/>
          <w:i w:val="0"/>
          <w:color w:val="000000"/>
          <w:w w:val="100"/>
          <w:sz w:val="24"/>
          <w:szCs w:val="24"/>
          <w:spacing w:val="0"/>
        </w:rPr>
      </w:pPr>
      <w:r>
        <w:rPr>
          <w:caps w:val="off"/>
          <w:rFonts w:eastAsia="Times New Roman" w:cs="Times New Roman"/>
          <w:b/>
          <w:i w:val="0"/>
          <w:color w:val="000000"/>
          <w:w w:val="100"/>
          <w:sz w:val="24"/>
          <w:szCs w:val="24"/>
          <w:spacing w:val="0"/>
        </w:rPr>
        <w:t>ACKNOWLEDGEMENT</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First and foremost, I express my sincere gratitude to the Almighty God for granting me the strength, wisdom, and perseverance to successfully complete this report.</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I am deeply grateful to my supervisor, Dagba IB ( Mrs).  for her invaluable guidance, constructive feedback, and consistent support throughout the course of this project. Her mentorship has greatly enriched my academic journey.</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I also extend my heartfelt appreciation to my beloved parents, Mr. and Mrs. </w:t>
      </w:r>
      <w:r>
        <w:rPr>
          <w:caps w:val="off"/>
          <w:lang w:val="en-US"/>
          <w:rFonts w:ascii="Times New Roman" w:eastAsia="Times New Roman" w:hAnsi="Times New Roman" w:cs="Times New Roman"/>
          <w:b w:val="0"/>
          <w:i w:val="0"/>
          <w:w w:val="100"/>
          <w:sz w:val="24"/>
          <w:szCs w:val="24"/>
          <w:spacing w:val="0"/>
        </w:rPr>
        <w:t>Usman</w:t>
      </w:r>
      <w:r>
        <w:rPr>
          <w:caps w:val="off"/>
          <w:rFonts w:ascii="Times New Roman" w:eastAsia="Times New Roman" w:hAnsi="Times New Roman" w:cs="Times New Roman"/>
          <w:b w:val="0"/>
          <w:i w:val="0"/>
          <w:w w:val="100"/>
          <w:sz w:val="24"/>
          <w:szCs w:val="24"/>
          <w:spacing w:val="0"/>
        </w:rPr>
        <w:t>, for their unwavering love, encouragement, and moral support. Their sacrifices and prayers have been the foundation of my success.</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To all my lecturers, colleagues, and friends who contributed directly or indirectly to the completion of this work, I say thank you.</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p>
    <w:p>
      <w:pPr>
        <w:pStyle w:val="normal"/>
        <w:snapToGrid w:val="0"/>
        <w:jc w:val="center"/>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style266"/>
        <w:snapToGrid w:val="0"/>
        <w:jc w:val="center"/>
        <w:spacing w:after="0" w:afterAutospacing="0" w:before="240" w:beforeAutospacing="0" w:line="480" w:lineRule="auto"/>
        <w:textAlignment w:val="baseline"/>
        <w:rPr>
          <w:caps w:val="off"/>
          <w:rFonts w:ascii="Times New Roman" w:eastAsia="Times New Roman" w:hAnsi="Times New Roman" w:cs="Times New Roman"/>
          <w:b/>
          <w:i w:val="0"/>
          <w:color w:val="000000"/>
          <w:w w:val="100"/>
          <w:sz w:val="24"/>
          <w:szCs w:val="24"/>
          <w:spacing w:val="0"/>
        </w:rPr>
      </w:pPr>
      <w:r>
        <w:rPr>
          <w:caps w:val="off"/>
          <w:rFonts w:ascii="Times New Roman" w:eastAsia="Times New Roman" w:hAnsi="Times New Roman" w:cs="Times New Roman"/>
          <w:b/>
          <w:i w:val="0"/>
          <w:color w:val="000000"/>
          <w:w w:val="100"/>
          <w:sz w:val="24"/>
          <w:szCs w:val="24"/>
          <w:spacing w:val="0"/>
        </w:rPr>
        <w:t>TABLE OF CONTENTS</w:t>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caps w:val="off"/>
          <w:rFonts w:ascii="Times New Roman" w:hAnsi="Times New Roman" w:cs="Times New Roman"/>
          <w:b w:val="0"/>
          <w:i w:val="0"/>
          <w:w w:val="100"/>
          <w:sz w:val="24"/>
          <w:szCs w:val="24"/>
          <w:spacing w:val="0"/>
        </w:rPr>
        <w:t>TITLE PAGE</w:t>
      </w:r>
      <w:r>
        <w:rPr>
          <w:caps w:val="off"/>
          <w:rFonts w:ascii="Times New Roman" w:hAnsi="Times New Roman" w:cs="Times New Roman"/>
          <w:b w:val="0"/>
          <w:i w:val="0"/>
          <w:w w:val="100"/>
          <w:sz w:val="24"/>
          <w:szCs w:val="24"/>
          <w:spacing w:val="0"/>
        </w:rPr>
        <w:tab/>
      </w:r>
      <w:r>
        <w:rPr>
          <w:caps w:val="off"/>
          <w:rFonts w:ascii="Times New Roman" w:hAnsi="Times New Roman" w:cs="Times New Roman"/>
          <w:b w:val="0"/>
          <w:i w:val="0"/>
          <w:w w:val="100"/>
          <w:sz w:val="24"/>
          <w:szCs w:val="24"/>
          <w:spacing w:val="0"/>
        </w:rPr>
        <w:t>i</w:t>
      </w:r>
      <w:r>
        <w:rPr>
          <w:caps w:val="off"/>
          <w:rFonts w:ascii="Times New Roman" w:hAnsi="Times New Roman" w:cs="Times New Roman"/>
          <w:b w:val="0"/>
          <w:i w:val="0"/>
          <w:w w:val="100"/>
          <w:sz w:val="24"/>
          <w:szCs w:val="24"/>
          <w:spacing w:val="0"/>
        </w:rPr>
        <w:br/>
      </w:r>
      <w:r>
        <w:fldChar w:fldCharType="begin"/>
      </w:r>
      <w:r>
        <w:instrText xml:space="preserve"> TOC \o "1-3" \h \z \u </w:instrText>
      </w:r>
      <w:r>
        <w:fldChar w:fldCharType="separate"/>
      </w:r>
      <w:r>
        <w:fldChar w:fldCharType="begin"/>
      </w:r>
      <w:r>
        <w:instrText xml:space="preserve"> HYPERLINK \l "_Toc203146280"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CERTIFICATION</w:t>
      </w:r>
      <w:r>
        <w:rPr>
          <w:caps w:val="off"/>
          <w:rFonts w:ascii="Times New Roman" w:hAnsi="Times New Roman" w:cs="Times New Roman"/>
          <w:b w:val="0"/>
          <w:i w:val="0"/>
          <w:noProof/>
          <w:w w:val="100"/>
          <w:sz w:val="24"/>
          <w:szCs w:val="24"/>
          <w:spacing w:val="0"/>
        </w:rPr>
        <w:tab/>
      </w:r>
      <w:r>
        <w:fldChar w:fldCharType="begin"/>
      </w:r>
      <w:r>
        <w:instrText xml:space="preserve"> PAGEREF _Toc203146280 \h </w:instrText>
      </w:r>
      <w:r>
        <w:fldChar w:fldCharType="separate"/>
      </w:r>
      <w:r>
        <w:rPr>
          <w:caps w:val="off"/>
          <w:rFonts w:ascii="Times New Roman" w:hAnsi="Times New Roman" w:cs="Times New Roman"/>
          <w:b w:val="0"/>
          <w:i w:val="0"/>
          <w:noProof/>
          <w:w w:val="100"/>
          <w:sz w:val="24"/>
          <w:szCs w:val="24"/>
          <w:spacing w:val="0"/>
        </w:rPr>
        <w:t>ii</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"_Toc203146281"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DEDICATION</w:t>
      </w:r>
      <w:r>
        <w:rPr>
          <w:caps w:val="off"/>
          <w:rFonts w:ascii="Times New Roman" w:hAnsi="Times New Roman" w:cs="Times New Roman"/>
          <w:b w:val="0"/>
          <w:i w:val="0"/>
          <w:noProof/>
          <w:w w:val="100"/>
          <w:sz w:val="24"/>
          <w:szCs w:val="24"/>
          <w:spacing w:val="0"/>
        </w:rPr>
        <w:tab/>
      </w:r>
      <w:r>
        <w:fldChar w:fldCharType="begin"/>
      </w:r>
      <w:r>
        <w:instrText xml:space="preserve"> PAGEREF _Toc203146281 \h </w:instrText>
      </w:r>
      <w:r>
        <w:fldChar w:fldCharType="separate"/>
      </w:r>
      <w:r>
        <w:rPr>
          <w:caps w:val="off"/>
          <w:rFonts w:ascii="Times New Roman" w:hAnsi="Times New Roman" w:cs="Times New Roman"/>
          <w:b w:val="0"/>
          <w:i w:val="0"/>
          <w:noProof/>
          <w:w w:val="100"/>
          <w:sz w:val="24"/>
          <w:szCs w:val="24"/>
          <w:spacing w:val="0"/>
        </w:rPr>
        <w:t>iii</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"_Toc203146282"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ACKNOWLEDGEMENT</w:t>
      </w:r>
      <w:r>
        <w:rPr>
          <w:caps w:val="off"/>
          <w:rFonts w:ascii="Times New Roman" w:hAnsi="Times New Roman" w:cs="Times New Roman"/>
          <w:b w:val="0"/>
          <w:i w:val="0"/>
          <w:noProof/>
          <w:w w:val="100"/>
          <w:sz w:val="24"/>
          <w:szCs w:val="24"/>
          <w:spacing w:val="0"/>
        </w:rPr>
        <w:tab/>
      </w:r>
      <w:r>
        <w:fldChar w:fldCharType="begin"/>
      </w:r>
      <w:r>
        <w:instrText xml:space="preserve"> PAGEREF _Toc203146282 \h </w:instrText>
      </w:r>
      <w:r>
        <w:fldChar w:fldCharType="separate"/>
      </w:r>
      <w:r>
        <w:rPr>
          <w:caps w:val="off"/>
          <w:rFonts w:ascii="Times New Roman" w:hAnsi="Times New Roman" w:cs="Times New Roman"/>
          <w:b w:val="0"/>
          <w:i w:val="0"/>
          <w:noProof/>
          <w:w w:val="100"/>
          <w:sz w:val="24"/>
          <w:szCs w:val="24"/>
          <w:spacing w:val="0"/>
        </w:rPr>
        <w:t>iv</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"_Toc203146283"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ABSTRACT</w:t>
      </w:r>
      <w:r>
        <w:rPr>
          <w:caps w:val="off"/>
          <w:rFonts w:ascii="Times New Roman" w:hAnsi="Times New Roman" w:cs="Times New Roman"/>
          <w:b w:val="0"/>
          <w:i w:val="0"/>
          <w:noProof/>
          <w:w w:val="100"/>
          <w:sz w:val="24"/>
          <w:szCs w:val="24"/>
          <w:spacing w:val="0"/>
        </w:rPr>
        <w:tab/>
      </w:r>
      <w:r>
        <w:fldChar w:fldCharType="begin"/>
      </w:r>
      <w:r>
        <w:instrText xml:space="preserve"> PAGEREF _Toc203146283 \h </w:instrText>
      </w:r>
      <w:r>
        <w:fldChar w:fldCharType="separate"/>
      </w:r>
      <w:r>
        <w:rPr>
          <w:caps w:val="off"/>
          <w:rFonts w:ascii="Times New Roman" w:hAnsi="Times New Roman" w:cs="Times New Roman"/>
          <w:b w:val="0"/>
          <w:i w:val="0"/>
          <w:noProof/>
          <w:w w:val="100"/>
          <w:sz w:val="24"/>
          <w:szCs w:val="24"/>
          <w:spacing w:val="0"/>
        </w:rPr>
        <w:t>vii</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CHAPTER ONE</w:t>
      </w:r>
      <w:r>
        <w:fldChar w:fldCharType="begin"/>
      </w:r>
      <w:r>
        <w:instrText xml:space="preserve"> HYPERLINK \l "_Toc203146284"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_Toc203146284 \h </w:instrText>
      </w:r>
      <w:r>
        <w:fldChar w:fldCharType="separate"/>
      </w:r>
      <w:r>
        <w:rPr>
          <w:caps w:val="off"/>
          <w:rFonts w:ascii="Times New Roman" w:hAnsi="Times New Roman" w:cs="Times New Roman"/>
          <w:b w:val="0"/>
          <w:i w:val="0"/>
          <w:noProof/>
          <w:w w:val="100"/>
          <w:sz w:val="24"/>
          <w:szCs w:val="24"/>
          <w:spacing w:val="0"/>
        </w:rPr>
        <w:t>8</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INTRODUCTION</w:t>
      </w:r>
      <w:r>
        <w:rPr>
          <w:caps w:val="off"/>
          <w:rFonts w:ascii="Times New Roman" w:hAnsi="Times New Roman" w:cs="Times New Roman"/>
          <w:b w:val="0"/>
          <w:i w:val="0"/>
          <w:noProof/>
          <w:w w:val="100"/>
          <w:sz w:val="24"/>
          <w:szCs w:val="24"/>
          <w:spacing w:val="0"/>
        </w:rPr>
        <w:tab/>
      </w:r>
      <w:r>
        <w:fldChar w:fldCharType="begin"/>
      </w:r>
      <w:r>
        <w:instrText xml:space="preserve"> PAGEREF _Toc203146285 \h </w:instrText>
      </w:r>
      <w:r>
        <w:fldChar w:fldCharType="separate"/>
      </w:r>
      <w:r>
        <w:rPr>
          <w:caps w:val="off"/>
          <w:rFonts w:ascii="Times New Roman" w:hAnsi="Times New Roman" w:cs="Times New Roman"/>
          <w:b w:val="0"/>
          <w:i w:val="0"/>
          <w:noProof/>
          <w:w w:val="100"/>
          <w:sz w:val="24"/>
          <w:szCs w:val="24"/>
          <w:spacing w:val="0"/>
        </w:rPr>
        <w:t>8</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"_Toc203146286"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1.1</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_Toc203146286 \h </w:instrText>
      </w:r>
      <w:r>
        <w:fldChar w:fldCharType="separate"/>
      </w:r>
      <w:r>
        <w:rPr>
          <w:caps w:val="off"/>
          <w:rFonts w:ascii="Times New Roman" w:hAnsi="Times New Roman" w:cs="Times New Roman"/>
          <w:b w:val="0"/>
          <w:i w:val="0"/>
          <w:noProof/>
          <w:w w:val="100"/>
          <w:sz w:val="24"/>
          <w:szCs w:val="24"/>
          <w:spacing w:val="0"/>
        </w:rPr>
        <w:t>8</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Background to the Study</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"_Toc203146287"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1.1</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_Toc203146287 \h </w:instrText>
      </w:r>
      <w:r>
        <w:fldChar w:fldCharType="separate"/>
      </w:r>
      <w:r>
        <w:rPr>
          <w:caps w:val="off"/>
          <w:rFonts w:ascii="Times New Roman" w:hAnsi="Times New Roman" w:cs="Times New Roman"/>
          <w:b w:val="0"/>
          <w:i w:val="0"/>
          <w:noProof/>
          <w:w w:val="100"/>
          <w:sz w:val="24"/>
          <w:szCs w:val="24"/>
          <w:spacing w:val="0"/>
        </w:rPr>
        <w:t>10</w:t>
      </w:r>
      <w:r>
        <w:fldChar w:fldCharType="end"/>
      </w:r>
      <w:r>
        <w:fldChar w:fldCharType="end"/>
      </w:r>
      <w:r>
        <w:rPr>
          <w:rStyle w:val="Hyperlink"/>
          <w:caps w:val="off"/>
          <w:rFonts w:ascii="Times New Roman" w:eastAsia="Times New Roman" w:hAnsi="Times New Roman" w:cs="Times New Roman"/>
          <w:b w:val="0"/>
          <w:i w:val="0"/>
          <w:noProof/>
          <w:color w:val="0563C1"/>
          <w:w w:val="100"/>
          <w:sz w:val="24"/>
          <w:szCs w:val="24"/>
          <w:u w:val="single" w:color="0563C1"/>
          <w:spacing w:val="0"/>
        </w:rPr>
        <w:t>Statement of Problem</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"_Toc203146288"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1.1</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eastAsia="Times New Roman" w:hAnsi="Times New Roman" w:cs="Times New Roman"/>
          <w:b w:val="0"/>
          <w:i w:val="0"/>
          <w:noProof/>
          <w:color w:val="0563C1"/>
          <w:w w:val="100"/>
          <w:sz w:val="24"/>
          <w:szCs w:val="24"/>
          <w:u w:val="single" w:color="0563C1"/>
          <w:spacing w:val="0"/>
        </w:rPr>
        <w:t>Justification</w:t>
      </w:r>
      <w:r>
        <w:rPr>
          <w:caps w:val="off"/>
          <w:rFonts w:ascii="Times New Roman" w:hAnsi="Times New Roman" w:cs="Times New Roman"/>
          <w:b w:val="0"/>
          <w:i w:val="0"/>
          <w:noProof/>
          <w:w w:val="100"/>
          <w:sz w:val="24"/>
          <w:szCs w:val="24"/>
          <w:spacing w:val="0"/>
        </w:rPr>
        <w:tab/>
      </w:r>
      <w:r>
        <w:fldChar w:fldCharType="begin"/>
      </w:r>
      <w:r>
        <w:instrText xml:space="preserve"> PAGEREF _Toc203146288 \h </w:instrText>
      </w:r>
      <w:r>
        <w:fldChar w:fldCharType="separate"/>
      </w:r>
      <w:r>
        <w:rPr>
          <w:caps w:val="off"/>
          <w:rFonts w:ascii="Times New Roman" w:hAnsi="Times New Roman" w:cs="Times New Roman"/>
          <w:b w:val="0"/>
          <w:i w:val="0"/>
          <w:noProof/>
          <w:w w:val="100"/>
          <w:sz w:val="24"/>
          <w:szCs w:val="24"/>
          <w:spacing w:val="0"/>
        </w:rPr>
        <w:t>10</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"_Toc203146289"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1.3</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_Toc203146289 \h </w:instrText>
      </w:r>
      <w:r>
        <w:fldChar w:fldCharType="separate"/>
      </w:r>
      <w:r>
        <w:rPr>
          <w:caps w:val="off"/>
          <w:rFonts w:ascii="Times New Roman" w:hAnsi="Times New Roman" w:cs="Times New Roman"/>
          <w:b w:val="0"/>
          <w:i w:val="0"/>
          <w:noProof/>
          <w:w w:val="100"/>
          <w:sz w:val="24"/>
          <w:szCs w:val="24"/>
          <w:spacing w:val="0"/>
        </w:rPr>
        <w:t>11</w:t>
      </w:r>
      <w:r>
        <w:fldChar w:fldCharType="end"/>
      </w:r>
      <w:r>
        <w:fldChar w:fldCharType="end"/>
      </w:r>
      <w:r>
        <w:rPr>
          <w:rStyle w:val="Hyperlink"/>
          <w:caps w:val="off"/>
          <w:rFonts w:ascii="Times New Roman" w:eastAsia="Times New Roman" w:hAnsi="Times New Roman" w:cs="Times New Roman"/>
          <w:b w:val="0"/>
          <w:i w:val="0"/>
          <w:noProof/>
          <w:color w:val="0563C1"/>
          <w:w w:val="100"/>
          <w:sz w:val="24"/>
          <w:szCs w:val="24"/>
          <w:u w:val="single" w:color="0563C1"/>
          <w:spacing w:val="0"/>
        </w:rPr>
        <w:t>Aim and Objectives of Study</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"_Toc203146290"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1.3.1</w:t>
      </w:r>
      <w:r>
        <w:rPr>
          <w:caps w:val="off"/>
          <w:rFonts w:ascii="Times New Roman" w:hAnsi="Times New Roman" w:cs="Times New Roman"/>
          <w:b w:val="0"/>
          <w:i w:val="0"/>
          <w:noProof/>
          <w:w w:val="100"/>
          <w:sz w:val="24"/>
          <w:szCs w:val="24"/>
          <w:spacing w:val="0"/>
        </w:rPr>
        <w:tab/>
      </w:r>
      <w:r>
        <w:fldChar w:fldCharType="begin"/>
      </w:r>
      <w:r>
        <w:instrText xml:space="preserve"> PAGEREF _Toc203146290 \h </w:instrText>
      </w:r>
      <w:r>
        <w:fldChar w:fldCharType="separate"/>
      </w:r>
      <w:r>
        <w:rPr>
          <w:caps w:val="off"/>
          <w:rFonts w:ascii="Times New Roman" w:hAnsi="Times New Roman" w:cs="Times New Roman"/>
          <w:b w:val="0"/>
          <w:i w:val="0"/>
          <w:noProof/>
          <w:w w:val="100"/>
          <w:sz w:val="24"/>
          <w:szCs w:val="24"/>
          <w:spacing w:val="0"/>
        </w:rPr>
        <w:t>11</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Aim of the Study</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"_Toc203146291"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1.3.2</w:t>
      </w:r>
      <w:r>
        <w:rPr>
          <w:caps w:val="off"/>
          <w:rFonts w:ascii="Times New Roman" w:hAnsi="Times New Roman" w:cs="Times New Roman"/>
          <w:b w:val="0"/>
          <w:i w:val="0"/>
          <w:noProof/>
          <w:w w:val="100"/>
          <w:sz w:val="24"/>
          <w:szCs w:val="24"/>
          <w:spacing w:val="0"/>
        </w:rPr>
        <w:tab/>
      </w:r>
      <w:r>
        <w:fldChar w:fldCharType="begin"/>
      </w:r>
      <w:r>
        <w:instrText xml:space="preserve"> PAGEREF _Toc203146291 \h </w:instrText>
      </w:r>
      <w:r>
        <w:fldChar w:fldCharType="separate"/>
      </w:r>
      <w:r>
        <w:rPr>
          <w:caps w:val="off"/>
          <w:rFonts w:ascii="Times New Roman" w:hAnsi="Times New Roman" w:cs="Times New Roman"/>
          <w:b w:val="0"/>
          <w:i w:val="0"/>
          <w:noProof/>
          <w:w w:val="100"/>
          <w:sz w:val="24"/>
          <w:szCs w:val="24"/>
          <w:spacing w:val="0"/>
        </w:rPr>
        <w:t>11</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Specific Objectives</w:t>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CHAPTER TWO</w:t>
      </w:r>
      <w:r>
        <w:fldChar w:fldCharType="begin"/>
      </w:r>
      <w:r>
        <w:instrText xml:space="preserve"> HYPERLINK \l "_Toc203146292"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_Toc203146292 \h </w:instrText>
      </w:r>
      <w:r>
        <w:fldChar w:fldCharType="separate"/>
      </w:r>
      <w:r>
        <w:rPr>
          <w:caps w:val="off"/>
          <w:rFonts w:ascii="Times New Roman" w:hAnsi="Times New Roman" w:cs="Times New Roman"/>
          <w:b w:val="0"/>
          <w:i w:val="0"/>
          <w:noProof/>
          <w:w w:val="100"/>
          <w:sz w:val="24"/>
          <w:szCs w:val="24"/>
          <w:spacing w:val="0"/>
        </w:rPr>
        <w:t>12</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LITERATURE REVIEW</w:t>
      </w:r>
      <w:r>
        <w:fldChar w:fldCharType="begin"/>
      </w:r>
      <w:r>
        <w:instrText xml:space="preserve"> HYPERLINK \l "_Toc203146293"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_Toc203146293 \h </w:instrText>
      </w:r>
      <w:r>
        <w:fldChar w:fldCharType="separate"/>
      </w:r>
      <w:r>
        <w:rPr>
          <w:caps w:val="off"/>
          <w:rFonts w:ascii="Times New Roman" w:hAnsi="Times New Roman" w:cs="Times New Roman"/>
          <w:b w:val="0"/>
          <w:i w:val="0"/>
          <w:noProof/>
          <w:w w:val="100"/>
          <w:sz w:val="24"/>
          <w:szCs w:val="24"/>
          <w:spacing w:val="0"/>
        </w:rPr>
        <w:t>12</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"_Toc203146294"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2.1</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_Toc203146294 \h </w:instrText>
      </w:r>
      <w:r>
        <w:fldChar w:fldCharType="separate"/>
      </w:r>
      <w:r>
        <w:rPr>
          <w:caps w:val="off"/>
          <w:rFonts w:ascii="Times New Roman" w:hAnsi="Times New Roman" w:cs="Times New Roman"/>
          <w:b w:val="0"/>
          <w:i w:val="0"/>
          <w:noProof/>
          <w:w w:val="100"/>
          <w:sz w:val="24"/>
          <w:szCs w:val="24"/>
          <w:spacing w:val="0"/>
        </w:rPr>
        <w:t>12</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Antibacterial Agents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2.1.1</w:t>
      </w:r>
      <w:r>
        <w:rPr>
          <w:caps w:val="off"/>
          <w:rFonts w:ascii="Times New Roman" w:hAnsi="Times New Roman" w:cs="Times New Roman"/>
          <w:b w:val="0"/>
          <w:i w:val="0"/>
          <w:noProof/>
          <w:w w:val="100"/>
          <w:sz w:val="24"/>
          <w:szCs w:val="24"/>
          <w:spacing w:val="0"/>
        </w:rPr>
        <w:tab/>
      </w:r>
      <w:r>
        <w:fldChar w:fldCharType="begin"/>
      </w:r>
      <w:r>
        <w:instrText xml:space="preserve"> PAGEREF _Toc203146295 \h </w:instrText>
      </w:r>
      <w:r>
        <w:fldChar w:fldCharType="separate"/>
      </w:r>
      <w:r>
        <w:rPr>
          <w:caps w:val="off"/>
          <w:rFonts w:ascii="Times New Roman" w:hAnsi="Times New Roman" w:cs="Times New Roman"/>
          <w:b w:val="0"/>
          <w:i w:val="0"/>
          <w:noProof/>
          <w:w w:val="100"/>
          <w:sz w:val="24"/>
          <w:szCs w:val="24"/>
          <w:spacing w:val="0"/>
        </w:rPr>
        <w:t>13</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Types of Antibacterial Agents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"_Toc203146296"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2.1.2</w:t>
      </w:r>
      <w:r>
        <w:rPr>
          <w:caps w:val="off"/>
          <w:rFonts w:ascii="Times New Roman" w:hAnsi="Times New Roman" w:cs="Times New Roman"/>
          <w:b w:val="0"/>
          <w:i w:val="0"/>
          <w:noProof/>
          <w:w w:val="100"/>
          <w:sz w:val="24"/>
          <w:szCs w:val="24"/>
          <w:spacing w:val="0"/>
        </w:rPr>
        <w:tab/>
      </w:r>
      <w:r>
        <w:fldChar w:fldCharType="begin"/>
      </w:r>
      <w:r>
        <w:instrText xml:space="preserve"> PAGEREF _Toc203146296 \h </w:instrText>
      </w:r>
      <w:r>
        <w:fldChar w:fldCharType="separate"/>
      </w:r>
      <w:r>
        <w:rPr>
          <w:caps w:val="off"/>
          <w:rFonts w:ascii="Times New Roman" w:hAnsi="Times New Roman" w:cs="Times New Roman"/>
          <w:b w:val="0"/>
          <w:i w:val="0"/>
          <w:noProof/>
          <w:w w:val="100"/>
          <w:sz w:val="24"/>
          <w:szCs w:val="24"/>
          <w:spacing w:val="0"/>
        </w:rPr>
        <w:t>14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Spectrum of Activity</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"_Toc203146297"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2.1.3</w:t>
      </w:r>
      <w:r>
        <w:rPr>
          <w:caps w:val="off"/>
          <w:rFonts w:ascii="Times New Roman" w:hAnsi="Times New Roman" w:cs="Times New Roman"/>
          <w:b w:val="0"/>
          <w:i w:val="0"/>
          <w:noProof/>
          <w:w w:val="100"/>
          <w:sz w:val="24"/>
          <w:szCs w:val="24"/>
          <w:spacing w:val="0"/>
        </w:rPr>
        <w:tab/>
      </w:r>
      <w:r>
        <w:fldChar w:fldCharType="begin"/>
      </w:r>
      <w:r>
        <w:instrText xml:space="preserve"> PAGEREF _Toc203146297 \h </w:instrText>
      </w:r>
      <w:r>
        <w:fldChar w:fldCharType="separate"/>
      </w:r>
      <w:r>
        <w:rPr>
          <w:caps w:val="off"/>
          <w:rFonts w:ascii="Times New Roman" w:hAnsi="Times New Roman" w:cs="Times New Roman"/>
          <w:b w:val="0"/>
          <w:i w:val="0"/>
          <w:noProof/>
          <w:w w:val="100"/>
          <w:sz w:val="24"/>
          <w:szCs w:val="24"/>
          <w:spacing w:val="0"/>
        </w:rPr>
        <w:t>15</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Mechanisms of Action</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"_Toc203146298"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2.1.4</w:t>
      </w:r>
      <w:r>
        <w:rPr>
          <w:caps w:val="off"/>
          <w:rFonts w:ascii="Times New Roman" w:hAnsi="Times New Roman" w:cs="Times New Roman"/>
          <w:b w:val="0"/>
          <w:i w:val="0"/>
          <w:noProof/>
          <w:w w:val="100"/>
          <w:sz w:val="24"/>
          <w:szCs w:val="24"/>
          <w:spacing w:val="0"/>
        </w:rPr>
        <w:tab/>
      </w:r>
      <w:r>
        <w:fldChar w:fldCharType="begin"/>
      </w:r>
      <w:r>
        <w:instrText xml:space="preserve"> PAGEREF _Toc203146298 \h </w:instrText>
      </w:r>
      <w:r>
        <w:fldChar w:fldCharType="separate"/>
      </w:r>
      <w:r>
        <w:rPr>
          <w:caps w:val="off"/>
          <w:rFonts w:ascii="Times New Roman" w:hAnsi="Times New Roman" w:cs="Times New Roman"/>
          <w:b w:val="0"/>
          <w:i w:val="0"/>
          <w:noProof/>
          <w:w w:val="100"/>
          <w:sz w:val="24"/>
          <w:szCs w:val="24"/>
          <w:spacing w:val="0"/>
        </w:rPr>
        <w:t>16</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Combination Therapy</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"_Toc203146299"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2.2</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_Toc203146299 \h </w:instrText>
      </w:r>
      <w:r>
        <w:fldChar w:fldCharType="separate"/>
      </w:r>
      <w:r>
        <w:rPr>
          <w:caps w:val="off"/>
          <w:rFonts w:ascii="Times New Roman" w:hAnsi="Times New Roman" w:cs="Times New Roman"/>
          <w:b w:val="0"/>
          <w:i w:val="0"/>
          <w:noProof/>
          <w:w w:val="100"/>
          <w:sz w:val="24"/>
          <w:szCs w:val="24"/>
          <w:spacing w:val="0"/>
        </w:rPr>
        <w:t>17</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Overview of Eucalyptus globulus</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"_Toc203146300"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2.3</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hAnsi="Times New Roman" w:cs="Times New Roman"/>
          <w:b w:val="0"/>
          <w:i/>
          <w:noProof/>
          <w:color w:val="0563C1"/>
          <w:w w:val="100"/>
          <w:sz w:val="24"/>
          <w:szCs w:val="24"/>
          <w:u w:val="single" w:color="0563C1"/>
          <w:spacing w:val="0"/>
        </w:rPr>
        <w:t>aureus</w:t>
      </w:r>
      <w:r>
        <w:rPr>
          <w:caps w:val="off"/>
          <w:rFonts w:ascii="Times New Roman" w:hAnsi="Times New Roman" w:cs="Times New Roman"/>
          <w:b w:val="0"/>
          <w:i w:val="0"/>
          <w:noProof/>
          <w:w w:val="100"/>
          <w:sz w:val="24"/>
          <w:szCs w:val="24"/>
          <w:spacing w:val="0"/>
        </w:rPr>
        <w:tab/>
      </w:r>
      <w:r>
        <w:fldChar w:fldCharType="begin"/>
      </w:r>
      <w:r>
        <w:instrText xml:space="preserve"> PAGEREF _Toc203146300 \h </w:instrText>
      </w:r>
      <w:r>
        <w:fldChar w:fldCharType="separate"/>
      </w:r>
      <w:r>
        <w:rPr>
          <w:caps w:val="off"/>
          <w:rFonts w:ascii="Times New Roman" w:hAnsi="Times New Roman" w:cs="Times New Roman"/>
          <w:b w:val="0"/>
          <w:i w:val="0"/>
          <w:noProof/>
          <w:w w:val="100"/>
          <w:sz w:val="24"/>
          <w:szCs w:val="24"/>
          <w:spacing w:val="0"/>
        </w:rPr>
        <w:t>18</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 xml:space="preserve"> (MRSA)Methicillin -Resistant Staphylococcus </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"_Toc203146301"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2.3.1</w:t>
      </w:r>
      <w:r>
        <w:rPr>
          <w:caps w:val="off"/>
          <w:rFonts w:ascii="Times New Roman" w:hAnsi="Times New Roman" w:cs="Times New Roman"/>
          <w:b w:val="0"/>
          <w:i w:val="0"/>
          <w:noProof/>
          <w:w w:val="100"/>
          <w:sz w:val="24"/>
          <w:szCs w:val="24"/>
          <w:spacing w:val="0"/>
        </w:rPr>
        <w:tab/>
      </w:r>
      <w:r>
        <w:fldChar w:fldCharType="begin"/>
      </w:r>
      <w:r>
        <w:instrText xml:space="preserve"> PAGEREF _Toc203146301 \h </w:instrText>
      </w:r>
      <w:r>
        <w:fldChar w:fldCharType="separate"/>
      </w:r>
      <w:r>
        <w:rPr>
          <w:caps w:val="off"/>
          <w:rFonts w:ascii="Times New Roman" w:hAnsi="Times New Roman" w:cs="Times New Roman"/>
          <w:b w:val="0"/>
          <w:i w:val="0"/>
          <w:noProof/>
          <w:w w:val="100"/>
          <w:sz w:val="24"/>
          <w:szCs w:val="24"/>
          <w:spacing w:val="0"/>
        </w:rPr>
        <w:t>18</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Mechanisms of Resistance</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"_Toc203146302"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2.3.2</w:t>
      </w:r>
      <w:r>
        <w:rPr>
          <w:caps w:val="off"/>
          <w:rFonts w:ascii="Times New Roman" w:hAnsi="Times New Roman" w:cs="Times New Roman"/>
          <w:b w:val="0"/>
          <w:i w:val="0"/>
          <w:noProof/>
          <w:w w:val="100"/>
          <w:sz w:val="24"/>
          <w:szCs w:val="24"/>
          <w:spacing w:val="0"/>
        </w:rPr>
        <w:tab/>
      </w:r>
      <w:r>
        <w:fldChar w:fldCharType="begin"/>
      </w:r>
      <w:r>
        <w:instrText xml:space="preserve"> PAGEREF _Toc203146302 \h </w:instrText>
      </w:r>
      <w:r>
        <w:fldChar w:fldCharType="separate"/>
      </w:r>
      <w:r>
        <w:rPr>
          <w:caps w:val="off"/>
          <w:rFonts w:ascii="Times New Roman" w:hAnsi="Times New Roman" w:cs="Times New Roman"/>
          <w:b w:val="0"/>
          <w:i w:val="0"/>
          <w:noProof/>
          <w:w w:val="100"/>
          <w:sz w:val="24"/>
          <w:szCs w:val="24"/>
          <w:spacing w:val="0"/>
        </w:rPr>
        <w:t>18</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Epidemiology and Clinical Impact</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"_Toc203146303"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2.4</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_Toc203146303 \h </w:instrText>
      </w:r>
      <w:r>
        <w:fldChar w:fldCharType="separate"/>
      </w:r>
      <w:r>
        <w:rPr>
          <w:caps w:val="off"/>
          <w:rFonts w:ascii="Times New Roman" w:hAnsi="Times New Roman" w:cs="Times New Roman"/>
          <w:b w:val="0"/>
          <w:i w:val="0"/>
          <w:noProof/>
          <w:w w:val="100"/>
          <w:sz w:val="24"/>
          <w:szCs w:val="24"/>
          <w:spacing w:val="0"/>
        </w:rPr>
        <w:t>19</w:t>
      </w:r>
      <w:r>
        <w:fldChar w:fldCharType="end"/>
      </w:r>
      <w:r>
        <w:fldChar w:fldCharType="end"/>
      </w:r>
      <w:r>
        <w:rPr>
          <w:rStyle w:val="Hyperlink"/>
          <w:caps w:val="off"/>
          <w:rFonts w:ascii="Times New Roman" w:hAnsi="Times New Roman" w:cs="Times New Roman"/>
          <w:b w:val="0"/>
          <w:i/>
          <w:noProof/>
          <w:color w:val="0563C1"/>
          <w:w w:val="100"/>
          <w:sz w:val="24"/>
          <w:szCs w:val="24"/>
          <w:u w:val="single" w:color="0563C1"/>
          <w:spacing w:val="0"/>
        </w:rPr>
        <w:t>Escherichia coli</w:t>
      </w:r>
      <w:r>
        <w:rPr>
          <w:rStyle w:val="Hyperlink"/>
          <w:caps w:val="off"/>
          <w:rFonts w:ascii="Times New Roman" w:hAnsi="Times New Roman" w:cs="Times New Roman"/>
          <w:b w:val="0"/>
          <w:i w:val="0"/>
          <w:noProof/>
          <w:color w:val="0563C1"/>
          <w:w w:val="100"/>
          <w:sz w:val="24"/>
          <w:szCs w:val="24"/>
          <w:u w:val="single" w:color="0563C1"/>
          <w:spacing w:val="0"/>
        </w:rPr>
        <w:t xml:space="preserve"> Infections and Resistance</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"_Toc203146304"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2.4.1</w:t>
      </w:r>
      <w:r>
        <w:rPr>
          <w:caps w:val="off"/>
          <w:rFonts w:ascii="Times New Roman" w:hAnsi="Times New Roman" w:cs="Times New Roman"/>
          <w:b w:val="0"/>
          <w:i w:val="0"/>
          <w:noProof/>
          <w:w w:val="100"/>
          <w:sz w:val="24"/>
          <w:szCs w:val="24"/>
          <w:spacing w:val="0"/>
        </w:rPr>
        <w:tab/>
      </w:r>
      <w:r>
        <w:fldChar w:fldCharType="begin"/>
      </w:r>
      <w:r>
        <w:instrText xml:space="preserve"> PAGEREF _Toc203146304 \h </w:instrText>
      </w:r>
      <w:r>
        <w:fldChar w:fldCharType="separate"/>
      </w:r>
      <w:r>
        <w:rPr>
          <w:caps w:val="off"/>
          <w:rFonts w:ascii="Times New Roman" w:hAnsi="Times New Roman" w:cs="Times New Roman"/>
          <w:b w:val="0"/>
          <w:i w:val="0"/>
          <w:noProof/>
          <w:w w:val="100"/>
          <w:sz w:val="24"/>
          <w:szCs w:val="24"/>
          <w:spacing w:val="0"/>
        </w:rPr>
        <w:t>19</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 xml:space="preserve">Pathogenic Strains of </w:t>
      </w:r>
      <w:r>
        <w:rPr>
          <w:rStyle w:val="Hyperlink"/>
          <w:caps w:val="off"/>
          <w:rFonts w:ascii="Times New Roman" w:hAnsi="Times New Roman" w:cs="Times New Roman"/>
          <w:b w:val="0"/>
          <w:i/>
          <w:iCs/>
          <w:noProof/>
          <w:color w:val="0563C1"/>
          <w:w w:val="100"/>
          <w:sz w:val="24"/>
          <w:szCs w:val="24"/>
          <w:u w:val="single" w:color="0563C1"/>
          <w:spacing w:val="0"/>
        </w:rPr>
        <w:t>Escherichia coli</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2.4.2</w:t>
      </w:r>
      <w:r>
        <w:rPr>
          <w:caps w:val="off"/>
          <w:rFonts w:ascii="Times New Roman" w:hAnsi="Times New Roman" w:cs="Times New Roman"/>
          <w:b w:val="0"/>
          <w:i w:val="0"/>
          <w:noProof/>
          <w:w w:val="100"/>
          <w:sz w:val="24"/>
          <w:szCs w:val="24"/>
          <w:spacing w:val="0"/>
        </w:rPr>
        <w:tab/>
      </w:r>
      <w:r>
        <w:fldChar w:fldCharType="begin"/>
      </w:r>
      <w:r>
        <w:instrText xml:space="preserve"> PAGEREF _Toc203146305 \h </w:instrText>
      </w:r>
      <w:r>
        <w:fldChar w:fldCharType="separate"/>
      </w:r>
      <w:r>
        <w:rPr>
          <w:caps w:val="off"/>
          <w:rFonts w:ascii="Times New Roman" w:hAnsi="Times New Roman" w:cs="Times New Roman"/>
          <w:b w:val="0"/>
          <w:i w:val="0"/>
          <w:noProof/>
          <w:w w:val="100"/>
          <w:sz w:val="24"/>
          <w:szCs w:val="24"/>
          <w:spacing w:val="0"/>
        </w:rPr>
        <w:t>20</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 xml:space="preserve">Mechanisms of Antibiotic Resistance in </w:t>
      </w:r>
      <w:r>
        <w:rPr>
          <w:rStyle w:val="Hyperlink"/>
          <w:caps w:val="off"/>
          <w:rFonts w:ascii="Times New Roman" w:hAnsi="Times New Roman" w:cs="Times New Roman"/>
          <w:b w:val="0"/>
          <w:i/>
          <w:iCs/>
          <w:noProof/>
          <w:color w:val="0563C1"/>
          <w:w w:val="100"/>
          <w:sz w:val="24"/>
          <w:szCs w:val="24"/>
          <w:u w:val="single" w:color="0563C1"/>
          <w:spacing w:val="0"/>
        </w:rPr>
        <w:t>Escherichia coli</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"_Toc203146306"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2.4.3Resistance</w:t>
      </w:r>
      <w:r>
        <w:rPr>
          <w:caps w:val="off"/>
          <w:rFonts w:ascii="Times New Roman" w:hAnsi="Times New Roman" w:cs="Times New Roman"/>
          <w:b w:val="0"/>
          <w:i w:val="0"/>
          <w:noProof/>
          <w:w w:val="100"/>
          <w:sz w:val="24"/>
          <w:szCs w:val="24"/>
          <w:spacing w:val="0"/>
        </w:rPr>
        <w:tab/>
      </w:r>
      <w:r>
        <w:fldChar w:fldCharType="begin"/>
      </w:r>
      <w:r>
        <w:instrText xml:space="preserve"> PAGEREF _Toc203146306 \h </w:instrText>
      </w:r>
      <w:r>
        <w:fldChar w:fldCharType="separate"/>
      </w:r>
      <w:r>
        <w:rPr>
          <w:caps w:val="off"/>
          <w:rFonts w:ascii="Times New Roman" w:hAnsi="Times New Roman" w:cs="Times New Roman"/>
          <w:b w:val="0"/>
          <w:i w:val="0"/>
          <w:noProof/>
          <w:w w:val="100"/>
          <w:sz w:val="24"/>
          <w:szCs w:val="24"/>
          <w:spacing w:val="0"/>
        </w:rPr>
        <w:t>21</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 xml:space="preserve">Clinical Impact of </w:t>
      </w:r>
      <w:r>
        <w:rPr>
          <w:rStyle w:val="Hyperlink"/>
          <w:caps w:val="off"/>
          <w:rFonts w:ascii="Times New Roman" w:hAnsi="Times New Roman" w:cs="Times New Roman"/>
          <w:b w:val="0"/>
          <w:i/>
          <w:iCs/>
          <w:noProof/>
          <w:color w:val="0563C1"/>
          <w:w w:val="100"/>
          <w:sz w:val="24"/>
          <w:szCs w:val="24"/>
          <w:u w:val="single" w:color="0563C1"/>
          <w:spacing w:val="0"/>
        </w:rPr>
        <w:t xml:space="preserve">E. coli </w:t>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CHAPTER THREE</w:t>
      </w:r>
      <w:r>
        <w:fldChar w:fldCharType="begin"/>
      </w:r>
      <w:r>
        <w:instrText xml:space="preserve"> HYPERLINK \l "_Toc203146307"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_Toc203146307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MATERIALS AND METHODS</w:t>
      </w:r>
      <w:r>
        <w:fldChar w:fldCharType="begin"/>
      </w:r>
      <w:r>
        <w:instrText xml:space="preserve"> HYPERLINK \l "_Toc203146308"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_Toc203146308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"_Toc203146309" </w:instrText>
      </w:r>
      <w:r>
        <w:fldChar w:fldCharType="separate"/>
      </w:r>
      <w:r>
        <w:rPr>
          <w:rStyle w:val="Hyperlink"/>
          <w:caps w:val="off"/>
          <w:rFonts w:ascii="Times New Roman" w:eastAsia="Times New Roman" w:hAnsi="Times New Roman" w:cs="Times New Roman"/>
          <w:b w:val="0"/>
          <w:i w:val="0"/>
          <w:noProof/>
          <w:color w:val="0563C1"/>
          <w:w w:val="100"/>
          <w:sz w:val="24"/>
          <w:szCs w:val="24"/>
          <w:u w:val="single" w:color="0563C1"/>
          <w:spacing w:val="0"/>
        </w:rPr>
        <w:t>3.1</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_Toc203146309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r>
        <w:rPr>
          <w:rStyle w:val="Hyperlink"/>
          <w:caps w:val="off"/>
          <w:rFonts w:ascii="Times New Roman" w:eastAsia="Times New Roman" w:hAnsi="Times New Roman" w:cs="Times New Roman"/>
          <w:b w:val="0"/>
          <w:i w:val="0"/>
          <w:noProof/>
          <w:color w:val="0563C1"/>
          <w:w w:val="100"/>
          <w:sz w:val="24"/>
          <w:szCs w:val="24"/>
          <w:u w:val="single" w:color="0563C1"/>
          <w:spacing w:val="0"/>
        </w:rPr>
        <w:t>Study Area and Sample Collection</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"_Toc203146310"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3.2</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_Toc203146310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Collection and Preparation of Plant Material</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"_Toc203146311"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3.3</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_Toc203146311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Preparation of Plant Extracts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"_Toc203146312"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3.3.1</w:t>
      </w:r>
      <w:r>
        <w:rPr>
          <w:caps w:val="off"/>
          <w:rFonts w:ascii="Times New Roman" w:hAnsi="Times New Roman" w:cs="Times New Roman"/>
          <w:b w:val="0"/>
          <w:i w:val="0"/>
          <w:noProof/>
          <w:w w:val="100"/>
          <w:sz w:val="24"/>
          <w:szCs w:val="24"/>
          <w:spacing w:val="0"/>
        </w:rPr>
        <w:tab/>
      </w:r>
      <w:r>
        <w:fldChar w:fldCharType="begin"/>
      </w:r>
      <w:r>
        <w:instrText xml:space="preserve"> PAGEREF _Toc203146312 \h </w:instrText>
      </w:r>
      <w:r>
        <w:fldChar w:fldCharType="separate"/>
      </w:r>
      <w:r>
        <w:rPr>
          <w:caps w:val="off"/>
          <w:rFonts w:ascii="Times New Roman" w:hAnsi="Times New Roman" w:cs="Times New Roman"/>
          <w:b w:val="0"/>
          <w:i w:val="0"/>
          <w:noProof/>
          <w:w w:val="100"/>
          <w:sz w:val="24"/>
          <w:szCs w:val="24"/>
          <w:spacing w:val="0"/>
        </w:rPr>
        <w:t>23</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Ethanol Extraction</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"_Toc203146313"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_Toc203146313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Phytochemical Screening</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"_Toc203146314"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3.4.1</w:t>
      </w:r>
      <w:r>
        <w:rPr>
          <w:caps w:val="off"/>
          <w:rFonts w:ascii="Times New Roman" w:hAnsi="Times New Roman" w:cs="Times New Roman"/>
          <w:b w:val="0"/>
          <w:i w:val="0"/>
          <w:noProof/>
          <w:w w:val="100"/>
          <w:sz w:val="24"/>
          <w:szCs w:val="24"/>
          <w:spacing w:val="0"/>
        </w:rPr>
        <w:tab/>
      </w:r>
      <w:r>
        <w:fldChar w:fldCharType="begin"/>
      </w:r>
      <w:r>
        <w:instrText xml:space="preserve"> PAGEREF _Toc203146314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Test for Alkaloids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3.4.2</w:t>
      </w:r>
      <w:r>
        <w:rPr>
          <w:caps w:val="off"/>
          <w:rFonts w:ascii="Times New Roman" w:hAnsi="Times New Roman" w:cs="Times New Roman"/>
          <w:b w:val="0"/>
          <w:i w:val="0"/>
          <w:noProof/>
          <w:w w:val="100"/>
          <w:sz w:val="24"/>
          <w:szCs w:val="24"/>
          <w:spacing w:val="0"/>
        </w:rPr>
        <w:tab/>
      </w:r>
      <w:r>
        <w:fldChar w:fldCharType="begin"/>
      </w:r>
      <w:r>
        <w:instrText xml:space="preserve"> PAGEREF _Toc203146315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Test for Flavonoids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"_Toc203146316"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3.4.3</w:t>
      </w:r>
      <w:r>
        <w:rPr>
          <w:caps w:val="off"/>
          <w:rFonts w:ascii="Times New Roman" w:hAnsi="Times New Roman" w:cs="Times New Roman"/>
          <w:b w:val="0"/>
          <w:i w:val="0"/>
          <w:noProof/>
          <w:w w:val="100"/>
          <w:sz w:val="24"/>
          <w:szCs w:val="24"/>
          <w:spacing w:val="0"/>
        </w:rPr>
        <w:tab/>
      </w:r>
      <w:r>
        <w:fldChar w:fldCharType="begin"/>
      </w:r>
      <w:r>
        <w:instrText xml:space="preserve"> PAGEREF _Toc203146316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Test for Tannins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"_Toc203146317"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3.4.4</w:t>
      </w:r>
      <w:r>
        <w:rPr>
          <w:caps w:val="off"/>
          <w:rFonts w:ascii="Times New Roman" w:hAnsi="Times New Roman" w:cs="Times New Roman"/>
          <w:b w:val="0"/>
          <w:i w:val="0"/>
          <w:noProof/>
          <w:w w:val="100"/>
          <w:sz w:val="24"/>
          <w:szCs w:val="24"/>
          <w:spacing w:val="0"/>
        </w:rPr>
        <w:tab/>
      </w:r>
      <w:r>
        <w:fldChar w:fldCharType="begin"/>
      </w:r>
      <w:r>
        <w:instrText xml:space="preserve"> PAGEREF _Toc203146317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Test for Saponins</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"_Toc203146318"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3.4.5</w:t>
      </w:r>
      <w:r>
        <w:rPr>
          <w:caps w:val="off"/>
          <w:rFonts w:ascii="Times New Roman" w:hAnsi="Times New Roman" w:cs="Times New Roman"/>
          <w:b w:val="0"/>
          <w:i w:val="0"/>
          <w:noProof/>
          <w:w w:val="100"/>
          <w:sz w:val="24"/>
          <w:szCs w:val="24"/>
          <w:spacing w:val="0"/>
        </w:rPr>
        <w:tab/>
      </w:r>
      <w:r>
        <w:fldChar w:fldCharType="begin"/>
      </w:r>
      <w:r>
        <w:instrText xml:space="preserve"> PAGEREF _Toc203146318 \h </w:instrText>
      </w:r>
      <w:r>
        <w:fldChar w:fldCharType="separate"/>
      </w:r>
      <w:r>
        <w:rPr>
          <w:caps w:val="off"/>
          <w:rFonts w:ascii="Times New Roman" w:hAnsi="Times New Roman" w:cs="Times New Roman"/>
          <w:b w:val="0"/>
          <w:i w:val="0"/>
          <w:noProof/>
          <w:w w:val="100"/>
          <w:sz w:val="24"/>
          <w:szCs w:val="24"/>
          <w:spacing w:val="0"/>
        </w:rPr>
        <w:t>24</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Test for Phenolic Compounds</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"_Toc203146319"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3.5</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_Toc203146319 \h </w:instrText>
      </w:r>
      <w:r>
        <w:fldChar w:fldCharType="separate"/>
      </w:r>
      <w:r>
        <w:rPr>
          <w:caps w:val="off"/>
          <w:rFonts w:ascii="Times New Roman" w:hAnsi="Times New Roman" w:cs="Times New Roman"/>
          <w:b w:val="0"/>
          <w:i w:val="0"/>
          <w:noProof/>
          <w:w w:val="100"/>
          <w:sz w:val="24"/>
          <w:szCs w:val="24"/>
          <w:spacing w:val="0"/>
        </w:rPr>
        <w:t>25</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Standardization of Bacterial Inoculum</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"_Toc203146320"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3.6</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_Toc203146320 \h </w:instrText>
      </w:r>
      <w:r>
        <w:fldChar w:fldCharType="separate"/>
      </w:r>
      <w:r>
        <w:rPr>
          <w:caps w:val="off"/>
          <w:rFonts w:ascii="Times New Roman" w:hAnsi="Times New Roman" w:cs="Times New Roman"/>
          <w:b w:val="0"/>
          <w:i w:val="0"/>
          <w:noProof/>
          <w:w w:val="100"/>
          <w:sz w:val="24"/>
          <w:szCs w:val="24"/>
          <w:spacing w:val="0"/>
        </w:rPr>
        <w:t>25</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Antibacterial Susceptibility Testing</w:t>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 xml:space="preserve">3.6.1 </w:t>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Agar Well Diffusion Method</w:t>
      </w:r>
      <w:r>
        <w:fldChar w:fldCharType="begin"/>
      </w:r>
      <w:r>
        <w:instrText xml:space="preserve"> HYPERLINK \l "_Toc203146321"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_Toc203146321 \h </w:instrText>
      </w:r>
      <w:r>
        <w:fldChar w:fldCharType="separate"/>
      </w:r>
      <w:r>
        <w:rPr>
          <w:caps w:val="off"/>
          <w:rFonts w:ascii="Times New Roman" w:hAnsi="Times New Roman" w:cs="Times New Roman"/>
          <w:b w:val="0"/>
          <w:i w:val="0"/>
          <w:noProof/>
          <w:w w:val="100"/>
          <w:sz w:val="24"/>
          <w:szCs w:val="24"/>
          <w:spacing w:val="0"/>
        </w:rPr>
        <w:t>25</w:t>
      </w:r>
      <w:r>
        <w:fldChar w:fldCharType="end"/>
      </w:r>
      <w:r>
        <w:fldChar w:fldCharType="end"/>
      </w:r>
    </w:p>
    <w:p>
      <w:pPr>
        <w:pStyle w:val="TOC3"/>
        <w:ind w:left="0"/>
        <w:snapToGrid w:val="0"/>
        <w:tabs>
          <w:tab w:val="left" w:pos="132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"_Toc203146322"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3.6.2</w:t>
      </w:r>
      <w:r>
        <w:rPr>
          <w:caps w:val="off"/>
          <w:rFonts w:ascii="Times New Roman" w:hAnsi="Times New Roman" w:cs="Times New Roman"/>
          <w:b w:val="0"/>
          <w:i w:val="0"/>
          <w:noProof/>
          <w:w w:val="100"/>
          <w:sz w:val="24"/>
          <w:szCs w:val="24"/>
          <w:spacing w:val="0"/>
        </w:rPr>
        <w:tab/>
      </w:r>
      <w:r>
        <w:fldChar w:fldCharType="begin"/>
      </w:r>
      <w:r>
        <w:instrText xml:space="preserve"> PAGEREF _Toc203146322 \h </w:instrText>
      </w:r>
      <w:r>
        <w:fldChar w:fldCharType="separate"/>
      </w:r>
      <w:r>
        <w:rPr>
          <w:caps w:val="off"/>
          <w:rFonts w:ascii="Times New Roman" w:hAnsi="Times New Roman" w:cs="Times New Roman"/>
          <w:b w:val="0"/>
          <w:i w:val="0"/>
          <w:noProof/>
          <w:w w:val="100"/>
          <w:sz w:val="24"/>
          <w:szCs w:val="24"/>
          <w:spacing w:val="0"/>
        </w:rPr>
        <w:t>25</w:t>
      </w:r>
      <w:r>
        <w:fldChar w:fldCharType="end"/>
      </w:r>
      <w:r>
        <w:fldChar w:fldCharType="end"/>
      </w:r>
      <w:r>
        <w:rPr>
          <w:caps w:val="off"/>
          <w:rFonts w:ascii="Times New Roman" w:eastAsia="宋体" w:hAnsi="Times New Roman" w:cs="Times New Roman"/>
          <w:b w:val="0"/>
          <w:i w:val="0"/>
          <w:noProof/>
          <w:w w:val="100"/>
          <w:sz w:val="24"/>
          <w:szCs w:val="24"/>
          <w:spacing w:val="0"/>
        </w:rPr>
        <w:t xml:space="preserve">       </w:t>
      </w:r>
      <w:r>
        <w:rPr>
          <w:rStyle w:val="Hyperlink"/>
          <w:caps w:val="off"/>
          <w:rFonts w:ascii="Times New Roman" w:hAnsi="Times New Roman" w:cs="Times New Roman"/>
          <w:b w:val="0"/>
          <w:i w:val="0"/>
          <w:noProof/>
          <w:color w:val="0563C1"/>
          <w:w w:val="100"/>
          <w:sz w:val="24"/>
          <w:szCs w:val="24"/>
          <w:u w:val="single" w:color="0563C1"/>
          <w:spacing w:val="0"/>
        </w:rPr>
        <w:t>Minimum Inhibitory Concentration (MIC) Determination</w:t>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CHAPTER FOUR</w:t>
      </w:r>
      <w:r>
        <w:fldChar w:fldCharType="begin"/>
      </w:r>
      <w:r>
        <w:instrText xml:space="preserve"> HYPERLINK \l "_Toc203146323"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_Toc203146323 \h </w:instrText>
      </w:r>
      <w:r>
        <w:fldChar w:fldCharType="separate"/>
      </w:r>
      <w:r>
        <w:rPr>
          <w:caps w:val="off"/>
          <w:rFonts w:ascii="Times New Roman" w:hAnsi="Times New Roman" w:cs="Times New Roman"/>
          <w:b w:val="0"/>
          <w:i w:val="0"/>
          <w:noProof/>
          <w:w w:val="100"/>
          <w:sz w:val="24"/>
          <w:szCs w:val="24"/>
          <w:spacing w:val="0"/>
        </w:rPr>
        <w:t>27</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"_Toc203146324"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RESULTS</w:t>
      </w:r>
      <w:r>
        <w:rPr>
          <w:caps w:val="off"/>
          <w:rFonts w:ascii="Times New Roman" w:hAnsi="Times New Roman" w:cs="Times New Roman"/>
          <w:b w:val="0"/>
          <w:i w:val="0"/>
          <w:noProof/>
          <w:w w:val="100"/>
          <w:sz w:val="24"/>
          <w:szCs w:val="24"/>
          <w:spacing w:val="0"/>
        </w:rPr>
        <w:tab/>
      </w:r>
      <w:r>
        <w:fldChar w:fldCharType="begin"/>
      </w:r>
      <w:r>
        <w:instrText xml:space="preserve"> PAGEREF _Toc203146324 \h </w:instrText>
      </w:r>
      <w:r>
        <w:fldChar w:fldCharType="separate"/>
      </w:r>
      <w:r>
        <w:rPr>
          <w:caps w:val="off"/>
          <w:rFonts w:ascii="Times New Roman" w:hAnsi="Times New Roman" w:cs="Times New Roman"/>
          <w:b w:val="0"/>
          <w:i w:val="0"/>
          <w:noProof/>
          <w:w w:val="100"/>
          <w:sz w:val="24"/>
          <w:szCs w:val="24"/>
          <w:spacing w:val="0"/>
        </w:rPr>
        <w:t>27</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4.1</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_Toc203146325 \h </w:instrText>
      </w:r>
      <w:r>
        <w:fldChar w:fldCharType="separate"/>
      </w:r>
      <w:r>
        <w:rPr>
          <w:caps w:val="off"/>
          <w:rFonts w:ascii="Times New Roman" w:hAnsi="Times New Roman" w:cs="Times New Roman"/>
          <w:b w:val="0"/>
          <w:i w:val="0"/>
          <w:noProof/>
          <w:w w:val="100"/>
          <w:sz w:val="24"/>
          <w:szCs w:val="24"/>
          <w:spacing w:val="0"/>
        </w:rPr>
        <w:t>27</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Phytochemical Screening of Eucalyptus globulus Leaf Extracts</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"_Toc203146326"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4.2</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_Toc203146326 \h </w:instrText>
      </w:r>
      <w:r>
        <w:fldChar w:fldCharType="separate"/>
      </w:r>
      <w:r>
        <w:rPr>
          <w:caps w:val="off"/>
          <w:rFonts w:ascii="Times New Roman" w:hAnsi="Times New Roman" w:cs="Times New Roman"/>
          <w:b w:val="0"/>
          <w:i w:val="0"/>
          <w:noProof/>
          <w:w w:val="100"/>
          <w:sz w:val="24"/>
          <w:szCs w:val="24"/>
          <w:spacing w:val="0"/>
        </w:rPr>
        <w:t>27</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Antibacterial Activity of Eucalyptus globulus Extracts Using Agar Well Diffusion Method</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"_Toc203146327"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4.3</w:t>
      </w:r>
      <w:r>
        <w:rPr>
          <w:caps w:val="off"/>
          <w:rFonts w:ascii="Times New Roman" w:eastAsia="宋体" w:hAnsi="Times New Roman" w:cs="Times New Roman"/>
          <w:b w:val="0"/>
          <w:i w:val="0"/>
          <w:noProof/>
          <w:w w:val="100"/>
          <w:sz w:val="24"/>
          <w:szCs w:val="24"/>
          <w:spacing w:val="0"/>
        </w:rPr>
        <w:tab/>
      </w:r>
      <w:r>
        <w:rPr>
          <w:caps w:val="off"/>
          <w:rFonts w:ascii="Times New Roman" w:hAnsi="Times New Roman" w:cs="Times New Roman"/>
          <w:b w:val="0"/>
          <w:i w:val="0"/>
          <w:noProof/>
          <w:w w:val="100"/>
          <w:sz w:val="24"/>
          <w:szCs w:val="24"/>
          <w:spacing w:val="0"/>
        </w:rPr>
        <w:tab/>
      </w:r>
      <w:r>
        <w:fldChar w:fldCharType="begin"/>
      </w:r>
      <w:r>
        <w:instrText xml:space="preserve"> PAGEREF _Toc203146327 \h </w:instrText>
      </w:r>
      <w:r>
        <w:fldChar w:fldCharType="separate"/>
      </w:r>
      <w:r>
        <w:rPr>
          <w:caps w:val="off"/>
          <w:rFonts w:ascii="Times New Roman" w:hAnsi="Times New Roman" w:cs="Times New Roman"/>
          <w:b w:val="0"/>
          <w:i w:val="0"/>
          <w:noProof/>
          <w:w w:val="100"/>
          <w:sz w:val="24"/>
          <w:szCs w:val="24"/>
          <w:spacing w:val="0"/>
        </w:rPr>
        <w:t>28</w:t>
      </w:r>
      <w:r>
        <w:fldChar w:fldCharType="end"/>
      </w:r>
      <w:r>
        <w:fldChar w:fldCharType="end"/>
      </w:r>
      <w:r>
        <w:rPr>
          <w:rStyle w:val="Hyperlink"/>
          <w:caps w:val="off"/>
          <w:rFonts w:ascii="Times New Roman" w:hAnsi="Times New Roman" w:cs="Times New Roman"/>
          <w:b w:val="0"/>
          <w:i w:val="0"/>
          <w:noProof/>
          <w:color w:val="0563C1"/>
          <w:w w:val="100"/>
          <w:sz w:val="24"/>
          <w:szCs w:val="24"/>
          <w:u w:val="single" w:color="0563C1"/>
          <w:spacing w:val="0"/>
        </w:rPr>
        <w:t>Minimum Inhibitory Concentration (MIC) Determination of Ethanol Extract</w:t>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"_Toc203146328"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4.5</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hAnsi="Times New Roman" w:cs="Times New Roman"/>
          <w:b w:val="0"/>
          <w:i w:val="0"/>
          <w:noProof/>
          <w:color w:val="0563C1"/>
          <w:w w:val="100"/>
          <w:sz w:val="24"/>
          <w:szCs w:val="24"/>
          <w:u w:val="single" w:color="0563C1"/>
          <w:spacing w:val="0"/>
        </w:rPr>
        <w:t>Discussion</w:t>
      </w:r>
      <w:r>
        <w:rPr>
          <w:caps w:val="off"/>
          <w:rFonts w:ascii="Times New Roman" w:hAnsi="Times New Roman" w:cs="Times New Roman"/>
          <w:b w:val="0"/>
          <w:i w:val="0"/>
          <w:noProof/>
          <w:w w:val="100"/>
          <w:sz w:val="24"/>
          <w:szCs w:val="24"/>
          <w:spacing w:val="0"/>
        </w:rPr>
        <w:tab/>
      </w:r>
      <w:r>
        <w:fldChar w:fldCharType="begin"/>
      </w:r>
      <w:r>
        <w:instrText xml:space="preserve"> PAGEREF _Toc203146328 \h </w:instrText>
      </w:r>
      <w:r>
        <w:fldChar w:fldCharType="separate"/>
      </w:r>
      <w:r>
        <w:rPr>
          <w:caps w:val="off"/>
          <w:rFonts w:ascii="Times New Roman" w:hAnsi="Times New Roman" w:cs="Times New Roman"/>
          <w:b w:val="0"/>
          <w:i w:val="0"/>
          <w:noProof/>
          <w:w w:val="100"/>
          <w:sz w:val="24"/>
          <w:szCs w:val="24"/>
          <w:spacing w:val="0"/>
        </w:rPr>
        <w:t>29</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CHAPTER FIVE</w:t>
      </w:r>
      <w:r>
        <w:fldChar w:fldCharType="begin"/>
      </w:r>
      <w:r>
        <w:instrText xml:space="preserve"> HYPERLINK \l "_Toc203146329"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_Toc203146329 \h </w:instrText>
      </w:r>
      <w:r>
        <w:fldChar w:fldCharType="separate"/>
      </w:r>
      <w:r>
        <w:rPr>
          <w:caps w:val="off"/>
          <w:rFonts w:ascii="Times New Roman" w:hAnsi="Times New Roman" w:cs="Times New Roman"/>
          <w:b w:val="0"/>
          <w:i w:val="0"/>
          <w:noProof/>
          <w:w w:val="100"/>
          <w:sz w:val="24"/>
          <w:szCs w:val="24"/>
          <w:spacing w:val="0"/>
        </w:rPr>
        <w:t>32</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rPr>
          <w:rStyle w:val="Hyperlink"/>
          <w:caps w:val="off"/>
          <w:rFonts w:ascii="Times New Roman" w:hAnsi="Times New Roman" w:cs="Times New Roman"/>
          <w:b w:val="0"/>
          <w:i w:val="0"/>
          <w:noProof/>
          <w:color w:val="0563C1"/>
          <w:w w:val="100"/>
          <w:sz w:val="24"/>
          <w:szCs w:val="24"/>
          <w:u w:val="single" w:color="0563C1"/>
          <w:spacing w:val="0"/>
        </w:rPr>
        <w:t>SUMMARY, CONCLUSION AND RECOMMENDATION</w:t>
      </w:r>
      <w:r>
        <w:fldChar w:fldCharType="begin"/>
      </w:r>
      <w:r>
        <w:instrText xml:space="preserve"> HYPERLINK \l "_Toc203146330" </w:instrText>
      </w:r>
      <w:r>
        <w:fldChar w:fldCharType="separate"/>
      </w:r>
      <w:r>
        <w:rPr>
          <w:caps w:val="off"/>
          <w:rFonts w:ascii="Times New Roman" w:hAnsi="Times New Roman" w:cs="Times New Roman"/>
          <w:b w:val="0"/>
          <w:i w:val="0"/>
          <w:noProof/>
          <w:w w:val="100"/>
          <w:sz w:val="24"/>
          <w:szCs w:val="24"/>
          <w:spacing w:val="0"/>
        </w:rPr>
        <w:tab/>
      </w:r>
      <w:r>
        <w:fldChar w:fldCharType="begin"/>
      </w:r>
      <w:r>
        <w:instrText xml:space="preserve"> PAGEREF _Toc203146330 \h </w:instrText>
      </w:r>
      <w:r>
        <w:fldChar w:fldCharType="separate"/>
      </w:r>
      <w:r>
        <w:rPr>
          <w:caps w:val="off"/>
          <w:rFonts w:ascii="Times New Roman" w:hAnsi="Times New Roman" w:cs="Times New Roman"/>
          <w:b w:val="0"/>
          <w:i w:val="0"/>
          <w:noProof/>
          <w:w w:val="100"/>
          <w:sz w:val="24"/>
          <w:szCs w:val="24"/>
          <w:spacing w:val="0"/>
        </w:rPr>
        <w:t>32</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"_Toc203146331"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5.1</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hAnsi="Times New Roman" w:cs="Times New Roman"/>
          <w:b w:val="0"/>
          <w:i w:val="0"/>
          <w:noProof/>
          <w:color w:val="0563C1"/>
          <w:w w:val="100"/>
          <w:sz w:val="24"/>
          <w:szCs w:val="24"/>
          <w:u w:val="single" w:color="0563C1"/>
          <w:spacing w:val="0"/>
        </w:rPr>
        <w:t>Summary</w:t>
      </w:r>
      <w:r>
        <w:rPr>
          <w:caps w:val="off"/>
          <w:rFonts w:ascii="Times New Roman" w:hAnsi="Times New Roman" w:cs="Times New Roman"/>
          <w:b w:val="0"/>
          <w:i w:val="0"/>
          <w:noProof/>
          <w:w w:val="100"/>
          <w:sz w:val="24"/>
          <w:szCs w:val="24"/>
          <w:spacing w:val="0"/>
        </w:rPr>
        <w:tab/>
      </w:r>
      <w:r>
        <w:fldChar w:fldCharType="begin"/>
      </w:r>
      <w:r>
        <w:instrText xml:space="preserve"> PAGEREF _Toc203146331 \h </w:instrText>
      </w:r>
      <w:r>
        <w:fldChar w:fldCharType="separate"/>
      </w:r>
      <w:r>
        <w:rPr>
          <w:caps w:val="off"/>
          <w:rFonts w:ascii="Times New Roman" w:hAnsi="Times New Roman" w:cs="Times New Roman"/>
          <w:b w:val="0"/>
          <w:i w:val="0"/>
          <w:noProof/>
          <w:w w:val="100"/>
          <w:sz w:val="24"/>
          <w:szCs w:val="24"/>
          <w:spacing w:val="0"/>
        </w:rPr>
        <w:t>32</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"_Toc203146332"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5.2</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hAnsi="Times New Roman" w:cs="Times New Roman"/>
          <w:b w:val="0"/>
          <w:i w:val="0"/>
          <w:noProof/>
          <w:color w:val="0563C1"/>
          <w:w w:val="100"/>
          <w:sz w:val="24"/>
          <w:szCs w:val="24"/>
          <w:u w:val="single" w:color="0563C1"/>
          <w:spacing w:val="0"/>
        </w:rPr>
        <w:t>Conclusion</w:t>
      </w:r>
      <w:r>
        <w:rPr>
          <w:caps w:val="off"/>
          <w:rFonts w:ascii="Times New Roman" w:hAnsi="Times New Roman" w:cs="Times New Roman"/>
          <w:b w:val="0"/>
          <w:i w:val="0"/>
          <w:noProof/>
          <w:w w:val="100"/>
          <w:sz w:val="24"/>
          <w:szCs w:val="24"/>
          <w:spacing w:val="0"/>
        </w:rPr>
        <w:tab/>
      </w:r>
      <w:r>
        <w:fldChar w:fldCharType="begin"/>
      </w:r>
      <w:r>
        <w:instrText xml:space="preserve"> PAGEREF _Toc203146332 \h </w:instrText>
      </w:r>
      <w:r>
        <w:fldChar w:fldCharType="separate"/>
      </w:r>
      <w:r>
        <w:rPr>
          <w:caps w:val="off"/>
          <w:rFonts w:ascii="Times New Roman" w:hAnsi="Times New Roman" w:cs="Times New Roman"/>
          <w:b w:val="0"/>
          <w:i w:val="0"/>
          <w:noProof/>
          <w:w w:val="100"/>
          <w:sz w:val="24"/>
          <w:szCs w:val="24"/>
          <w:spacing w:val="0"/>
        </w:rPr>
        <w:t>32</w:t>
      </w:r>
      <w:r>
        <w:fldChar w:fldCharType="end"/>
      </w:r>
      <w:r>
        <w:fldChar w:fldCharType="end"/>
      </w:r>
    </w:p>
    <w:p>
      <w:pPr>
        <w:pStyle w:val="TOC2"/>
        <w:ind w:left="0"/>
        <w:snapToGrid w:val="0"/>
        <w:tabs>
          <w:tab w:val="left" w:pos="880"/>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"_Toc203146333"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5.3</w:t>
      </w:r>
      <w:r>
        <w:rPr>
          <w:caps w:val="off"/>
          <w:rFonts w:ascii="Times New Roman" w:eastAsia="宋体" w:hAnsi="Times New Roman" w:cs="Times New Roman"/>
          <w:b w:val="0"/>
          <w:i w:val="0"/>
          <w:noProof/>
          <w:w w:val="100"/>
          <w:sz w:val="24"/>
          <w:szCs w:val="24"/>
          <w:spacing w:val="0"/>
        </w:rPr>
        <w:tab/>
      </w:r>
      <w:r>
        <w:rPr>
          <w:rStyle w:val="Hyperlink"/>
          <w:caps w:val="off"/>
          <w:rFonts w:ascii="Times New Roman" w:hAnsi="Times New Roman" w:cs="Times New Roman"/>
          <w:b w:val="0"/>
          <w:i w:val="0"/>
          <w:noProof/>
          <w:color w:val="0563C1"/>
          <w:w w:val="100"/>
          <w:sz w:val="24"/>
          <w:szCs w:val="24"/>
          <w:u w:val="single" w:color="0563C1"/>
          <w:spacing w:val="0"/>
        </w:rPr>
        <w:t>Recommendations</w:t>
      </w:r>
      <w:r>
        <w:rPr>
          <w:caps w:val="off"/>
          <w:rFonts w:ascii="Times New Roman" w:hAnsi="Times New Roman" w:cs="Times New Roman"/>
          <w:b w:val="0"/>
          <w:i w:val="0"/>
          <w:noProof/>
          <w:w w:val="100"/>
          <w:sz w:val="24"/>
          <w:szCs w:val="24"/>
          <w:spacing w:val="0"/>
        </w:rPr>
        <w:tab/>
      </w:r>
      <w:r>
        <w:fldChar w:fldCharType="begin"/>
      </w:r>
      <w:r>
        <w:instrText xml:space="preserve"> PAGEREF _Toc203146333 \h </w:instrText>
      </w:r>
      <w:r>
        <w:fldChar w:fldCharType="separate"/>
      </w:r>
      <w:r>
        <w:rPr>
          <w:caps w:val="off"/>
          <w:rFonts w:ascii="Times New Roman" w:hAnsi="Times New Roman" w:cs="Times New Roman"/>
          <w:b w:val="0"/>
          <w:i w:val="0"/>
          <w:noProof/>
          <w:w w:val="100"/>
          <w:sz w:val="24"/>
          <w:szCs w:val="24"/>
          <w:spacing w:val="0"/>
        </w:rPr>
        <w:t>33</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"_Toc203146334"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REFERENCES</w:t>
      </w:r>
      <w:r>
        <w:rPr>
          <w:caps w:val="off"/>
          <w:rFonts w:ascii="Times New Roman" w:hAnsi="Times New Roman" w:cs="Times New Roman"/>
          <w:b w:val="0"/>
          <w:i w:val="0"/>
          <w:noProof/>
          <w:w w:val="100"/>
          <w:sz w:val="24"/>
          <w:szCs w:val="24"/>
          <w:spacing w:val="0"/>
        </w:rPr>
        <w:tab/>
      </w:r>
      <w:r>
        <w:fldChar w:fldCharType="begin"/>
      </w:r>
      <w:r>
        <w:instrText xml:space="preserve"> PAGEREF _Toc203146334 \h </w:instrText>
      </w:r>
      <w:r>
        <w:fldChar w:fldCharType="separate"/>
      </w:r>
      <w:r>
        <w:rPr>
          <w:caps w:val="off"/>
          <w:rFonts w:ascii="Times New Roman" w:hAnsi="Times New Roman" w:cs="Times New Roman"/>
          <w:b w:val="0"/>
          <w:i w:val="0"/>
          <w:noProof/>
          <w:w w:val="100"/>
          <w:sz w:val="24"/>
          <w:szCs w:val="24"/>
          <w:spacing w:val="0"/>
        </w:rPr>
        <w:t>34</w:t>
      </w:r>
      <w:r>
        <w:fldChar w:fldCharType="end"/>
      </w:r>
      <w:r>
        <w:fldChar w:fldCharType="end"/>
      </w:r>
    </w:p>
    <w:p>
      <w:pPr>
        <w:pStyle w:val="TOC1"/>
        <w:snapToGrid w:val="0"/>
        <w:tabs>
          <w:tab w:val="right" w:pos="9350"/>
        </w:tabs>
        <w:spacing w:after="100" w:afterAutospacing="0" w:before="0" w:beforeAutospacing="0" w:line="259" w:lineRule="auto"/>
        <w:textAlignment w:val="baseline"/>
        <w:rPr>
          <w:caps w:val="off"/>
          <w:rFonts w:ascii="Times New Roman" w:eastAsia="宋体" w:hAnsi="Times New Roman" w:cs="Times New Roman"/>
          <w:b w:val="0"/>
          <w:i w:val="0"/>
          <w:noProof/>
          <w:w w:val="100"/>
          <w:sz w:val="24"/>
          <w:szCs w:val="24"/>
          <w:spacing w:val="0"/>
        </w:rPr>
      </w:pPr>
      <w:r>
        <w:fldChar w:fldCharType="begin"/>
      </w:r>
      <w:r>
        <w:instrText xml:space="preserve"> HYPERLINK \l "_Toc203146335" </w:instrText>
      </w:r>
      <w:r>
        <w:fldChar w:fldCharType="separate"/>
      </w:r>
      <w:r>
        <w:rPr>
          <w:rStyle w:val="Hyperlink"/>
          <w:caps w:val="off"/>
          <w:rFonts w:ascii="Times New Roman" w:hAnsi="Times New Roman" w:cs="Times New Roman"/>
          <w:b w:val="0"/>
          <w:i w:val="0"/>
          <w:noProof/>
          <w:color w:val="0563C1"/>
          <w:w w:val="100"/>
          <w:sz w:val="24"/>
          <w:szCs w:val="24"/>
          <w:u w:val="single" w:color="0563C1"/>
          <w:spacing w:val="0"/>
        </w:rPr>
        <w:t>APPENDIX</w:t>
      </w:r>
      <w:r>
        <w:rPr>
          <w:caps w:val="off"/>
          <w:rFonts w:ascii="Times New Roman" w:hAnsi="Times New Roman" w:cs="Times New Roman"/>
          <w:b w:val="0"/>
          <w:i w:val="0"/>
          <w:noProof/>
          <w:w w:val="100"/>
          <w:sz w:val="24"/>
          <w:szCs w:val="24"/>
          <w:spacing w:val="0"/>
        </w:rPr>
        <w:tab/>
      </w:r>
      <w:r>
        <w:fldChar w:fldCharType="begin"/>
      </w:r>
      <w:r>
        <w:instrText xml:space="preserve"> PAGEREF _Toc203146335 \h </w:instrText>
      </w:r>
      <w:r>
        <w:fldChar w:fldCharType="separate"/>
      </w:r>
      <w:r>
        <w:rPr>
          <w:caps w:val="off"/>
          <w:rFonts w:ascii="Times New Roman" w:hAnsi="Times New Roman" w:cs="Times New Roman"/>
          <w:b w:val="0"/>
          <w:i w:val="0"/>
          <w:noProof/>
          <w:w w:val="100"/>
          <w:sz w:val="24"/>
          <w:szCs w:val="24"/>
          <w:spacing w:val="0"/>
        </w:rPr>
        <w:t>39</w:t>
      </w:r>
      <w:r>
        <w:fldChar w:fldCharType="end"/>
      </w:r>
      <w:r>
        <w:fldChar w:fldCharType="end"/>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fldChar w:fldCharType="end"/>
      </w: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style94"/>
        <w:snapToGrid w:val="0"/>
        <w:jc w:val="center"/>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ABSTRACT</w:t>
      </w:r>
    </w:p>
    <w:p>
      <w:pPr>
        <w:pStyle w:val="style94"/>
        <w:ind w:firstLine="720"/>
        <w:snapToGrid w:val="0"/>
        <w:jc w:val="both"/>
        <w:spacing w:after="0" w:afterAutospacing="0" w:before="0" w:beforeAutospacing="0" w:line="240" w:lineRule="auto"/>
        <w:textAlignment w:val="baseline"/>
        <w:rPr>
          <w:caps w:val="off"/>
          <w:rFonts w:ascii="Times New Roman" w:eastAsia="Times New Roman" w:hAnsi="Times New Roman" w:cs="Times New Roman"/>
          <w:b w:val="0"/>
          <w:i/>
          <w:iCs/>
          <w:w w:val="100"/>
          <w:sz w:val="24"/>
          <w:spacing w:val="0"/>
        </w:rPr>
      </w:pPr>
      <w:r>
        <w:rPr>
          <w:caps w:val="off"/>
          <w:rFonts w:ascii="Times New Roman" w:eastAsia="Times New Roman" w:hAnsi="Times New Roman" w:cs="Times New Roman"/>
          <w:b w:val="0"/>
          <w:i/>
          <w:iCs/>
          <w:w w:val="100"/>
          <w:sz w:val="24"/>
          <w:spacing w:val="0"/>
        </w:rPr>
        <w:t>This study investigated the antibacterial efficacy of aqueous and ethanol extracts of Eucalyptus globulus leaves against Methicillin-Resistant Staphylococcus aureus (MRSA) and Escherichia coli, two clinically important and drug-resistant bacterial pathogens. The study was carried out at the Microbiology Laboratory Unit of Kwara State Polytechnic, Ilorin, Nigeria. Clinical isolates were obtained from the University of Ilorin Teaching Hospital (UITH) . Fresh Eucalyptus globulus leaves collected locally were processed and extracted using aqueous. Phytochemical screening was performed to identify key bioactive constituents. The antibacterial activity of the extracts was assessed using the agar well diffusion method, and minimum inhibitory concentration (MIC) was determined through the agar dilution technique. Phytochemical analysis revealed the presence of flavonoids, tannins,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E. coli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globulus leaf extracts, particularly ethanol-based extracts, as a source of natural antibacterial agents. The presence of multiple phytochemicals known for antimicrobial activity likely contributed to the observed effects. Further studies are recommended to isolate active compounds, test in vivo effectiveness, and evaluate toxicity to support future applications in pharmaceutical or herbal medicine.</w:t>
      </w:r>
    </w:p>
    <w:p>
      <w:pPr>
        <w:pStyle w:val="normal"/>
        <w:snapToGrid w:val="0"/>
        <w:spacing w:after="160" w:afterAutospacing="0" w:before="0" w:beforeAutospacing="0" w:line="259" w:lineRule="auto"/>
        <w:textAlignment w:val="baseline"/>
        <w:rPr>
          <w:caps w:val="off"/>
          <w:rFonts w:ascii="Times New Roman" w:hAnsi="Times New Roman" w:cs="Times New Roman"/>
          <w:b/>
          <w:i/>
          <w:iCs/>
          <w:w w:val="100"/>
          <w:sz w:val="24"/>
          <w:szCs w:val="24"/>
          <w:spacing w:val="0"/>
        </w:rPr>
      </w:pPr>
    </w:p>
    <w:p>
      <w:pPr>
        <w:pStyle w:val="normal"/>
        <w:snapToGrid w:val="0"/>
        <w:spacing w:after="0" w:afterAutospacing="0" w:before="0" w:beforeAutospacing="0" w:line="480" w:lineRule="auto"/>
        <w:textAlignment w:val="baseline"/>
        <w:rPr>
          <w:caps w:val="off"/>
          <w:rFonts w:ascii="Times New Roman" w:hAnsi="Times New Roman" w:cs="Times New Roman"/>
          <w:b/>
          <w:i w:val="0"/>
          <w:w w:val="100"/>
          <w:sz w:val="24"/>
          <w:szCs w:val="24"/>
          <w:spacing w:val="0"/>
        </w:rPr>
        <w:sectPr>
          <w:pgSz w:w="12240" w:h="15840"/>
          <w:pgMar w:top="1440" w:right="1440" w:bottom="1440" w:left="1440" w:header="708" w:footer="708" w:gutter="0"/>
          <w:cols w:space="708"/>
          <w:docGrid w:linePitch="360"/>
          <w:footerReference w:type="default" r:id="rId2"/>
          <w:pgNumType w:fmt="lowerRoman" w:start="1"/>
        </w:sectPr>
      </w:pPr>
    </w:p>
    <w:p>
      <w:pPr>
        <w:pStyle w:val="normal"/>
        <w:snapToGrid w:val="0"/>
        <w:jc w:val="center"/>
        <w:spacing w:after="160" w:afterAutospacing="0" w:before="0" w:beforeAutospacing="0" w:line="259" w:lineRule="auto"/>
        <w:textAlignment w:val="baseline"/>
        <w:rPr>
          <w:caps w:val="off"/>
          <w:rFonts w:ascii="Times New Roman" w:eastAsia="Times New Roman" w:hAnsi="Times New Roman" w:cs="Times New Roman"/>
          <w:b/>
          <w:i w:val="0"/>
          <w:w w:val="100"/>
          <w:sz w:val="24"/>
          <w:szCs w:val="24"/>
          <w:spacing w:val="0"/>
        </w:rPr>
      </w:pPr>
      <w:r>
        <w:rPr>
          <w:caps w:val="off"/>
          <w:rFonts w:ascii="Times New Roman" w:eastAsia="Times New Roman" w:hAnsi="Times New Roman" w:cs="Times New Roman"/>
          <w:b/>
          <w:i w:val="0"/>
          <w:w w:val="100"/>
          <w:sz w:val="24"/>
          <w:szCs w:val="24"/>
          <w:spacing w:val="0"/>
        </w:rPr>
        <w:t>CHAPTER ONE</w:t>
      </w: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INTRODUCTION</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1.1</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Background to the Study</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(MRSA) and drug-resistant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MRSA is a major cause of hospital and community-acquired infections, while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strains have been linked to serious infections such as urinary tract infections and bloodstream infections (Prestinaci, Pezzotti, &amp; Pantosti, 2019).</w:t>
      </w:r>
    </w:p>
    <w:p>
      <w:pPr>
        <w:pStyle w:val="normal"/>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Resistance in MRSA and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 and middle-income countries where access to advanced antibiotics is limited (CDC, 2022). As a result, there is a critical need to search for new, effective, and affordable antimicrobial agents.</w:t>
      </w:r>
    </w:p>
    <w:p>
      <w:pPr>
        <w:pStyle w:val="normal"/>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Plants have always been a valuable source of medicines. Many modern antibiotics and drugs have been derived directly or indirectly from plant sources. In the search for alternatives to synthetic antibiotics, medicinal plants are gaining attention for their antimicrobial activities (Ahmed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commonly known as the Blue Gum tree, is one such plant that had shown promising antimicrobial properties. It belongs to the Myrtaceae family and is widely cultivated for its essential oils, which are rich in bioactive compounds (Silva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2020). The essential oils extracted from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leaves are known to contain compounds such as 1,8-cineole (eucalyptol), α-pinene, and limonene. These compounds have demonstrated antibacterial, antiviral, and antifungal activities in several studies (da Silva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2020). Notably, 1,8-cineole has been shown to damage bacterial cell walls, disrupt membranes, and inhibit the growth of both Gram-positive and Gram-negative bacteria (Gomes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This makes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 potential candidate for combating bacterial pathogens like MRSA and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w:t>
      </w:r>
    </w:p>
    <w:p>
      <w:pPr>
        <w:pStyle w:val="normal"/>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(Aljaafari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2022). Moreover, essential oils are generally considered safe, biodegradable, and less toxic compared to synthetic antibiotics when used appropriately (Júnior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2020).</w:t>
      </w:r>
    </w:p>
    <w:p>
      <w:pPr>
        <w:pStyle w:val="normal"/>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Traditionally,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has been used in various cultures to treat infections, wounds, and respiratory problems. In modern times, scientific studies have supported some of these uses by demonstrating the antibacterial activity of </w:t>
      </w:r>
      <w:r>
        <w:rPr>
          <w:caps w:val="off"/>
          <w:rFonts w:ascii="Times New Roman" w:eastAsia="Times New Roman" w:hAnsi="Times New Roman" w:cs="Times New Roman"/>
          <w:b w:val="0"/>
          <w:i/>
          <w:iCs/>
          <w:w w:val="100"/>
          <w:sz w:val="24"/>
          <w:szCs w:val="24"/>
          <w:spacing w:val="0"/>
        </w:rPr>
        <w:t>Eucalyptus</w:t>
      </w:r>
      <w:r>
        <w:rPr>
          <w:caps w:val="off"/>
          <w:rFonts w:ascii="Times New Roman" w:eastAsia="Times New Roman" w:hAnsi="Times New Roman" w:cs="Times New Roman"/>
          <w:b w:val="0"/>
          <w:i w:val="0"/>
          <w:w w:val="100"/>
          <w:sz w:val="24"/>
          <w:szCs w:val="24"/>
          <w:spacing w:val="0"/>
        </w:rPr>
        <w:t xml:space="preserve"> extracts against a range of pathogens. For example, a study by Salehi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found that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essential oil exhibited significant inhibitory effects against multidrug-resistant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strains isolated from clinical samples. Similarly, Elbehiry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(2022) reported that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oil effectively inhibited the growth of MRSA isolates collected from food and clinical settings.</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Despite these findings, there are still gaps in the literature regarding the specific effectiveness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against MRSA and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especially using local strains isolated from different environments. More laboratory-based investigations are needed to confirm its antibacterial potential, explore its mechanism of action, and determine its possible applications in healthcare settings. In the face of the global antibiotic resistance crisis, exploring natural resources like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is not just timely but necessary. Natural products offer a rich and relatively untapped reservoir of potential solutions to one of the most pressing medical challenges of the 21st century.</w:t>
      </w:r>
    </w:p>
    <w:p>
      <w:pPr>
        <w:pStyle w:val="Heading2"/>
        <w:snapToGrid w:val="0"/>
        <w:spacing w:after="0" w:afterAutospacing="0" w:before="40" w:beforeAutospacing="0" w:line="480" w:lineRule="auto"/>
        <w:textAlignment w:val="baseline"/>
        <w:rPr>
          <w:caps w:val="off"/>
          <w:rFonts w:eastAsia="Times New Roman"/>
          <w:b/>
          <w:i w:val="0"/>
          <w:color w:val="000000"/>
          <w:w w:val="100"/>
          <w:sz w:val="24"/>
          <w:spacing w:val="0"/>
        </w:rPr>
      </w:pPr>
      <w:r>
        <w:rPr>
          <w:caps w:val="off"/>
          <w:rFonts w:eastAsia="Times New Roman"/>
          <w:b/>
          <w:i w:val="0"/>
          <w:color w:val="000000"/>
          <w:w w:val="100"/>
          <w:sz w:val="24"/>
          <w:spacing w:val="0"/>
        </w:rPr>
        <w:t>1.1</w:t>
      </w:r>
      <w:r>
        <w:rPr>
          <w:caps w:val="off"/>
          <w:rFonts w:eastAsia="Times New Roman"/>
          <w:b/>
          <w:i w:val="0"/>
          <w:color w:val="000000"/>
          <w:w w:val="100"/>
          <w:sz w:val="24"/>
          <w:spacing w:val="0"/>
        </w:rPr>
        <w:tab/>
      </w:r>
      <w:r>
        <w:rPr>
          <w:caps w:val="off"/>
          <w:rFonts w:eastAsia="Times New Roman"/>
          <w:b/>
          <w:i w:val="0"/>
          <w:color w:val="000000"/>
          <w:w w:val="100"/>
          <w:sz w:val="24"/>
          <w:spacing w:val="0"/>
        </w:rPr>
        <w:t>Statement of Problem</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The rise of antibiotic-resistant bacteria, particularly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(MRSA) and resistant strains of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(Prestinaci, Pezzotti, &amp; Pantosti, 2019).</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w w:val="100"/>
          <w:sz w:val="24"/>
          <w:szCs w:val="24"/>
          <w:spacing w:val="0"/>
        </w:rPr>
      </w:pP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widely recognized for its traditional medicinal use, has shown potential antibacterial effects against various microorganisms. However, there is limited comprehensive data on its specific efficacy against resistant strains like MRSA and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under controlled laboratory conditions (Salehi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Most available studies have focused on general antimicrobial properties, but few have directly compared its activity against these two clinically significant bacteria hence this study of its efficacy on </w:t>
      </w:r>
      <w:r>
        <w:rPr>
          <w:caps w:val="off"/>
          <w:rFonts w:ascii="Times New Roman" w:eastAsia="Times New Roman" w:hAnsi="Times New Roman" w:cs="Times New Roman"/>
          <w:b w:val="0"/>
          <w:i/>
          <w:w w:val="100"/>
          <w:sz w:val="24"/>
          <w:szCs w:val="24"/>
          <w:spacing w:val="0"/>
        </w:rPr>
        <w:t>MRSA</w:t>
      </w:r>
      <w:r>
        <w:rPr>
          <w:caps w:val="off"/>
          <w:rFonts w:ascii="Times New Roman" w:eastAsia="Times New Roman" w:hAnsi="Times New Roman" w:cs="Times New Roman"/>
          <w:b w:val="0"/>
          <w:i w:val="0"/>
          <w:w w:val="100"/>
          <w:sz w:val="24"/>
          <w:szCs w:val="24"/>
          <w:spacing w:val="0"/>
        </w:rPr>
        <w:t xml:space="preserve"> and </w:t>
      </w:r>
      <w:r>
        <w:rPr>
          <w:caps w:val="off"/>
          <w:rFonts w:ascii="Times New Roman" w:eastAsia="Times New Roman" w:hAnsi="Times New Roman" w:cs="Times New Roman"/>
          <w:b w:val="0"/>
          <w:i/>
          <w:w w:val="100"/>
          <w:sz w:val="24"/>
          <w:szCs w:val="24"/>
          <w:spacing w:val="0"/>
        </w:rPr>
        <w:t>E. coli.</w:t>
      </w:r>
    </w:p>
    <w:p>
      <w:pPr>
        <w:pStyle w:val="Heading2"/>
        <w:snapToGrid w:val="0"/>
        <w:spacing w:after="0" w:afterAutospacing="0" w:before="40" w:beforeAutospacing="0" w:line="480" w:lineRule="auto"/>
        <w:textAlignment w:val="baseline"/>
        <w:rPr>
          <w:caps w:val="off"/>
          <w:rFonts w:eastAsia="Times New Roman"/>
          <w:b/>
          <w:i w:val="0"/>
          <w:color w:val="000000"/>
          <w:w w:val="100"/>
          <w:sz w:val="24"/>
          <w:spacing w:val="0"/>
        </w:rPr>
      </w:pPr>
      <w:r>
        <w:rPr>
          <w:caps w:val="off"/>
          <w:rFonts w:eastAsia="Times New Roman"/>
          <w:b/>
          <w:i w:val="0"/>
          <w:color w:val="000000"/>
          <w:w w:val="100"/>
          <w:sz w:val="24"/>
          <w:spacing w:val="0"/>
        </w:rPr>
        <w:t>1.1</w:t>
      </w:r>
      <w:r>
        <w:rPr>
          <w:caps w:val="off"/>
          <w:rFonts w:eastAsia="Times New Roman"/>
          <w:b/>
          <w:i w:val="0"/>
          <w:color w:val="000000"/>
          <w:w w:val="100"/>
          <w:sz w:val="24"/>
          <w:spacing w:val="0"/>
        </w:rPr>
        <w:tab/>
      </w:r>
      <w:r>
        <w:rPr>
          <w:caps w:val="off"/>
          <w:rFonts w:eastAsia="Times New Roman"/>
          <w:b/>
          <w:i w:val="0"/>
          <w:color w:val="000000"/>
          <w:w w:val="100"/>
          <w:sz w:val="24"/>
          <w:spacing w:val="0"/>
        </w:rPr>
        <w:t>Justification</w:t>
      </w:r>
      <w:r>
        <w:rPr>
          <w:caps w:val="off"/>
          <w:rFonts w:eastAsia="Times New Roman"/>
          <w:b/>
          <w:i w:val="0"/>
          <w:color w:val="000000"/>
          <w:w w:val="100"/>
          <w:sz w:val="24"/>
          <w:spacing w:val="0"/>
        </w:rPr>
        <w:tab/>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The growing problem of antibiotic resistance has created an urgent need for alternative antimicrobial agents. This study is significant because it explores the antibacterial potential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 plant known for its medicinal properties, against two important resistant bacteria: MRSA and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The study could contribute valuable knowledge to the search for new, plant-based therapies to combat resistant infections. If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proves effective, it could offer a safer, cheaper, and more natural alternative to synthetic antibiotics, especially in low- and middle-income countries where access to modern drugs is limited (Salehi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Ahmed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2021). </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The study will also add to the existing body of scientific knowledge by providing updated information on the antibacterial effects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specifically against MRSA and </w:t>
      </w:r>
      <w:r>
        <w:rPr>
          <w:caps w:val="off"/>
          <w:rFonts w:ascii="Times New Roman" w:eastAsia="Times New Roman" w:hAnsi="Times New Roman" w:cs="Times New Roman"/>
          <w:b w:val="0"/>
          <w:i/>
          <w:iCs/>
          <w:w w:val="100"/>
          <w:sz w:val="24"/>
          <w:szCs w:val="24"/>
          <w:spacing w:val="0"/>
        </w:rPr>
        <w:t>E. coli</w:t>
      </w:r>
      <w:r>
        <w:rPr>
          <w:caps w:val="off"/>
          <w:rFonts w:ascii="Times New Roman" w:eastAsia="Times New Roman" w:hAnsi="Times New Roman" w:cs="Times New Roman"/>
          <w:b w:val="0"/>
          <w:i w:val="0"/>
          <w:w w:val="100"/>
          <w:sz w:val="24"/>
          <w:szCs w:val="24"/>
          <w:spacing w:val="0"/>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p>
      <w:pPr>
        <w:pStyle w:val="Heading2"/>
        <w:snapToGrid w:val="0"/>
        <w:spacing w:after="0" w:afterAutospacing="0" w:before="40" w:beforeAutospacing="0" w:line="480" w:lineRule="auto"/>
        <w:textAlignment w:val="baseline"/>
        <w:rPr>
          <w:caps w:val="off"/>
          <w:rFonts w:eastAsia="Times New Roman"/>
          <w:b/>
          <w:i w:val="0"/>
          <w:color w:val="000000"/>
          <w:w w:val="100"/>
          <w:sz w:val="24"/>
          <w:spacing w:val="0"/>
        </w:rPr>
      </w:pPr>
      <w:r>
        <w:rPr>
          <w:caps w:val="off"/>
          <w:rFonts w:eastAsia="Times New Roman"/>
          <w:b/>
          <w:i w:val="0"/>
          <w:color w:val="000000"/>
          <w:w w:val="100"/>
          <w:sz w:val="24"/>
          <w:spacing w:val="0"/>
        </w:rPr>
        <w:t>1.3</w:t>
      </w:r>
      <w:r>
        <w:rPr>
          <w:caps w:val="off"/>
          <w:rFonts w:eastAsia="Times New Roman"/>
          <w:b/>
          <w:i w:val="0"/>
          <w:color w:val="000000"/>
          <w:w w:val="100"/>
          <w:sz w:val="24"/>
          <w:spacing w:val="0"/>
        </w:rPr>
        <w:tab/>
      </w:r>
      <w:r>
        <w:rPr>
          <w:caps w:val="off"/>
          <w:rFonts w:eastAsia="Times New Roman"/>
          <w:b/>
          <w:i w:val="0"/>
          <w:color w:val="000000"/>
          <w:w w:val="100"/>
          <w:sz w:val="24"/>
          <w:spacing w:val="0"/>
        </w:rPr>
        <w:t xml:space="preserve">Aim and Objectives of Study </w:t>
      </w:r>
    </w:p>
    <w:p>
      <w:pPr>
        <w:pStyle w:val="Heading3"/>
        <w:snapToGrid w:val="0"/>
        <w:spacing w:after="0" w:afterAutospacing="0" w:before="0" w:beforeAutospacing="0" w:line="480" w:lineRule="auto"/>
        <w:textAlignment w:val="baseline"/>
        <w:rPr>
          <w:caps w:val="off"/>
          <w:rFonts w:ascii="Times New Roman" w:eastAsia="Times New Roman" w:hAnsi="Times New Roman" w:cs="Times New Roman"/>
          <w:b/>
          <w:i w:val="0"/>
          <w:w w:val="100"/>
          <w:sz w:val="24"/>
          <w:szCs w:val="24"/>
          <w:spacing w:val="0"/>
        </w:rPr>
      </w:pPr>
      <w:r>
        <w:rPr>
          <w:caps w:val="off"/>
          <w:rFonts w:ascii="Times New Roman" w:eastAsia="Times New Roman" w:hAnsi="Times New Roman" w:cs="Times New Roman"/>
          <w:b/>
          <w:i w:val="0"/>
          <w:w w:val="100"/>
          <w:sz w:val="24"/>
          <w:szCs w:val="24"/>
          <w:spacing w:val="0"/>
        </w:rPr>
        <w:t>1.3.1</w:t>
      </w:r>
      <w:r>
        <w:rPr>
          <w:caps w:val="off"/>
          <w:rFonts w:ascii="Times New Roman" w:eastAsia="Times New Roman" w:hAnsi="Times New Roman" w:cs="Times New Roman"/>
          <w:b/>
          <w:i w:val="0"/>
          <w:w w:val="100"/>
          <w:sz w:val="24"/>
          <w:szCs w:val="24"/>
          <w:spacing w:val="0"/>
        </w:rPr>
        <w:tab/>
      </w:r>
      <w:r>
        <w:rPr>
          <w:caps w:val="off"/>
          <w:rFonts w:ascii="Times New Roman" w:eastAsia="Times New Roman" w:hAnsi="Times New Roman" w:cs="Times New Roman"/>
          <w:b/>
          <w:i w:val="0"/>
          <w:w w:val="100"/>
          <w:sz w:val="24"/>
          <w:szCs w:val="24"/>
          <w:spacing w:val="0"/>
        </w:rPr>
        <w:t>Aim of the Study</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The aim of this study is to evaluate the antibacterial efficacy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extracts against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(MRSA) and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bCs w:val="0"/>
          <w:i w:val="0"/>
          <w:w w:val="100"/>
          <w:sz w:val="24"/>
          <w:szCs w:val="24"/>
          <w:spacing w:val="0"/>
        </w:rPr>
      </w:pPr>
      <w:r>
        <w:rPr>
          <w:caps w:val="off"/>
          <w:rFonts w:ascii="Times New Roman" w:eastAsia="Times New Roman" w:hAnsi="Times New Roman" w:cs="Times New Roman"/>
          <w:b/>
          <w:bCs w:val="0"/>
          <w:i w:val="0"/>
          <w:w w:val="100"/>
          <w:sz w:val="24"/>
          <w:szCs w:val="24"/>
          <w:spacing w:val="0"/>
        </w:rPr>
        <w:t>1.3.2</w:t>
      </w:r>
      <w:r>
        <w:rPr>
          <w:caps w:val="off"/>
          <w:rFonts w:ascii="Times New Roman" w:eastAsia="Times New Roman" w:hAnsi="Times New Roman" w:cs="Times New Roman"/>
          <w:b/>
          <w:bCs w:val="0"/>
          <w:i w:val="0"/>
          <w:w w:val="100"/>
          <w:sz w:val="24"/>
          <w:szCs w:val="24"/>
          <w:spacing w:val="0"/>
        </w:rPr>
        <w:tab/>
      </w:r>
      <w:r>
        <w:rPr>
          <w:caps w:val="off"/>
          <w:rFonts w:ascii="Times New Roman" w:eastAsia="Times New Roman" w:hAnsi="Times New Roman" w:cs="Times New Roman"/>
          <w:b/>
          <w:bCs w:val="0"/>
          <w:i w:val="0"/>
          <w:w w:val="100"/>
          <w:sz w:val="24"/>
          <w:szCs w:val="24"/>
          <w:spacing w:val="0"/>
        </w:rPr>
        <w:t>Specific Objectives</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The specific objectives of the study are to:</w:t>
      </w:r>
    </w:p>
    <w:p>
      <w:pPr>
        <w:pStyle w:val="normal"/>
        <w:snapToGrid w:val="0"/>
        <w:jc w:val="both"/>
        <w:numPr>
          <w:ilvl w:val="0"/>
          <w:numId w:val="1"/>
        </w:numPr>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bCs/>
          <w:i w:val="0"/>
          <w:w w:val="100"/>
          <w:sz w:val="24"/>
          <w:szCs w:val="24"/>
          <w:spacing w:val="0"/>
        </w:rPr>
        <w:t>extract and prepare</w:t>
      </w:r>
      <w:r>
        <w:rPr>
          <w:caps w:val="off"/>
          <w:rFonts w:ascii="Times New Roman" w:eastAsia="Times New Roman" w:hAnsi="Times New Roman" w:cs="Times New Roman"/>
          <w:b w:val="0"/>
          <w:i w:val="0"/>
          <w:w w:val="100"/>
          <w:sz w:val="24"/>
          <w:szCs w:val="24"/>
          <w:spacing w:val="0"/>
        </w:rPr>
        <w:t xml:space="preserve"> an extracts from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leaves.</w:t>
      </w:r>
    </w:p>
    <w:p>
      <w:pPr>
        <w:pStyle w:val="normal"/>
        <w:snapToGrid w:val="0"/>
        <w:jc w:val="both"/>
        <w:numPr>
          <w:ilvl w:val="0"/>
          <w:numId w:val="1"/>
        </w:numPr>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bCs/>
          <w:i w:val="0"/>
          <w:w w:val="100"/>
          <w:sz w:val="24"/>
          <w:szCs w:val="24"/>
          <w:spacing w:val="0"/>
        </w:rPr>
        <w:t>determine the antibacterial activity</w:t>
      </w:r>
      <w:r>
        <w:rPr>
          <w:caps w:val="off"/>
          <w:rFonts w:ascii="Times New Roman" w:eastAsia="Times New Roman" w:hAnsi="Times New Roman" w:cs="Times New Roman"/>
          <w:b w:val="0"/>
          <w:i w:val="0"/>
          <w:w w:val="100"/>
          <w:sz w:val="24"/>
          <w:szCs w:val="24"/>
          <w:spacing w:val="0"/>
        </w:rPr>
        <w:t xml:space="preserve"> of </w:t>
      </w:r>
      <w:r>
        <w:rPr>
          <w:caps w:val="off"/>
          <w:rFonts w:ascii="Times New Roman" w:eastAsia="Times New Roman" w:hAnsi="Times New Roman" w:cs="Times New Roman"/>
          <w:b w:val="0"/>
          <w:i/>
          <w:iCs/>
          <w:w w:val="100"/>
          <w:sz w:val="24"/>
          <w:szCs w:val="24"/>
          <w:spacing w:val="0"/>
        </w:rPr>
        <w:t xml:space="preserve">Eucalyptus </w:t>
      </w:r>
      <w:bookmarkStart w:id="1" w:name="_Hlk199157975"/>
      <w:r>
        <w:rPr>
          <w:caps w:val="off"/>
          <w:rFonts w:ascii="Times New Roman" w:eastAsia="Times New Roman" w:hAnsi="Times New Roman" w:cs="Times New Roman"/>
          <w:b w:val="0"/>
          <w:i/>
          <w:iCs/>
          <w:w w:val="100"/>
          <w:sz w:val="24"/>
          <w:szCs w:val="24"/>
          <w:spacing w:val="0"/>
        </w:rPr>
        <w:t>globulus</w:t>
      </w:r>
      <w:r>
        <w:rPr>
          <w:caps w:val="off"/>
          <w:rFonts w:ascii="Times New Roman" w:eastAsia="Times New Roman" w:hAnsi="Times New Roman" w:cs="Times New Roman"/>
          <w:b w:val="0"/>
          <w:i w:val="0"/>
          <w:w w:val="100"/>
          <w:sz w:val="24"/>
          <w:szCs w:val="24"/>
          <w:spacing w:val="0"/>
        </w:rPr>
        <w:t xml:space="preserve"> extract against MRSA and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using standard microbiological methods.</w:t>
      </w:r>
    </w:p>
    <w:p>
      <w:pPr>
        <w:pStyle w:val="normal"/>
        <w:snapToGrid w:val="0"/>
        <w:jc w:val="both"/>
        <w:numPr>
          <w:ilvl w:val="0"/>
          <w:numId w:val="1"/>
        </w:numPr>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Check the phytochemical properties of </w:t>
      </w:r>
      <w:r>
        <w:rPr>
          <w:caps w:val="off"/>
          <w:rFonts w:ascii="Times New Roman" w:eastAsia="Times New Roman" w:hAnsi="Times New Roman" w:cs="Times New Roman"/>
          <w:b w:val="0"/>
          <w:i/>
          <w:iCs/>
          <w:w w:val="100"/>
          <w:sz w:val="24"/>
          <w:szCs w:val="24"/>
          <w:spacing w:val="0"/>
        </w:rPr>
        <w:t>Eucalyptus globulus</w:t>
      </w:r>
    </w:p>
    <w:p>
      <w:pPr>
        <w:pStyle w:val="normal"/>
        <w:snapToGrid w:val="0"/>
        <w:jc w:val="both"/>
        <w:numPr>
          <w:ilvl w:val="0"/>
          <w:numId w:val="1"/>
        </w:numPr>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bCs/>
          <w:i w:val="0"/>
          <w:w w:val="100"/>
          <w:sz w:val="24"/>
          <w:szCs w:val="24"/>
          <w:spacing w:val="0"/>
        </w:rPr>
        <w:t>assess the minimum inhibitory concentration (MIC)</w:t>
      </w:r>
      <w:r>
        <w:rPr>
          <w:caps w:val="off"/>
          <w:rFonts w:ascii="Times New Roman" w:eastAsia="Times New Roman" w:hAnsi="Times New Roman" w:cs="Times New Roman"/>
          <w:b w:val="0"/>
          <w:i w:val="0"/>
          <w:w w:val="100"/>
          <w:sz w:val="24"/>
          <w:szCs w:val="24"/>
          <w:spacing w:val="0"/>
        </w:rPr>
        <w:t xml:space="preserve">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extract against the two bacterial strains.</w:t>
      </w:r>
    </w:p>
    <w:p>
      <w:pPr>
        <w:pStyle w:val="normal"/>
        <w:snapToGrid w:val="0"/>
        <w:spacing w:after="0" w:afterAutospacing="0" w:before="0" w:beforeAutospacing="0" w:line="480" w:lineRule="auto"/>
        <w:textAlignment w:val="baseline"/>
        <w:rPr>
          <w:caps w:val="off"/>
          <w:rFonts w:ascii="Times New Roman" w:eastAsia="Times New Roman" w:hAnsi="Times New Roman" w:cs="Times New Roman"/>
          <w:b/>
          <w:i w:val="0"/>
          <w:w w:val="100"/>
          <w:sz w:val="24"/>
          <w:szCs w:val="24"/>
          <w:spacing w:val="0"/>
        </w:rPr>
      </w:pP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CHAPTER TWO</w:t>
      </w: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LITERATURE REVIEW</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2.1</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Antibacterial agents are substances that kill or inhibit the growth of bacteria. They are used to treat bacterial infections and can either be synthetic (produced artificially) or natural (derived from plants, animals, or microorganisms) (Ventola, 2019). The increasing resistance of bacteria to synthetic antibiotics has led to growing interest in plant-based antibacterial agents, which often contain a wide range of bioactive compounds with potential therapeutic effects (Gajdács, 2020). Plant extracts, essential oils, and phytochemicals such as flavonoids, tannins, and terpenoids have shown significant antibacterial activities against both Gram-positive and Gram-negative bacteria (Echeverría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(Echeverría &amp; Albuquerque, 2020). However, despite their critical role, the growing problem of bacterial resistance to existing antibiotics presents a major challenge to global health.</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In recent years, attention has increasingly turned toward exploring new antibacterial agents, particularly those derived from natural sources like plants. Studies have shown that certain medicinal plants, such as Eucalyptus globulus, contain essential oils and phytochemicals with strong antibacterial properties (Salehi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2021). These natural compounds offer the advantage of being less likely to induce resistance compared to synthetic antibiotics, and they may provide multiple mechanisms of action against bacterial pathogens (Boukhatem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Moreover, the urgency of discovering novel antibacterial agents has been heightened by the emergence of multidrug-resistant organisms such as Methicillin-Resistant Staphylococcus aureus (MRSA) and drug-resistant strains of Escherichia coli (Elbehiry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bCs w:val="0"/>
          <w:i w:val="0"/>
          <w:w w:val="100"/>
          <w:sz w:val="24"/>
          <w:szCs w:val="24"/>
          <w:spacing w:val="0"/>
        </w:rPr>
      </w:pPr>
      <w:r>
        <w:rPr>
          <w:caps w:val="off"/>
          <w:rFonts w:ascii="Times New Roman" w:eastAsia="Times New Roman" w:hAnsi="Times New Roman" w:cs="Times New Roman"/>
          <w:b/>
          <w:bCs w:val="0"/>
          <w:i w:val="0"/>
          <w:w w:val="100"/>
          <w:sz w:val="24"/>
          <w:szCs w:val="24"/>
          <w:spacing w:val="0"/>
        </w:rPr>
        <w:t>2.1.1</w:t>
      </w:r>
      <w:r>
        <w:rPr>
          <w:caps w:val="off"/>
          <w:rFonts w:ascii="Times New Roman" w:eastAsia="Times New Roman" w:hAnsi="Times New Roman" w:cs="Times New Roman"/>
          <w:b/>
          <w:bCs w:val="0"/>
          <w:i w:val="0"/>
          <w:w w:val="100"/>
          <w:sz w:val="24"/>
          <w:szCs w:val="24"/>
          <w:spacing w:val="0"/>
        </w:rPr>
        <w:tab/>
      </w:r>
      <w:r>
        <w:rPr>
          <w:caps w:val="off"/>
          <w:rFonts w:ascii="Times New Roman" w:eastAsia="Times New Roman" w:hAnsi="Times New Roman" w:cs="Times New Roman"/>
          <w:b/>
          <w:bCs w:val="0"/>
          <w:i w:val="0"/>
          <w:w w:val="100"/>
          <w:sz w:val="24"/>
          <w:szCs w:val="24"/>
          <w:spacing w:val="0"/>
        </w:rPr>
        <w:t>Types of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Antibacterial agents can be broadly classified based on their origin, spectrum of activity, and mechanism of action. These agents have revolutionized the treatment of bacterial infections, enabling healthcare professionals to manage diseases that were once considered fatal. This section explores the different types of antibacterial agents, highlighting their origins, therapeutic roles, and methods of action against pathogenic bacteria.</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Origin of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Antibacterial agents can be categorized based on their origin, which determines their composition and the process of their development. The three main types of antibacterial agents based on origin are natural, semi-synthetic, and synthetic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 xml:space="preserve">Natural Antibacterial Agents </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These agents are derived from naturally occurring sources, such as microorganisms, plants, and other natural substances. One of the most notable examples is penicillin, discovered from the mold Penicillium . Natural compounds have been a cornerstone of antibiotic development, with many modern antibiotics still based on their natural origins. Plant-based antibacterial agents, such as those derived from Eucalyptus globulus, have also gained attention for their promising antibacterial properties, offering an alternative to synthetic antibiotics (Salehi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2021).</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Semi-Synthetic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Semi-synthetic antibiotics are chemical derivatives of natural compounds. These agents are modified to enhance their antibacterial activity or to overcome specific bacterial resistances. For example, amoxicillin, derived from penicillin, has been chemically altered to expand its effectiveness against a broader range of bacteria, particularly Escherichia coli and Streptococcus species (Livermore,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Synthetic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These antibiotics are entirely chemically synthesized in laboratories. Sulfonamides and fluoroquinolones are prime examples of synthetic agents that were developed to target specific bacterial processes (Blair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2015). The advantage of synthetic agents lies in their ability to be tailored for specific therapeutic needs, providing a wide range of options for clinicians.</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bCs w:val="0"/>
          <w:i w:val="0"/>
          <w:w w:val="100"/>
          <w:sz w:val="24"/>
          <w:szCs w:val="24"/>
          <w:spacing w:val="0"/>
        </w:rPr>
      </w:pPr>
      <w:r>
        <w:rPr>
          <w:caps w:val="off"/>
          <w:rFonts w:ascii="Times New Roman" w:eastAsia="Times New Roman" w:hAnsi="Times New Roman" w:cs="Times New Roman"/>
          <w:b/>
          <w:bCs w:val="0"/>
          <w:i w:val="0"/>
          <w:w w:val="100"/>
          <w:sz w:val="24"/>
          <w:szCs w:val="24"/>
          <w:spacing w:val="0"/>
        </w:rPr>
        <w:t>2.1.2</w:t>
      </w:r>
      <w:r>
        <w:rPr>
          <w:caps w:val="off"/>
          <w:rFonts w:ascii="Times New Roman" w:eastAsia="Times New Roman" w:hAnsi="Times New Roman" w:cs="Times New Roman"/>
          <w:b/>
          <w:bCs w:val="0"/>
          <w:i w:val="0"/>
          <w:w w:val="100"/>
          <w:sz w:val="24"/>
          <w:szCs w:val="24"/>
          <w:spacing w:val="0"/>
        </w:rPr>
        <w:tab/>
      </w:r>
      <w:r>
        <w:rPr>
          <w:caps w:val="off"/>
          <w:rFonts w:ascii="Times New Roman" w:eastAsia="Times New Roman" w:hAnsi="Times New Roman" w:cs="Times New Roman"/>
          <w:b/>
          <w:bCs w:val="0"/>
          <w:i w:val="0"/>
          <w:w w:val="100"/>
          <w:sz w:val="24"/>
          <w:szCs w:val="24"/>
          <w:spacing w:val="0"/>
        </w:rPr>
        <w:t>Spectrum of Activity</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The spectrum of activity refers to the range of bacterial species that an antibacterial agent can effectively target. Based on their spectrum, antibacterial agents are classified into narrow-spectrum and broad-spectrum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Narrow-Spectrum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These agents target specific types of bacteria. For example, vancomycin is particularly effective against Gram-positive bacteria such as Staphylococcus aureus and Clostridium difficile (Cohen, 2019). Narrow-spectrum agents are typically preferred when the causative bacterial pathogen is known, as they minimize the disruption to beneficial microbiota and reduce the likelihood of resistance development.</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Broad-Spectrum Antibacterial Agents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In contrast, broad-spectrum antibiotics are effective against a wide range of bacterial species, both Gram-positive and Gram-negative. Tetracyclines and fluoroquinolones are prime examples of broad-spectrum antibiotics (Deo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2.1.3</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Mechanisms of Action</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Antibacterial agents exert their therapeutic effects by targeting specific bacterial structures or processes, thereby interfering with bacterial growth or survival. These mechanisms can be grouped into several categories based on the target within the bacterial cell.</w:t>
      </w: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1.</w:t>
      </w:r>
      <w:r>
        <w:rPr>
          <w:caps w:val="off"/>
          <w:rFonts w:ascii="Times New Roman" w:hAnsi="Times New Roman" w:cs="Times New Roman"/>
          <w:b/>
          <w:i w:val="0"/>
          <w:w w:val="100"/>
          <w:sz w:val="24"/>
          <w:szCs w:val="24"/>
          <w:spacing w:val="0"/>
        </w:rPr>
        <w:tab/>
      </w:r>
      <w:r>
        <w:rPr>
          <w:caps w:val="off"/>
          <w:rFonts w:ascii="Times New Roman" w:hAnsi="Times New Roman" w:cs="Times New Roman"/>
          <w:b w:val="0"/>
          <w:bCs/>
          <w:i w:val="0"/>
          <w:w w:val="100"/>
          <w:sz w:val="24"/>
          <w:szCs w:val="24"/>
          <w:spacing w:val="0"/>
        </w:rPr>
        <w:t>Cell Wall Synthesis Inhibitors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Many antibiotics, such as β-lactams (including penicillin and cephalosporins), target bacterial cell wall synthesis. Bacterial cell walls are crucial for maintaining the structural integrity of the cell, and when their synthesis is blocked, the bacteria are unable to survive. This leads to cell lysis and death, particularly in Gram-positive bacteria (Gajdács,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2.</w:t>
      </w:r>
      <w:r>
        <w:rPr>
          <w:caps w:val="off"/>
          <w:rFonts w:ascii="Times New Roman" w:hAnsi="Times New Roman" w:cs="Times New Roman"/>
          <w:b w:val="0"/>
          <w:bCs/>
          <w:i w:val="0"/>
          <w:w w:val="100"/>
          <w:sz w:val="24"/>
          <w:szCs w:val="24"/>
          <w:spacing w:val="0"/>
        </w:rPr>
        <w:tab/>
      </w:r>
      <w:r>
        <w:rPr>
          <w:caps w:val="off"/>
          <w:rFonts w:ascii="Times New Roman" w:hAnsi="Times New Roman" w:cs="Times New Roman"/>
          <w:b w:val="0"/>
          <w:bCs/>
          <w:i w:val="0"/>
          <w:w w:val="100"/>
          <w:sz w:val="24"/>
          <w:szCs w:val="24"/>
          <w:spacing w:val="0"/>
        </w:rPr>
        <w:t>Protein Synthesis Inhibitors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Tetracyclines,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(Boukhatem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3.</w:t>
      </w:r>
      <w:r>
        <w:rPr>
          <w:caps w:val="off"/>
          <w:rFonts w:ascii="Times New Roman" w:hAnsi="Times New Roman" w:cs="Times New Roman"/>
          <w:b w:val="0"/>
          <w:bCs/>
          <w:i w:val="0"/>
          <w:w w:val="100"/>
          <w:sz w:val="24"/>
          <w:szCs w:val="24"/>
          <w:spacing w:val="0"/>
        </w:rPr>
        <w:tab/>
      </w:r>
      <w:r>
        <w:rPr>
          <w:caps w:val="off"/>
          <w:rFonts w:ascii="Times New Roman" w:hAnsi="Times New Roman" w:cs="Times New Roman"/>
          <w:b w:val="0"/>
          <w:bCs/>
          <w:i w:val="0"/>
          <w:w w:val="100"/>
          <w:sz w:val="24"/>
          <w:szCs w:val="24"/>
          <w:spacing w:val="0"/>
        </w:rPr>
        <w:t>DNA Synthesis Inhibitors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(Echeverría &amp; Albuquerque,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4.</w:t>
      </w:r>
      <w:r>
        <w:rPr>
          <w:caps w:val="off"/>
          <w:rFonts w:ascii="Times New Roman" w:hAnsi="Times New Roman" w:cs="Times New Roman"/>
          <w:b w:val="0"/>
          <w:bCs/>
          <w:i w:val="0"/>
          <w:w w:val="100"/>
          <w:sz w:val="24"/>
          <w:szCs w:val="24"/>
          <w:spacing w:val="0"/>
        </w:rPr>
        <w:tab/>
      </w:r>
      <w:r>
        <w:rPr>
          <w:caps w:val="off"/>
          <w:rFonts w:ascii="Times New Roman" w:hAnsi="Times New Roman" w:cs="Times New Roman"/>
          <w:b w:val="0"/>
          <w:bCs/>
          <w:i w:val="0"/>
          <w:w w:val="100"/>
          <w:sz w:val="24"/>
          <w:szCs w:val="24"/>
          <w:spacing w:val="0"/>
        </w:rPr>
        <w:t>Cell Membrane Disruptors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Polymyxins, such as polymyxin B and colistin, interact with the outer membrane of Gram-negative bacteria, increasing membrane permeability. This leads to the leakage of vital cellular contents, causing cell death. Polymyxins are often reserved for multi-drug-resistant Gram-negative infections due to their potency and potential toxicity (Gorib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2021).</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5.</w:t>
      </w:r>
      <w:r>
        <w:rPr>
          <w:caps w:val="off"/>
          <w:rFonts w:ascii="Times New Roman" w:hAnsi="Times New Roman" w:cs="Times New Roman"/>
          <w:b w:val="0"/>
          <w:bCs/>
          <w:i w:val="0"/>
          <w:w w:val="100"/>
          <w:sz w:val="24"/>
          <w:szCs w:val="24"/>
          <w:spacing w:val="0"/>
        </w:rPr>
        <w:tab/>
      </w:r>
      <w:r>
        <w:rPr>
          <w:caps w:val="off"/>
          <w:rFonts w:ascii="Times New Roman" w:hAnsi="Times New Roman" w:cs="Times New Roman"/>
          <w:b w:val="0"/>
          <w:bCs/>
          <w:i w:val="0"/>
          <w:w w:val="100"/>
          <w:sz w:val="24"/>
          <w:szCs w:val="24"/>
          <w:spacing w:val="0"/>
        </w:rPr>
        <w:t>Metabolic Pathway Inhibitors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2015).</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2.1.4</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Combination Therapy</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Bonomo, 2020). For example, combining β-lactams with β-lactamase inhibitors can restore the effectiveness of the former against bacteria that produce β-lactamase, an enzyme that degrades penicillin and related drugs.</w:t>
      </w:r>
    </w:p>
    <w:p>
      <w:pPr>
        <w:pStyle w:val="Heading2"/>
        <w:snapToGrid w:val="0"/>
        <w:spacing w:after="0" w:afterAutospacing="0" w:before="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2.2</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Overview of Eucalyptus globulus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Eucalyptus globulus is commonly known as the blue gum tree and it is a species of evergreen tree native to Australia. It belongs to the Myrtaceae family, which includes a diverse range of trees and shrubs. Eucalyptus globulus is one of the most economically significant species within the genus Eucalyptus, due to its widespread use in the timber, paper, and medicinal industries (Sharma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The tree is recognized for its tall stature, with some specimens reaching over 70 meters in height, and its distinctive blue-green leaves that give it the common name "blue gum" (Sharma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Eucalyptus globulus is renowned for its medicinal properties, particularly its antimicrobial, anti-inflammatory, and analgesic activities. The essential oil extracted from the leaves of the tree has long been used in traditional medicine, and its therapeutic potential is now being explored through modern pharmacological research (Mackenzie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2019). This essential oil is rich in compounds such as eucalyptol (also known as 1,8-cineole), which is the primary bioactive compound responsible for the plant's antimicrobial properties (Sani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The wide application of Eucalyptus globulus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globulus and its essential oil has been the subject of numerous studies, which have demonstrated its effectiveness against a variety of bacterial strains, including Gram-positive and Gram-negative bacteria (Fadeyi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2018; Silva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2.3</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 xml:space="preserve">Methicillin -Resistant Staphylococcus </w:t>
      </w:r>
      <w:r>
        <w:rPr>
          <w:caps w:val="off"/>
          <w:rFonts w:ascii="Times New Roman" w:eastAsia="宋体" w:hAnsi="Times New Roman" w:cs="宋体"/>
          <w:b/>
          <w:i/>
          <w:color w:val="000000"/>
          <w:w w:val="100"/>
          <w:sz w:val="24"/>
          <w:spacing w:val="0"/>
        </w:rPr>
        <w:t>aureus</w:t>
      </w:r>
      <w:r>
        <w:rPr>
          <w:caps w:val="off"/>
          <w:rFonts w:ascii="Times New Roman" w:eastAsia="宋体" w:hAnsi="Times New Roman" w:cs="宋体"/>
          <w:b/>
          <w:i w:val="0"/>
          <w:color w:val="000000"/>
          <w:w w:val="100"/>
          <w:sz w:val="24"/>
          <w:spacing w:val="0"/>
        </w:rPr>
        <w:t xml:space="preserve"> (MRSA)</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Staphylococcus aureus is a gram-positive bacterium that is a common pathogen in both healthcare and community settings. It is known for causing a wide range of infections, from mild skin infections to severe conditions such as pneumonia, endocarditis, and osteomyelitis (Zong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 One of the most concerning aspects of S. aureus is its ability to acquire resistance to antibiotics, particularly methicillin, which has led to the emergence of methicillin-resistant Staphylococcus aureus (MRSA).</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MRSA refers to strains of S. aureus that have developed resistance to beta-lactam antibiotics, including methicillin, oxacillin, and penicillin. This resistance is due to the acquisition of the mecA gene, which encodes a modified penicillin-binding protein (PBP2a) that has a low affinity for beta-lactam antibiotics (Bouchiat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2019). As a result, MRSA is difficult to treat with standard antibiotic therapies, making it a major cause of hospital-acquired infections (HAIs) and a growing concern in community-associated infections (CAIs) (Nash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2019).</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2.3.1</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Mechanisms of Resistance</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 resistance of S. aureus to methicillin and other antibiotics is primarily mediated by the mecA gene, which is located on a mobile genetic element known as the staphylococcal cassette chromosome mec (SCCmec). This gene encodes PBP2a, which alters the structure of the bacterial cell wall, rendering it less susceptible to beta-lactams (Zong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In addition to the mecA gene, MRSA can also acquire resistance through other mechanisms such as the production of beta-lactamases, which degrade antibiotics, and mutations in other genes involved in cell wall synthesis (Paterson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2.3.2</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Epidemiology and Clinical Impact</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 prevalence of MRSA has increased significantly over the past few decades, both in hospital and community settings. Hospital-acquired MRSA (HA-MRSA) infections are typically associated with invasive medical procedures such as surgery, catheter insertion, and mechanical ventilation (Zong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These infections are often difficult to treat due to the limited number of effective antibiotics available. HA-MRSA infections are associated with higher morbidity, mortality, and healthcare costs (Nash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2019).</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 The ability of CA-MRSA to spread in the community is a growing concern, particularly due to the ease of transmission through close contact and shared personal items.</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2.4</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color w:val="000000"/>
          <w:w w:val="100"/>
          <w:sz w:val="24"/>
          <w:spacing w:val="0"/>
        </w:rPr>
        <w:t>Escherichia coli</w:t>
      </w:r>
      <w:r>
        <w:rPr>
          <w:caps w:val="off"/>
          <w:rFonts w:ascii="Times New Roman" w:eastAsia="宋体" w:hAnsi="Times New Roman" w:cs="宋体"/>
          <w:b/>
          <w:i w:val="0"/>
          <w:color w:val="000000"/>
          <w:w w:val="100"/>
          <w:sz w:val="24"/>
          <w:spacing w:val="0"/>
        </w:rPr>
        <w:t xml:space="preserve"> Infections and Resistance</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Escherichia coli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is a gram-negative bacterium commonly found in the intestines of humans and animals. While many strains of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are harmless and even beneficial, certain pathogenic strains can cause a wide variety of infections. These infections range from mild urinary tract infections (UTIs) to severe diseases, including bacteremia, sepsis, and gastroenteritis (Ranjbar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2021). In recent years, the increasing resistance of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to multiple antibiotics has become a significant public health concern.</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2.4.1</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 xml:space="preserve">Pathogenic Strains of </w:t>
      </w:r>
      <w:r>
        <w:rPr>
          <w:caps w:val="off"/>
          <w:rFonts w:ascii="Times New Roman" w:eastAsia="Times New Roman" w:hAnsi="Times New Roman" w:cs="Times New Roman"/>
          <w:b/>
          <w:i/>
          <w:iCs/>
          <w:w w:val="100"/>
          <w:sz w:val="24"/>
          <w:spacing w:val="0"/>
        </w:rPr>
        <w:t>Escherichia coli</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 majority of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infections are caused by specific pathogenic strains. Among the most notable of these are Enterotoxigenic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(ETEC), which is commonly associated with traveler's diarrhea, and Enteropathogenic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(EPEC), a major cause of infant diarrhea. Another significant pathogenic strain, Enterohemorrhagic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(EHEC), has been linked to outbreaks of foodborne illness, with some strains producing Shiga toxins that can cause hemolytic uremic syndrome (HUS), a potentially fatal condition. Uropathogenic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(UPEC) is another key strain, primarily responsible for UTIs, both in community settings and healthcare facilities (Zong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 These pathogenic strains are equipped with a range of virulence factors, including adhesins, toxins, and the ability to form biofilms, which enable them to adhere to and invade host tissues, evade immune responses, and resist antibiotic treatment (Nataro &amp; Kaper, 2019).</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2.4.2</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 xml:space="preserve">Mechanisms of Antibiotic Resistance in </w:t>
      </w:r>
      <w:r>
        <w:rPr>
          <w:caps w:val="off"/>
          <w:rFonts w:ascii="Times New Roman" w:eastAsia="Times New Roman" w:hAnsi="Times New Roman" w:cs="Times New Roman"/>
          <w:b/>
          <w:i/>
          <w:iCs/>
          <w:w w:val="100"/>
          <w:sz w:val="24"/>
          <w:spacing w:val="0"/>
        </w:rPr>
        <w:t>Escherichia coli</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A significant concern regarding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infections is the growing problem of antibiotic resistance. Several mechanisms contribute to the ability of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to evade the effects of antibiotics, complicating treatment options and leading to more severe clinical outcomes. One of the most common mechanisms is beta-lactam resistance, which is typically mediated by the production of beta-lactamases. These enzymes degrade beta-lactam antibiotics, such as penicillins and cephalosporins, rendering them ineffective. Extended-spectrum beta-lactamases (ESBLs) are particularly problematic, as they can hydrolyze third-generation cephalosporins and monobactams, which are often used as the first line of treatment in infections caused by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(Paterson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In addition to beta-lactam resistance,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has also developed resistance to other classes of antibiotics, including aminoglycosides and fluoroquinolones. Aminoglycoside resistance is primarily driven by the production of modifying enzymes that inactivate these drugs, while fluoroquinolone resistance is often the result of mutations in the bacterial DNA gyrase and topoisomerase IV, which are the targets of these drugs (Wu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Another concerning development is carbapenem resistance. Carbapenems, such as meropenem, are considered last-resort antibiotics for treating multi-drug-resistant (MDR)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The emergence of carbapenemases, such as New Delhi metallo-beta-lactamase (NDM) and Klebsiella pneumoniae carbapenemase (KPC), in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poses a serious threat to public health by rendering these antibiotics ineffective and limiting treatment options (Tucker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2019). The increasing prevalence of multidrug-resistant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has significantly impacted clinical outcomes, as these infections are more difficult to treat, often requiring more expensive and toxic drugs. This, in turn, leads to prolonged hospital stays, higher healthcare costs, and increased morbidity and mortality (Guerra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2.4.3</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 xml:space="preserve">Clinical Impact of </w:t>
      </w:r>
      <w:r>
        <w:rPr>
          <w:caps w:val="off"/>
          <w:rFonts w:ascii="Times New Roman" w:eastAsia="Times New Roman" w:hAnsi="Times New Roman" w:cs="Times New Roman"/>
          <w:b/>
          <w:i/>
          <w:iCs/>
          <w:w w:val="100"/>
          <w:sz w:val="24"/>
          <w:spacing w:val="0"/>
        </w:rPr>
        <w:t xml:space="preserve">E. coli </w:t>
      </w:r>
      <w:r>
        <w:rPr>
          <w:caps w:val="off"/>
          <w:rFonts w:ascii="Times New Roman" w:eastAsia="Times New Roman" w:hAnsi="Times New Roman" w:cs="Times New Roman"/>
          <w:b/>
          <w:i w:val="0"/>
          <w:w w:val="100"/>
          <w:sz w:val="24"/>
          <w:spacing w:val="0"/>
        </w:rPr>
        <w:t>Resistance</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The rise of antibiotic-resistant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within healthcare settings can lead to outbreaks, further complicating infection control efforts. For example, resistant strains of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are frequently implicated in nosocomial infections, where patients in hospitals or long-term care facilities acquire infections from the healthcare environment itself (Tucker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2019).</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To combat the increasing prevalence of antibiotic-resistant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infections, several strategies have been proposed. Antimicrobial stewardship programs, which aim to optimize antibiotic use in clinical settings, have been shown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xml:space="preserve">., 2020). In addition to stewardship, stringent infection control measures, including hand hygiene, proper sanitation, and isolation of infected patients, are essential for preventing the transmission of 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in hospitals and other healthcare environments.</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r>
        <w:rPr>
          <w:caps w:val="off"/>
          <w:rFonts w:ascii="Times New Roman" w:hAnsi="Times New Roman" w:cs="Times New Roman"/>
          <w:b w:val="0"/>
          <w:bCs/>
          <w:i w:val="0"/>
          <w:w w:val="100"/>
          <w:sz w:val="24"/>
          <w:szCs w:val="24"/>
          <w:spacing w:val="0"/>
        </w:rPr>
        <w:t xml:space="preserve">Research into alternative therapies is also underway to provide new options for treating 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(Nataro &amp; Kaper, 2019). Another area of research is the development of vaccines against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strains, especially those that cause gastroenteritis and UTIs. Additionally, novel antibiotics targeting new bacterial pathways are being explored, which may provide much-needed solutions for treating resistant </w:t>
      </w:r>
      <w:r>
        <w:rPr>
          <w:caps w:val="off"/>
          <w:rFonts w:ascii="Times New Roman" w:hAnsi="Times New Roman" w:cs="Times New Roman"/>
          <w:b w:val="0"/>
          <w:bCs/>
          <w:i/>
          <w:w w:val="100"/>
          <w:sz w:val="24"/>
          <w:szCs w:val="24"/>
          <w:spacing w:val="0"/>
        </w:rPr>
        <w:t>E. coli</w:t>
      </w:r>
      <w:r>
        <w:rPr>
          <w:caps w:val="off"/>
          <w:rFonts w:ascii="Times New Roman" w:hAnsi="Times New Roman" w:cs="Times New Roman"/>
          <w:b w:val="0"/>
          <w:bCs/>
          <w:i w:val="0"/>
          <w:w w:val="100"/>
          <w:sz w:val="24"/>
          <w:szCs w:val="24"/>
          <w:spacing w:val="0"/>
        </w:rPr>
        <w:t xml:space="preserve"> infections (Wu </w:t>
      </w:r>
      <w:r>
        <w:rPr>
          <w:caps w:val="off"/>
          <w:rFonts w:ascii="Times New Roman" w:hAnsi="Times New Roman" w:cs="Times New Roman"/>
          <w:b w:val="0"/>
          <w:bCs/>
          <w:i/>
          <w:w w:val="100"/>
          <w:sz w:val="24"/>
          <w:szCs w:val="24"/>
          <w:spacing w:val="0"/>
        </w:rPr>
        <w:t>et al</w:t>
      </w:r>
      <w:r>
        <w:rPr>
          <w:caps w:val="off"/>
          <w:rFonts w:ascii="Times New Roman" w:hAnsi="Times New Roman" w:cs="Times New Roman"/>
          <w:b w:val="0"/>
          <w:bCs/>
          <w:i w:val="0"/>
          <w:w w:val="100"/>
          <w:sz w:val="24"/>
          <w:szCs w:val="24"/>
          <w:spacing w:val="0"/>
        </w:rPr>
        <w:t>., 2020).</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val="0"/>
          <w:bCs/>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r>
        <w:rPr>
          <w:caps w:val="off"/>
          <w:rFonts w:ascii="Times New Roman" w:hAnsi="Times New Roman" w:cs="Times New Roman"/>
          <w:b/>
          <w:i w:val="0"/>
          <w:w w:val="100"/>
          <w:sz w:val="24"/>
          <w:szCs w:val="24"/>
          <w:spacing w:val="0"/>
        </w:rPr>
        <w:t> </w:t>
      </w: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Heading1"/>
        <w:snapToGrid w:val="0"/>
        <w:jc w:val="center"/>
        <w:spacing w:after="0" w:afterAutospacing="0" w:before="2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CHAPTER THREE</w:t>
      </w: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MATERIALS AND METHODS</w:t>
      </w:r>
    </w:p>
    <w:p>
      <w:pPr>
        <w:pStyle w:val="Heading2"/>
        <w:snapToGrid w:val="0"/>
        <w:spacing w:after="0" w:afterAutospacing="0" w:before="40" w:beforeAutospacing="0" w:line="480" w:lineRule="auto"/>
        <w:textAlignment w:val="baseline"/>
        <w:rPr>
          <w:caps w:val="off"/>
          <w:rFonts w:eastAsia="Times New Roman"/>
          <w:b/>
          <w:i w:val="0"/>
          <w:color w:val="000000"/>
          <w:w w:val="100"/>
          <w:sz w:val="24"/>
          <w:spacing w:val="0"/>
        </w:rPr>
      </w:pPr>
      <w:r>
        <w:rPr>
          <w:caps w:val="off"/>
          <w:rFonts w:eastAsia="Times New Roman"/>
          <w:b/>
          <w:i w:val="0"/>
          <w:color w:val="000000"/>
          <w:w w:val="100"/>
          <w:sz w:val="24"/>
          <w:spacing w:val="0"/>
        </w:rPr>
        <w:t>3.1</w:t>
      </w:r>
      <w:r>
        <w:rPr>
          <w:caps w:val="off"/>
          <w:rFonts w:eastAsia="Times New Roman"/>
          <w:b/>
          <w:i w:val="0"/>
          <w:color w:val="000000"/>
          <w:w w:val="100"/>
          <w:sz w:val="24"/>
          <w:spacing w:val="0"/>
        </w:rPr>
        <w:tab/>
      </w:r>
      <w:r>
        <w:rPr>
          <w:caps w:val="off"/>
          <w:rFonts w:eastAsia="Times New Roman"/>
          <w:b/>
          <w:i w:val="0"/>
          <w:color w:val="000000"/>
          <w:w w:val="100"/>
          <w:sz w:val="24"/>
          <w:spacing w:val="0"/>
        </w:rPr>
        <w:t>Study Area and Sample Collection</w:t>
      </w:r>
    </w:p>
    <w:p>
      <w:pPr>
        <w:pStyle w:val="normal"/>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This study was conducted in the Microbiology Laboratory Unit of Kwara State Polytechnic, Ilorin, Nigeria. The clinical isolates of </w:t>
      </w:r>
      <w:r>
        <w:rPr>
          <w:caps w:val="off"/>
          <w:rFonts w:ascii="Times New Roman" w:eastAsia="Times New Roman" w:hAnsi="Times New Roman" w:cs="Times New Roman"/>
          <w:b w:val="0"/>
          <w:i/>
          <w:iCs/>
          <w:w w:val="100"/>
          <w:sz w:val="24"/>
          <w:szCs w:val="24"/>
          <w:spacing w:val="0"/>
        </w:rPr>
        <w:t>Methicillin-Resistant Staphylococcus aureus</w:t>
      </w:r>
      <w:r>
        <w:rPr>
          <w:caps w:val="off"/>
          <w:rFonts w:ascii="Times New Roman" w:eastAsia="Times New Roman" w:hAnsi="Times New Roman" w:cs="Times New Roman"/>
          <w:b w:val="0"/>
          <w:i w:val="0"/>
          <w:w w:val="100"/>
          <w:sz w:val="24"/>
          <w:szCs w:val="24"/>
          <w:spacing w:val="0"/>
        </w:rPr>
        <w:t xml:space="preserve"> (MRSA) and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 </w:t>
      </w:r>
      <w:r>
        <w:rPr>
          <w:caps w:val="off"/>
          <w:rFonts w:ascii="Times New Roman" w:eastAsia="Times New Roman" w:hAnsi="Times New Roman" w:cs="Times New Roman"/>
          <w:b w:val="0"/>
          <w:i/>
          <w:w w:val="100"/>
          <w:sz w:val="24"/>
          <w:szCs w:val="24"/>
          <w:spacing w:val="0"/>
        </w:rPr>
        <w:t>E. coli</w:t>
      </w:r>
      <w:r>
        <w:rPr>
          <w:caps w:val="off"/>
          <w:rFonts w:ascii="Times New Roman" w:eastAsia="Times New Roman" w:hAnsi="Times New Roman" w:cs="Times New Roman"/>
          <w:b w:val="0"/>
          <w:i w:val="0"/>
          <w:w w:val="100"/>
          <w:sz w:val="24"/>
          <w:szCs w:val="24"/>
          <w:spacing w:val="0"/>
        </w:rPr>
        <w:t xml:space="preserve"> ) were obtained from the University of Ilorin Teaching Hospital (UITH), Ilorin, Kwara State. These isolates were selected for their clinical significance and resistance patterns.</w:t>
      </w:r>
    </w:p>
    <w:p>
      <w:pPr>
        <w:pStyle w:val="Heading2"/>
        <w:snapToGrid w:val="0"/>
        <w:spacing w:after="0" w:afterAutospacing="0" w:before="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3.2</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Collection and Preparation of Plant Material</w:t>
      </w: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Fresh leaves of </w:t>
      </w:r>
      <w:r>
        <w:rPr>
          <w:rStyle w:val="style88"/>
          <w:caps w:val="off"/>
          <w:rFonts w:eastAsia="宋体"/>
          <w:b w:val="0"/>
          <w:i/>
          <w:iCs/>
          <w:w w:val="100"/>
          <w:sz w:val="24"/>
          <w:spacing w:val="0"/>
        </w:rPr>
        <w:t xml:space="preserve">Eucalyptus </w:t>
      </w:r>
      <w:r>
        <w:rPr>
          <w:rStyle w:val="style88"/>
          <w:caps w:val="off"/>
          <w:rFonts w:eastAsia="宋体"/>
          <w:b w:val="0"/>
          <w:i/>
          <w:w w:val="100"/>
          <w:sz w:val="24"/>
          <w:spacing w:val="0"/>
        </w:rPr>
        <w:t>globulus</w:t>
      </w:r>
      <w:r>
        <w:rPr>
          <w:caps w:val="off"/>
          <w:rFonts w:ascii="Times New Roman" w:eastAsia="Times New Roman" w:hAnsi="Times New Roman" w:cs="Times New Roman"/>
          <w:b w:val="0"/>
          <w:i w:val="0"/>
          <w:w w:val="100"/>
          <w:sz w:val="24"/>
          <w:spacing w:val="0"/>
        </w:rPr>
        <w:t xml:space="preserve"> were collected from a natural stand in Ilorin, Kwara State, Nigeria. The plant was authenticated by a plant taxonomist at the Department of Plant Biology, University of Ilorin. The leaves were thoroughly washed with clean water to remove dirt, then air-dried at room temperature in a shaded area for 7–10 days. The dried leaves were ground into fine powder using a sterile mortar and pestle. </w:t>
      </w:r>
    </w:p>
    <w:p>
      <w:pPr>
        <w:pStyle w:val="Heading2"/>
        <w:snapToGrid w:val="0"/>
        <w:spacing w:after="0" w:afterAutospacing="0" w:before="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3.3</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Preparation of Plant Extracts</w:t>
      </w:r>
    </w:p>
    <w:p>
      <w:pPr>
        <w:pStyle w:val="Heading3"/>
        <w:snapToGrid w:val="0"/>
        <w:spacing w:after="312" w:afterAutospacing="1" w:before="312" w:beforeAutospacing="1" w:line="240" w:lineRule="auto"/>
        <w:textAlignment w:val="baseline"/>
        <w:rPr>
          <w:caps w:val="off"/>
          <w:rFonts w:eastAsia="Calibri"/>
          <w:b/>
          <w:i w:val="0"/>
          <w:w w:val="100"/>
          <w:sz w:val="24"/>
          <w:spacing w:val="0"/>
        </w:rPr>
      </w:pPr>
      <w:r>
        <w:rPr>
          <w:caps w:val="off"/>
          <w:rFonts w:eastAsia="Calibri"/>
          <w:b/>
          <w:i w:val="0"/>
          <w:w w:val="100"/>
          <w:sz w:val="24"/>
          <w:spacing w:val="0"/>
        </w:rPr>
        <w:t>3.3.1</w:t>
      </w:r>
      <w:r>
        <w:rPr>
          <w:caps w:val="off"/>
          <w:rFonts w:eastAsia="Calibri"/>
          <w:b/>
          <w:i w:val="0"/>
          <w:w w:val="100"/>
          <w:sz w:val="24"/>
          <w:spacing w:val="0"/>
        </w:rPr>
        <w:tab/>
      </w:r>
      <w:r>
        <w:rPr>
          <w:caps w:val="off"/>
          <w:rFonts w:eastAsia="Calibri"/>
          <w:b/>
          <w:i w:val="0"/>
          <w:w w:val="100"/>
          <w:sz w:val="24"/>
          <w:spacing w:val="0"/>
        </w:rPr>
        <w:t>Ethanol Extraction</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A total of 30 g portion of the powdered leaves was soaked in 150 ml of absolute ethanol in a sterile conical flask. The mixture was placed in a shaking incubator at 42 °C and 80 rpm for 7 days. After extraction, the solution was filtered using Whatman No.1 filter paper. The filtrate was concentrated by evaporation in a water bath at 40 °C to remove residual ethanol and then stored in sterile bottles at 4 °C for further analysis. </w:t>
      </w:r>
    </w:p>
    <w:p>
      <w:pPr>
        <w:pStyle w:val="Heading3"/>
        <w:snapToGrid w:val="0"/>
        <w:spacing w:after="312" w:afterAutospacing="1" w:before="0" w:beforeAutospacing="1" w:line="240" w:lineRule="auto"/>
        <w:textAlignment w:val="baseline"/>
        <w:rPr>
          <w:caps w:val="off"/>
          <w:rFonts w:ascii="Times New Roman" w:eastAsia="Times New Roman" w:hAnsi="Times New Roman" w:cs="Times New Roman"/>
          <w:b/>
          <w:bCs w:val="0"/>
          <w:i w:val="0"/>
          <w:w w:val="100"/>
          <w:sz w:val="24"/>
          <w:szCs w:val="24"/>
          <w:spacing w:val="0"/>
        </w:rPr>
      </w:pPr>
    </w:p>
    <w:p>
      <w:pPr>
        <w:pStyle w:val="Heading2"/>
        <w:snapToGrid w:val="0"/>
        <w:spacing w:after="0" w:afterAutospacing="0" w:before="40" w:beforeAutospacing="0" w:line="259" w:lineRule="auto"/>
        <w:textAlignment w:val="baseline"/>
        <w:rPr>
          <w:caps w:val="off"/>
          <w:rFonts w:ascii="Times New Roman" w:eastAsia="宋体" w:hAnsi="Times New Roman" w:cs="宋体"/>
          <w:b/>
          <w:bCs/>
          <w:i w:val="0"/>
          <w:color w:val="000000"/>
          <w:w w:val="100"/>
          <w:sz w:val="24"/>
          <w:spacing w:val="0"/>
        </w:rPr>
      </w:pPr>
      <w:r>
        <w:rPr>
          <w:caps w:val="off"/>
          <w:rFonts w:ascii="Times New Roman" w:eastAsia="宋体" w:hAnsi="Times New Roman" w:cs="宋体"/>
          <w:b/>
          <w:i w:val="0"/>
          <w:color w:val="000000"/>
          <w:w w:val="100"/>
          <w:sz w:val="24"/>
          <w:spacing w:val="0"/>
        </w:rPr>
        <w:t>3.4</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Phytochemical Screening</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Preliminary phytochemical screening was conducted, ethanol extracts of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leaves to detect the presence of key secondary metabolites, including alkaloids, flavonoids, tannins, saponins, and phenolic compounds. These tests were performed using standard qualitative methods described by Yakubu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(2020). Each test is detailed below.</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3.4.1</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Test for Alkaloids</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Two drops of Mayer’s reagent were added to 2 ml of each extract . The formation of a cream-colored precipitate indicated the presence of alkaloids in the extract.</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3.4.2</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Test for Flavonoids</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One millilitre of the extract was mixed with a few drops of dilute sodium hydroxide solution. An intense yellow color appeared, which became colorless upon the addition of dilute hydrochloric acid. This color change confirmed the presence of flavonoids.</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3.4.3</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Test for Tannins</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A few drops of 0.1% ferric chloride solution were added to 2ml of the extracts. The formation of a blue-black or greenish-black coloration indicated the presence of tannins.</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3.4.4</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Test for Saponins</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About 5 ml of the extract was mixed with 5 ml of distilled water in a test tube. The mixture was vigorously shaken for 30 seconds and allowed to stand for 10 minutes. The presence of persistent frothing (foam layer) indicated the presence of saponins.</w:t>
      </w:r>
    </w:p>
    <w:p>
      <w:pPr>
        <w:pStyle w:val="Heading3"/>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pacing w:val="0"/>
        </w:rPr>
      </w:pPr>
      <w:r>
        <w:rPr>
          <w:caps w:val="off"/>
          <w:rFonts w:ascii="Times New Roman" w:eastAsia="Times New Roman" w:hAnsi="Times New Roman" w:cs="Times New Roman"/>
          <w:b/>
          <w:i w:val="0"/>
          <w:w w:val="100"/>
          <w:sz w:val="24"/>
          <w:spacing w:val="0"/>
        </w:rPr>
        <w:t>3.4.5</w:t>
      </w:r>
      <w:r>
        <w:rPr>
          <w:caps w:val="off"/>
          <w:rFonts w:ascii="Times New Roman" w:eastAsia="Times New Roman" w:hAnsi="Times New Roman" w:cs="Times New Roman"/>
          <w:b/>
          <w:i w:val="0"/>
          <w:w w:val="100"/>
          <w:sz w:val="24"/>
          <w:spacing w:val="0"/>
        </w:rPr>
        <w:tab/>
      </w:r>
      <w:r>
        <w:rPr>
          <w:caps w:val="off"/>
          <w:rFonts w:ascii="Times New Roman" w:eastAsia="Times New Roman" w:hAnsi="Times New Roman" w:cs="Times New Roman"/>
          <w:b/>
          <w:i w:val="0"/>
          <w:w w:val="100"/>
          <w:sz w:val="24"/>
          <w:spacing w:val="0"/>
        </w:rPr>
        <w:t>Test for Phenolic Compounds</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Two millilitres of the extract were treated with a few drops of 5% ferric chloride solution. The appearance of a deep blue or dark green coloration confirmed the presence of phenolic compounds. </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3.5</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 xml:space="preserve">Standardization of Bacterial Inoculum </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The bacterial isolates were standardized by adjusting their turbidity to match that of 0.5 McFarland standard, equivalent to approximately 1.5 × 10⁸ CFU/ml. This standardization ensured uniformity in bacterial concentration during susceptibility testing.</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3.6</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Antibacterial Susceptibility Testing</w:t>
      </w:r>
    </w:p>
    <w:p>
      <w:pPr>
        <w:pStyle w:val="Heading3"/>
        <w:snapToGrid w:val="0"/>
        <w:spacing w:after="312" w:afterAutospacing="1" w:before="312" w:beforeAutospacing="1" w:line="480" w:lineRule="auto"/>
        <w:textAlignment w:val="baseline"/>
        <w:rPr>
          <w:caps w:val="off"/>
          <w:rFonts w:eastAsia="Calibri"/>
          <w:b/>
          <w:i w:val="0"/>
          <w:w w:val="100"/>
          <w:sz w:val="24"/>
          <w:spacing w:val="0"/>
        </w:rPr>
      </w:pPr>
      <w:r>
        <w:rPr>
          <w:caps w:val="off"/>
          <w:rFonts w:eastAsia="Calibri"/>
          <w:b/>
          <w:i w:val="0"/>
          <w:w w:val="100"/>
          <w:sz w:val="24"/>
          <w:spacing w:val="0"/>
        </w:rPr>
        <w:t xml:space="preserve">3.6.1 </w:t>
      </w:r>
      <w:r>
        <w:rPr>
          <w:caps w:val="off"/>
          <w:rFonts w:eastAsia="Calibri"/>
          <w:b/>
          <w:i w:val="0"/>
          <w:w w:val="100"/>
          <w:sz w:val="24"/>
          <w:spacing w:val="0"/>
        </w:rPr>
        <w:tab/>
      </w:r>
      <w:r>
        <w:rPr>
          <w:caps w:val="off"/>
          <w:rFonts w:eastAsia="Calibri"/>
          <w:b/>
          <w:i w:val="0"/>
          <w:w w:val="100"/>
          <w:sz w:val="24"/>
          <w:spacing w:val="0"/>
        </w:rPr>
        <w:t>Agar Well Diffusion Method</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Mueller-Hinton Agar (MHA) plates were prepared and sterilized. The standardized bacterial inoculum was uniformly spread over the surface of the agar plates using a sterile swab. Wells of 6 mm diameter were made using a sterile cork borer. Different volumes (100 μl, 200 μl, and 300 μl) of each extract (aqueous and ethanol) were introduced into the wells. A well containing ethanol alone served as a negative control. The plates were incubated at 37 °C for 24 hours. After incubation, the zones of inhibition were measured in millimeters using a transparent ruler, and the average diameter from three replicates was recorded for each sample.</w:t>
      </w:r>
    </w:p>
    <w:p>
      <w:pPr>
        <w:pStyle w:val="Heading3"/>
        <w:snapToGrid w:val="0"/>
        <w:spacing w:after="312" w:afterAutospacing="1" w:before="312" w:beforeAutospacing="1" w:line="240" w:lineRule="auto"/>
        <w:textAlignment w:val="baseline"/>
        <w:rPr>
          <w:caps w:val="off"/>
          <w:rFonts w:eastAsia="Calibri"/>
          <w:b/>
          <w:i w:val="0"/>
          <w:w w:val="100"/>
          <w:sz w:val="24"/>
          <w:spacing w:val="0"/>
        </w:rPr>
      </w:pPr>
      <w:r>
        <w:rPr>
          <w:caps w:val="off"/>
          <w:rFonts w:eastAsia="Calibri"/>
          <w:b/>
          <w:i w:val="0"/>
          <w:w w:val="100"/>
          <w:sz w:val="24"/>
          <w:spacing w:val="0"/>
        </w:rPr>
        <w:t>3.6.2</w:t>
      </w:r>
      <w:r>
        <w:rPr>
          <w:caps w:val="off"/>
          <w:rFonts w:eastAsia="Calibri"/>
          <w:b/>
          <w:i w:val="0"/>
          <w:w w:val="100"/>
          <w:sz w:val="24"/>
          <w:spacing w:val="0"/>
        </w:rPr>
        <w:tab/>
      </w:r>
      <w:r>
        <w:rPr>
          <w:caps w:val="off"/>
          <w:rFonts w:eastAsia="Calibri"/>
          <w:b/>
          <w:i w:val="0"/>
          <w:w w:val="100"/>
          <w:sz w:val="24"/>
          <w:spacing w:val="0"/>
        </w:rPr>
        <w:t>Minimum Inhibitory Concentration (MIC) Determination</w:t>
      </w: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MIC of the ethanol extract was determined using the agar dilution method. Different concentrations of the extract were incorporated into molten Mueller-Hinton Agar at ratios of 0.15 and 0.2 (v/v). The agar was poured into sterile Petri dishes and allowed to solidify. The standardized bacterial suspensions of MRSA and </w:t>
      </w:r>
      <w:r>
        <w:rPr>
          <w:rStyle w:val="style88"/>
          <w:caps w:val="off"/>
          <w:rFonts w:eastAsia="宋体"/>
          <w:b w:val="0"/>
          <w:i/>
          <w:w w:val="100"/>
          <w:sz w:val="24"/>
          <w:spacing w:val="0"/>
        </w:rPr>
        <w:t>E. coli</w:t>
      </w:r>
      <w:r>
        <w:rPr>
          <w:caps w:val="off"/>
          <w:rFonts w:ascii="Times New Roman" w:eastAsia="Times New Roman" w:hAnsi="Times New Roman" w:cs="Times New Roman"/>
          <w:b w:val="0"/>
          <w:i w:val="0"/>
          <w:w w:val="100"/>
          <w:sz w:val="24"/>
          <w:spacing w:val="0"/>
        </w:rPr>
        <w:t xml:space="preserve"> were then spot-inoculated onto the surface of the agar. The plates were incubated at 37 °C for 24 hours and observed for visible bacterial growth. The lowest concentration of extract at which no growth was observed was recorded as the MIC.</w:t>
      </w:r>
    </w:p>
    <w:p>
      <w:pPr>
        <w:pStyle w:val="normal"/>
        <w:snapToGrid w:val="0"/>
        <w:spacing w:after="160" w:afterAutospacing="0" w:before="0" w:beforeAutospacing="0" w:line="259" w:lineRule="auto"/>
        <w:textAlignment w:val="baseline"/>
        <w:rPr>
          <w:caps w:val="off"/>
          <w:rFonts w:ascii="Times New Roman" w:eastAsia="Times New Roman" w:hAnsi="Times New Roman" w:cs="Times New Roman"/>
          <w:b w:val="0"/>
          <w:i w:val="0"/>
          <w:w w:val="100"/>
          <w:sz w:val="24"/>
          <w:szCs w:val="24"/>
          <w:spacing w:val="0"/>
        </w:rPr>
      </w:pPr>
      <w:r>
        <w:rPr>
          <w:caps w:val="off"/>
          <w:rFonts w:ascii="Calibri" w:eastAsia="Calibri" w:hAnsi="Calibri" w:cs="宋体"/>
          <w:b w:val="0"/>
          <w:i w:val="0"/>
          <w:w w:val="100"/>
          <w:sz w:val="22"/>
          <w:spacing w:val="0"/>
        </w:rPr>
        <w:br w:type="page"/>
      </w:r>
    </w:p>
    <w:p>
      <w:pPr>
        <w:pStyle w:val="Heading1"/>
        <w:snapToGrid w:val="0"/>
        <w:jc w:val="center"/>
        <w:spacing w:after="0" w:afterAutospacing="0" w:before="240" w:beforeAutospacing="0" w:line="480" w:lineRule="auto"/>
        <w:textAlignment w:val="baseline"/>
        <w:rPr>
          <w:caps w:val="off"/>
          <w:rFonts w:eastAsia="Times New Roman"/>
          <w:b/>
          <w:i w:val="0"/>
          <w:color w:val="000000"/>
          <w:w w:val="100"/>
          <w:sz w:val="24"/>
          <w:szCs w:val="24"/>
          <w:spacing w:val="0"/>
        </w:rPr>
      </w:pPr>
      <w:r>
        <w:rPr>
          <w:caps w:val="off"/>
          <w:rFonts w:ascii="Times New Roman" w:eastAsia="宋体" w:hAnsi="Times New Roman" w:cs="宋体"/>
          <w:b/>
          <w:i w:val="0"/>
          <w:color w:val="000000"/>
          <w:w w:val="100"/>
          <w:sz w:val="24"/>
          <w:spacing w:val="0"/>
        </w:rPr>
        <w:t>CHAPTER FOUR</w:t>
      </w: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RESULTS</w:t>
      </w:r>
    </w:p>
    <w:p>
      <w:pPr>
        <w:pStyle w:val="Heading2"/>
        <w:snapToGrid w:val="0"/>
        <w:spacing w:after="0" w:afterAutospacing="0" w:before="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4.1</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Phytochemical Screening of Eucalyptus globulus Leaf Extracts</w:t>
      </w: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phytochemical analysis of  ethanol extracts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revealed the presence of several bioactive compounds known for their antimicrobial properties. The results are summarized in Table 4.1 below.</w:t>
      </w:r>
    </w:p>
    <w:p>
      <w:pPr>
        <w:pStyle w:val="style94"/>
        <w:snapToGrid w:val="0"/>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rStyle w:val="style87"/>
          <w:caps w:val="off"/>
          <w:rFonts w:ascii="Times New Roman" w:eastAsia="Times New Roman" w:hAnsi="Times New Roman" w:cs="Times New Roman"/>
          <w:b/>
          <w:bCs/>
          <w:i w:val="0"/>
          <w:w w:val="100"/>
          <w:sz w:val="24"/>
          <w:spacing w:val="0"/>
        </w:rPr>
        <w:t xml:space="preserve">Table 4.1: Phytochemical Constituents of Ethanol Extracts of </w:t>
      </w:r>
      <w:r>
        <w:rPr>
          <w:rStyle w:val="style88"/>
          <w:caps w:val="off"/>
          <w:rFonts w:ascii="Times New Roman" w:eastAsia="Times New Roman" w:hAnsi="Times New Roman" w:cs="Times New Roman"/>
          <w:b w:val="0"/>
          <w:i/>
          <w:w w:val="100"/>
          <w:sz w:val="24"/>
          <w:spacing w:val="0"/>
        </w:rPr>
        <w:t>Eucalyptus globulus</w:t>
      </w:r>
    </w:p>
    <w:tbl>
      <w:tblPr>
        <w:tblStyle w:val="style4100"/>
        <w:tblW w:w="5888" w:type="dxa"/>
        <w:tblLook w:val="04A0" w:firstRow="1" w:lastRow="0" w:firstColumn="1" w:lastColumn="0" w:noHBand="0" w:noVBand="1"/>
        <w:shd w:val="clear" w:color="auto" w:fill="FFFFFF"/>
      </w:tblPr>
      <w:tblGrid>
        <w:gridCol w:w="3218"/>
        <w:gridCol w:w="2669"/>
      </w:tblGrid>
      <w:tr>
        <w:trPr>
          <w:trHeight w:val="304" w:hRule="atLeast"/>
        </w:trPr>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Phytochemical</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Ethanol Extract</w:t>
            </w:r>
          </w:p>
        </w:tc>
      </w:tr>
      <w:tr>
        <w:tblPrEx/>
        <w:trPr>
          <w:trHeight w:val="288" w:hRule="atLeast"/>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Alkaloids</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i w:val="0"/>
                <w:color w:val="000000"/>
                <w:w w:val="100"/>
                <w:sz w:val="24"/>
                <w:szCs w:val="24"/>
                <w:spacing w:val="0"/>
              </w:rPr>
              <w:t>-</w:t>
            </w:r>
          </w:p>
        </w:tc>
      </w:tr>
      <w:tr>
        <w:tblPrEx/>
        <w:trPr>
          <w:trHeight w:val="304" w:hRule="atLeast"/>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Flavonoids</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i w:val="0"/>
                <w:color w:val="000000"/>
                <w:w w:val="100"/>
                <w:sz w:val="24"/>
                <w:szCs w:val="24"/>
                <w:spacing w:val="0"/>
              </w:rPr>
              <w:t>+</w:t>
            </w:r>
          </w:p>
        </w:tc>
      </w:tr>
      <w:tr>
        <w:tblPrEx/>
        <w:trPr>
          <w:trHeight w:val="304" w:hRule="atLeast"/>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Tannins</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i w:val="0"/>
                <w:color w:val="000000"/>
                <w:w w:val="100"/>
                <w:sz w:val="24"/>
                <w:szCs w:val="24"/>
                <w:spacing w:val="0"/>
              </w:rPr>
              <w:t>+</w:t>
            </w:r>
          </w:p>
        </w:tc>
      </w:tr>
      <w:tr>
        <w:tblPrEx/>
        <w:trPr>
          <w:trHeight w:val="304" w:hRule="atLeast"/>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Saponins</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i w:val="0"/>
                <w:color w:val="000000"/>
                <w:w w:val="100"/>
                <w:sz w:val="24"/>
                <w:szCs w:val="24"/>
                <w:spacing w:val="0"/>
              </w:rPr>
              <w:t>-</w:t>
            </w:r>
          </w:p>
        </w:tc>
      </w:tr>
      <w:tr>
        <w:tblPrEx/>
        <w:trPr>
          <w:trHeight w:val="288" w:hRule="atLeast"/>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bCs w:val="0"/>
                <w:i w:val="0"/>
                <w:color w:val="000000"/>
                <w:w w:val="100"/>
                <w:sz w:val="24"/>
                <w:szCs w:val="24"/>
                <w:spacing w:val="0"/>
              </w:rPr>
              <w:t>Phenolic Compounds</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hAnsi="Times New Roman" w:cs="Times New Roman"/>
                <w:b w:val="0"/>
                <w:i w:val="0"/>
                <w:color w:val="000000"/>
                <w:w w:val="100"/>
                <w:sz w:val="24"/>
                <w:szCs w:val="24"/>
                <w:spacing w:val="0"/>
              </w:rPr>
            </w:pPr>
            <w:r>
              <w:rPr>
                <w:caps w:val="off"/>
                <w:rFonts w:ascii="Times New Roman" w:hAnsi="Times New Roman" w:cs="Times New Roman"/>
                <w:b w:val="0"/>
                <w:i w:val="0"/>
                <w:color w:val="000000"/>
                <w:w w:val="100"/>
                <w:sz w:val="24"/>
                <w:szCs w:val="24"/>
                <w:spacing w:val="0"/>
              </w:rPr>
              <w:t>+</w:t>
            </w:r>
          </w:p>
        </w:tc>
      </w:tr>
    </w:tbl>
    <w:p>
      <w:pPr>
        <w:pStyle w:val="style94"/>
        <w:snapToGrid w:val="0"/>
        <w:spacing w:after="0" w:afterAutospacing="0" w:before="0" w:beforeAutospacing="0" w:line="240" w:lineRule="auto"/>
        <w:textAlignment w:val="baseline"/>
        <w:rPr>
          <w:caps w:val="off"/>
          <w:rFonts w:ascii="Times New Roman" w:eastAsia="Times New Roman" w:hAnsi="Times New Roman" w:cs="Times New Roman"/>
          <w:b w:val="0"/>
          <w:i/>
          <w:w w:val="100"/>
          <w:sz w:val="24"/>
          <w:spacing w:val="0"/>
        </w:rPr>
      </w:pPr>
      <w:r>
        <w:rPr>
          <w:rStyle w:val="style87"/>
          <w:caps w:val="off"/>
          <w:rFonts w:ascii="Times New Roman" w:eastAsia="Times New Roman" w:hAnsi="Times New Roman" w:cs="Times New Roman"/>
          <w:b/>
          <w:i w:val="0"/>
          <w:w w:val="100"/>
          <w:sz w:val="24"/>
          <w:spacing w:val="0"/>
        </w:rPr>
        <w:t>Key:</w:t>
      </w:r>
      <w:r>
        <w:rPr>
          <w:caps w:val="off"/>
          <w:rFonts w:ascii="Times New Roman" w:eastAsia="Times New Roman" w:hAnsi="Times New Roman" w:cs="Times New Roman"/>
          <w:b w:val="0"/>
          <w:i/>
          <w:w w:val="100"/>
          <w:sz w:val="24"/>
          <w:spacing w:val="0"/>
        </w:rPr>
        <w:t xml:space="preserve"> (+) = Present</w:t>
      </w:r>
    </w:p>
    <w:p>
      <w:pPr>
        <w:pStyle w:val="style94"/>
        <w:snapToGrid w:val="0"/>
        <w:spacing w:after="0" w:afterAutospacing="0" w:before="0" w:beforeAutospacing="0" w:line="240" w:lineRule="auto"/>
        <w:textAlignment w:val="baseline"/>
        <w:rPr>
          <w:caps w:val="off"/>
          <w:rFonts w:ascii="Times New Roman" w:eastAsia="Times New Roman" w:hAnsi="Times New Roman" w:cs="Times New Roman"/>
          <w:b w:val="0"/>
          <w:i/>
          <w:w w:val="100"/>
          <w:sz w:val="24"/>
          <w:spacing w:val="0"/>
        </w:rPr>
      </w:pPr>
      <w:r>
        <w:rPr>
          <w:caps w:val="off"/>
          <w:rFonts w:ascii="Times New Roman" w:eastAsia="Times New Roman" w:hAnsi="Times New Roman" w:cs="Times New Roman"/>
          <w:b w:val="0"/>
          <w:i/>
          <w:w w:val="100"/>
          <w:sz w:val="24"/>
          <w:spacing w:val="0"/>
        </w:rPr>
        <w:t xml:space="preserve">        (-) = Absent</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i w:val="0"/>
          <w:w w:val="100"/>
          <w:sz w:val="24"/>
          <w:spacing w:val="0"/>
        </w:rPr>
      </w:pPr>
    </w:p>
    <w:p>
      <w:pPr>
        <w:pStyle w:val="Heading2"/>
        <w:snapToGrid w:val="0"/>
        <w:spacing w:after="0" w:afterAutospacing="0" w:before="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4.2</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Antibacterial Activity of Eucalyptus globulus Extracts Using Agar Well Diffusion Method</w:t>
      </w: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antibacterial effects of both aqueous and ethanol extracts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leaves were evaluated against MRSA and </w:t>
      </w:r>
      <w:r>
        <w:rPr>
          <w:rStyle w:val="style88"/>
          <w:caps w:val="off"/>
          <w:rFonts w:ascii="Times New Roman" w:eastAsia="Times New Roman" w:hAnsi="Times New Roman" w:cs="Times New Roman"/>
          <w:b w:val="0"/>
          <w:i/>
          <w:w w:val="100"/>
          <w:sz w:val="24"/>
          <w:spacing w:val="0"/>
        </w:rPr>
        <w:t>Escherichia coli</w:t>
      </w:r>
      <w:r>
        <w:rPr>
          <w:caps w:val="off"/>
          <w:rFonts w:ascii="Times New Roman" w:eastAsia="Times New Roman" w:hAnsi="Times New Roman" w:cs="Times New Roman"/>
          <w:b w:val="0"/>
          <w:i w:val="0"/>
          <w:w w:val="100"/>
          <w:sz w:val="24"/>
          <w:spacing w:val="0"/>
        </w:rPr>
        <w:t xml:space="preserve"> using the agar well diffusion method. Different volumes of extracts (100 µl, 200 µl, and 300 µl) were tested, and the zones of inhibition were measured after 24 hours of incubation at 37°C.The ethanol extract showed larger zones of inhibition against both bacterial strains compared to the aqueous extract, indicating higher antibacterial potency.</w:t>
      </w:r>
    </w:p>
    <w:p>
      <w:pPr>
        <w:pStyle w:val="normal"/>
        <w:snapToGrid w:val="0"/>
        <w:spacing w:after="312" w:afterAutospacing="1" w:before="312" w:beforeAutospacing="1" w:line="240" w:lineRule="auto"/>
        <w:textAlignment w:val="baseline"/>
        <w:rPr>
          <w:caps w:val="off"/>
          <w:rFonts w:ascii="Times New Roman" w:hAnsi="Times New Roman" w:cs="Times New Roman"/>
          <w:b/>
          <w:i w:val="0"/>
          <w:w w:val="100"/>
          <w:sz w:val="24"/>
          <w:szCs w:val="24"/>
          <w:spacing w:val="0"/>
        </w:rPr>
      </w:pPr>
    </w:p>
    <w:p>
      <w:pPr>
        <w:pStyle w:val="normal"/>
        <w:snapToGrid w:val="0"/>
        <w:spacing w:after="312" w:afterAutospacing="1" w:before="312" w:beforeAutospacing="1" w:line="240" w:lineRule="auto"/>
        <w:textAlignment w:val="baseline"/>
        <w:rPr>
          <w:caps w:val="off"/>
          <w:rFonts w:ascii="Times New Roman" w:eastAsia="Times New Roman" w:hAnsi="Times New Roman" w:cs="Times New Roman"/>
          <w:b/>
          <w:i w:val="0"/>
          <w:w w:val="100"/>
          <w:sz w:val="24"/>
          <w:szCs w:val="24"/>
          <w:spacing w:val="0"/>
        </w:rPr>
      </w:pPr>
      <w:r>
        <w:rPr>
          <w:caps w:val="off"/>
          <w:rFonts w:ascii="Times New Roman" w:eastAsia="Times New Roman" w:hAnsi="Times New Roman" w:cs="Times New Roman"/>
          <w:b/>
          <w:i w:val="0"/>
          <w:w w:val="100"/>
          <w:sz w:val="24"/>
          <w:szCs w:val="24"/>
          <w:spacing w:val="0"/>
        </w:rPr>
        <w:t>Table 4.2: Zones of Inhibition (mm) of Eucalyptus globulus Extracts Against MRSA and E. coli Using Agar Well Diffusion</w:t>
      </w:r>
    </w:p>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w w:val="100"/>
          <w:sz w:val="24"/>
          <w:szCs w:val="24"/>
          <w:spacing w:val="0"/>
        </w:rPr>
      </w:pPr>
    </w:p>
    <w:tbl>
      <w:tblPr>
        <w:tblStyle w:val="style4100"/>
        <w:tblW w:w="0" w:type="auto"/>
        <w:tblLook w:val="04A0" w:firstRow="1" w:lastRow="0" w:firstColumn="1" w:lastColumn="0" w:noHBand="0" w:noVBand="1"/>
        <w:shd w:val="clear" w:color="auto" w:fill="FFFFFF"/>
      </w:tblPr>
      <w:tblGrid>
        <w:gridCol w:w="2786"/>
        <w:gridCol w:w="1303"/>
        <w:gridCol w:w="2641"/>
        <w:gridCol w:w="2628"/>
      </w:tblGrid>
      <w:tr>
        <w:trPr/>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Extract Type</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Volume (µl)</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Zone of Inhibition (mm) MRSA</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 xml:space="preserve">Zone of Inhibition (mm) </w:t>
            </w:r>
            <w:r>
              <w:rPr>
                <w:caps w:val="off"/>
                <w:rFonts w:ascii="Times New Roman" w:eastAsia="Times New Roman" w:hAnsi="Times New Roman" w:cs="Times New Roman"/>
                <w:b w:val="0"/>
                <w:i/>
                <w:iCs/>
                <w:color w:val="000000"/>
                <w:w w:val="100"/>
                <w:sz w:val="24"/>
                <w:szCs w:val="24"/>
                <w:spacing w:val="0"/>
              </w:rPr>
              <w:t>E. coli</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Aqueous Extract</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100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0.30 ± 0.03</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0.35 ± 0.04</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200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0.45 ± 0.04</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0.50 ± 0.03</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300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0.60 ± 0.05</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0.65 ± 0.04</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Ethanol Extract</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100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0.50 ± 0.04</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0.55 ± 0.03</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200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0.65 ± 0.03</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0.70 ± 0.02</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300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0.80 ± 0.04</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0.80 ± 0.03</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Ethanol Control</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300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0.00 ± 0.05</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0.00 ± 0.04</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Aqueous Control (Ionized Water)</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300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0.00 ± 0.05</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0.00 ± 0.04</w:t>
            </w:r>
          </w:p>
        </w:tc>
      </w:tr>
    </w:tbl>
    <w:p>
      <w:pPr>
        <w:pStyle w:val="normal"/>
        <w:snapToGrid w:val="0"/>
        <w:spacing w:after="312" w:afterAutospacing="1" w:before="312" w:beforeAutospacing="1" w:line="240" w:lineRule="auto"/>
        <w:textAlignment w:val="baseline"/>
        <w:rPr>
          <w:caps w:val="off"/>
          <w:rFonts w:ascii="Times New Roman" w:hAnsi="Times New Roman" w:cs="Times New Roman"/>
          <w:b/>
          <w:i w:val="0"/>
          <w:w w:val="100"/>
          <w:sz w:val="24"/>
          <w:szCs w:val="24"/>
          <w:spacing w:val="0"/>
        </w:rPr>
      </w:pP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4.3</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Minimum Inhibitory Concentration (MIC) Determination of Ethanol Extract</w:t>
      </w:r>
    </w:p>
    <w:p>
      <w:pPr>
        <w:pStyle w:val="normal"/>
        <w:snapToGrid w:val="0"/>
        <w:jc w:val="both"/>
        <w:spacing w:after="0" w:afterAutospacing="0" w:before="0" w:beforeAutospacing="0" w:line="480" w:lineRule="auto"/>
        <w:textAlignment w:val="baseline"/>
        <w:rPr>
          <w:caps w:val="off"/>
          <w:rFonts w:ascii="Times New Roman" w:hAnsi="Times New Roman" w:cs="Times New Roman"/>
          <w:b w:val="0"/>
          <w:i w:val="0"/>
          <w:w w:val="100"/>
          <w:sz w:val="24"/>
          <w:szCs w:val="24"/>
          <w:spacing w:val="0"/>
        </w:rPr>
      </w:pPr>
      <w:r>
        <w:rPr>
          <w:caps w:val="off"/>
          <w:rFonts w:ascii="Times New Roman" w:hAnsi="Times New Roman" w:cs="Times New Roman"/>
          <w:b w:val="0"/>
          <w:i w:val="0"/>
          <w:w w:val="100"/>
          <w:sz w:val="24"/>
          <w:szCs w:val="24"/>
          <w:spacing w:val="0"/>
        </w:rPr>
        <w:t xml:space="preserve">The results showed that at the 0.15 concentration, No inhibition of bacterial growth was observed for both organisms. Complete inhibition of growth was achieved at the 0.2 concentration for the </w:t>
      </w:r>
      <w:r>
        <w:rPr>
          <w:caps w:val="off"/>
          <w:rFonts w:ascii="Times New Roman" w:hAnsi="Times New Roman" w:cs="Times New Roman"/>
          <w:b w:val="0"/>
          <w:i/>
          <w:w w:val="100"/>
          <w:sz w:val="24"/>
          <w:szCs w:val="24"/>
          <w:spacing w:val="0"/>
        </w:rPr>
        <w:t xml:space="preserve">Methicillin-Resistant </w:t>
      </w:r>
      <w:r>
        <w:rPr>
          <w:caps w:val="off"/>
          <w:rFonts w:ascii="Times New Roman" w:hAnsi="Times New Roman" w:cs="Times New Roman"/>
          <w:b w:val="0"/>
          <w:i/>
          <w:iCs/>
          <w:w w:val="100"/>
          <w:sz w:val="24"/>
          <w:szCs w:val="24"/>
          <w:spacing w:val="0"/>
        </w:rPr>
        <w:t>Staphylococcus aureus</w:t>
      </w:r>
      <w:r>
        <w:rPr>
          <w:caps w:val="off"/>
          <w:rFonts w:ascii="Times New Roman" w:hAnsi="Times New Roman" w:cs="Times New Roman"/>
          <w:b w:val="0"/>
          <w:i/>
          <w:w w:val="100"/>
          <w:sz w:val="24"/>
          <w:szCs w:val="24"/>
          <w:spacing w:val="0"/>
        </w:rPr>
        <w:t xml:space="preserve"> (MRSA), </w:t>
      </w:r>
      <w:r>
        <w:rPr>
          <w:caps w:val="off"/>
          <w:rFonts w:ascii="Times New Roman" w:hAnsi="Times New Roman" w:cs="Times New Roman"/>
          <w:b w:val="0"/>
          <w:i w:val="0"/>
          <w:w w:val="100"/>
          <w:sz w:val="24"/>
          <w:szCs w:val="24"/>
          <w:spacing w:val="0"/>
        </w:rPr>
        <w:t xml:space="preserve">indicating that this represents the minimum inhibitory concentration for MRSA and while no inhibition for </w:t>
      </w:r>
      <w:r>
        <w:rPr>
          <w:caps w:val="off"/>
          <w:rFonts w:ascii="Times New Roman" w:hAnsi="Times New Roman" w:cs="Times New Roman"/>
          <w:b w:val="0"/>
          <w:i/>
          <w:iCs/>
          <w:w w:val="100"/>
          <w:sz w:val="24"/>
          <w:szCs w:val="24"/>
          <w:spacing w:val="0"/>
        </w:rPr>
        <w:t>E. coli</w:t>
      </w:r>
      <w:r>
        <w:rPr>
          <w:caps w:val="off"/>
          <w:rFonts w:ascii="Times New Roman" w:hAnsi="Times New Roman" w:cs="Times New Roman"/>
          <w:b w:val="0"/>
          <w:i w:val="0"/>
          <w:w w:val="100"/>
          <w:sz w:val="24"/>
          <w:szCs w:val="24"/>
          <w:spacing w:val="0"/>
        </w:rPr>
        <w:t>.</w:t>
      </w:r>
    </w:p>
    <w:p>
      <w:pPr>
        <w:pStyle w:val="normal"/>
        <w:snapToGrid w:val="0"/>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bCs/>
          <w:i w:val="0"/>
          <w:w w:val="100"/>
          <w:sz w:val="24"/>
          <w:szCs w:val="24"/>
          <w:spacing w:val="0"/>
        </w:rPr>
        <w:t xml:space="preserve">Table 4.3: MIC of Ethanol Extract of </w:t>
      </w:r>
      <w:r>
        <w:rPr>
          <w:caps w:val="off"/>
          <w:rFonts w:ascii="Times New Roman" w:eastAsia="Times New Roman" w:hAnsi="Times New Roman" w:cs="Times New Roman"/>
          <w:b/>
          <w:bCs/>
          <w:i/>
          <w:iCs/>
          <w:w w:val="100"/>
          <w:sz w:val="24"/>
          <w:szCs w:val="24"/>
          <w:spacing w:val="0"/>
        </w:rPr>
        <w:t>Eucalyptus globulus</w:t>
      </w:r>
      <w:r>
        <w:rPr>
          <w:caps w:val="off"/>
          <w:rFonts w:ascii="Times New Roman" w:eastAsia="Times New Roman" w:hAnsi="Times New Roman" w:cs="Times New Roman"/>
          <w:b/>
          <w:bCs/>
          <w:i w:val="0"/>
          <w:w w:val="100"/>
          <w:sz w:val="24"/>
          <w:szCs w:val="24"/>
          <w:spacing w:val="0"/>
        </w:rPr>
        <w:t xml:space="preserve"> Against MRSA and </w:t>
      </w:r>
      <w:r>
        <w:rPr>
          <w:caps w:val="off"/>
          <w:rFonts w:ascii="Times New Roman" w:eastAsia="Times New Roman" w:hAnsi="Times New Roman" w:cs="Times New Roman"/>
          <w:b/>
          <w:bCs/>
          <w:i/>
          <w:iCs/>
          <w:w w:val="100"/>
          <w:sz w:val="24"/>
          <w:szCs w:val="24"/>
          <w:spacing w:val="0"/>
        </w:rPr>
        <w:t>E. coli</w:t>
      </w:r>
    </w:p>
    <w:tbl>
      <w:tblPr>
        <w:tblStyle w:val="style4100"/>
        <w:tblW w:w="0" w:type="auto"/>
        <w:tblLook w:val="04A0" w:firstRow="1" w:lastRow="0" w:firstColumn="1" w:lastColumn="0" w:noHBand="0" w:noVBand="1"/>
        <w:shd w:val="clear" w:color="auto" w:fill="FFFFFF"/>
      </w:tblPr>
      <w:tblGrid>
        <w:gridCol w:w="3086"/>
        <w:gridCol w:w="1807"/>
        <w:gridCol w:w="1685"/>
      </w:tblGrid>
      <w:tr>
        <w:trPr/>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Extract Concentration (v/v)</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MRSA Growth</w:t>
            </w:r>
          </w:p>
        </w:tc>
        <w:tc>
          <w:tcPr>
            <w:tcW w:w="0" w:type="auto"/>
            <w:tcBorders/>
            <w:shd w:val="clear" w:color="auto" w:fill="FFFFFF"/>
          </w:tcPr>
          <w:p>
            <w:pPr>
              <w:pStyle w:val="normal"/>
              <w:snapToGrid w:val="0"/>
              <w:jc w:val="center"/>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iCs/>
                <w:color w:val="000000"/>
                <w:w w:val="100"/>
                <w:sz w:val="24"/>
                <w:szCs w:val="24"/>
                <w:spacing w:val="0"/>
              </w:rPr>
              <w:t>E. coli</w:t>
            </w:r>
            <w:r>
              <w:rPr>
                <w:caps w:val="off"/>
                <w:rFonts w:ascii="Times New Roman" w:eastAsia="Times New Roman" w:hAnsi="Times New Roman" w:cs="Times New Roman"/>
                <w:b w:val="0"/>
                <w:i w:val="0"/>
                <w:color w:val="000000"/>
                <w:w w:val="100"/>
                <w:sz w:val="24"/>
                <w:szCs w:val="24"/>
                <w:spacing w:val="0"/>
              </w:rPr>
              <w:t xml:space="preserve"> Growth</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0.15</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No Inhibition</w:t>
            </w:r>
          </w:p>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No inhibition</w:t>
            </w:r>
          </w:p>
        </w:tc>
      </w:tr>
      <w:tr>
        <w:tblPrEx/>
        <w:trPr/>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bCs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0.20</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Total Inhibition</w:t>
            </w:r>
          </w:p>
        </w:tc>
        <w:tc>
          <w:tcPr>
            <w:tcW w:w="0" w:type="auto"/>
            <w:tcBorders/>
            <w:shd w:val="clear" w:color="auto" w:fill="FFFFFF"/>
          </w:tcPr>
          <w:p>
            <w:pPr>
              <w:pStyle w:val="normal"/>
              <w:snapToGrid w:val="0"/>
              <w:spacing w:after="0" w:afterAutospacing="0" w:before="0" w:beforeAutospacing="0" w:line="240" w:lineRule="auto"/>
              <w:textAlignment w:val="baseline"/>
              <w:rPr>
                <w:caps w:val="off"/>
                <w:rFonts w:ascii="Times New Roman" w:eastAsia="Times New Roman" w:hAnsi="Times New Roman" w:cs="Times New Roman"/>
                <w:b w:val="0"/>
                <w:i w:val="0"/>
                <w:color w:val="000000"/>
                <w:w w:val="100"/>
                <w:sz w:val="24"/>
                <w:szCs w:val="24"/>
                <w:spacing w:val="0"/>
              </w:rPr>
            </w:pPr>
            <w:r>
              <w:rPr>
                <w:caps w:val="off"/>
                <w:rFonts w:ascii="Times New Roman" w:eastAsia="Times New Roman" w:hAnsi="Times New Roman" w:cs="Times New Roman"/>
                <w:b w:val="0"/>
                <w:i w:val="0"/>
                <w:color w:val="000000"/>
                <w:w w:val="100"/>
                <w:sz w:val="24"/>
                <w:szCs w:val="24"/>
                <w:spacing w:val="0"/>
              </w:rPr>
              <w:t>No Inhibition</w:t>
            </w:r>
          </w:p>
        </w:tc>
      </w:tr>
    </w:tbl>
    <w:p>
      <w:pPr>
        <w:pStyle w:val="normal"/>
        <w:snapToGrid w:val="0"/>
        <w:jc w:val="both"/>
        <w:spacing w:after="0" w:afterAutospacing="0" w:before="0" w:beforeAutospacing="0" w:line="480" w:lineRule="auto"/>
        <w:textAlignment w:val="baseline"/>
        <w:rPr>
          <w:caps w:val="off"/>
          <w:rFonts w:ascii="Times New Roman" w:hAnsi="Times New Roman" w:cs="Times New Roman"/>
          <w:b w:val="0"/>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normal"/>
        <w:snapToGrid w:val="0"/>
        <w:jc w:val="both"/>
        <w:spacing w:after="0" w:afterAutospacing="0" w:before="0" w:beforeAutospacing="0" w:line="480" w:lineRule="auto"/>
        <w:textAlignment w:val="baseline"/>
        <w:rPr>
          <w:caps w:val="off"/>
          <w:rFonts w:ascii="Times New Roman" w:hAnsi="Times New Roman" w:cs="Times New Roman"/>
          <w:b/>
          <w:i w:val="0"/>
          <w:w w:val="100"/>
          <w:sz w:val="24"/>
          <w:szCs w:val="24"/>
          <w:spacing w:val="0"/>
        </w:rPr>
      </w:pP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4.5</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Discussion</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This study was carried out to evaluate the antibacterial efficacy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leaf extracts against two clinically significant bacteria: Methicillin-Resistant </w:t>
      </w:r>
      <w:r>
        <w:rPr>
          <w:rStyle w:val="style88"/>
          <w:caps w:val="off"/>
          <w:rFonts w:ascii="Times New Roman" w:eastAsia="Times New Roman" w:hAnsi="Times New Roman" w:cs="Times New Roman"/>
          <w:b w:val="0"/>
          <w:i/>
          <w:w w:val="100"/>
          <w:sz w:val="24"/>
          <w:spacing w:val="0"/>
        </w:rPr>
        <w:t>Staphylococcus aureus</w:t>
      </w:r>
      <w:r>
        <w:rPr>
          <w:caps w:val="off"/>
          <w:rFonts w:ascii="Times New Roman" w:eastAsia="Times New Roman" w:hAnsi="Times New Roman" w:cs="Times New Roman"/>
          <w:b w:val="0"/>
          <w:i w:val="0"/>
          <w:w w:val="100"/>
          <w:sz w:val="24"/>
          <w:spacing w:val="0"/>
        </w:rPr>
        <w:t xml:space="preserve"> (MRSA) alkaloids,and </w:t>
      </w:r>
      <w:r>
        <w:rPr>
          <w:rStyle w:val="style88"/>
          <w:caps w:val="off"/>
          <w:rFonts w:ascii="Times New Roman" w:eastAsia="Times New Roman" w:hAnsi="Times New Roman" w:cs="Times New Roman"/>
          <w:b w:val="0"/>
          <w:i/>
          <w:w w:val="100"/>
          <w:sz w:val="24"/>
          <w:spacing w:val="0"/>
        </w:rPr>
        <w:t>Escherichia coli</w:t>
      </w:r>
      <w:r>
        <w:rPr>
          <w:caps w:val="off"/>
          <w:rFonts w:ascii="Times New Roman" w:eastAsia="Times New Roman" w:hAnsi="Times New Roman" w:cs="Times New Roman"/>
          <w:b w:val="0"/>
          <w:i w:val="0"/>
          <w:w w:val="100"/>
          <w:sz w:val="24"/>
          <w:spacing w:val="0"/>
        </w:rPr>
        <w:t xml:space="preserve">. These organisms were selected due to their public health importance, particularly MRSA, which is resistant to multiple antibiotics, and </w:t>
      </w:r>
      <w:r>
        <w:rPr>
          <w:rStyle w:val="style88"/>
          <w:caps w:val="off"/>
          <w:rFonts w:ascii="Times New Roman" w:eastAsia="Times New Roman" w:hAnsi="Times New Roman" w:cs="Times New Roman"/>
          <w:b w:val="0"/>
          <w:i/>
          <w:w w:val="100"/>
          <w:sz w:val="24"/>
          <w:spacing w:val="0"/>
        </w:rPr>
        <w:t>E. coli</w:t>
      </w:r>
      <w:r>
        <w:rPr>
          <w:caps w:val="off"/>
          <w:rFonts w:ascii="Times New Roman" w:eastAsia="Times New Roman" w:hAnsi="Times New Roman" w:cs="Times New Roman"/>
          <w:b w:val="0"/>
          <w:i w:val="0"/>
          <w:w w:val="100"/>
          <w:sz w:val="24"/>
          <w:spacing w:val="0"/>
        </w:rPr>
        <w:t>, which is a common cause of gastrointestinal and urinary tract infections. The confirmation of the bacterial isolates using standard biochemical and microbiological techniques ensured the reliability of the experimental results.</w:t>
      </w:r>
    </w:p>
    <w:p>
      <w:pPr>
        <w:pStyle w:val="style94"/>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Phytochemical screening of the extracts revealed the presence of several important secondary metabolites, including flavonoids, tannins,  and phenolic compounds but alkanoids and saponin were absent. These compounds are known for their various biological activities, especially antimicrobial action. Alkaloids, for instance, interfere with microbial DNA replication; flavonoids disrupt microbial cell membranes; tannins can bind to microbial proteins and enzymes; while phenolics and saponins possess both bacteriostatic and bactericidal effects (Sasidharan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2011; Singh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2021). The presence of these phytochemicals in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may explain the observed antibacterial activity.</w:t>
      </w:r>
    </w:p>
    <w:p>
      <w:pPr>
        <w:pStyle w:val="style94"/>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antibacterial assay using the agar well diffusion method showed that both the aqueous and ethanol extracts were effective against MRSA and </w:t>
      </w:r>
      <w:r>
        <w:rPr>
          <w:rStyle w:val="style88"/>
          <w:caps w:val="off"/>
          <w:rFonts w:ascii="Times New Roman" w:eastAsia="Times New Roman" w:hAnsi="Times New Roman" w:cs="Times New Roman"/>
          <w:b w:val="0"/>
          <w:i/>
          <w:w w:val="100"/>
          <w:sz w:val="24"/>
          <w:spacing w:val="0"/>
        </w:rPr>
        <w:t>E. coli</w:t>
      </w:r>
      <w:r>
        <w:rPr>
          <w:caps w:val="off"/>
          <w:rFonts w:ascii="Times New Roman" w:eastAsia="Times New Roman" w:hAnsi="Times New Roman" w:cs="Times New Roman"/>
          <w:b w:val="0"/>
          <w:i w:val="0"/>
          <w:w w:val="100"/>
          <w:sz w:val="24"/>
          <w:spacing w:val="0"/>
        </w:rPr>
        <w:t xml:space="preserve">, but the ethanol extract exhibited greater inhibitory activities. This higher potency of the ethanol extract can be attributed to the better solubility of bioactive compounds in ethanol compared to water. Ethanol, being an organic solvent, is more effective at extracting non-polar or moderately polar compounds like flavonoids, essential oils, and certain alkaloids which possess antimicrobial effects (Alabi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2019; Ogunyemi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2022). The increase in inhibition zones with higher extract volumes further demonstrates a dose-dependent relationship. At 300 µl, the ethanol extract produced a zone of inhibition of 0.80 ± 0.04 mm against MRSA and 0.80 ± 0.03 mm against </w:t>
      </w:r>
      <w:r>
        <w:rPr>
          <w:rStyle w:val="style88"/>
          <w:caps w:val="off"/>
          <w:rFonts w:ascii="Times New Roman" w:eastAsia="Times New Roman" w:hAnsi="Times New Roman" w:cs="Times New Roman"/>
          <w:b w:val="0"/>
          <w:i/>
          <w:w w:val="100"/>
          <w:sz w:val="24"/>
          <w:spacing w:val="0"/>
        </w:rPr>
        <w:t>E. coli</w:t>
      </w:r>
      <w:r>
        <w:rPr>
          <w:caps w:val="off"/>
          <w:rFonts w:ascii="Times New Roman" w:eastAsia="Times New Roman" w:hAnsi="Times New Roman" w:cs="Times New Roman"/>
          <w:b w:val="0"/>
          <w:i w:val="0"/>
          <w:w w:val="100"/>
          <w:sz w:val="24"/>
          <w:spacing w:val="0"/>
        </w:rPr>
        <w:t xml:space="preserve">, while the aqueous extract produced zones of 0.60 ± 0.05 mm and 0.65 ± 0.04 mm respectively. These findings align with those reported by Mohamed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(2020), who found that ethanol extracts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0. 2 v/v for  Methicillin-Resistant </w:t>
      </w:r>
      <w:r>
        <w:rPr>
          <w:rStyle w:val="style88"/>
          <w:caps w:val="off"/>
          <w:rFonts w:ascii="Times New Roman" w:eastAsia="Times New Roman" w:hAnsi="Times New Roman" w:cs="Times New Roman"/>
          <w:b w:val="0"/>
          <w:i/>
          <w:w w:val="100"/>
          <w:sz w:val="24"/>
          <w:spacing w:val="0"/>
        </w:rPr>
        <w:t>Staphylococcus aureus</w:t>
      </w:r>
      <w:r>
        <w:rPr>
          <w:caps w:val="off"/>
          <w:rFonts w:ascii="Times New Roman" w:eastAsia="Times New Roman" w:hAnsi="Times New Roman" w:cs="Times New Roman"/>
          <w:b w:val="0"/>
          <w:i w:val="0"/>
          <w:w w:val="100"/>
          <w:sz w:val="24"/>
          <w:spacing w:val="0"/>
        </w:rPr>
        <w:t xml:space="preserve"> (MRSA). This suggests that even small quantities of the ethanol extract can exert effective antibacterial action. Similar MIC values were reported by Taiwo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(2021), who tested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against multidrug-resistant </w:t>
      </w:r>
      <w:r>
        <w:rPr>
          <w:rStyle w:val="style88"/>
          <w:caps w:val="off"/>
          <w:rFonts w:ascii="Times New Roman" w:eastAsia="Times New Roman" w:hAnsi="Times New Roman" w:cs="Times New Roman"/>
          <w:b w:val="0"/>
          <w:i/>
          <w:w w:val="100"/>
          <w:sz w:val="24"/>
          <w:spacing w:val="0"/>
        </w:rPr>
        <w:t>Staphylococcus aureus</w:t>
      </w:r>
      <w:r>
        <w:rPr>
          <w:caps w:val="off"/>
          <w:rFonts w:ascii="Times New Roman" w:eastAsia="Times New Roman" w:hAnsi="Times New Roman" w:cs="Times New Roman"/>
          <w:b w:val="0"/>
          <w:i w:val="0"/>
          <w:w w:val="100"/>
          <w:sz w:val="24"/>
          <w:spacing w:val="0"/>
        </w:rPr>
        <w:t xml:space="preserve"> and other Gram-negative pathogens.</w:t>
      </w:r>
    </w:p>
    <w:p>
      <w:pPr>
        <w:pStyle w:val="style94"/>
        <w:ind w:firstLine="720"/>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difference in activity between MRSA (Gram-positive) and </w:t>
      </w:r>
      <w:r>
        <w:rPr>
          <w:rStyle w:val="style88"/>
          <w:caps w:val="off"/>
          <w:rFonts w:ascii="Times New Roman" w:eastAsia="Times New Roman" w:hAnsi="Times New Roman" w:cs="Times New Roman"/>
          <w:b w:val="0"/>
          <w:i/>
          <w:w w:val="100"/>
          <w:sz w:val="24"/>
          <w:spacing w:val="0"/>
        </w:rPr>
        <w:t>E. coli</w:t>
      </w:r>
      <w:r>
        <w:rPr>
          <w:caps w:val="off"/>
          <w:rFonts w:ascii="Times New Roman" w:eastAsia="Times New Roman" w:hAnsi="Times New Roman" w:cs="Times New Roman"/>
          <w:b w:val="0"/>
          <w:i w:val="0"/>
          <w:w w:val="100"/>
          <w:sz w:val="24"/>
          <w:spacing w:val="0"/>
        </w:rPr>
        <w:t xml:space="preserve"> (Gram-negative) was minimal in this study, though Gram-negative bacteria are generally considered more resistant due to their outer membrane, which limits the penetration of antibacterial agents. The similar response from both organisms suggests that the phytochemicals in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may act through multiple mechanisms that overcome this structural barrier. This supports earlier findings by Akinmoladun </w:t>
      </w:r>
      <w:r>
        <w:rPr>
          <w:caps w:val="off"/>
          <w:rFonts w:ascii="Times New Roman" w:eastAsia="Times New Roman" w:hAnsi="Times New Roman" w:cs="Times New Roman"/>
          <w:b w:val="0"/>
          <w:i/>
          <w:w w:val="100"/>
          <w:sz w:val="24"/>
          <w:spacing w:val="0"/>
        </w:rPr>
        <w:t>et al</w:t>
      </w:r>
      <w:r>
        <w:rPr>
          <w:caps w:val="off"/>
          <w:rFonts w:ascii="Times New Roman" w:eastAsia="Times New Roman" w:hAnsi="Times New Roman" w:cs="Times New Roman"/>
          <w:b w:val="0"/>
          <w:i w:val="0"/>
          <w:w w:val="100"/>
          <w:sz w:val="24"/>
          <w:spacing w:val="0"/>
        </w:rPr>
        <w:t xml:space="preserve">. (2020), who noted that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offer a promising natural alternative or complementary option, especially in resource-limited settings. The ease of plant collection, low toxicity, and broad-spectrum activity make them suitable candidates for further development into antimicrobial formulations.</w:t>
      </w: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i w:val="0"/>
          <w:w w:val="100"/>
          <w:sz w:val="24"/>
          <w:szCs w:val="24"/>
          <w:spacing w:val="0"/>
        </w:rPr>
      </w:pPr>
    </w:p>
    <w:p>
      <w:pPr>
        <w:pStyle w:val="Heading1"/>
        <w:snapToGrid w:val="0"/>
        <w:jc w:val="center"/>
        <w:spacing w:after="0" w:afterAutospacing="0" w:before="2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CHAPTER FIVE</w:t>
      </w:r>
    </w:p>
    <w:p>
      <w:pPr>
        <w:pStyle w:val="Heading1"/>
        <w:snapToGrid w:val="0"/>
        <w:jc w:val="center"/>
        <w:spacing w:after="0" w:afterAutospacing="0" w:before="2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SUMMARY, CONCLUSION AND RECOMMENDATION</w:t>
      </w:r>
    </w:p>
    <w:p>
      <w:pPr>
        <w:pStyle w:val="Heading2"/>
        <w:snapToGrid w:val="0"/>
        <w:spacing w:after="0" w:afterAutospacing="0" w:before="40" w:beforeAutospacing="0" w:line="480" w:lineRule="auto"/>
        <w:textAlignment w:val="baseline"/>
        <w:rPr>
          <w:caps w:val="off"/>
          <w:rFonts w:eastAsia="Calibri"/>
          <w:b/>
          <w:i w:val="0"/>
          <w:color w:val="000000"/>
          <w:w w:val="100"/>
          <w:sz w:val="24"/>
          <w:spacing w:val="0"/>
        </w:rPr>
      </w:pPr>
      <w:r>
        <w:rPr>
          <w:caps w:val="off"/>
          <w:rFonts w:eastAsia="Calibri"/>
          <w:b/>
          <w:i w:val="0"/>
          <w:color w:val="000000"/>
          <w:w w:val="100"/>
          <w:sz w:val="24"/>
          <w:spacing w:val="0"/>
        </w:rPr>
        <w:t>5.1</w:t>
      </w:r>
      <w:r>
        <w:rPr>
          <w:caps w:val="off"/>
          <w:rFonts w:eastAsia="Calibri"/>
          <w:b/>
          <w:i w:val="0"/>
          <w:color w:val="000000"/>
          <w:w w:val="100"/>
          <w:sz w:val="24"/>
          <w:spacing w:val="0"/>
        </w:rPr>
        <w:tab/>
      </w:r>
      <w:r>
        <w:rPr>
          <w:caps w:val="off"/>
          <w:rFonts w:eastAsia="Calibri"/>
          <w:b/>
          <w:i w:val="0"/>
          <w:color w:val="000000"/>
          <w:w w:val="100"/>
          <w:sz w:val="24"/>
          <w:spacing w:val="0"/>
        </w:rPr>
        <w:t>Summary</w:t>
      </w: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This study evaluated the antibacterial efficacy of aqueous and ethanol extracts of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leaves against clinically important bacterial isolates of Methicillin-Resistant </w:t>
      </w:r>
      <w:r>
        <w:rPr>
          <w:rStyle w:val="style88"/>
          <w:caps w:val="off"/>
          <w:rFonts w:eastAsia="宋体"/>
          <w:b w:val="0"/>
          <w:i/>
          <w:w w:val="100"/>
          <w:sz w:val="24"/>
          <w:spacing w:val="0"/>
        </w:rPr>
        <w:t>Staphylococcus aureus</w:t>
      </w:r>
      <w:r>
        <w:rPr>
          <w:caps w:val="off"/>
          <w:rFonts w:ascii="Times New Roman" w:eastAsia="Times New Roman" w:hAnsi="Times New Roman" w:cs="Times New Roman"/>
          <w:b w:val="0"/>
          <w:i w:val="0"/>
          <w:w w:val="100"/>
          <w:sz w:val="24"/>
          <w:spacing w:val="0"/>
        </w:rPr>
        <w:t xml:space="preserve"> (MRSA) and </w:t>
      </w:r>
      <w:r>
        <w:rPr>
          <w:rStyle w:val="style88"/>
          <w:caps w:val="off"/>
          <w:rFonts w:eastAsia="宋体"/>
          <w:b w:val="0"/>
          <w:i/>
          <w:w w:val="100"/>
          <w:sz w:val="24"/>
          <w:spacing w:val="0"/>
        </w:rPr>
        <w:t>Escherichia coli</w:t>
      </w:r>
      <w:r>
        <w:rPr>
          <w:caps w:val="off"/>
          <w:rFonts w:ascii="Times New Roman" w:eastAsia="Times New Roman" w:hAnsi="Times New Roman" w:cs="Times New Roman"/>
          <w:b w:val="0"/>
          <w:i w:val="0"/>
          <w:w w:val="100"/>
          <w:sz w:val="24"/>
          <w:spacing w:val="0"/>
        </w:rPr>
        <w:t>. The bacterial isolates were obtained from the University of Ilorin Teaching Hospital and confirmed using standard microbiological and biochemical methods. Preliminary phytochemical screening revealed  no presence of alkaloids and saponins while  flavonoids, tannins, and phenolic compounds were present.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5.2</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Conclusion</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The findings revealed that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leaf extracts, especially the ethanol extract, possess significant antibacterial activity against MRSA and </w:t>
      </w:r>
      <w:r>
        <w:rPr>
          <w:rStyle w:val="style88"/>
          <w:caps w:val="off"/>
          <w:rFonts w:eastAsia="宋体"/>
          <w:b w:val="0"/>
          <w:i/>
          <w:w w:val="100"/>
          <w:sz w:val="24"/>
          <w:spacing w:val="0"/>
        </w:rPr>
        <w:t>E. coli</w:t>
      </w:r>
      <w:r>
        <w:rPr>
          <w:caps w:val="off"/>
          <w:rFonts w:ascii="Times New Roman" w:eastAsia="Times New Roman" w:hAnsi="Times New Roman" w:cs="Times New Roman"/>
          <w:b w:val="0"/>
          <w:i w:val="0"/>
          <w:w w:val="100"/>
          <w:sz w:val="24"/>
          <w:spacing w:val="0"/>
        </w:rPr>
        <w:t xml:space="preserve">. The presence of bioactive phytochemicals (flavonoids, tannins, and phenolic compounds) in the extracts contributes to this effect. These results support the potential use of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as a natural source of antibacterial agents, particularly in combating resistant bacterial strains.</w:t>
      </w: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i w:val="0"/>
          <w:w w:val="100"/>
          <w:sz w:val="24"/>
          <w:spacing w:val="0"/>
        </w:rPr>
      </w:pP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i w:val="0"/>
          <w:w w:val="100"/>
          <w:sz w:val="24"/>
          <w:spacing w:val="0"/>
        </w:rPr>
      </w:pPr>
    </w:p>
    <w:p>
      <w:pPr>
        <w:pStyle w:val="style94"/>
        <w:snapToGrid w:val="0"/>
        <w:jc w:val="both"/>
        <w:spacing w:after="0" w:afterAutospacing="0" w:before="0" w:beforeAutospacing="0" w:line="480" w:lineRule="auto"/>
        <w:textAlignment w:val="baseline"/>
        <w:rPr>
          <w:caps w:val="off"/>
          <w:rFonts w:ascii="Times New Roman" w:eastAsia="Times New Roman" w:hAnsi="Times New Roman" w:cs="Times New Roman"/>
          <w:b/>
          <w:i w:val="0"/>
          <w:w w:val="100"/>
          <w:sz w:val="24"/>
          <w:spacing w:val="0"/>
        </w:rPr>
      </w:pPr>
    </w:p>
    <w:p>
      <w:pPr>
        <w:pStyle w:val="Heading2"/>
        <w:snapToGrid w:val="0"/>
        <w:spacing w:after="0" w:afterAutospacing="0" w:before="40" w:beforeAutospacing="0" w:line="480"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5.3</w:t>
      </w:r>
      <w:r>
        <w:rPr>
          <w:caps w:val="off"/>
          <w:rFonts w:ascii="Times New Roman" w:eastAsia="宋体" w:hAnsi="Times New Roman" w:cs="宋体"/>
          <w:b/>
          <w:i w:val="0"/>
          <w:color w:val="000000"/>
          <w:w w:val="100"/>
          <w:sz w:val="24"/>
          <w:spacing w:val="0"/>
        </w:rPr>
        <w:tab/>
      </w:r>
      <w:r>
        <w:rPr>
          <w:caps w:val="off"/>
          <w:rFonts w:ascii="Times New Roman" w:eastAsia="宋体" w:hAnsi="Times New Roman" w:cs="宋体"/>
          <w:b/>
          <w:i w:val="0"/>
          <w:color w:val="000000"/>
          <w:w w:val="100"/>
          <w:sz w:val="24"/>
          <w:spacing w:val="0"/>
        </w:rPr>
        <w:t>Recommendations</w:t>
      </w:r>
    </w:p>
    <w:p>
      <w:pPr>
        <w:pStyle w:val="style94"/>
        <w:snapToGrid w:val="0"/>
        <w:jc w:val="both"/>
        <w:spacing w:after="312" w:afterAutospacing="1" w:before="0" w:beforeAutospacing="0"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Based on the findings of this study, the following recommendations are made:</w:t>
      </w:r>
    </w:p>
    <w:p>
      <w:pPr>
        <w:pStyle w:val="style94"/>
        <w:snapToGrid w:val="0"/>
        <w:jc w:val="both"/>
        <w:numPr>
          <w:ilvl w:val="0"/>
          <w:numId w:val="2"/>
        </w:numPr>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Further research should be conducted to isolate and characterize the specific bioactive compounds responsible for the antibacterial effects observed.</w:t>
      </w:r>
    </w:p>
    <w:p>
      <w:pPr>
        <w:pStyle w:val="style94"/>
        <w:snapToGrid w:val="0"/>
        <w:jc w:val="both"/>
        <w:numPr>
          <w:ilvl w:val="0"/>
          <w:numId w:val="2"/>
        </w:numPr>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In vivo studies and toxicity evaluations are necessary to assess the safety and efficacy of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extracts before clinical applications.</w:t>
      </w:r>
    </w:p>
    <w:p>
      <w:pPr>
        <w:pStyle w:val="style94"/>
        <w:snapToGrid w:val="0"/>
        <w:jc w:val="both"/>
        <w:numPr>
          <w:ilvl w:val="0"/>
          <w:numId w:val="2"/>
        </w:numPr>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Development of formulations using </w:t>
      </w:r>
      <w:r>
        <w:rPr>
          <w:rStyle w:val="style88"/>
          <w:caps w:val="off"/>
          <w:rFonts w:eastAsia="宋体"/>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extracts for topical or systemic antibacterial therapy could be explored.</w:t>
      </w:r>
    </w:p>
    <w:p>
      <w:pPr>
        <w:pStyle w:val="style94"/>
        <w:snapToGrid w:val="0"/>
        <w:jc w:val="both"/>
        <w:numPr>
          <w:ilvl w:val="0"/>
          <w:numId w:val="2"/>
        </w:numPr>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Continuous monitoring of resistance patterns in clinical isolates is essential to evaluate the long-term effectiveness of plant-based antibacterial agents.</w:t>
      </w:r>
    </w:p>
    <w:p>
      <w:pPr>
        <w:pStyle w:val="normal"/>
        <w:snapToGrid w:val="0"/>
        <w:spacing w:after="160" w:afterAutospacing="0" w:before="0" w:beforeAutospacing="0" w:line="259" w:lineRule="auto"/>
        <w:textAlignment w:val="baseline"/>
        <w:rPr>
          <w:caps w:val="off"/>
          <w:rFonts w:ascii="Calibri" w:eastAsia="Calibri" w:hAnsi="Calibri" w:cs="宋体"/>
          <w:b w:val="0"/>
          <w:i w:val="0"/>
          <w:w w:val="100"/>
          <w:sz w:val="22"/>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style94"/>
        <w:snapToGrid w:val="0"/>
        <w:jc w:val="both"/>
        <w:spacing w:after="312" w:afterAutospacing="1" w:before="312" w:beforeAutospacing="1" w:line="480" w:lineRule="auto"/>
        <w:textAlignment w:val="baseline"/>
        <w:rPr>
          <w:caps w:val="off"/>
          <w:rFonts w:ascii="Times New Roman" w:eastAsia="Times New Roman" w:hAnsi="Times New Roman" w:cs="Times New Roman"/>
          <w:b w:val="0"/>
          <w:i w:val="0"/>
          <w:w w:val="100"/>
          <w:sz w:val="24"/>
          <w:spacing w:val="0"/>
        </w:rPr>
      </w:pPr>
    </w:p>
    <w:p>
      <w:pPr>
        <w:pStyle w:val="normal"/>
        <w:snapToGrid w:val="0"/>
        <w:jc w:val="both"/>
        <w:spacing w:after="312" w:afterAutospacing="1" w:before="0" w:beforeAutospacing="0" w:line="480" w:lineRule="auto"/>
        <w:textAlignment w:val="baseline"/>
        <w:rPr>
          <w:caps w:val="off"/>
          <w:rFonts w:ascii="Times New Roman" w:hAnsi="Times New Roman" w:cs="Times New Roman"/>
          <w:b/>
          <w:i w:val="0"/>
          <w:w w:val="100"/>
          <w:sz w:val="24"/>
          <w:szCs w:val="24"/>
          <w:spacing w:val="0"/>
        </w:rPr>
      </w:pPr>
    </w:p>
    <w:p>
      <w:pPr>
        <w:pStyle w:val="Heading1"/>
        <w:snapToGrid w:val="0"/>
        <w:spacing w:after="0" w:afterAutospacing="0" w:before="2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REFERENCES</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Abdallah, A. M., Al-Omar, M. S., &amp; El-Sayed, E. (2021).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and its bioactive compounds: An overview. </w:t>
      </w:r>
      <w:r>
        <w:rPr>
          <w:caps w:val="off"/>
          <w:rFonts w:ascii="Times New Roman" w:eastAsia="Times New Roman" w:hAnsi="Times New Roman" w:cs="Times New Roman"/>
          <w:b w:val="0"/>
          <w:i/>
          <w:iCs/>
          <w:w w:val="100"/>
          <w:sz w:val="24"/>
          <w:szCs w:val="24"/>
          <w:spacing w:val="0"/>
        </w:rPr>
        <w:t>Antioxidants, 10</w:t>
      </w:r>
      <w:r>
        <w:rPr>
          <w:caps w:val="off"/>
          <w:rFonts w:ascii="Times New Roman" w:eastAsia="Times New Roman" w:hAnsi="Times New Roman" w:cs="Times New Roman"/>
          <w:b w:val="0"/>
          <w:i w:val="0"/>
          <w:w w:val="100"/>
          <w:sz w:val="24"/>
          <w:szCs w:val="24"/>
          <w:spacing w:val="0"/>
        </w:rPr>
        <w:t>(11), 1746.</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Ahmed, M., Khan, M. S., Khan, M. S., &amp; Alouffi, S. (2021). A review on the antibacterial potential of medicinal plants and their secondary metabolites against multidrug-resistant bacteria. </w:t>
      </w:r>
      <w:r>
        <w:rPr>
          <w:caps w:val="off"/>
          <w:rFonts w:ascii="Times New Roman" w:eastAsia="Times New Roman" w:hAnsi="Times New Roman" w:cs="Times New Roman"/>
          <w:b w:val="0"/>
          <w:i/>
          <w:iCs/>
          <w:w w:val="100"/>
          <w:sz w:val="24"/>
          <w:szCs w:val="24"/>
          <w:spacing w:val="0"/>
        </w:rPr>
        <w:t>Antibiotics, 10</w:t>
      </w:r>
      <w:r>
        <w:rPr>
          <w:caps w:val="off"/>
          <w:rFonts w:ascii="Times New Roman" w:eastAsia="Times New Roman" w:hAnsi="Times New Roman" w:cs="Times New Roman"/>
          <w:b w:val="0"/>
          <w:i w:val="0"/>
          <w:w w:val="100"/>
          <w:sz w:val="24"/>
          <w:szCs w:val="24"/>
          <w:spacing w:val="0"/>
        </w:rPr>
        <w:t>(9), 1074. https://doi.org/10.3390/antibiotics10091074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Ahmed, S., Khan, M. S., &amp; Khan, M. S. (2021). Plant-derived antimicrobials: A potential solution to combat antibiotic resistance. </w:t>
      </w:r>
      <w:r>
        <w:rPr>
          <w:caps w:val="off"/>
          <w:rFonts w:ascii="Times New Roman" w:eastAsia="Times New Roman" w:hAnsi="Times New Roman" w:cs="Times New Roman"/>
          <w:b w:val="0"/>
          <w:i/>
          <w:iCs/>
          <w:w w:val="100"/>
          <w:sz w:val="24"/>
          <w:szCs w:val="24"/>
          <w:spacing w:val="0"/>
        </w:rPr>
        <w:t>Saudi Journal of Biological Sciences</w:t>
      </w:r>
      <w:r>
        <w:rPr>
          <w:caps w:val="off"/>
          <w:rFonts w:ascii="Times New Roman" w:eastAsia="Times New Roman" w:hAnsi="Times New Roman" w:cs="Times New Roman"/>
          <w:b w:val="0"/>
          <w:i w:val="0"/>
          <w:w w:val="100"/>
          <w:sz w:val="24"/>
          <w:szCs w:val="24"/>
          <w:spacing w:val="0"/>
        </w:rPr>
        <w:t>, 28(9), 4913–4920. https://doi.org/10.1016/j.sjbs.2021.04.053</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Akinmoladun, F. O., Olaleye, T. M., &amp; Obuotor, E. M. (2020). Antibacterial activity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leaf extracts against clinical pathogens. </w:t>
      </w:r>
      <w:r>
        <w:rPr>
          <w:rStyle w:val="style88"/>
          <w:caps w:val="off"/>
          <w:rFonts w:ascii="Times New Roman" w:eastAsia="Times New Roman" w:hAnsi="Times New Roman" w:cs="Times New Roman"/>
          <w:b w:val="0"/>
          <w:i/>
          <w:w w:val="100"/>
          <w:sz w:val="24"/>
          <w:spacing w:val="0"/>
        </w:rPr>
        <w:t>Journal of Medicinal Plants Research</w:t>
      </w:r>
      <w:r>
        <w:rPr>
          <w:caps w:val="off"/>
          <w:rFonts w:ascii="Times New Roman" w:eastAsia="Times New Roman" w:hAnsi="Times New Roman" w:cs="Times New Roman"/>
          <w:b w:val="0"/>
          <w:i w:val="0"/>
          <w:w w:val="100"/>
          <w:sz w:val="24"/>
          <w:spacing w:val="0"/>
        </w:rPr>
        <w:t>, 14(4), 156-164.</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Alabi, O. J., Ogunlade, B. O., &amp; Salami, A. A. (2019). Comparative evaluation of antibacterial effects of aqueous and ethanol extracts of </w:t>
      </w:r>
      <w:r>
        <w:rPr>
          <w:rStyle w:val="style88"/>
          <w:caps w:val="off"/>
          <w:rFonts w:ascii="Times New Roman" w:eastAsia="Times New Roman" w:hAnsi="Times New Roman" w:cs="Times New Roman"/>
          <w:b w:val="0"/>
          <w:i/>
          <w:w w:val="100"/>
          <w:sz w:val="24"/>
          <w:spacing w:val="0"/>
        </w:rPr>
        <w:t>Eucalyptus</w:t>
      </w:r>
      <w:r>
        <w:rPr>
          <w:caps w:val="off"/>
          <w:rFonts w:ascii="Times New Roman" w:eastAsia="Times New Roman" w:hAnsi="Times New Roman" w:cs="Times New Roman"/>
          <w:b w:val="0"/>
          <w:i w:val="0"/>
          <w:w w:val="100"/>
          <w:sz w:val="24"/>
          <w:spacing w:val="0"/>
        </w:rPr>
        <w:t xml:space="preserve"> species. </w:t>
      </w:r>
      <w:r>
        <w:rPr>
          <w:rStyle w:val="style88"/>
          <w:caps w:val="off"/>
          <w:rFonts w:ascii="Times New Roman" w:eastAsia="Times New Roman" w:hAnsi="Times New Roman" w:cs="Times New Roman"/>
          <w:b w:val="0"/>
          <w:i/>
          <w:w w:val="100"/>
          <w:sz w:val="24"/>
          <w:spacing w:val="0"/>
        </w:rPr>
        <w:t>African Journal of Biotechnology</w:t>
      </w:r>
      <w:r>
        <w:rPr>
          <w:caps w:val="off"/>
          <w:rFonts w:ascii="Times New Roman" w:eastAsia="Times New Roman" w:hAnsi="Times New Roman" w:cs="Times New Roman"/>
          <w:b w:val="0"/>
          <w:i w:val="0"/>
          <w:w w:val="100"/>
          <w:sz w:val="24"/>
          <w:spacing w:val="0"/>
        </w:rPr>
        <w:t>, 18(6), 185-191.</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Aljaafari, M. N., AlAli, A. A., Badulla, W. F. A. R., &amp; Venkatesan, T. (2022). Essential oils as a novel alternative to combat bacterial resistance: A review. </w:t>
      </w:r>
      <w:r>
        <w:rPr>
          <w:caps w:val="off"/>
          <w:rFonts w:ascii="Times New Roman" w:eastAsia="Times New Roman" w:hAnsi="Times New Roman" w:cs="Times New Roman"/>
          <w:b w:val="0"/>
          <w:i/>
          <w:iCs/>
          <w:w w:val="100"/>
          <w:sz w:val="24"/>
          <w:szCs w:val="24"/>
          <w:spacing w:val="0"/>
        </w:rPr>
        <w:t>Molecules, 27</w:t>
      </w:r>
      <w:r>
        <w:rPr>
          <w:caps w:val="off"/>
          <w:rFonts w:ascii="Times New Roman" w:eastAsia="Times New Roman" w:hAnsi="Times New Roman" w:cs="Times New Roman"/>
          <w:b w:val="0"/>
          <w:i w:val="0"/>
          <w:w w:val="100"/>
          <w:sz w:val="24"/>
          <w:szCs w:val="24"/>
          <w:spacing w:val="0"/>
        </w:rPr>
        <w:t>(1), 145. https://doi.org/10.3390/molecules27010145</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Ameen, M., Arora, S., &amp; Parvez, M. (2021). Antibacterial properties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and its essential oil: A review. </w:t>
      </w:r>
      <w:r>
        <w:rPr>
          <w:caps w:val="off"/>
          <w:rFonts w:ascii="Times New Roman" w:eastAsia="Times New Roman" w:hAnsi="Times New Roman" w:cs="Times New Roman"/>
          <w:b w:val="0"/>
          <w:i/>
          <w:iCs/>
          <w:w w:val="100"/>
          <w:sz w:val="24"/>
          <w:szCs w:val="24"/>
          <w:spacing w:val="0"/>
        </w:rPr>
        <w:t>International Journal of Microbiological Research, 12</w:t>
      </w:r>
      <w:r>
        <w:rPr>
          <w:caps w:val="off"/>
          <w:rFonts w:ascii="Times New Roman" w:eastAsia="Times New Roman" w:hAnsi="Times New Roman" w:cs="Times New Roman"/>
          <w:b w:val="0"/>
          <w:i w:val="0"/>
          <w:w w:val="100"/>
          <w:sz w:val="24"/>
          <w:szCs w:val="24"/>
          <w:spacing w:val="0"/>
        </w:rPr>
        <w:t>(3), 85-92.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Blair, J. M., Webber, M. A., Baylay, A. J., &amp; Piddock, L. J. (2015). Molecular mechanisms of antibiotic resistance. </w:t>
      </w:r>
      <w:r>
        <w:rPr>
          <w:caps w:val="off"/>
          <w:rFonts w:ascii="Times New Roman" w:eastAsia="Times New Roman" w:hAnsi="Times New Roman" w:cs="Times New Roman"/>
          <w:b w:val="0"/>
          <w:i/>
          <w:iCs/>
          <w:w w:val="100"/>
          <w:sz w:val="24"/>
          <w:szCs w:val="24"/>
          <w:spacing w:val="0"/>
        </w:rPr>
        <w:t>Nature Reviews Microbiology, 13</w:t>
      </w:r>
      <w:r>
        <w:rPr>
          <w:caps w:val="off"/>
          <w:rFonts w:ascii="Times New Roman" w:eastAsia="Times New Roman" w:hAnsi="Times New Roman" w:cs="Times New Roman"/>
          <w:b w:val="0"/>
          <w:i w:val="0"/>
          <w:w w:val="100"/>
          <w:sz w:val="24"/>
          <w:szCs w:val="24"/>
          <w:spacing w:val="0"/>
        </w:rPr>
        <w:t>(1), 42-51.</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Borges, A., Abreu, A. C., Dias, C., Saavedra, M. J., &amp; Simões, M. (2020). New perspectives on the use of phytochemicals as an emergent strategy to control bacterial infections including biofilms. </w:t>
      </w:r>
      <w:r>
        <w:rPr>
          <w:caps w:val="off"/>
          <w:rFonts w:ascii="Times New Roman" w:eastAsia="Times New Roman" w:hAnsi="Times New Roman" w:cs="Times New Roman"/>
          <w:b w:val="0"/>
          <w:i/>
          <w:iCs/>
          <w:w w:val="100"/>
          <w:sz w:val="24"/>
          <w:szCs w:val="24"/>
          <w:spacing w:val="0"/>
        </w:rPr>
        <w:t>Molecules</w:t>
      </w:r>
      <w:r>
        <w:rPr>
          <w:caps w:val="off"/>
          <w:rFonts w:ascii="Times New Roman" w:eastAsia="Times New Roman" w:hAnsi="Times New Roman" w:cs="Times New Roman"/>
          <w:b w:val="0"/>
          <w:i w:val="0"/>
          <w:w w:val="100"/>
          <w:sz w:val="24"/>
          <w:szCs w:val="24"/>
          <w:spacing w:val="0"/>
        </w:rPr>
        <w:t>, 25(13), 3204. https://doi.org/10.3390/molecules25133204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Bouchiat, C., Bornet, C., &amp; Lemaître, N. (2019). Molecular epidemiology of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(MRSA) and its management. </w:t>
      </w:r>
      <w:r>
        <w:rPr>
          <w:caps w:val="off"/>
          <w:rFonts w:ascii="Times New Roman" w:eastAsia="Times New Roman" w:hAnsi="Times New Roman" w:cs="Times New Roman"/>
          <w:b w:val="0"/>
          <w:i/>
          <w:iCs/>
          <w:w w:val="100"/>
          <w:sz w:val="24"/>
          <w:szCs w:val="24"/>
          <w:spacing w:val="0"/>
        </w:rPr>
        <w:t>Clinical Microbiology and Infection, 25</w:t>
      </w:r>
      <w:r>
        <w:rPr>
          <w:caps w:val="off"/>
          <w:rFonts w:ascii="Times New Roman" w:eastAsia="Times New Roman" w:hAnsi="Times New Roman" w:cs="Times New Roman"/>
          <w:b w:val="0"/>
          <w:i w:val="0"/>
          <w:w w:val="100"/>
          <w:sz w:val="24"/>
          <w:szCs w:val="24"/>
          <w:spacing w:val="0"/>
        </w:rPr>
        <w:t>(3), 299-307.</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Boukhatem, M. N., Aboud, M., &amp; Ferhat, M. (2020). Eucalyptus essential oil and its antimicrobial properties. </w:t>
      </w:r>
      <w:r>
        <w:rPr>
          <w:caps w:val="off"/>
          <w:rFonts w:ascii="Times New Roman" w:eastAsia="Times New Roman" w:hAnsi="Times New Roman" w:cs="Times New Roman"/>
          <w:b w:val="0"/>
          <w:i/>
          <w:iCs/>
          <w:w w:val="100"/>
          <w:sz w:val="24"/>
          <w:szCs w:val="24"/>
          <w:spacing w:val="0"/>
        </w:rPr>
        <w:t>Pharmacognosy Reviews, 14</w:t>
      </w:r>
      <w:r>
        <w:rPr>
          <w:caps w:val="off"/>
          <w:rFonts w:ascii="Times New Roman" w:eastAsia="Times New Roman" w:hAnsi="Times New Roman" w:cs="Times New Roman"/>
          <w:b w:val="0"/>
          <w:i w:val="0"/>
          <w:w w:val="100"/>
          <w:sz w:val="24"/>
          <w:szCs w:val="24"/>
          <w:spacing w:val="0"/>
        </w:rPr>
        <w:t>(28), 69-77.</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Boukhatem, M. N., </w:t>
      </w:r>
      <w:r>
        <w:rPr>
          <w:caps w:val="off"/>
          <w:rFonts w:ascii="Times New Roman" w:eastAsia="Times New Roman" w:hAnsi="Times New Roman" w:cs="Times New Roman"/>
          <w:b w:val="0"/>
          <w:i/>
          <w:w w:val="100"/>
          <w:sz w:val="24"/>
          <w:szCs w:val="24"/>
          <w:spacing w:val="0"/>
        </w:rPr>
        <w:t>et al</w:t>
      </w:r>
      <w:r>
        <w:rPr>
          <w:caps w:val="off"/>
          <w:rFonts w:ascii="Times New Roman" w:eastAsia="Times New Roman" w:hAnsi="Times New Roman" w:cs="Times New Roman"/>
          <w:b w:val="0"/>
          <w:i w:val="0"/>
          <w:w w:val="100"/>
          <w:sz w:val="24"/>
          <w:szCs w:val="24"/>
          <w:spacing w:val="0"/>
        </w:rPr>
        <w:t xml:space="preserve">. (2020). Eucalyptus essential oils: Biological activities and therapeutic potential. </w:t>
      </w:r>
      <w:r>
        <w:rPr>
          <w:caps w:val="off"/>
          <w:rFonts w:ascii="Times New Roman" w:eastAsia="Times New Roman" w:hAnsi="Times New Roman" w:cs="Times New Roman"/>
          <w:b w:val="0"/>
          <w:i/>
          <w:iCs/>
          <w:w w:val="100"/>
          <w:sz w:val="24"/>
          <w:szCs w:val="24"/>
          <w:spacing w:val="0"/>
        </w:rPr>
        <w:t>Natural Product Research</w:t>
      </w:r>
      <w:r>
        <w:rPr>
          <w:caps w:val="off"/>
          <w:rFonts w:ascii="Times New Roman" w:eastAsia="Times New Roman" w:hAnsi="Times New Roman" w:cs="Times New Roman"/>
          <w:b w:val="0"/>
          <w:i w:val="0"/>
          <w:w w:val="100"/>
          <w:sz w:val="24"/>
          <w:szCs w:val="24"/>
          <w:spacing w:val="0"/>
        </w:rPr>
        <w:t>, 34(18), 2607–2620. https://doi.org/10.1080/14786419.2018.1550070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Centers for Disease Control and Prevention (CDC). (2022). </w:t>
      </w:r>
      <w:r>
        <w:rPr>
          <w:caps w:val="off"/>
          <w:rFonts w:ascii="Times New Roman" w:eastAsia="Times New Roman" w:hAnsi="Times New Roman" w:cs="Times New Roman"/>
          <w:b w:val="0"/>
          <w:i/>
          <w:iCs/>
          <w:w w:val="100"/>
          <w:sz w:val="24"/>
          <w:szCs w:val="24"/>
          <w:spacing w:val="0"/>
        </w:rPr>
        <w:t>Antibiotic Resistance Threats in the United States, 2022</w:t>
      </w:r>
      <w:r>
        <w:rPr>
          <w:caps w:val="off"/>
          <w:rFonts w:ascii="Times New Roman" w:eastAsia="Times New Roman" w:hAnsi="Times New Roman" w:cs="Times New Roman"/>
          <w:b w:val="0"/>
          <w:i w:val="0"/>
          <w:w w:val="100"/>
          <w:sz w:val="24"/>
          <w:szCs w:val="24"/>
          <w:spacing w:val="0"/>
        </w:rPr>
        <w:t xml:space="preserve">. Retrieved from </w:t>
      </w:r>
      <w:r>
        <w:fldChar w:fldCharType="begin"/>
      </w:r>
      <w:r>
        <w:instrText xml:space="preserve"> HYPERLINK "https://www.cdc.gov" \t "_new" </w:instrText>
      </w:r>
      <w:r>
        <w:fldChar w:fldCharType="separate"/>
      </w:r>
      <w:r>
        <w:rPr>
          <w:caps w:val="off"/>
          <w:rFonts w:ascii="Times New Roman" w:eastAsia="Times New Roman" w:hAnsi="Times New Roman" w:cs="Times New Roman"/>
          <w:b w:val="0"/>
          <w:i w:val="0"/>
          <w:color w:val="0000FF"/>
          <w:w w:val="100"/>
          <w:sz w:val="24"/>
          <w:szCs w:val="24"/>
          <w:u w:val="single" w:color="0000FF"/>
          <w:spacing w:val="0"/>
        </w:rPr>
        <w:t>https://www.cdc.gov</w:t>
      </w:r>
      <w:r>
        <w:fldChar w:fldCharType="end"/>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Cohen, M. L. (2019). Epidemiology of drug resistance: implications for a post-antimicrobial era. </w:t>
      </w:r>
      <w:r>
        <w:rPr>
          <w:caps w:val="off"/>
          <w:rFonts w:ascii="Times New Roman" w:eastAsia="Times New Roman" w:hAnsi="Times New Roman" w:cs="Times New Roman"/>
          <w:b w:val="0"/>
          <w:i/>
          <w:iCs/>
          <w:w w:val="100"/>
          <w:sz w:val="24"/>
          <w:szCs w:val="24"/>
          <w:spacing w:val="0"/>
        </w:rPr>
        <w:t>Science, 257</w:t>
      </w:r>
      <w:r>
        <w:rPr>
          <w:caps w:val="off"/>
          <w:rFonts w:ascii="Times New Roman" w:eastAsia="Times New Roman" w:hAnsi="Times New Roman" w:cs="Times New Roman"/>
          <w:b w:val="0"/>
          <w:i w:val="0"/>
          <w:w w:val="100"/>
          <w:sz w:val="24"/>
          <w:szCs w:val="24"/>
          <w:spacing w:val="0"/>
        </w:rPr>
        <w:t>(5073), 1050-1055.</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da Silva, J. K. R., Figueiredo, P. L. B., Byler, K. G., Setzer, W. N. (2020). Essential oils as antibacterial agents: A review. </w:t>
      </w:r>
      <w:r>
        <w:rPr>
          <w:caps w:val="off"/>
          <w:rFonts w:ascii="Times New Roman" w:eastAsia="Times New Roman" w:hAnsi="Times New Roman" w:cs="Times New Roman"/>
          <w:b w:val="0"/>
          <w:i/>
          <w:iCs/>
          <w:w w:val="100"/>
          <w:sz w:val="24"/>
          <w:szCs w:val="24"/>
          <w:spacing w:val="0"/>
        </w:rPr>
        <w:t>Antibiotics, 9</w:t>
      </w:r>
      <w:r>
        <w:rPr>
          <w:caps w:val="off"/>
          <w:rFonts w:ascii="Times New Roman" w:eastAsia="Times New Roman" w:hAnsi="Times New Roman" w:cs="Times New Roman"/>
          <w:b w:val="0"/>
          <w:i w:val="0"/>
          <w:w w:val="100"/>
          <w:sz w:val="24"/>
          <w:szCs w:val="24"/>
          <w:spacing w:val="0"/>
        </w:rPr>
        <w:t>(6), 292. https://doi.org/10.3390/antibiotics9060292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De Morais, J. D., Silva, J. P., &amp; Fonseca, S. G. (2020). Eucalyptus essential oil: Industrial production and antimicrobial properties. </w:t>
      </w:r>
      <w:r>
        <w:rPr>
          <w:caps w:val="off"/>
          <w:rFonts w:ascii="Times New Roman" w:eastAsia="Times New Roman" w:hAnsi="Times New Roman" w:cs="Times New Roman"/>
          <w:b w:val="0"/>
          <w:i/>
          <w:iCs/>
          <w:w w:val="100"/>
          <w:sz w:val="24"/>
          <w:szCs w:val="24"/>
          <w:spacing w:val="0"/>
        </w:rPr>
        <w:t>Journal of Essential Oil Research, 32</w:t>
      </w:r>
      <w:r>
        <w:rPr>
          <w:caps w:val="off"/>
          <w:rFonts w:ascii="Times New Roman" w:eastAsia="Times New Roman" w:hAnsi="Times New Roman" w:cs="Times New Roman"/>
          <w:b w:val="0"/>
          <w:i w:val="0"/>
          <w:w w:val="100"/>
          <w:sz w:val="24"/>
          <w:szCs w:val="24"/>
          <w:spacing w:val="0"/>
        </w:rPr>
        <w:t>(5), 417-426.</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Deo, S. S., Bhat, R. V., &amp; Jayaraj, R. (2018). Antibacterial properties of fluoroquinolones. </w:t>
      </w:r>
      <w:r>
        <w:rPr>
          <w:caps w:val="off"/>
          <w:rFonts w:ascii="Times New Roman" w:eastAsia="Times New Roman" w:hAnsi="Times New Roman" w:cs="Times New Roman"/>
          <w:b w:val="0"/>
          <w:i/>
          <w:iCs/>
          <w:w w:val="100"/>
          <w:sz w:val="24"/>
          <w:szCs w:val="24"/>
          <w:spacing w:val="0"/>
        </w:rPr>
        <w:t>Journal of Microbiology and Infectious Diseases, 12</w:t>
      </w:r>
      <w:r>
        <w:rPr>
          <w:caps w:val="off"/>
          <w:rFonts w:ascii="Times New Roman" w:eastAsia="Times New Roman" w:hAnsi="Times New Roman" w:cs="Times New Roman"/>
          <w:b w:val="0"/>
          <w:i w:val="0"/>
          <w:w w:val="100"/>
          <w:sz w:val="24"/>
          <w:szCs w:val="24"/>
          <w:spacing w:val="0"/>
        </w:rPr>
        <w:t>(2), 87-92.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Echeverría, J., &amp; Albuquerque, R. D. D. G. (2020). Antimicrobial and antioxidant activities of plants extracts. </w:t>
      </w:r>
      <w:r>
        <w:rPr>
          <w:caps w:val="off"/>
          <w:rFonts w:ascii="Times New Roman" w:eastAsia="Times New Roman" w:hAnsi="Times New Roman" w:cs="Times New Roman"/>
          <w:b w:val="0"/>
          <w:i/>
          <w:iCs/>
          <w:w w:val="100"/>
          <w:sz w:val="24"/>
          <w:szCs w:val="24"/>
          <w:spacing w:val="0"/>
        </w:rPr>
        <w:t>Pharmaceuticals</w:t>
      </w:r>
      <w:r>
        <w:rPr>
          <w:caps w:val="off"/>
          <w:rFonts w:ascii="Times New Roman" w:eastAsia="Times New Roman" w:hAnsi="Times New Roman" w:cs="Times New Roman"/>
          <w:b w:val="0"/>
          <w:i w:val="0"/>
          <w:w w:val="100"/>
          <w:sz w:val="24"/>
          <w:szCs w:val="24"/>
          <w:spacing w:val="0"/>
        </w:rPr>
        <w:t>, 13(5), 88. https://doi.org/10.3390/ph13050088</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Echeverría, M. L., &amp; Albuquerque, T. M. (2020). Antibiotics: Mechanisms of action and antibacterial resistance. </w:t>
      </w:r>
      <w:r>
        <w:rPr>
          <w:caps w:val="off"/>
          <w:rFonts w:ascii="Times New Roman" w:eastAsia="Times New Roman" w:hAnsi="Times New Roman" w:cs="Times New Roman"/>
          <w:b w:val="0"/>
          <w:i/>
          <w:iCs/>
          <w:w w:val="100"/>
          <w:sz w:val="24"/>
          <w:szCs w:val="24"/>
          <w:spacing w:val="0"/>
        </w:rPr>
        <w:t>Antimicrobial Agents and Chemotherapy, 64</w:t>
      </w:r>
      <w:r>
        <w:rPr>
          <w:caps w:val="off"/>
          <w:rFonts w:ascii="Times New Roman" w:eastAsia="Times New Roman" w:hAnsi="Times New Roman" w:cs="Times New Roman"/>
          <w:b w:val="0"/>
          <w:i w:val="0"/>
          <w:w w:val="100"/>
          <w:sz w:val="24"/>
          <w:szCs w:val="24"/>
          <w:spacing w:val="0"/>
        </w:rPr>
        <w:t>(8), e02123-19.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Elbehiry, A., Marzouk, E., Moussa, I. M., &amp; El-Gedawy, A. (2022). Resistance patterns and genetic characterization of multidrug-resistant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isolated from clinical and food samples. </w:t>
      </w:r>
      <w:r>
        <w:rPr>
          <w:caps w:val="off"/>
          <w:rFonts w:ascii="Times New Roman" w:eastAsia="Times New Roman" w:hAnsi="Times New Roman" w:cs="Times New Roman"/>
          <w:b w:val="0"/>
          <w:i/>
          <w:iCs/>
          <w:w w:val="100"/>
          <w:sz w:val="24"/>
          <w:szCs w:val="24"/>
          <w:spacing w:val="0"/>
        </w:rPr>
        <w:t>Antibiotics</w:t>
      </w:r>
      <w:r>
        <w:rPr>
          <w:caps w:val="off"/>
          <w:rFonts w:ascii="Times New Roman" w:eastAsia="Times New Roman" w:hAnsi="Times New Roman" w:cs="Times New Roman"/>
          <w:b w:val="0"/>
          <w:i w:val="0"/>
          <w:w w:val="100"/>
          <w:sz w:val="24"/>
          <w:szCs w:val="24"/>
          <w:spacing w:val="0"/>
        </w:rPr>
        <w:t>, 11(1), 66. https://doi.org/10.3390/antibiotics11010066</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Elbehiry, A., Marzouk, E., Moussa, I. M., Alreshidi, M., &amp; Lafi, S. (2022). Antimicrobial efficacy of essential oils against multidrug-resistant bacterial strains isolated from food and clinical sources. </w:t>
      </w:r>
      <w:r>
        <w:rPr>
          <w:caps w:val="off"/>
          <w:rFonts w:ascii="Times New Roman" w:eastAsia="Times New Roman" w:hAnsi="Times New Roman" w:cs="Times New Roman"/>
          <w:b w:val="0"/>
          <w:i/>
          <w:iCs/>
          <w:w w:val="100"/>
          <w:sz w:val="24"/>
          <w:szCs w:val="24"/>
          <w:spacing w:val="0"/>
        </w:rPr>
        <w:t>Antibiotics, 11</w:t>
      </w:r>
      <w:r>
        <w:rPr>
          <w:caps w:val="off"/>
          <w:rFonts w:ascii="Times New Roman" w:eastAsia="Times New Roman" w:hAnsi="Times New Roman" w:cs="Times New Roman"/>
          <w:b w:val="0"/>
          <w:i w:val="0"/>
          <w:w w:val="100"/>
          <w:sz w:val="24"/>
          <w:szCs w:val="24"/>
          <w:spacing w:val="0"/>
        </w:rPr>
        <w:t>(8), 1069. https://doi.org/10.3390/antibiotics11081069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Fadeyi, O. O., Sobowale, S. F., &amp; Olaniyi, O. E. (2018). Antibacterial properties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 systematic review. </w:t>
      </w:r>
      <w:r>
        <w:rPr>
          <w:caps w:val="off"/>
          <w:rFonts w:ascii="Times New Roman" w:eastAsia="Times New Roman" w:hAnsi="Times New Roman" w:cs="Times New Roman"/>
          <w:b w:val="0"/>
          <w:i/>
          <w:iCs/>
          <w:w w:val="100"/>
          <w:sz w:val="24"/>
          <w:szCs w:val="24"/>
          <w:spacing w:val="0"/>
        </w:rPr>
        <w:t>Pharmacognosy Reviews, 12</w:t>
      </w:r>
      <w:r>
        <w:rPr>
          <w:caps w:val="off"/>
          <w:rFonts w:ascii="Times New Roman" w:eastAsia="Times New Roman" w:hAnsi="Times New Roman" w:cs="Times New Roman"/>
          <w:b w:val="0"/>
          <w:i w:val="0"/>
          <w:w w:val="100"/>
          <w:sz w:val="24"/>
          <w:szCs w:val="24"/>
          <w:spacing w:val="0"/>
        </w:rPr>
        <w:t>(24), 77-82.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Gajdács, M. (2020). Antibacterial resistance: from molecular mechanisms to clinical applications. </w:t>
      </w:r>
      <w:r>
        <w:rPr>
          <w:caps w:val="off"/>
          <w:rFonts w:ascii="Times New Roman" w:eastAsia="Times New Roman" w:hAnsi="Times New Roman" w:cs="Times New Roman"/>
          <w:b w:val="0"/>
          <w:i/>
          <w:iCs/>
          <w:w w:val="100"/>
          <w:sz w:val="24"/>
          <w:szCs w:val="24"/>
          <w:spacing w:val="0"/>
        </w:rPr>
        <w:t>Antibiotics, 9</w:t>
      </w:r>
      <w:r>
        <w:rPr>
          <w:caps w:val="off"/>
          <w:rFonts w:ascii="Times New Roman" w:eastAsia="Times New Roman" w:hAnsi="Times New Roman" w:cs="Times New Roman"/>
          <w:b w:val="0"/>
          <w:i w:val="0"/>
          <w:w w:val="100"/>
          <w:sz w:val="24"/>
          <w:szCs w:val="24"/>
          <w:spacing w:val="0"/>
        </w:rPr>
        <w:t>(8), 510.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Gajdács, M. (2020). The continuing threat of antibiotic resistance: The role of natural compounds and plants in overcoming the problem. </w:t>
      </w:r>
      <w:r>
        <w:rPr>
          <w:caps w:val="off"/>
          <w:rFonts w:ascii="Times New Roman" w:eastAsia="Times New Roman" w:hAnsi="Times New Roman" w:cs="Times New Roman"/>
          <w:b w:val="0"/>
          <w:i/>
          <w:iCs/>
          <w:w w:val="100"/>
          <w:sz w:val="24"/>
          <w:szCs w:val="24"/>
          <w:spacing w:val="0"/>
        </w:rPr>
        <w:t>Antibiotics</w:t>
      </w:r>
      <w:r>
        <w:rPr>
          <w:caps w:val="off"/>
          <w:rFonts w:ascii="Times New Roman" w:eastAsia="Times New Roman" w:hAnsi="Times New Roman" w:cs="Times New Roman"/>
          <w:b w:val="0"/>
          <w:i w:val="0"/>
          <w:w w:val="100"/>
          <w:sz w:val="24"/>
          <w:szCs w:val="24"/>
          <w:spacing w:val="0"/>
        </w:rPr>
        <w:t>, 9(8), 473. https://doi.org/10.3390/antibiotics9080473</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Gomes, F., Saavedra, M. J., &amp; Henriques, M. (2021). Bacterial biofilms in endodontic infections: An update on their resistance and treatment strategies. </w:t>
      </w:r>
      <w:r>
        <w:rPr>
          <w:caps w:val="off"/>
          <w:rFonts w:ascii="Times New Roman" w:eastAsia="Times New Roman" w:hAnsi="Times New Roman" w:cs="Times New Roman"/>
          <w:b w:val="0"/>
          <w:i/>
          <w:iCs/>
          <w:w w:val="100"/>
          <w:sz w:val="24"/>
          <w:szCs w:val="24"/>
          <w:spacing w:val="0"/>
        </w:rPr>
        <w:t>Critical Reviews in Microbiology</w:t>
      </w:r>
      <w:r>
        <w:rPr>
          <w:caps w:val="off"/>
          <w:rFonts w:ascii="Times New Roman" w:eastAsia="Times New Roman" w:hAnsi="Times New Roman" w:cs="Times New Roman"/>
          <w:b w:val="0"/>
          <w:i w:val="0"/>
          <w:w w:val="100"/>
          <w:sz w:val="24"/>
          <w:szCs w:val="24"/>
          <w:spacing w:val="0"/>
        </w:rPr>
        <w:t>, 47(4), 401–411. https://doi.org/10.1080/1040841X.2020.1868913</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Gomes, F., Teixeira, P., &amp; Ceri, H. (2021). Using essential oils to fight multidrug-resistant bacterial biofilms: Current research and future perspectives. </w:t>
      </w:r>
      <w:r>
        <w:rPr>
          <w:caps w:val="off"/>
          <w:rFonts w:ascii="Times New Roman" w:eastAsia="Times New Roman" w:hAnsi="Times New Roman" w:cs="Times New Roman"/>
          <w:b w:val="0"/>
          <w:i/>
          <w:iCs/>
          <w:w w:val="100"/>
          <w:sz w:val="24"/>
          <w:szCs w:val="24"/>
          <w:spacing w:val="0"/>
        </w:rPr>
        <w:t>Pathogens, 10</w:t>
      </w:r>
      <w:r>
        <w:rPr>
          <w:caps w:val="off"/>
          <w:rFonts w:ascii="Times New Roman" w:eastAsia="Times New Roman" w:hAnsi="Times New Roman" w:cs="Times New Roman"/>
          <w:b w:val="0"/>
          <w:i w:val="0"/>
          <w:w w:val="100"/>
          <w:sz w:val="24"/>
          <w:szCs w:val="24"/>
          <w:spacing w:val="0"/>
        </w:rPr>
        <w:t>(2), 248. https://doi.org/10.3390/pathogens10020248</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Gorib, M. S., Haque, M. A., &amp; Ali, S. (2021). The clinical relevance of polymyxin antibiotics in multidrug-resistant bacteria. </w:t>
      </w:r>
      <w:r>
        <w:rPr>
          <w:caps w:val="off"/>
          <w:rFonts w:ascii="Times New Roman" w:eastAsia="Times New Roman" w:hAnsi="Times New Roman" w:cs="Times New Roman"/>
          <w:b w:val="0"/>
          <w:i/>
          <w:iCs/>
          <w:w w:val="100"/>
          <w:sz w:val="24"/>
          <w:szCs w:val="24"/>
          <w:spacing w:val="0"/>
        </w:rPr>
        <w:t>Journal of Antimicrobial Chemotherapy, 76</w:t>
      </w:r>
      <w:r>
        <w:rPr>
          <w:caps w:val="off"/>
          <w:rFonts w:ascii="Times New Roman" w:eastAsia="Times New Roman" w:hAnsi="Times New Roman" w:cs="Times New Roman"/>
          <w:b w:val="0"/>
          <w:i w:val="0"/>
          <w:w w:val="100"/>
          <w:sz w:val="24"/>
          <w:szCs w:val="24"/>
          <w:spacing w:val="0"/>
        </w:rPr>
        <w:t>(1), 44-56.</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Guerra, B., &amp; Alves, D. (2020).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antibiotic resistance and its epidemiological implications. </w:t>
      </w:r>
      <w:r>
        <w:rPr>
          <w:caps w:val="off"/>
          <w:rFonts w:ascii="Times New Roman" w:eastAsia="Times New Roman" w:hAnsi="Times New Roman" w:cs="Times New Roman"/>
          <w:b w:val="0"/>
          <w:i/>
          <w:iCs/>
          <w:w w:val="100"/>
          <w:sz w:val="24"/>
          <w:szCs w:val="24"/>
          <w:spacing w:val="0"/>
        </w:rPr>
        <w:t>Antimicrobial Resistance and Infection Control, 9</w:t>
      </w:r>
      <w:r>
        <w:rPr>
          <w:caps w:val="off"/>
          <w:rFonts w:ascii="Times New Roman" w:eastAsia="Times New Roman" w:hAnsi="Times New Roman" w:cs="Times New Roman"/>
          <w:b w:val="0"/>
          <w:i w:val="0"/>
          <w:w w:val="100"/>
          <w:sz w:val="24"/>
          <w:szCs w:val="24"/>
          <w:spacing w:val="0"/>
        </w:rPr>
        <w:t>(1), 135-144.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Lefroy, T. E., Aylward, D., &amp; Smith, M. (2019).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Ecology and commercial potential. </w:t>
      </w:r>
      <w:r>
        <w:rPr>
          <w:caps w:val="off"/>
          <w:rFonts w:ascii="Times New Roman" w:eastAsia="Times New Roman" w:hAnsi="Times New Roman" w:cs="Times New Roman"/>
          <w:b w:val="0"/>
          <w:i/>
          <w:iCs/>
          <w:w w:val="100"/>
          <w:sz w:val="24"/>
          <w:szCs w:val="24"/>
          <w:spacing w:val="0"/>
        </w:rPr>
        <w:t>Journal of Environmental Management, 45</w:t>
      </w:r>
      <w:r>
        <w:rPr>
          <w:caps w:val="off"/>
          <w:rFonts w:ascii="Times New Roman" w:eastAsia="Times New Roman" w:hAnsi="Times New Roman" w:cs="Times New Roman"/>
          <w:b w:val="0"/>
          <w:i w:val="0"/>
          <w:w w:val="100"/>
          <w:sz w:val="24"/>
          <w:szCs w:val="24"/>
          <w:spacing w:val="0"/>
        </w:rPr>
        <w:t>(3), 1502-1511.</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Livermore, D. M. (2020). Antibiotic resistance in the era of antimicrobial stewardship. </w:t>
      </w:r>
      <w:r>
        <w:rPr>
          <w:caps w:val="off"/>
          <w:rFonts w:ascii="Times New Roman" w:eastAsia="Times New Roman" w:hAnsi="Times New Roman" w:cs="Times New Roman"/>
          <w:b w:val="0"/>
          <w:i/>
          <w:iCs/>
          <w:w w:val="100"/>
          <w:sz w:val="24"/>
          <w:szCs w:val="24"/>
          <w:spacing w:val="0"/>
        </w:rPr>
        <w:t>Clinical Microbiology and Infection, 26</w:t>
      </w:r>
      <w:r>
        <w:rPr>
          <w:caps w:val="off"/>
          <w:rFonts w:ascii="Times New Roman" w:eastAsia="Times New Roman" w:hAnsi="Times New Roman" w:cs="Times New Roman"/>
          <w:b w:val="0"/>
          <w:i w:val="0"/>
          <w:w w:val="100"/>
          <w:sz w:val="24"/>
          <w:szCs w:val="24"/>
          <w:spacing w:val="0"/>
        </w:rPr>
        <w:t>(6), 722-730.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Mackenzie, K. M., Popham, P. L., &amp; Westwood, T. J. (2019). Medicinal potential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and its components. </w:t>
      </w:r>
      <w:r>
        <w:rPr>
          <w:caps w:val="off"/>
          <w:rFonts w:ascii="Times New Roman" w:eastAsia="Times New Roman" w:hAnsi="Times New Roman" w:cs="Times New Roman"/>
          <w:b w:val="0"/>
          <w:i/>
          <w:iCs/>
          <w:w w:val="100"/>
          <w:sz w:val="24"/>
          <w:szCs w:val="24"/>
          <w:spacing w:val="0"/>
        </w:rPr>
        <w:t>Journal of Medicinal Plants, 31</w:t>
      </w:r>
      <w:r>
        <w:rPr>
          <w:caps w:val="off"/>
          <w:rFonts w:ascii="Times New Roman" w:eastAsia="Times New Roman" w:hAnsi="Times New Roman" w:cs="Times New Roman"/>
          <w:b w:val="0"/>
          <w:i w:val="0"/>
          <w:w w:val="100"/>
          <w:sz w:val="24"/>
          <w:szCs w:val="24"/>
          <w:spacing w:val="0"/>
        </w:rPr>
        <w:t>(7), 890-902.</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Mohamed, A. S., El-Sayed, H. A., &amp; Hassan, M. F. (2020). Antibacterial and antioxidant activities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extracts against multi-drug resistant bacteria. </w:t>
      </w:r>
      <w:r>
        <w:rPr>
          <w:rStyle w:val="style88"/>
          <w:caps w:val="off"/>
          <w:rFonts w:ascii="Times New Roman" w:eastAsia="Times New Roman" w:hAnsi="Times New Roman" w:cs="Times New Roman"/>
          <w:b w:val="0"/>
          <w:i/>
          <w:w w:val="100"/>
          <w:sz w:val="24"/>
          <w:spacing w:val="0"/>
        </w:rPr>
        <w:t>Journal of Herbal Medicine</w:t>
      </w:r>
      <w:r>
        <w:rPr>
          <w:caps w:val="off"/>
          <w:rFonts w:ascii="Times New Roman" w:eastAsia="Times New Roman" w:hAnsi="Times New Roman" w:cs="Times New Roman"/>
          <w:b w:val="0"/>
          <w:i w:val="0"/>
          <w:w w:val="100"/>
          <w:sz w:val="24"/>
          <w:spacing w:val="0"/>
        </w:rPr>
        <w:t>, 21, 100-107.</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Nash, K. A., Piddock, L. J. V., &amp; Giske, C. G. (2019). Emergence of multidrug-resistant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strains in hospital and community settings. </w:t>
      </w:r>
      <w:r>
        <w:rPr>
          <w:caps w:val="off"/>
          <w:rFonts w:ascii="Times New Roman" w:eastAsia="Times New Roman" w:hAnsi="Times New Roman" w:cs="Times New Roman"/>
          <w:b w:val="0"/>
          <w:i/>
          <w:iCs/>
          <w:w w:val="100"/>
          <w:sz w:val="24"/>
          <w:szCs w:val="24"/>
          <w:spacing w:val="0"/>
        </w:rPr>
        <w:t>Journal of Antimicrobial Chemotherapy, 74</w:t>
      </w:r>
      <w:r>
        <w:rPr>
          <w:caps w:val="off"/>
          <w:rFonts w:ascii="Times New Roman" w:eastAsia="Times New Roman" w:hAnsi="Times New Roman" w:cs="Times New Roman"/>
          <w:b w:val="0"/>
          <w:i w:val="0"/>
          <w:w w:val="100"/>
          <w:sz w:val="24"/>
          <w:szCs w:val="24"/>
          <w:spacing w:val="0"/>
        </w:rPr>
        <w:t>(5), 1219-1229.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Nataro, J. P., &amp; Kaper, J. B. (2019). Diarrheagenic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w:t>
      </w:r>
      <w:r>
        <w:rPr>
          <w:caps w:val="off"/>
          <w:rFonts w:ascii="Times New Roman" w:eastAsia="Times New Roman" w:hAnsi="Times New Roman" w:cs="Times New Roman"/>
          <w:b w:val="0"/>
          <w:i/>
          <w:iCs/>
          <w:w w:val="100"/>
          <w:sz w:val="24"/>
          <w:szCs w:val="24"/>
          <w:spacing w:val="0"/>
        </w:rPr>
        <w:t>Clinical Microbiology Reviews, 32</w:t>
      </w:r>
      <w:r>
        <w:rPr>
          <w:caps w:val="off"/>
          <w:rFonts w:ascii="Times New Roman" w:eastAsia="Times New Roman" w:hAnsi="Times New Roman" w:cs="Times New Roman"/>
          <w:b w:val="0"/>
          <w:i w:val="0"/>
          <w:w w:val="100"/>
          <w:sz w:val="24"/>
          <w:szCs w:val="24"/>
          <w:spacing w:val="0"/>
        </w:rPr>
        <w:t>(1), e00001-19.</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Ogunyemi, T. S., Adewale, O. A., &amp; Ajayi, O. A. (2022). Phytochemical and antimicrobial evaluation of ethanol and aqueous extracts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w:t>
      </w:r>
      <w:r>
        <w:rPr>
          <w:rStyle w:val="style88"/>
          <w:caps w:val="off"/>
          <w:rFonts w:ascii="Times New Roman" w:eastAsia="Times New Roman" w:hAnsi="Times New Roman" w:cs="Times New Roman"/>
          <w:b w:val="0"/>
          <w:i/>
          <w:w w:val="100"/>
          <w:sz w:val="24"/>
          <w:spacing w:val="0"/>
        </w:rPr>
        <w:t>Journal of Applied Pharmaceutical Science</w:t>
      </w:r>
      <w:r>
        <w:rPr>
          <w:caps w:val="off"/>
          <w:rFonts w:ascii="Times New Roman" w:eastAsia="Times New Roman" w:hAnsi="Times New Roman" w:cs="Times New Roman"/>
          <w:b w:val="0"/>
          <w:i w:val="0"/>
          <w:w w:val="100"/>
          <w:sz w:val="24"/>
          <w:spacing w:val="0"/>
        </w:rPr>
        <w:t>, 12(3), 45-52.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Paterson, D. L., &amp; Bonomo, R. A. (2020). Extended-spectrum beta-lactamases: A clinical update. </w:t>
      </w:r>
      <w:r>
        <w:rPr>
          <w:caps w:val="off"/>
          <w:rFonts w:ascii="Times New Roman" w:eastAsia="Times New Roman" w:hAnsi="Times New Roman" w:cs="Times New Roman"/>
          <w:b w:val="0"/>
          <w:i/>
          <w:iCs/>
          <w:w w:val="100"/>
          <w:sz w:val="24"/>
          <w:szCs w:val="24"/>
          <w:spacing w:val="0"/>
        </w:rPr>
        <w:t>Clinical Microbiology Reviews, 33</w:t>
      </w:r>
      <w:r>
        <w:rPr>
          <w:caps w:val="off"/>
          <w:rFonts w:ascii="Times New Roman" w:eastAsia="Times New Roman" w:hAnsi="Times New Roman" w:cs="Times New Roman"/>
          <w:b w:val="0"/>
          <w:i w:val="0"/>
          <w:w w:val="100"/>
          <w:sz w:val="24"/>
          <w:szCs w:val="24"/>
          <w:spacing w:val="0"/>
        </w:rPr>
        <w:t>(3), e00052-19.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Paterson, D. L., &amp; Bonomo, R. A. (2020). Extended-spectrum β-lactamases: A clinical update. </w:t>
      </w:r>
      <w:r>
        <w:rPr>
          <w:caps w:val="off"/>
          <w:rFonts w:ascii="Times New Roman" w:eastAsia="Times New Roman" w:hAnsi="Times New Roman" w:cs="Times New Roman"/>
          <w:b w:val="0"/>
          <w:i/>
          <w:iCs/>
          <w:w w:val="100"/>
          <w:sz w:val="24"/>
          <w:szCs w:val="24"/>
          <w:spacing w:val="0"/>
        </w:rPr>
        <w:t>Clinical Microbiology Reviews, 33</w:t>
      </w:r>
      <w:r>
        <w:rPr>
          <w:caps w:val="off"/>
          <w:rFonts w:ascii="Times New Roman" w:eastAsia="Times New Roman" w:hAnsi="Times New Roman" w:cs="Times New Roman"/>
          <w:b w:val="0"/>
          <w:i w:val="0"/>
          <w:w w:val="100"/>
          <w:sz w:val="24"/>
          <w:szCs w:val="24"/>
          <w:spacing w:val="0"/>
        </w:rPr>
        <w:t>(1), e00010-19.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Paterson, D. L., Lee, C. C., &amp; Chang, F. Y. (2020). The evolving challenge of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w:t>
      </w:r>
      <w:r>
        <w:rPr>
          <w:caps w:val="off"/>
          <w:rFonts w:ascii="Times New Roman" w:eastAsia="Times New Roman" w:hAnsi="Times New Roman" w:cs="Times New Roman"/>
          <w:b w:val="0"/>
          <w:i/>
          <w:iCs/>
          <w:w w:val="100"/>
          <w:sz w:val="24"/>
          <w:szCs w:val="24"/>
          <w:spacing w:val="0"/>
        </w:rPr>
        <w:t>Infection, 48</w:t>
      </w:r>
      <w:r>
        <w:rPr>
          <w:caps w:val="off"/>
          <w:rFonts w:ascii="Times New Roman" w:eastAsia="Times New Roman" w:hAnsi="Times New Roman" w:cs="Times New Roman"/>
          <w:b w:val="0"/>
          <w:i w:val="0"/>
          <w:w w:val="100"/>
          <w:sz w:val="24"/>
          <w:szCs w:val="24"/>
          <w:spacing w:val="0"/>
        </w:rPr>
        <w:t>(2), 145-155.</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Prestinaci, F., Pezzotti, P., &amp; Pantosti, A. (2019). Antimicrobial resistance: A global multifaceted phenomenon. </w:t>
      </w:r>
      <w:r>
        <w:rPr>
          <w:caps w:val="off"/>
          <w:rFonts w:ascii="Times New Roman" w:eastAsia="Times New Roman" w:hAnsi="Times New Roman" w:cs="Times New Roman"/>
          <w:b w:val="0"/>
          <w:i/>
          <w:iCs/>
          <w:w w:val="100"/>
          <w:sz w:val="24"/>
          <w:szCs w:val="24"/>
          <w:spacing w:val="0"/>
        </w:rPr>
        <w:t>Pathogens and Global Health, 113</w:t>
      </w:r>
      <w:r>
        <w:rPr>
          <w:caps w:val="off"/>
          <w:rFonts w:ascii="Times New Roman" w:eastAsia="Times New Roman" w:hAnsi="Times New Roman" w:cs="Times New Roman"/>
          <w:b w:val="0"/>
          <w:i w:val="0"/>
          <w:w w:val="100"/>
          <w:sz w:val="24"/>
          <w:szCs w:val="24"/>
          <w:spacing w:val="0"/>
        </w:rPr>
        <w:t>(7), 349–358. https://doi.org/10.1080/20477724.2019.1699494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Salehi, B., Fokou, P. V. T., &amp; Badii, F. (2021). The antimicrobial properties of Eucalyptus essential oils: A systematic review. </w:t>
      </w:r>
      <w:r>
        <w:rPr>
          <w:caps w:val="off"/>
          <w:rFonts w:ascii="Times New Roman" w:eastAsia="Times New Roman" w:hAnsi="Times New Roman" w:cs="Times New Roman"/>
          <w:b w:val="0"/>
          <w:i/>
          <w:iCs/>
          <w:w w:val="100"/>
          <w:sz w:val="24"/>
          <w:szCs w:val="24"/>
          <w:spacing w:val="0"/>
        </w:rPr>
        <w:t>Antibiotics, 10</w:t>
      </w:r>
      <w:r>
        <w:rPr>
          <w:caps w:val="off"/>
          <w:rFonts w:ascii="Times New Roman" w:eastAsia="Times New Roman" w:hAnsi="Times New Roman" w:cs="Times New Roman"/>
          <w:b w:val="0"/>
          <w:i w:val="0"/>
          <w:w w:val="100"/>
          <w:sz w:val="24"/>
          <w:szCs w:val="24"/>
          <w:spacing w:val="0"/>
        </w:rPr>
        <w:t>(9), 1090.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Salehi, B., Upadhyay, S., Erdogan Orhan, I., Kumar Jugran, A., &amp; Sharopov, F. (2021). Therapeutic potential of essential oils in bacterial infections: A review. </w:t>
      </w:r>
      <w:r>
        <w:rPr>
          <w:caps w:val="off"/>
          <w:rFonts w:ascii="Times New Roman" w:eastAsia="Times New Roman" w:hAnsi="Times New Roman" w:cs="Times New Roman"/>
          <w:b w:val="0"/>
          <w:i/>
          <w:iCs/>
          <w:w w:val="100"/>
          <w:sz w:val="24"/>
          <w:szCs w:val="24"/>
          <w:spacing w:val="0"/>
        </w:rPr>
        <w:t>Molecules, 26</w:t>
      </w:r>
      <w:r>
        <w:rPr>
          <w:caps w:val="off"/>
          <w:rFonts w:ascii="Times New Roman" w:eastAsia="Times New Roman" w:hAnsi="Times New Roman" w:cs="Times New Roman"/>
          <w:b w:val="0"/>
          <w:i w:val="0"/>
          <w:w w:val="100"/>
          <w:sz w:val="24"/>
          <w:szCs w:val="24"/>
          <w:spacing w:val="0"/>
        </w:rPr>
        <w:t>(17), 4984. https://doi.org/10.3390/molecules26174984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Salehi, B., Upadhyay, S., Erdogan Orhan, I., Kumar Jugran, A., LD Jayaweera, S., Dias, D. A., ... &amp; Sharifi-Rad, J. (2021). Therapeutic potential of Eucalyptus species phytochemicals: A review. </w:t>
      </w:r>
      <w:r>
        <w:rPr>
          <w:caps w:val="off"/>
          <w:rFonts w:ascii="Times New Roman" w:eastAsia="Times New Roman" w:hAnsi="Times New Roman" w:cs="Times New Roman"/>
          <w:b w:val="0"/>
          <w:i/>
          <w:iCs/>
          <w:w w:val="100"/>
          <w:sz w:val="24"/>
          <w:szCs w:val="24"/>
          <w:spacing w:val="0"/>
        </w:rPr>
        <w:t>Food and Chemical Toxicology</w:t>
      </w:r>
      <w:r>
        <w:rPr>
          <w:caps w:val="off"/>
          <w:rFonts w:ascii="Times New Roman" w:eastAsia="Times New Roman" w:hAnsi="Times New Roman" w:cs="Times New Roman"/>
          <w:b w:val="0"/>
          <w:i w:val="0"/>
          <w:w w:val="100"/>
          <w:sz w:val="24"/>
          <w:szCs w:val="24"/>
          <w:spacing w:val="0"/>
        </w:rPr>
        <w:t>, 148, 111974. https://doi.org/10.1016/j.fct.2021.111974</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Sani, A., Sahid, I., &amp; Madenda, S. M. (2020). Phytochemical and antibacterial activities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essential oil. </w:t>
      </w:r>
      <w:r>
        <w:rPr>
          <w:caps w:val="off"/>
          <w:rFonts w:ascii="Times New Roman" w:eastAsia="Times New Roman" w:hAnsi="Times New Roman" w:cs="Times New Roman"/>
          <w:b w:val="0"/>
          <w:i/>
          <w:iCs/>
          <w:w w:val="100"/>
          <w:sz w:val="24"/>
          <w:szCs w:val="24"/>
          <w:spacing w:val="0"/>
        </w:rPr>
        <w:t>Journal of Applied Microbiology, 129</w:t>
      </w:r>
      <w:r>
        <w:rPr>
          <w:caps w:val="off"/>
          <w:rFonts w:ascii="Times New Roman" w:eastAsia="Times New Roman" w:hAnsi="Times New Roman" w:cs="Times New Roman"/>
          <w:b w:val="0"/>
          <w:i w:val="0"/>
          <w:w w:val="100"/>
          <w:sz w:val="24"/>
          <w:szCs w:val="24"/>
          <w:spacing w:val="0"/>
        </w:rPr>
        <w:t>(5), 1241-1252.</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Serrato, L., Pereira, J., &amp; Almeida, M. S. (2020).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extracts inhibit </w:t>
      </w:r>
      <w:r>
        <w:rPr>
          <w:caps w:val="off"/>
          <w:rFonts w:ascii="Times New Roman" w:eastAsia="Times New Roman" w:hAnsi="Times New Roman" w:cs="Times New Roman"/>
          <w:b w:val="0"/>
          <w:i/>
          <w:iCs/>
          <w:w w:val="100"/>
          <w:sz w:val="24"/>
          <w:szCs w:val="24"/>
          <w:spacing w:val="0"/>
        </w:rPr>
        <w:t>Pseudomonas aeruginosa</w:t>
      </w:r>
      <w:r>
        <w:rPr>
          <w:caps w:val="off"/>
          <w:rFonts w:ascii="Times New Roman" w:eastAsia="Times New Roman" w:hAnsi="Times New Roman" w:cs="Times New Roman"/>
          <w:b w:val="0"/>
          <w:i w:val="0"/>
          <w:w w:val="100"/>
          <w:sz w:val="24"/>
          <w:szCs w:val="24"/>
          <w:spacing w:val="0"/>
        </w:rPr>
        <w:t xml:space="preserve"> biofilm formation and planktonic growth. </w:t>
      </w:r>
      <w:r>
        <w:rPr>
          <w:caps w:val="off"/>
          <w:rFonts w:ascii="Times New Roman" w:eastAsia="Times New Roman" w:hAnsi="Times New Roman" w:cs="Times New Roman"/>
          <w:b w:val="0"/>
          <w:i/>
          <w:iCs/>
          <w:w w:val="100"/>
          <w:sz w:val="24"/>
          <w:szCs w:val="24"/>
          <w:spacing w:val="0"/>
        </w:rPr>
        <w:t>Microorganisms, 8</w:t>
      </w:r>
      <w:r>
        <w:rPr>
          <w:caps w:val="off"/>
          <w:rFonts w:ascii="Times New Roman" w:eastAsia="Times New Roman" w:hAnsi="Times New Roman" w:cs="Times New Roman"/>
          <w:b w:val="0"/>
          <w:i w:val="0"/>
          <w:w w:val="100"/>
          <w:sz w:val="24"/>
          <w:szCs w:val="24"/>
          <w:spacing w:val="0"/>
        </w:rPr>
        <w:t>(11), 1759.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Silva, D. M., Souza, R. A., &amp; Silva, M. F. (2020). Antibacterial activity of </w:t>
      </w:r>
      <w:r>
        <w:rPr>
          <w:caps w:val="off"/>
          <w:rFonts w:ascii="Times New Roman" w:eastAsia="Times New Roman" w:hAnsi="Times New Roman" w:cs="Times New Roman"/>
          <w:b w:val="0"/>
          <w:i/>
          <w:iCs/>
          <w:w w:val="100"/>
          <w:sz w:val="24"/>
          <w:szCs w:val="24"/>
          <w:spacing w:val="0"/>
        </w:rPr>
        <w:t>Eucalyptus globulus</w:t>
      </w:r>
      <w:r>
        <w:rPr>
          <w:caps w:val="off"/>
          <w:rFonts w:ascii="Times New Roman" w:eastAsia="Times New Roman" w:hAnsi="Times New Roman" w:cs="Times New Roman"/>
          <w:b w:val="0"/>
          <w:i w:val="0"/>
          <w:w w:val="100"/>
          <w:sz w:val="24"/>
          <w:szCs w:val="24"/>
          <w:spacing w:val="0"/>
        </w:rPr>
        <w:t xml:space="preserve"> against clinical bacterial isolates. </w:t>
      </w:r>
      <w:r>
        <w:rPr>
          <w:caps w:val="off"/>
          <w:rFonts w:ascii="Times New Roman" w:eastAsia="Times New Roman" w:hAnsi="Times New Roman" w:cs="Times New Roman"/>
          <w:b w:val="0"/>
          <w:i/>
          <w:iCs/>
          <w:w w:val="100"/>
          <w:sz w:val="24"/>
          <w:szCs w:val="24"/>
          <w:spacing w:val="0"/>
        </w:rPr>
        <w:t>Brazilian Journal of Pharmacognosy, 30</w:t>
      </w:r>
      <w:r>
        <w:rPr>
          <w:caps w:val="off"/>
          <w:rFonts w:ascii="Times New Roman" w:eastAsia="Times New Roman" w:hAnsi="Times New Roman" w:cs="Times New Roman"/>
          <w:b w:val="0"/>
          <w:i w:val="0"/>
          <w:w w:val="100"/>
          <w:sz w:val="24"/>
          <w:szCs w:val="24"/>
          <w:spacing w:val="0"/>
        </w:rPr>
        <w:t>(6), 763-770.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Silva, J. K. R., Figueiredo, P. L. B., &amp; Setzer, W. N. (2020). Essential oils from the Myrtaceae family and their antimicrobial activity against resistant pathogens. </w:t>
      </w:r>
      <w:r>
        <w:rPr>
          <w:caps w:val="off"/>
          <w:rFonts w:ascii="Times New Roman" w:eastAsia="Times New Roman" w:hAnsi="Times New Roman" w:cs="Times New Roman"/>
          <w:b w:val="0"/>
          <w:i/>
          <w:iCs/>
          <w:w w:val="100"/>
          <w:sz w:val="24"/>
          <w:szCs w:val="24"/>
          <w:spacing w:val="0"/>
        </w:rPr>
        <w:t>Molecules, 25</w:t>
      </w:r>
      <w:r>
        <w:rPr>
          <w:caps w:val="off"/>
          <w:rFonts w:ascii="Times New Roman" w:eastAsia="Times New Roman" w:hAnsi="Times New Roman" w:cs="Times New Roman"/>
          <w:b w:val="0"/>
          <w:i w:val="0"/>
          <w:w w:val="100"/>
          <w:sz w:val="24"/>
          <w:szCs w:val="24"/>
          <w:spacing w:val="0"/>
        </w:rPr>
        <w:t>(14), 3276. https://doi.org/10.3390/molecules25143276</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Singh, P., Kaur, N., &amp; Kaur, G. (2021). Role of phytochemicals in combating antibiotic resistance: A review. </w:t>
      </w:r>
      <w:r>
        <w:rPr>
          <w:rStyle w:val="style88"/>
          <w:caps w:val="off"/>
          <w:rFonts w:ascii="Times New Roman" w:eastAsia="Times New Roman" w:hAnsi="Times New Roman" w:cs="Times New Roman"/>
          <w:b w:val="0"/>
          <w:i/>
          <w:w w:val="100"/>
          <w:sz w:val="24"/>
          <w:spacing w:val="0"/>
        </w:rPr>
        <w:t>Biomedicine &amp; Pharmacotherapy</w:t>
      </w:r>
      <w:r>
        <w:rPr>
          <w:caps w:val="off"/>
          <w:rFonts w:ascii="Times New Roman" w:eastAsia="Times New Roman" w:hAnsi="Times New Roman" w:cs="Times New Roman"/>
          <w:b w:val="0"/>
          <w:i w:val="0"/>
          <w:w w:val="100"/>
          <w:sz w:val="24"/>
          <w:spacing w:val="0"/>
        </w:rPr>
        <w:t>, 134, 111121.</w:t>
      </w:r>
    </w:p>
    <w:p>
      <w:pPr>
        <w:pStyle w:val="style94"/>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pacing w:val="0"/>
        </w:rPr>
      </w:pPr>
      <w:r>
        <w:rPr>
          <w:caps w:val="off"/>
          <w:rFonts w:ascii="Times New Roman" w:eastAsia="Times New Roman" w:hAnsi="Times New Roman" w:cs="Times New Roman"/>
          <w:b w:val="0"/>
          <w:i w:val="0"/>
          <w:w w:val="100"/>
          <w:sz w:val="24"/>
          <w:spacing w:val="0"/>
        </w:rPr>
        <w:t xml:space="preserve">Taiwo, A. O., Lawal, O. A., &amp; Adeyemi, O. A. (2021). Antibacterial effects of </w:t>
      </w:r>
      <w:r>
        <w:rPr>
          <w:rStyle w:val="style88"/>
          <w:caps w:val="off"/>
          <w:rFonts w:ascii="Times New Roman" w:eastAsia="Times New Roman" w:hAnsi="Times New Roman" w:cs="Times New Roman"/>
          <w:b w:val="0"/>
          <w:i/>
          <w:w w:val="100"/>
          <w:sz w:val="24"/>
          <w:spacing w:val="0"/>
        </w:rPr>
        <w:t>Eucalyptus globulus</w:t>
      </w:r>
      <w:r>
        <w:rPr>
          <w:caps w:val="off"/>
          <w:rFonts w:ascii="Times New Roman" w:eastAsia="Times New Roman" w:hAnsi="Times New Roman" w:cs="Times New Roman"/>
          <w:b w:val="0"/>
          <w:i w:val="0"/>
          <w:w w:val="100"/>
          <w:sz w:val="24"/>
          <w:spacing w:val="0"/>
        </w:rPr>
        <w:t xml:space="preserve"> ethanol extracts on multidrug-resistant clinical isolates. </w:t>
      </w:r>
      <w:r>
        <w:rPr>
          <w:rStyle w:val="style88"/>
          <w:caps w:val="off"/>
          <w:rFonts w:ascii="Times New Roman" w:eastAsia="Times New Roman" w:hAnsi="Times New Roman" w:cs="Times New Roman"/>
          <w:b w:val="0"/>
          <w:i/>
          <w:w w:val="100"/>
          <w:sz w:val="24"/>
          <w:spacing w:val="0"/>
        </w:rPr>
        <w:t>International Journal of Microbiology</w:t>
      </w:r>
      <w:r>
        <w:rPr>
          <w:caps w:val="off"/>
          <w:rFonts w:ascii="Times New Roman" w:eastAsia="Times New Roman" w:hAnsi="Times New Roman" w:cs="Times New Roman"/>
          <w:b w:val="0"/>
          <w:i w:val="0"/>
          <w:w w:val="100"/>
          <w:sz w:val="24"/>
          <w:spacing w:val="0"/>
        </w:rPr>
        <w:t>, 2021, Article ID 8887653.</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Tucker, M. T., Diaz, G. J., &amp; Hernandez, L. (2019). Antibiotic resistance mechanisms in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A review. </w:t>
      </w:r>
      <w:r>
        <w:rPr>
          <w:caps w:val="off"/>
          <w:rFonts w:ascii="Times New Roman" w:eastAsia="Times New Roman" w:hAnsi="Times New Roman" w:cs="Times New Roman"/>
          <w:b w:val="0"/>
          <w:i/>
          <w:iCs/>
          <w:w w:val="100"/>
          <w:sz w:val="24"/>
          <w:szCs w:val="24"/>
          <w:spacing w:val="0"/>
        </w:rPr>
        <w:t>Microorganisms, 7</w:t>
      </w:r>
      <w:r>
        <w:rPr>
          <w:caps w:val="off"/>
          <w:rFonts w:ascii="Times New Roman" w:eastAsia="Times New Roman" w:hAnsi="Times New Roman" w:cs="Times New Roman"/>
          <w:b w:val="0"/>
          <w:i w:val="0"/>
          <w:w w:val="100"/>
          <w:sz w:val="24"/>
          <w:szCs w:val="24"/>
          <w:spacing w:val="0"/>
        </w:rPr>
        <w:t>(2), 69-80.</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World Health Organization (WHO). (2020). </w:t>
      </w:r>
      <w:r>
        <w:rPr>
          <w:caps w:val="off"/>
          <w:rFonts w:ascii="Times New Roman" w:eastAsia="Times New Roman" w:hAnsi="Times New Roman" w:cs="Times New Roman"/>
          <w:b w:val="0"/>
          <w:i/>
          <w:iCs/>
          <w:w w:val="100"/>
          <w:sz w:val="24"/>
          <w:szCs w:val="24"/>
          <w:spacing w:val="0"/>
        </w:rPr>
        <w:t>Antibacterial agents in clinical development: An analysis of the antibacterial clinical development pipeline</w:t>
      </w:r>
      <w:r>
        <w:rPr>
          <w:caps w:val="off"/>
          <w:rFonts w:ascii="Times New Roman" w:eastAsia="Times New Roman" w:hAnsi="Times New Roman" w:cs="Times New Roman"/>
          <w:b w:val="0"/>
          <w:i w:val="0"/>
          <w:w w:val="100"/>
          <w:sz w:val="24"/>
          <w:szCs w:val="24"/>
          <w:spacing w:val="0"/>
        </w:rPr>
        <w:t xml:space="preserve">. Retrieved from </w:t>
      </w:r>
      <w:r>
        <w:fldChar w:fldCharType="begin"/>
      </w:r>
      <w:r>
        <w:instrText xml:space="preserve"> HYPERLINK "https://www.who.int/publications/i/item/9789240000193" \t "_new" </w:instrText>
      </w:r>
      <w:r>
        <w:fldChar w:fldCharType="separate"/>
      </w:r>
      <w:r>
        <w:rPr>
          <w:caps w:val="off"/>
          <w:rFonts w:ascii="Times New Roman" w:eastAsia="Times New Roman" w:hAnsi="Times New Roman" w:cs="Times New Roman"/>
          <w:b w:val="0"/>
          <w:i w:val="0"/>
          <w:color w:val="0000FF"/>
          <w:w w:val="100"/>
          <w:sz w:val="24"/>
          <w:szCs w:val="24"/>
          <w:u w:val="single" w:color="0000FF"/>
          <w:spacing w:val="0"/>
        </w:rPr>
        <w:t>https://www.who.int/publications/i/item/9789240000193</w:t>
      </w:r>
      <w:r>
        <w:fldChar w:fldCharType="end"/>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Wu, Q., Zhang, Y., &amp; Wang, X. (2020). The epidemiology of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infections and its antibiotic resistance. </w:t>
      </w:r>
      <w:r>
        <w:rPr>
          <w:caps w:val="off"/>
          <w:rFonts w:ascii="Times New Roman" w:eastAsia="Times New Roman" w:hAnsi="Times New Roman" w:cs="Times New Roman"/>
          <w:b w:val="0"/>
          <w:i/>
          <w:iCs/>
          <w:w w:val="100"/>
          <w:sz w:val="24"/>
          <w:szCs w:val="24"/>
          <w:spacing w:val="0"/>
        </w:rPr>
        <w:t>Infection Control and Hospital Epidemiology, 41</w:t>
      </w:r>
      <w:r>
        <w:rPr>
          <w:caps w:val="off"/>
          <w:rFonts w:ascii="Times New Roman" w:eastAsia="Times New Roman" w:hAnsi="Times New Roman" w:cs="Times New Roman"/>
          <w:b w:val="0"/>
          <w:i w:val="0"/>
          <w:w w:val="100"/>
          <w:sz w:val="24"/>
          <w:szCs w:val="24"/>
          <w:spacing w:val="0"/>
        </w:rPr>
        <w:t>(10), 1211-1218.</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Zong, Z., Xie, Y., &amp; Zhang, H. (2020). Molecular mechanisms of antimicrobial resistance in </w:t>
      </w:r>
      <w:r>
        <w:rPr>
          <w:caps w:val="off"/>
          <w:rFonts w:ascii="Times New Roman" w:eastAsia="Times New Roman" w:hAnsi="Times New Roman" w:cs="Times New Roman"/>
          <w:b w:val="0"/>
          <w:i/>
          <w:iCs/>
          <w:w w:val="100"/>
          <w:sz w:val="24"/>
          <w:szCs w:val="24"/>
          <w:spacing w:val="0"/>
        </w:rPr>
        <w:t>Escherichia coli</w:t>
      </w:r>
      <w:r>
        <w:rPr>
          <w:caps w:val="off"/>
          <w:rFonts w:ascii="Times New Roman" w:eastAsia="Times New Roman" w:hAnsi="Times New Roman" w:cs="Times New Roman"/>
          <w:b w:val="0"/>
          <w:i w:val="0"/>
          <w:w w:val="100"/>
          <w:sz w:val="24"/>
          <w:szCs w:val="24"/>
          <w:spacing w:val="0"/>
        </w:rPr>
        <w:t xml:space="preserve">. </w:t>
      </w:r>
      <w:r>
        <w:rPr>
          <w:caps w:val="off"/>
          <w:rFonts w:ascii="Times New Roman" w:eastAsia="Times New Roman" w:hAnsi="Times New Roman" w:cs="Times New Roman"/>
          <w:b w:val="0"/>
          <w:i/>
          <w:iCs/>
          <w:w w:val="100"/>
          <w:sz w:val="24"/>
          <w:szCs w:val="24"/>
          <w:spacing w:val="0"/>
        </w:rPr>
        <w:t>International Journal of Antimicrobial Agents, 56</w:t>
      </w:r>
      <w:r>
        <w:rPr>
          <w:caps w:val="off"/>
          <w:rFonts w:ascii="Times New Roman" w:eastAsia="Times New Roman" w:hAnsi="Times New Roman" w:cs="Times New Roman"/>
          <w:b w:val="0"/>
          <w:i w:val="0"/>
          <w:w w:val="100"/>
          <w:sz w:val="24"/>
          <w:szCs w:val="24"/>
          <w:spacing w:val="0"/>
        </w:rPr>
        <w:t>(2), 188-199.</w:t>
      </w:r>
    </w:p>
    <w:p>
      <w:pPr>
        <w:pStyle w:val="normal"/>
        <w:ind w:left="567" w:hanging="567"/>
        <w:snapToGrid w:val="0"/>
        <w:jc w:val="both"/>
        <w:spacing w:after="312" w:afterAutospacing="1" w:before="312" w:beforeAutospacing="1" w:line="240" w:lineRule="auto"/>
        <w:textAlignment w:val="baseline"/>
        <w:rPr>
          <w:caps w:val="off"/>
          <w:rFonts w:ascii="Times New Roman" w:eastAsia="Times New Roman" w:hAnsi="Times New Roman" w:cs="Times New Roman"/>
          <w:b w:val="0"/>
          <w:i w:val="0"/>
          <w:w w:val="100"/>
          <w:sz w:val="24"/>
          <w:szCs w:val="24"/>
          <w:spacing w:val="0"/>
        </w:rPr>
      </w:pPr>
      <w:r>
        <w:rPr>
          <w:caps w:val="off"/>
          <w:rFonts w:ascii="Times New Roman" w:eastAsia="Times New Roman" w:hAnsi="Times New Roman" w:cs="Times New Roman"/>
          <w:b w:val="0"/>
          <w:i w:val="0"/>
          <w:w w:val="100"/>
          <w:sz w:val="24"/>
          <w:szCs w:val="24"/>
          <w:spacing w:val="0"/>
        </w:rPr>
        <w:t xml:space="preserve">Zong, Z., Zhang, H., &amp; Xie, S. (2020). Methicillin-resistant </w:t>
      </w:r>
      <w:r>
        <w:rPr>
          <w:caps w:val="off"/>
          <w:rFonts w:ascii="Times New Roman" w:eastAsia="Times New Roman" w:hAnsi="Times New Roman" w:cs="Times New Roman"/>
          <w:b w:val="0"/>
          <w:i/>
          <w:iCs/>
          <w:w w:val="100"/>
          <w:sz w:val="24"/>
          <w:szCs w:val="24"/>
          <w:spacing w:val="0"/>
        </w:rPr>
        <w:t>Staphylococcus aureus</w:t>
      </w:r>
      <w:r>
        <w:rPr>
          <w:caps w:val="off"/>
          <w:rFonts w:ascii="Times New Roman" w:eastAsia="Times New Roman" w:hAnsi="Times New Roman" w:cs="Times New Roman"/>
          <w:b w:val="0"/>
          <w:i w:val="0"/>
          <w:w w:val="100"/>
          <w:sz w:val="24"/>
          <w:szCs w:val="24"/>
          <w:spacing w:val="0"/>
        </w:rPr>
        <w:t xml:space="preserve"> and its resistance mechanisms. </w:t>
      </w:r>
      <w:r>
        <w:rPr>
          <w:caps w:val="off"/>
          <w:rFonts w:ascii="Times New Roman" w:eastAsia="Times New Roman" w:hAnsi="Times New Roman" w:cs="Times New Roman"/>
          <w:b w:val="0"/>
          <w:i/>
          <w:iCs/>
          <w:w w:val="100"/>
          <w:sz w:val="24"/>
          <w:szCs w:val="24"/>
          <w:spacing w:val="0"/>
        </w:rPr>
        <w:t>Clinical Microbiology Reviews, 33</w:t>
      </w:r>
      <w:r>
        <w:rPr>
          <w:caps w:val="off"/>
          <w:rFonts w:ascii="Times New Roman" w:eastAsia="Times New Roman" w:hAnsi="Times New Roman" w:cs="Times New Roman"/>
          <w:b w:val="0"/>
          <w:i w:val="0"/>
          <w:w w:val="100"/>
          <w:sz w:val="24"/>
          <w:szCs w:val="24"/>
          <w:spacing w:val="0"/>
        </w:rPr>
        <w:t>(1), e00094-19.</w:t>
      </w: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Heading1"/>
        <w:snapToGrid w:val="0"/>
        <w:jc w:val="center"/>
        <w:spacing w:after="0" w:afterAutospacing="0" w:before="240" w:beforeAutospacing="0" w:line="259" w:lineRule="auto"/>
        <w:textAlignment w:val="baseline"/>
        <w:rPr>
          <w:caps w:val="off"/>
          <w:rFonts w:ascii="Times New Roman" w:eastAsia="宋体" w:hAnsi="Times New Roman" w:cs="宋体"/>
          <w:b/>
          <w:i w:val="0"/>
          <w:color w:val="000000"/>
          <w:w w:val="100"/>
          <w:sz w:val="24"/>
          <w:spacing w:val="0"/>
        </w:rPr>
      </w:pPr>
      <w:r>
        <w:rPr>
          <w:caps w:val="off"/>
          <w:rFonts w:ascii="Times New Roman" w:eastAsia="宋体" w:hAnsi="Times New Roman" w:cs="宋体"/>
          <w:b/>
          <w:i w:val="0"/>
          <w:color w:val="000000"/>
          <w:w w:val="100"/>
          <w:sz w:val="24"/>
          <w:spacing w:val="0"/>
        </w:rPr>
        <w:t>APPENDIX</w:t>
      </w: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drawing>
          <wp:anchor distT="0" distB="0" distL="114300" distR="114300" behindDoc="0" locked="0" layoutInCell="1" simplePos="0" relativeHeight="9" allowOverlap="1" hidden="0">
            <wp:simplePos x="0" y="0"/>
            <wp:positionH relativeFrom="column">
              <wp:posOffset>0</wp:posOffset>
            </wp:positionH>
            <wp:positionV relativeFrom="paragraph">
              <wp:posOffset>3906332</wp:posOffset>
            </wp:positionV>
            <wp:extent cx="1819275" cy="2057400"/>
            <wp:effectExtent l="0" t="0" r="0" b="0"/>
            <wp:wrapSquare wrapText="bothSides"/>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1819275" cy="2057400"/>
                    </a:xfrm>
                    <a:prstGeom prst="rect"/>
                    <a:ln>
                      <a:noFill/>
                    </a:ln>
                  </pic:spPr>
                </pic:pic>
              </a:graphicData>
            </a:graphic>
          </wp:anchor>
        </w:drawing>
      </w: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rPr>
          <w:caps w:val="off"/>
          <w:rFonts w:ascii="Times New Roman" w:hAnsi="Times New Roman" w:cs="Times New Roman"/>
          <w:b w:val="0"/>
          <w:i w:val="0"/>
          <w:w w:val="100"/>
          <w:sz w:val="24"/>
          <w:szCs w:val="24"/>
          <w:spacing w:val="0"/>
        </w:rPr>
        <w:t xml:space="preserve">                                      </w:t>
      </w:r>
      <w:r>
        <w:drawing>
          <wp:inline distT="0" distB="0" distL="0" distR="0">
            <wp:extent cx="2223770" cy="1609725"/>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223770" cy="1609725"/>
                    </a:xfrm>
                    <a:prstGeom prst="rect"/>
                    <a:ln>
                      <a:noFill/>
                    </a:ln>
                  </pic:spPr>
                </pic:pic>
              </a:graphicData>
            </a:graphic>
          </wp:inline>
        </w:drawing>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mc:AlternateContent>
          <mc:Choice Requires="wps">
            <w:drawing>
              <wp:anchor distT="0" distB="0" distL="0" distR="0" behindDoc="0" locked="0" layoutInCell="1" simplePos="0" relativeHeight="8" allowOverlap="1" hidden="0">
                <wp:simplePos x="0" y="0"/>
                <wp:positionH relativeFrom="column">
                  <wp:posOffset>-104775</wp:posOffset>
                </wp:positionH>
                <wp:positionV relativeFrom="paragraph">
                  <wp:posOffset>112395</wp:posOffset>
                </wp:positionV>
                <wp:extent cx="2400300" cy="438150"/>
                <wp:effectExtent l="6350" t="6350" r="6350" b="6350"/>
                <wp:wrapNone/>
                <wp:docPr id="1034" name="shape1034" hidden="0"/>
                <wp:cNvGraphicFramePr/>
                <a:graphic xmlns:a="http://schemas.openxmlformats.org/drawingml/2006/main">
                  <a:graphicData uri="http://schemas.microsoft.com/office/word/2010/wordprocessingShape">
                    <wps:wsp>
                      <wps:cNvSpPr>
                        <a:spLocks/>
                      </wps:cNvSpPr>
                      <wps:spPr>
                        <a:xfrm>
                          <a:off x="0" y="0"/>
                          <a:ext cx="2400300" cy="438150"/>
                        </a:xfrm>
                        <a:prstGeom prst="rect">
                          <a:avLst/>
                        </a:prstGeom>
                        <a:solidFill>
                          <a:srgbClr val="ffffff"/>
                        </a:solidFill>
                        <a:ln w="12700">
                          <a:solidFill>
                            <a:srgbClr val="000000"/>
                          </a:solidFill>
                          <a:miter lim="524288"/>
                        </a:ln>
                      </wps:spPr>
                      <wps:txbx>
                        <w:txbxContent>
                          <w:p>
                            <w:pPr>
                              <w:pStyle w:val="normal"/>
                              <w:rPr>
                                <w:rFonts w:ascii="Times New Roman" w:hAnsi="Times New Roman" w:cs="Times New Roman"/>
                                <w:color w:val="000000"/>
                                <w:sz w:val="24"/>
                                <w:szCs w:val="24"/>
                              </w:rPr>
                            </w:pPr>
                            <w:r>
                              <w:rPr>
                                <w:rFonts w:ascii="Times New Roman" w:hAnsi="Times New Roman" w:cs="Times New Roman"/>
                                <w:color w:val="000000"/>
                                <w:sz w:val="24"/>
                                <w:szCs w:val="24"/>
                              </w:rPr>
                              <w:t xml:space="preserve">Plate 2: MIC result of </w:t>
                            </w:r>
                            <w:r>
                              <w:rPr>
                                <w:rFonts w:ascii="Times New Roman" w:hAnsi="Times New Roman" w:cs="Times New Roman"/>
                                <w:i/>
                                <w:color w:val="000000"/>
                                <w:sz w:val="24"/>
                                <w:szCs w:val="24"/>
                              </w:rPr>
                              <w:t>E. coli</w:t>
                            </w:r>
                            <w:r>
                              <w:rPr>
                                <w:rFonts w:ascii="Times New Roman" w:hAnsi="Times New Roman" w:cs="Times New Roman"/>
                                <w:color w:val="000000"/>
                                <w:sz w:val="24"/>
                                <w:szCs w:val="24"/>
                              </w:rPr>
                              <w:t xml:space="preserve"> at 0.2 concentration</w:t>
                            </w:r>
                          </w:p>
                          <w:p>
                            <w:pPr>
                              <w:pStyle w:val="normal"/>
                              <w:jc w:val="center"/>
                              <w:rPr>
                                <w:color w:val="000000"/>
                              </w:rPr>
                            </w:pPr>
                          </w:p>
                        </w:txbxContent>
                      </wps:txbx>
                      <wps:bodyPr rot="0" vert="horz" wrap="square" lIns="91440" tIns="45720" rIns="91440" bIns="45720" anchor="ctr">
                        <a:noAutofit/>
                      </wps:bodyPr>
                    </wps:wsp>
                  </a:graphicData>
                </a:graphic>
              </wp:anchor>
            </w:drawing>
          </mc:Choice>
          <mc:Fallback>
            <w:pict>
              <v:rect id="1034" style="position:absolute;margin-left:-8.25pt;margin-top:8.85pt;width:189pt;height:34.5pt;mso-wrap-style:infront;mso-position-horizontal-relative:column;mso-position-vertical-relative:line;v-text-anchor:middle;z-index:8" o:allowincell="t" filled="t" fillcolor="#ffffff" stroked="t" strokecolor="#0" strokeweight="1pt">
                <v:textbox inset="2.5mm,1.3mm,2.5mm,1.3mm">
                  <w:txbxContent>
                    <w:p>
                      <w:pPr>
                        <w:pStyle w:val="normal"/>
                        <w:rPr>
                          <w:rFonts w:ascii="Times New Roman" w:hAnsi="Times New Roman" w:cs="Times New Roman"/>
                          <w:color w:val="000000"/>
                          <w:sz w:val="24"/>
                          <w:szCs w:val="24"/>
                        </w:rPr>
                      </w:pPr>
                      <w:r>
                        <w:rPr>
                          <w:rFonts w:ascii="Times New Roman" w:hAnsi="Times New Roman" w:cs="Times New Roman"/>
                          <w:color w:val="000000"/>
                          <w:sz w:val="24"/>
                          <w:szCs w:val="24"/>
                        </w:rPr>
                        <w:t xml:space="preserve">Plate 2: MIC result of </w:t>
                      </w:r>
                      <w:r>
                        <w:rPr>
                          <w:rFonts w:ascii="Times New Roman" w:hAnsi="Times New Roman" w:cs="Times New Roman"/>
                          <w:i/>
                          <w:color w:val="000000"/>
                          <w:sz w:val="24"/>
                          <w:szCs w:val="24"/>
                        </w:rPr>
                        <w:t>E. coli</w:t>
                      </w:r>
                      <w:r>
                        <w:rPr>
                          <w:rFonts w:ascii="Times New Roman" w:hAnsi="Times New Roman" w:cs="Times New Roman"/>
                          <w:color w:val="000000"/>
                          <w:sz w:val="24"/>
                          <w:szCs w:val="24"/>
                        </w:rPr>
                        <w:t xml:space="preserve"> at 0.2 concentration</w:t>
                      </w:r>
                    </w:p>
                    <w:p>
                      <w:pPr>
                        <w:pStyle w:val="normal"/>
                        <w:jc w:val="center"/>
                        <w:rPr>
                          <w:color w:val="000000"/>
                        </w:rPr>
                      </w:pPr>
                    </w:p>
                  </w:txbxContent>
                </v:textbox>
                <v:stroke/>
              </v:rect>
            </w:pict>
          </mc:Fallback>
        </mc:AlternateContent>
      </w:r>
      <w:r>
        <w:rPr>
          <w:caps w:val="off"/>
          <w:rFonts w:ascii="Times New Roman" w:hAnsi="Times New Roman" w:cs="Times New Roman"/>
          <w:b w:val="0"/>
          <w:i w:val="0"/>
          <w:w w:val="100"/>
          <w:sz w:val="24"/>
          <w:szCs w:val="24"/>
          <w:spacing w:val="0"/>
        </w:rPr>
        <w:t xml:space="preserve">                          Plate 2: MIC result of </w:t>
      </w:r>
      <w:r>
        <w:rPr>
          <w:caps w:val="off"/>
          <w:rFonts w:ascii="Times New Roman" w:hAnsi="Times New Roman" w:cs="Times New Roman"/>
          <w:b w:val="0"/>
          <w:i/>
          <w:w w:val="100"/>
          <w:sz w:val="24"/>
          <w:szCs w:val="24"/>
          <w:spacing w:val="0"/>
        </w:rPr>
        <w:t>E. coli</w:t>
      </w:r>
      <w:r>
        <w:rPr>
          <w:caps w:val="off"/>
          <w:rFonts w:ascii="Times New Roman" w:hAnsi="Times New Roman" w:cs="Times New Roman"/>
          <w:b w:val="0"/>
          <w:i w:val="0"/>
          <w:w w:val="100"/>
          <w:sz w:val="24"/>
          <w:szCs w:val="24"/>
          <w:spacing w:val="0"/>
        </w:rPr>
        <w:t xml:space="preserve"> at 0.2 concentration</w:t>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drawing>
          <wp:inline distT="0" distB="0" distL="0" distR="0">
            <wp:extent cx="2255506" cy="2345870"/>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255506" cy="2345870"/>
                    </a:xfrm>
                    <a:prstGeom prst="rect"/>
                    <a:ln>
                      <a:noFill/>
                    </a:ln>
                  </pic:spPr>
                </pic:pic>
              </a:graphicData>
            </a:graphic>
          </wp:inline>
        </w:drawing>
      </w:r>
      <w:r>
        <w:rPr>
          <w:caps w:val="off"/>
          <w:lang w:val="en-US"/>
          <w:rFonts w:ascii="Calibri" w:eastAsia="Calibri" w:hAnsi="Calibri" w:cs="宋体"/>
          <w:b w:val="0"/>
          <w:i w:val="0"/>
          <w:noProof/>
          <w:w w:val="100"/>
          <w:sz w:val="22"/>
          <w:spacing w:val="0"/>
        </w:rPr>
        <w:t xml:space="preserve">                     </w:t>
      </w:r>
      <w:r>
        <w:drawing>
          <wp:inline distT="0" distB="0" distL="0" distR="0">
            <wp:extent cx="2823304" cy="2423121"/>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t="21676" r="4997" b="17172"/>
                    <a:stretch>
                      <a:fillRect/>
                    </a:stretch>
                  </pic:blipFill>
                  <pic:spPr>
                    <a:xfrm>
                      <a:off x="0" y="0"/>
                      <a:ext cx="2823304" cy="2423121"/>
                    </a:xfrm>
                    <a:prstGeom prst="rect"/>
                  </pic:spPr>
                </pic:pic>
              </a:graphicData>
            </a:graphic>
          </wp:inline>
        </w:drawing>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rPr>
          <w:caps w:val="off"/>
          <w:rFonts w:ascii="Times New Roman" w:hAnsi="Times New Roman" w:cs="Times New Roman"/>
          <w:b w:val="0"/>
          <w:i w:val="0"/>
          <w:w w:val="100"/>
          <w:sz w:val="24"/>
          <w:szCs w:val="24"/>
          <w:spacing w:val="0"/>
        </w:rPr>
        <w:t>PLATE 3: MIC result of MRSA at 0.15 concentration</w:t>
      </w:r>
    </w:p>
    <w:p>
      <w:pPr>
        <w:pStyle w:val="normal"/>
        <w:snapToGrid w:val="0"/>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rPr>
          <w:caps w:val="off"/>
          <w:rFonts w:ascii="Times New Roman" w:hAnsi="Times New Roman" w:cs="Times New Roman"/>
          <w:b w:val="0"/>
          <w:i w:val="0"/>
          <w:w w:val="100"/>
          <w:sz w:val="24"/>
          <w:szCs w:val="24"/>
          <w:spacing w:val="0"/>
        </w:rPr>
        <w:t xml:space="preserve"> </w:t>
      </w: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r>
        <w:drawing>
          <wp:inline distT="0" distB="0" distL="180" distR="180">
            <wp:extent cx="3300841" cy="4401122"/>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3300841" cy="4401122"/>
                    </a:xfrm>
                    <a:prstGeom prst="rect"/>
                  </pic:spPr>
                </pic:pic>
              </a:graphicData>
            </a:graphic>
          </wp:inline>
        </w:drawing>
      </w:r>
    </w:p>
    <w:p>
      <w:pPr>
        <w:pStyle w:val="normal"/>
        <w:snapToGrid w:val="0"/>
        <w:jc w:val="center"/>
        <w:spacing w:after="160" w:afterAutospacing="0" w:before="0" w:beforeAutospacing="0" w:line="259" w:lineRule="auto"/>
        <w:textAlignment w:val="baseline"/>
        <w:rPr>
          <w:caps w:val="off"/>
          <w:rFonts w:ascii="Times New Roman" w:hAnsi="Times New Roman" w:cs="Times New Roman"/>
          <w:b w:val="0"/>
          <w:i w:val="0"/>
          <w:w w:val="100"/>
          <w:sz w:val="24"/>
          <w:szCs w:val="24"/>
          <w:spacing w:val="0"/>
        </w:rPr>
      </w:pPr>
    </w:p>
    <w:sectPr>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00007A87" w:usb1="80000000" w:usb2="00000008" w:usb3="00000001" w:csb0="400001FF" w:csb1="FFFF0000"/>
  </w:font>
  <w:font w:name="Calibri">
    <w:panose1 w:val="020F0502020204030204"/>
    <w:family w:val="swiss"/>
    <w:charset w:val="00"/>
    <w:notTrueType w:val="false"/>
    <w:sig w:usb0="E00002FF" w:usb1="4000ACFF" w:usb2="00000001" w:usb3="00000001" w:csb0="2000019F" w:csb1="00000001"/>
  </w:font>
  <w:font w:name="宋体">
    <w:panose1 w:val="02010600030101010101"/>
    <w:notTrueType w:val="false"/>
    <w:sig w:usb0="00000003" w:usb1="080E0000" w:usb2="00000001" w:usb3="00000001" w:csb0="00040001" w:csb1="00000001"/>
  </w:font>
  <w:font w:name="Symbol">
    <w:panose1 w:val="05050102010706020507"/>
    <w:family w:val="roman"/>
    <w:charset w:val="02"/>
    <w:notTrueType w:val="false"/>
    <w:sig w:usb0="00000001" w:usb1="00000001" w:usb2="00000001" w:usb3="00000001" w:csb0="80000000" w:csb1="00000001"/>
  </w:font>
  <w:font w:name="Calibri Light">
    <w:panose1 w:val="020F0302020204030204"/>
    <w:family w:val="swiss"/>
    <w:charset w:val="00"/>
    <w:notTrueType w:val="false"/>
    <w:sig w:usb0="A00002EF" w:usb1="4000207B" w:usb2="00000001" w:usb3="00000001" w:csb0="2000019F"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2"/>
    <w:multiLevelType w:val="multilevel"/>
    <w:tmpl w:val="beaece92"/>
    <w:lvl w:ilvl="0">
      <w:start w:val="1"/>
      <w:numFmt w:val="lowerRoman"/>
      <w:lvlText w:val="%1."/>
      <w:lvlJc w:val="right"/>
      <w:pPr>
        <w:ind w:left="720" w:hanging="360"/>
        <w:tabs>
          <w:tab w:val="left" w:pos="720"/>
        </w:tabs>
      </w:pPr>
    </w:lvl>
    <w:lvl w:ilvl="1" w:tentative="on">
      <w:start w:val="1"/>
      <w:lvlText w:val="%2."/>
      <w:lvlJc w:val="left"/>
      <w:pPr>
        <w:ind w:left="1440" w:hanging="360"/>
        <w:tabs>
          <w:tab w:val="left" w:pos="1440"/>
        </w:tabs>
      </w:pPr>
    </w:lvl>
    <w:lvl w:ilvl="2" w:tentative="on">
      <w:start w:val="1"/>
      <w:lvlText w:val="%3."/>
      <w:lvlJc w:val="left"/>
      <w:pPr>
        <w:ind w:left="2160" w:hanging="360"/>
        <w:tabs>
          <w:tab w:val="left" w:pos="2160"/>
        </w:tabs>
      </w:pPr>
    </w:lvl>
    <w:lvl w:ilvl="3" w:tentative="on">
      <w:start w:val="1"/>
      <w:lvlText w:val="%4."/>
      <w:lvlJc w:val="left"/>
      <w:pPr>
        <w:ind w:left="2880" w:hanging="360"/>
        <w:tabs>
          <w:tab w:val="left" w:pos="2880"/>
        </w:tabs>
      </w:pPr>
    </w:lvl>
    <w:lvl w:ilvl="4" w:tentative="on">
      <w:start w:val="1"/>
      <w:lvlText w:val="%5."/>
      <w:lvlJc w:val="left"/>
      <w:pPr>
        <w:ind w:left="3600" w:hanging="360"/>
        <w:tabs>
          <w:tab w:val="left" w:pos="3600"/>
        </w:tabs>
      </w:pPr>
    </w:lvl>
    <w:lvl w:ilvl="5" w:tentative="on">
      <w:start w:val="1"/>
      <w:lvlText w:val="%6."/>
      <w:lvlJc w:val="left"/>
      <w:pPr>
        <w:ind w:left="4320" w:hanging="360"/>
        <w:tabs>
          <w:tab w:val="left" w:pos="4320"/>
        </w:tabs>
      </w:pPr>
    </w:lvl>
    <w:lvl w:ilvl="6" w:tentative="on">
      <w:start w:val="1"/>
      <w:lvlText w:val="%7."/>
      <w:lvlJc w:val="left"/>
      <w:pPr>
        <w:ind w:left="5040" w:hanging="360"/>
        <w:tabs>
          <w:tab w:val="left" w:pos="5040"/>
        </w:tabs>
      </w:pPr>
    </w:lvl>
    <w:lvl w:ilvl="7" w:tentative="on">
      <w:start w:val="1"/>
      <w:lvlText w:val="%8."/>
      <w:lvlJc w:val="left"/>
      <w:pPr>
        <w:ind w:left="5760" w:hanging="360"/>
        <w:tabs>
          <w:tab w:val="left" w:pos="5760"/>
        </w:tabs>
      </w:pPr>
    </w:lvl>
    <w:lvl w:ilvl="8" w:tentative="on">
      <w:start w:val="1"/>
      <w:lvlText w:val="%9."/>
      <w:lvlJc w:val="left"/>
      <w:pPr>
        <w:ind w:left="6480" w:hanging="360"/>
        <w:tabs>
          <w:tab w:val="left" w:pos="6480"/>
        </w:tabs>
      </w:pPr>
    </w:lvl>
  </w:abstractNum>
  <w:abstractNum w:abstractNumId="1">
    <w:nsid w:val="1"/>
    <w:multiLevelType w:val="multilevel"/>
    <w:tmpl w:val="4934df20"/>
    <w:lvl w:ilvl="0">
      <w:start w:val="1"/>
      <w:lvlText w:val="%1."/>
      <w:lvlJc w:val="left"/>
      <w:pPr>
        <w:ind w:left="720" w:hanging="360"/>
        <w:tabs>
          <w:tab w:val="left" w:pos="720"/>
        </w:tabs>
      </w:pPr>
    </w:lvl>
    <w:lvl w:ilvl="1">
      <w:start w:val="1"/>
      <w:numFmt w:val="bullet"/>
      <w:lvlText w:val=""/>
      <w:lvlJc w:val="left"/>
      <w:pPr>
        <w:ind w:left="1440" w:hanging="360"/>
      </w:pPr>
      <w:rPr>
        <w:rFonts w:ascii="Symbol" w:eastAsia="Times New Roman" w:hAnsi="Symbol" w:cs="Times New Roman" w:hint="default"/>
      </w:rPr>
    </w:lvl>
    <w:lvl w:ilvl="2" w:tentative="on">
      <w:start w:val="1"/>
      <w:lvlText w:val="%3."/>
      <w:lvlJc w:val="left"/>
      <w:pPr>
        <w:ind w:left="2160" w:hanging="360"/>
        <w:tabs>
          <w:tab w:val="left" w:pos="2160"/>
        </w:tabs>
      </w:pPr>
    </w:lvl>
    <w:lvl w:ilvl="3" w:tentative="on">
      <w:start w:val="1"/>
      <w:lvlText w:val="%4."/>
      <w:lvlJc w:val="left"/>
      <w:pPr>
        <w:ind w:left="2880" w:hanging="360"/>
        <w:tabs>
          <w:tab w:val="left" w:pos="2880"/>
        </w:tabs>
      </w:pPr>
    </w:lvl>
    <w:lvl w:ilvl="4" w:tentative="on">
      <w:start w:val="1"/>
      <w:lvlText w:val="%5."/>
      <w:lvlJc w:val="left"/>
      <w:pPr>
        <w:ind w:left="3600" w:hanging="360"/>
        <w:tabs>
          <w:tab w:val="left" w:pos="3600"/>
        </w:tabs>
      </w:pPr>
    </w:lvl>
    <w:lvl w:ilvl="5" w:tentative="on">
      <w:start w:val="1"/>
      <w:lvlText w:val="%6."/>
      <w:lvlJc w:val="left"/>
      <w:pPr>
        <w:ind w:left="4320" w:hanging="360"/>
        <w:tabs>
          <w:tab w:val="left" w:pos="4320"/>
        </w:tabs>
      </w:pPr>
    </w:lvl>
    <w:lvl w:ilvl="6" w:tentative="on">
      <w:start w:val="1"/>
      <w:lvlText w:val="%7."/>
      <w:lvlJc w:val="left"/>
      <w:pPr>
        <w:ind w:left="5040" w:hanging="360"/>
        <w:tabs>
          <w:tab w:val="left" w:pos="5040"/>
        </w:tabs>
      </w:pPr>
    </w:lvl>
    <w:lvl w:ilvl="7" w:tentative="on">
      <w:start w:val="1"/>
      <w:lvlText w:val="%8."/>
      <w:lvlJc w:val="left"/>
      <w:pPr>
        <w:ind w:left="5760" w:hanging="360"/>
        <w:tabs>
          <w:tab w:val="left" w:pos="5760"/>
        </w:tabs>
      </w:pPr>
    </w:lvl>
    <w:lvl w:ilvl="8" w:tentative="on">
      <w:start w:val="1"/>
      <w:lvlText w:val="%9."/>
      <w:lvlJc w:val="left"/>
      <w:pPr>
        <w:ind w:left="6480" w:hanging="360"/>
        <w:tabs>
          <w:tab w:val="left" w:pos="648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Calibri" w:eastAsia="Calibri" w:hAnsi="Calibri" w:cs="宋体"/>
        <w:sz w:val="22"/>
        <w:szCs w:val="22"/>
      </w:rPr>
    </w:rPrDefault>
    <w:pPrDefault>
      <w:pPr>
        <w:spacing w:after="160" w:line="259" w:lineRule="auto"/>
      </w:pPr>
    </w:pPrDefault>
  </w:docDefaults>
  <w:style w:type="paragraph" w:default="1" w:styleId="normal">
    <w:name w:val="Normal"/>
    <w:next w:val="normal"/>
    <w:qFormat/>
    <w:pPr/>
  </w:style>
  <w:style w:type="character" w:default="1" w:styleId="defaultParagraphFont">
    <w:name w:val="Default Paragraph Font"/>
    <w:next w:val="normal"/>
  </w:style>
  <w:style w:type="table" w:default="1" w:styleId="TableNormal">
    <w:name w:val="Normal Table"/>
    <w:next w:val="normal"/>
    <w:pPr/>
    <w:rPr/>
    <w:tblPr>
      <w:tblInd w:w="0" w:type="dxa"/>
      <w:tblCellMar>
        <w:top w:w="0" w:type="dxa"/>
        <w:left w:w="108" w:type="dxa"/>
        <w:bottom w:w="0" w:type="dxa"/>
        <w:right w:w="108" w:type="dxa"/>
      </w:tblCellMar>
    </w:tblPr>
    <w:tcPr>
      <w:tcBorders/>
    </w:tcPr>
  </w:style>
  <w:style w:type="numbering" w:default="1" w:styleId="style107">
    <w:name w:val="No List"/>
    <w:next w:val="normal"/>
    <w:pPr/>
  </w:style>
  <w:style w:type="character" w:customStyle="1" w:styleId="style4097">
    <w:name w:val="Heading 3 Char_e593bf60-af09-4d6e-80f5-2ca360397247"/>
    <w:basedOn w:val="defaultParagraphFont"/>
    <w:next w:val="normal"/>
    <w:link w:val="heading 3"/>
    <w:rPr>
      <w:rFonts w:ascii="Times New Roman" w:eastAsia="Times New Roman" w:hAnsi="Times New Roman" w:cs="Times New Roman"/>
      <w:b/>
      <w:bCs/>
      <w:sz w:val="24"/>
      <w:szCs w:val="27"/>
    </w:rPr>
  </w:style>
  <w:style w:type="character" w:customStyle="1" w:styleId="style4103">
    <w:name w:val="Footer Char_0e3f6082-d443-4c20-95ce-cb418d64a468"/>
    <w:basedOn w:val="defaultParagraphFont"/>
    <w:next w:val="normal"/>
    <w:link w:val="footer"/>
  </w:style>
  <w:style w:type="character" w:customStyle="1" w:styleId="style4104">
    <w:name w:val="Heading 2 Char_0f47ed1f-dae5-407c-8101-314ab7f153b8"/>
    <w:basedOn w:val="defaultParagraphFont"/>
    <w:next w:val="normal"/>
    <w:link w:val="heading 2"/>
    <w:rPr>
      <w:rFonts w:ascii="Times New Roman" w:eastAsia="宋体" w:hAnsi="Times New Roman" w:cs="宋体"/>
      <w:b/>
      <w:color w:val="000000"/>
      <w:sz w:val="24"/>
      <w:szCs w:val="26"/>
    </w:rPr>
  </w:style>
  <w:style w:type="paragraph" w:styleId="Heading1">
    <w:name w:val="heading 1"/>
    <w:basedOn w:val="normal"/>
    <w:next w:val="normal"/>
    <w:link w:val="Heading 1 Char_be7ec340-2a86-4190-941e-480887274884"/>
    <w:qFormat/>
    <w:pPr>
      <w:keepNext/>
      <w:keepLines/>
      <w:outlineLvl w:val="0"/>
      <w:spacing w:after="0" w:before="240"/>
    </w:pPr>
    <w:rPr>
      <w:rFonts w:ascii="Times New Roman" w:eastAsia="宋体" w:hAnsi="Times New Roman" w:cs="宋体"/>
      <w:b/>
      <w:color w:val="000000"/>
      <w:sz w:val="24"/>
      <w:szCs w:val="32"/>
    </w:rPr>
  </w:style>
  <w:style w:type="character" w:styleId="Hyperlink">
    <w:name w:val="Hyperlink"/>
    <w:basedOn w:val="defaultParagraphFont"/>
    <w:next w:val="normal"/>
    <w:rPr>
      <w:color w:val="0563C1"/>
      <w:u w:val="single" w:color="auto"/>
    </w:rPr>
  </w:style>
  <w:style w:type="paragraph" w:styleId="TOC1">
    <w:name w:val="toc 1"/>
    <w:basedOn w:val="normal"/>
    <w:next w:val="normal"/>
    <w:pPr>
      <w:spacing w:after="100"/>
    </w:pPr>
    <w:rPr/>
  </w:style>
  <w:style w:type="paragraph" w:styleId="TOC2">
    <w:name w:val="toc 2"/>
    <w:basedOn w:val="normal"/>
    <w:next w:val="normal"/>
    <w:pPr>
      <w:ind w:left="220"/>
      <w:spacing w:after="100"/>
    </w:pPr>
    <w:rPr/>
  </w:style>
  <w:style w:type="paragraph" w:styleId="TOC3">
    <w:name w:val="toc 3"/>
    <w:basedOn w:val="normal"/>
    <w:next w:val="normal"/>
    <w:pPr>
      <w:ind w:left="440"/>
      <w:spacing w:after="100"/>
    </w:pPr>
    <w:rPr/>
  </w:style>
  <w:style w:type="character" w:styleId="style88">
    <w:name w:val="Emphasis"/>
    <w:basedOn w:val="defaultParagraphFont"/>
    <w:next w:val="normal"/>
    <w:qFormat/>
    <w:rPr>
      <w:i/>
      <w:iCs/>
    </w:rPr>
  </w:style>
  <w:style w:type="paragraph" w:styleId="style94">
    <w:name w:val="Normal (Web)"/>
    <w:basedOn w:val="normal"/>
    <w:next w:val="normal"/>
    <w:qFormat/>
    <w:pPr>
      <w:spacing w:after="100" w:afterAutospacing="1" w:before="100" w:beforeAutospacing="1" w:line="240" w:lineRule="auto"/>
    </w:pPr>
    <w:rPr>
      <w:rFonts w:ascii="Times New Roman" w:eastAsia="Times New Roman" w:hAnsi="Times New Roman" w:cs="Times New Roman"/>
      <w:sz w:val="24"/>
      <w:szCs w:val="24"/>
    </w:rPr>
  </w:style>
  <w:style w:type="character" w:styleId="style87">
    <w:name w:val="Strong"/>
    <w:basedOn w:val="defaultParagraphFont"/>
    <w:next w:val="normal"/>
    <w:qFormat/>
    <w:rPr>
      <w:b/>
      <w:bCs/>
    </w:rPr>
  </w:style>
  <w:style w:type="table" w:customStyle="1" w:styleId="style4100">
    <w:name w:val="List Table 6 Colorful1"/>
    <w:basedOn w:val="TableNormal"/>
    <w:next w:val="normal"/>
    <w:pPr>
      <w:spacing w:after="0" w:line="240" w:lineRule="auto"/>
    </w:pPr>
    <w:rPr>
      <w:color w:val="000000"/>
      <w:sz w:val="20"/>
      <w:szCs w:val="20"/>
    </w:rPr>
    <w:tblPr>
      <w:tblBorders>
        <w:top w:val="single" w:sz="4" w:space="0" w:color="000000"/>
        <w:bottom w:val="single" w:sz="4" w:space="0" w:color="000000"/>
      </w:tblBorders>
    </w:tblPr>
    <w:tcPr>
      <w:tcBorders/>
    </w:tc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blStylePr w:type="band1Horz">
      <w:pPr/>
      <w:tblPr/>
      <w:tcPr>
        <w:tcBorders/>
        <w:shd w:val="clear" w:color="auto" w:fill="CCCCCC"/>
      </w:tcPr>
    </w:tblStylePr>
  </w:style>
  <w:style w:type="paragraph" w:styleId="style32">
    <w:name w:val="footer"/>
    <w:basedOn w:val="normal"/>
    <w:next w:val="normal"/>
    <w:link w:val="Footer Char_0e3f6082-d443-4c20-95ce-cb418d64a468"/>
    <w:pPr>
      <w:tabs>
        <w:tab w:val="center" w:pos="4680"/>
        <w:tab w:val="right" w:pos="9360"/>
      </w:tabs>
      <w:spacing w:after="0" w:line="240" w:lineRule="auto"/>
    </w:pPr>
    <w:rPr/>
  </w:style>
  <w:style w:type="paragraph" w:styleId="style266">
    <w:name w:val="TOC Heading"/>
    <w:basedOn w:val="Heading1"/>
    <w:next w:val="normal"/>
    <w:qFormat/>
    <w:pPr>
      <w:outlineLvl w:val="9"/>
    </w:pPr>
    <w:rPr>
      <w:rFonts w:ascii="Calibri Light" w:hAnsi="Calibri Light"/>
      <w:b w:val="0"/>
      <w:color w:val="2E74B5"/>
      <w:sz w:val="32"/>
    </w:rPr>
  </w:style>
  <w:style w:type="paragraph" w:styleId="normal">
    <w:name w:val="Normal"/>
    <w:next w:val="normal"/>
    <w:qFormat/>
    <w:pPr/>
  </w:style>
  <w:style w:type="paragraph" w:styleId="Heading2">
    <w:name w:val="heading 2"/>
    <w:basedOn w:val="normal"/>
    <w:next w:val="normal"/>
    <w:link w:val="Heading 2 Char_0f47ed1f-dae5-407c-8101-314ab7f153b8"/>
    <w:qFormat/>
    <w:pPr>
      <w:keepNext/>
      <w:keepLines/>
      <w:outlineLvl w:val="1"/>
      <w:spacing w:after="0" w:before="40"/>
    </w:pPr>
    <w:rPr>
      <w:rFonts w:ascii="Times New Roman" w:eastAsia="宋体" w:hAnsi="Times New Roman" w:cs="宋体"/>
      <w:b/>
      <w:color w:val="000000"/>
      <w:sz w:val="24"/>
      <w:szCs w:val="26"/>
    </w:rPr>
  </w:style>
  <w:style w:type="paragraph" w:styleId="Heading3">
    <w:name w:val="heading 3"/>
    <w:basedOn w:val="normal"/>
    <w:next w:val="normal"/>
    <w:link w:val="Heading 3 Char_e593bf60-af09-4d6e-80f5-2ca360397247"/>
    <w:qFormat/>
    <w:pPr>
      <w:outlineLvl w:val="2"/>
      <w:spacing w:after="100" w:afterAutospacing="1" w:before="100" w:beforeAutospacing="1" w:line="240" w:lineRule="auto"/>
    </w:pPr>
    <w:rPr>
      <w:rFonts w:ascii="Times New Roman" w:eastAsia="Times New Roman" w:hAnsi="Times New Roman" w:cs="Times New Roman"/>
      <w:b/>
      <w:bCs/>
      <w:sz w:val="24"/>
      <w:szCs w:val="2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footer" Target="footer1.xml" /><Relationship Id="rId1" Type="http://schemas.openxmlformats.org/officeDocument/2006/relationships/image" Target="media/image1.jpeg" /><Relationship Id="rId3" Type="http://schemas.openxmlformats.org/officeDocument/2006/relationships/image" Target="media/image2.jpeg" /><Relationship Id="rId4" Type="http://schemas.openxmlformats.org/officeDocument/2006/relationships/image" Target="media/image3.jpeg" /><Relationship Id="rId5" Type="http://schemas.openxmlformats.org/officeDocument/2006/relationships/image" Target="media/image4.jpeg" /><Relationship Id="rId6" Type="http://schemas.openxmlformats.org/officeDocument/2006/relationships/image" Target="media/image5.jpeg" /><Relationship Id="rId7" Type="http://schemas.openxmlformats.org/officeDocument/2006/relationships/image" Target="media/image6.jpeg" /><Relationship Id="rId8" Type="http://schemas.openxmlformats.org/officeDocument/2006/relationships/styles" Target="styles.xml" /><Relationship Id="rId9" Type="http://schemas.openxmlformats.org/officeDocument/2006/relationships/settings" Target="settings.xml" /><Relationship Id="rId10" Type="http://schemas.openxmlformats.org/officeDocument/2006/relationships/fontTable" Target="fontTable.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Musa</dc:creator>
  <cp:keywords/>
  <dc:description/>
  <cp:lastModifiedBy>SM-G960U</cp:lastModifiedBy>
  <cp:revision>1</cp:revision>
  <dcterms:created xsi:type="dcterms:W3CDTF">2025-07-11T16:07:00Z</dcterms:created>
  <dcterms:modified xsi:type="dcterms:W3CDTF">2025-07-26T11:42:03Z</dcterms:modified>
  <cp:version>04.2000</cp:version>
</cp:coreProperties>
</file>