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8A1C1">
      <w:pPr>
        <w:spacing w:line="240" w:lineRule="auto"/>
        <w:jc w:val="center"/>
        <w:rPr>
          <w:rFonts w:ascii="Cambria" w:hAnsi="Cambria" w:cs="Times New Roman"/>
          <w:b/>
          <w:bCs/>
          <w:sz w:val="32"/>
          <w:szCs w:val="24"/>
        </w:rPr>
      </w:pPr>
      <w:bookmarkStart w:id="0" w:name="_GoBack"/>
      <w:bookmarkEnd w:id="0"/>
      <w:r>
        <w:rPr>
          <w:rFonts w:ascii="Cambria" w:hAnsi="Cambria" w:cs="Times New Roman"/>
          <w:b/>
          <w:bCs/>
          <w:sz w:val="32"/>
          <w:szCs w:val="24"/>
        </w:rPr>
        <w:drawing>
          <wp:inline distT="0" distB="0" distL="0" distR="0">
            <wp:extent cx="1647190" cy="1638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74004" cy="1664838"/>
                    </a:xfrm>
                    <a:prstGeom prst="rect">
                      <a:avLst/>
                    </a:prstGeom>
                  </pic:spPr>
                </pic:pic>
              </a:graphicData>
            </a:graphic>
          </wp:inline>
        </w:drawing>
      </w:r>
    </w:p>
    <w:p w14:paraId="2BBB3E45">
      <w:pPr>
        <w:spacing w:line="240" w:lineRule="auto"/>
        <w:jc w:val="center"/>
        <w:rPr>
          <w:rFonts w:ascii="Cambria" w:hAnsi="Cambria" w:cs="Times New Roman"/>
          <w:b/>
          <w:bCs/>
          <w:sz w:val="2"/>
          <w:szCs w:val="24"/>
        </w:rPr>
      </w:pPr>
    </w:p>
    <w:p w14:paraId="44524AE5">
      <w:pPr>
        <w:spacing w:line="240" w:lineRule="auto"/>
        <w:jc w:val="center"/>
        <w:rPr>
          <w:rFonts w:ascii="Cambria" w:hAnsi="Cambria" w:cs="Times New Roman"/>
          <w:b/>
          <w:bCs/>
          <w:sz w:val="36"/>
          <w:szCs w:val="24"/>
        </w:rPr>
      </w:pPr>
      <w:r>
        <w:rPr>
          <w:rFonts w:ascii="Cambria" w:hAnsi="Cambria" w:cs="Times New Roman"/>
          <w:b/>
          <w:bCs/>
          <w:sz w:val="36"/>
          <w:szCs w:val="24"/>
        </w:rPr>
        <w:t>PHYSICOCHEMICAL ANALYSIS AND BIOCHEMICAL ASSESSMENT OF MONODORA MYRISTICA SEED OIL</w:t>
      </w:r>
    </w:p>
    <w:p w14:paraId="24100E9B">
      <w:pPr>
        <w:spacing w:line="240" w:lineRule="auto"/>
        <w:jc w:val="center"/>
        <w:rPr>
          <w:rFonts w:ascii="Times New Roman" w:hAnsi="Times New Roman" w:cs="Times New Roman"/>
          <w:b/>
          <w:bCs/>
          <w:sz w:val="4"/>
          <w:szCs w:val="24"/>
        </w:rPr>
      </w:pPr>
    </w:p>
    <w:p w14:paraId="170D1A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C6A8ADD">
      <w:pPr>
        <w:spacing w:line="240" w:lineRule="auto"/>
        <w:jc w:val="center"/>
        <w:rPr>
          <w:rFonts w:ascii="Cambria" w:hAnsi="Cambria" w:cs="Times New Roman"/>
          <w:b/>
          <w:bCs/>
          <w:sz w:val="36"/>
          <w:szCs w:val="36"/>
        </w:rPr>
      </w:pPr>
      <w:r>
        <w:rPr>
          <w:rFonts w:ascii="Cambria" w:hAnsi="Cambria" w:cs="Times New Roman"/>
          <w:b/>
          <w:bCs/>
          <w:sz w:val="36"/>
          <w:szCs w:val="36"/>
        </w:rPr>
        <w:t>ADEBAYO FALILAT ENIOLA</w:t>
      </w:r>
    </w:p>
    <w:p w14:paraId="72BC94FF">
      <w:pPr>
        <w:spacing w:line="240" w:lineRule="auto"/>
        <w:jc w:val="center"/>
        <w:rPr>
          <w:rFonts w:ascii="Times New Roman" w:hAnsi="Times New Roman" w:cs="Times New Roman"/>
          <w:b/>
          <w:bCs/>
          <w:sz w:val="32"/>
          <w:szCs w:val="32"/>
        </w:rPr>
      </w:pPr>
      <w:r>
        <w:rPr>
          <w:rFonts w:ascii="Cambria" w:hAnsi="Cambria" w:cs="Times New Roman"/>
          <w:b/>
          <w:bCs/>
          <w:sz w:val="32"/>
          <w:szCs w:val="32"/>
        </w:rPr>
        <w:t>HND/23/SLT/FT/0438</w:t>
      </w:r>
    </w:p>
    <w:p w14:paraId="59A962A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23B6927">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DEPARTMENT OF SCIENCE LABORATORY TECHNOLOGY,</w:t>
      </w:r>
    </w:p>
    <w:p w14:paraId="4C3DE2FF">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(BIOCHEMISTRY UNIT)</w:t>
      </w:r>
    </w:p>
    <w:p w14:paraId="7D3A24B4">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INSTITUTE OF APPLIED SCIENCES (I.A.S),</w:t>
      </w:r>
    </w:p>
    <w:p w14:paraId="3A9F05F3">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KWARA STATE POLYTECHNIC, ILORIN</w:t>
      </w:r>
    </w:p>
    <w:p w14:paraId="01B41F29">
      <w:pPr>
        <w:spacing w:line="240" w:lineRule="auto"/>
        <w:jc w:val="center"/>
        <w:rPr>
          <w:rFonts w:ascii="Times New Roman" w:hAnsi="Times New Roman" w:cs="Times New Roman"/>
          <w:b/>
          <w:bCs/>
          <w:sz w:val="28"/>
          <w:szCs w:val="24"/>
        </w:rPr>
      </w:pPr>
    </w:p>
    <w:p w14:paraId="761C203D">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IN PARTIAL FULFILMENT OF THE REQUIREMENTS OF HIGHER NATIONAL DIPLOMA (HND), IN SCIENCE LABORATORY TECHNOLOGY (SLT), BIOCHEMISTRY UNIT</w:t>
      </w:r>
    </w:p>
    <w:p w14:paraId="300DB4C8">
      <w:pPr>
        <w:spacing w:line="240" w:lineRule="auto"/>
        <w:jc w:val="right"/>
        <w:rPr>
          <w:rFonts w:ascii="Times New Roman" w:hAnsi="Times New Roman" w:cs="Times New Roman"/>
          <w:b/>
          <w:bCs/>
          <w:sz w:val="20"/>
          <w:szCs w:val="24"/>
        </w:rPr>
      </w:pPr>
    </w:p>
    <w:p w14:paraId="18DD275D">
      <w:pPr>
        <w:spacing w:line="240" w:lineRule="auto"/>
        <w:jc w:val="right"/>
        <w:rPr>
          <w:rFonts w:ascii="Times New Roman" w:hAnsi="Times New Roman" w:cs="Times New Roman"/>
          <w:b/>
          <w:bCs/>
          <w:sz w:val="20"/>
          <w:szCs w:val="24"/>
        </w:rPr>
      </w:pPr>
    </w:p>
    <w:p w14:paraId="773BD1EE">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CF18BAD">
      <w:pPr>
        <w:rPr>
          <w:rFonts w:ascii="Times New Roman" w:hAnsi="Times New Roman" w:cs="Times New Roman"/>
          <w:b/>
          <w:bCs/>
          <w:sz w:val="24"/>
          <w:szCs w:val="24"/>
        </w:rPr>
      </w:pPr>
      <w:r>
        <w:rPr>
          <w:rFonts w:ascii="Times New Roman" w:hAnsi="Times New Roman" w:cs="Times New Roman"/>
          <w:b/>
          <w:bCs/>
          <w:sz w:val="24"/>
          <w:szCs w:val="24"/>
        </w:rPr>
        <w:br w:type="page"/>
      </w:r>
    </w:p>
    <w:p w14:paraId="5863E72A">
      <w:pPr>
        <w:rPr>
          <w:rFonts w:ascii="Times New Roman" w:hAnsi="Times New Roman" w:cs="Times New Roman"/>
          <w:b/>
          <w:bCs/>
          <w:sz w:val="24"/>
          <w:szCs w:val="24"/>
        </w:rPr>
      </w:pPr>
      <w:r>
        <w:rPr>
          <w:rFonts w:ascii="Times New Roman" w:hAnsi="Times New Roman" w:cs="Times New Roman"/>
          <w:b/>
          <w:bCs/>
          <w:sz w:val="24"/>
          <w:szCs w:val="24"/>
        </w:rPr>
        <w:drawing>
          <wp:inline distT="0" distB="0" distL="114300" distR="114300">
            <wp:extent cx="6036945" cy="8049895"/>
            <wp:effectExtent l="0" t="0" r="1905" b="8255"/>
            <wp:docPr id="8" name="Picture 8" descr="WhatsApp Image 2025-07-25 at 12.17.17_04086d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7-25 at 12.17.17_04086dfa"/>
                    <pic:cNvPicPr>
                      <a:picLocks noChangeAspect="1"/>
                    </pic:cNvPicPr>
                  </pic:nvPicPr>
                  <pic:blipFill>
                    <a:blip r:embed="rId8"/>
                    <a:stretch>
                      <a:fillRect/>
                    </a:stretch>
                  </pic:blipFill>
                  <pic:spPr>
                    <a:xfrm>
                      <a:off x="0" y="0"/>
                      <a:ext cx="6036945" cy="8049895"/>
                    </a:xfrm>
                    <a:prstGeom prst="rect">
                      <a:avLst/>
                    </a:prstGeom>
                  </pic:spPr>
                </pic:pic>
              </a:graphicData>
            </a:graphic>
          </wp:inline>
        </w:drawing>
      </w:r>
      <w:r>
        <w:rPr>
          <w:rFonts w:ascii="Times New Roman" w:hAnsi="Times New Roman" w:cs="Times New Roman"/>
          <w:b/>
          <w:bCs/>
          <w:sz w:val="24"/>
          <w:szCs w:val="24"/>
        </w:rPr>
        <w:br w:type="page"/>
      </w:r>
    </w:p>
    <w:p w14:paraId="0BA80C6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DEDICATION</w:t>
      </w:r>
    </w:p>
    <w:p w14:paraId="48F18717">
      <w:pPr>
        <w:spacing w:line="240" w:lineRule="auto"/>
        <w:jc w:val="both"/>
        <w:rPr>
          <w:rFonts w:ascii="Times New Roman" w:hAnsi="Times New Roman" w:cs="Times New Roman"/>
          <w:sz w:val="24"/>
          <w:szCs w:val="24"/>
        </w:rPr>
      </w:pPr>
      <w:r>
        <w:rPr>
          <w:rFonts w:ascii="Times New Roman" w:hAnsi="Times New Roman" w:cs="Times New Roman"/>
          <w:sz w:val="24"/>
          <w:szCs w:val="24"/>
        </w:rPr>
        <w:t>I dedicate this research work to Almighty God for his grace and guidance, and to my families for their constant support and encouragement throughout the duration of this project.</w:t>
      </w:r>
    </w:p>
    <w:p w14:paraId="74D860DB">
      <w:pPr>
        <w:spacing w:line="240" w:lineRule="auto"/>
        <w:jc w:val="both"/>
        <w:rPr>
          <w:rFonts w:ascii="Times New Roman" w:hAnsi="Times New Roman" w:cs="Times New Roman"/>
          <w:sz w:val="24"/>
          <w:szCs w:val="24"/>
        </w:rPr>
      </w:pPr>
    </w:p>
    <w:p w14:paraId="2C08BA28">
      <w:pPr>
        <w:spacing w:line="240" w:lineRule="auto"/>
        <w:jc w:val="both"/>
        <w:rPr>
          <w:rFonts w:ascii="Times New Roman" w:hAnsi="Times New Roman" w:cs="Times New Roman"/>
          <w:sz w:val="24"/>
          <w:szCs w:val="24"/>
        </w:rPr>
      </w:pPr>
    </w:p>
    <w:p w14:paraId="65DA491A">
      <w:pPr>
        <w:spacing w:line="240" w:lineRule="auto"/>
        <w:jc w:val="both"/>
        <w:rPr>
          <w:rFonts w:ascii="Times New Roman" w:hAnsi="Times New Roman" w:cs="Times New Roman"/>
          <w:sz w:val="24"/>
          <w:szCs w:val="24"/>
        </w:rPr>
      </w:pPr>
    </w:p>
    <w:p w14:paraId="0233499C">
      <w:pPr>
        <w:spacing w:line="240" w:lineRule="auto"/>
        <w:jc w:val="both"/>
        <w:rPr>
          <w:rFonts w:ascii="Times New Roman" w:hAnsi="Times New Roman" w:cs="Times New Roman"/>
          <w:sz w:val="24"/>
          <w:szCs w:val="24"/>
        </w:rPr>
      </w:pPr>
    </w:p>
    <w:p w14:paraId="049B8D03">
      <w:pPr>
        <w:spacing w:line="240" w:lineRule="auto"/>
        <w:jc w:val="both"/>
        <w:rPr>
          <w:rFonts w:ascii="Times New Roman" w:hAnsi="Times New Roman" w:cs="Times New Roman"/>
          <w:sz w:val="24"/>
          <w:szCs w:val="24"/>
        </w:rPr>
      </w:pPr>
    </w:p>
    <w:p w14:paraId="5E7D6D6E">
      <w:pPr>
        <w:spacing w:line="240" w:lineRule="auto"/>
        <w:jc w:val="both"/>
        <w:rPr>
          <w:rFonts w:ascii="Times New Roman" w:hAnsi="Times New Roman" w:cs="Times New Roman"/>
          <w:sz w:val="24"/>
          <w:szCs w:val="24"/>
        </w:rPr>
      </w:pPr>
    </w:p>
    <w:p w14:paraId="0CDBEE6B">
      <w:pPr>
        <w:spacing w:line="240" w:lineRule="auto"/>
        <w:jc w:val="both"/>
        <w:rPr>
          <w:rFonts w:ascii="Times New Roman" w:hAnsi="Times New Roman" w:cs="Times New Roman"/>
          <w:sz w:val="24"/>
          <w:szCs w:val="24"/>
        </w:rPr>
      </w:pPr>
    </w:p>
    <w:p w14:paraId="6C5644C7">
      <w:pPr>
        <w:spacing w:line="240" w:lineRule="auto"/>
        <w:jc w:val="both"/>
        <w:rPr>
          <w:rFonts w:ascii="Times New Roman" w:hAnsi="Times New Roman" w:cs="Times New Roman"/>
          <w:sz w:val="24"/>
          <w:szCs w:val="24"/>
        </w:rPr>
      </w:pPr>
    </w:p>
    <w:p w14:paraId="44997231">
      <w:pPr>
        <w:spacing w:line="240" w:lineRule="auto"/>
        <w:jc w:val="both"/>
        <w:rPr>
          <w:rFonts w:ascii="Times New Roman" w:hAnsi="Times New Roman" w:cs="Times New Roman"/>
          <w:sz w:val="24"/>
          <w:szCs w:val="24"/>
        </w:rPr>
      </w:pPr>
    </w:p>
    <w:p w14:paraId="4DBE8ADB">
      <w:pPr>
        <w:spacing w:line="240" w:lineRule="auto"/>
        <w:jc w:val="both"/>
        <w:rPr>
          <w:rFonts w:ascii="Times New Roman" w:hAnsi="Times New Roman" w:cs="Times New Roman"/>
          <w:sz w:val="24"/>
          <w:szCs w:val="24"/>
        </w:rPr>
      </w:pPr>
    </w:p>
    <w:p w14:paraId="21E1D139">
      <w:pPr>
        <w:spacing w:line="240" w:lineRule="auto"/>
        <w:jc w:val="both"/>
        <w:rPr>
          <w:rFonts w:ascii="Times New Roman" w:hAnsi="Times New Roman" w:cs="Times New Roman"/>
          <w:sz w:val="24"/>
          <w:szCs w:val="24"/>
        </w:rPr>
      </w:pPr>
    </w:p>
    <w:p w14:paraId="6F242D21">
      <w:pPr>
        <w:spacing w:line="240" w:lineRule="auto"/>
        <w:jc w:val="both"/>
        <w:rPr>
          <w:rFonts w:ascii="Times New Roman" w:hAnsi="Times New Roman" w:cs="Times New Roman"/>
          <w:sz w:val="24"/>
          <w:szCs w:val="24"/>
        </w:rPr>
      </w:pPr>
    </w:p>
    <w:p w14:paraId="59E43862">
      <w:pPr>
        <w:spacing w:line="240" w:lineRule="auto"/>
        <w:jc w:val="both"/>
        <w:rPr>
          <w:rFonts w:ascii="Times New Roman" w:hAnsi="Times New Roman" w:cs="Times New Roman"/>
          <w:sz w:val="24"/>
          <w:szCs w:val="24"/>
        </w:rPr>
      </w:pPr>
    </w:p>
    <w:p w14:paraId="2353E8EF">
      <w:pPr>
        <w:spacing w:line="240" w:lineRule="auto"/>
        <w:jc w:val="both"/>
        <w:rPr>
          <w:rFonts w:ascii="Times New Roman" w:hAnsi="Times New Roman" w:cs="Times New Roman"/>
          <w:sz w:val="24"/>
          <w:szCs w:val="24"/>
        </w:rPr>
      </w:pPr>
    </w:p>
    <w:p w14:paraId="651BF0CA">
      <w:pPr>
        <w:spacing w:line="240" w:lineRule="auto"/>
        <w:jc w:val="both"/>
        <w:rPr>
          <w:rFonts w:ascii="Times New Roman" w:hAnsi="Times New Roman" w:cs="Times New Roman"/>
          <w:sz w:val="24"/>
          <w:szCs w:val="24"/>
        </w:rPr>
      </w:pPr>
    </w:p>
    <w:p w14:paraId="7BF158A9">
      <w:pPr>
        <w:spacing w:line="240" w:lineRule="auto"/>
        <w:jc w:val="both"/>
        <w:rPr>
          <w:rFonts w:ascii="Times New Roman" w:hAnsi="Times New Roman" w:cs="Times New Roman"/>
          <w:sz w:val="24"/>
          <w:szCs w:val="24"/>
        </w:rPr>
      </w:pPr>
    </w:p>
    <w:p w14:paraId="74E33F15">
      <w:pPr>
        <w:spacing w:line="240" w:lineRule="auto"/>
        <w:jc w:val="both"/>
        <w:rPr>
          <w:rFonts w:ascii="Times New Roman" w:hAnsi="Times New Roman" w:cs="Times New Roman"/>
          <w:sz w:val="24"/>
          <w:szCs w:val="24"/>
        </w:rPr>
      </w:pPr>
    </w:p>
    <w:p w14:paraId="4CF7F3DA">
      <w:pPr>
        <w:spacing w:line="240" w:lineRule="auto"/>
        <w:jc w:val="both"/>
        <w:rPr>
          <w:rFonts w:ascii="Times New Roman" w:hAnsi="Times New Roman" w:cs="Times New Roman"/>
          <w:sz w:val="24"/>
          <w:szCs w:val="24"/>
        </w:rPr>
      </w:pPr>
    </w:p>
    <w:p w14:paraId="5F52C956">
      <w:pPr>
        <w:spacing w:line="240" w:lineRule="auto"/>
        <w:jc w:val="both"/>
        <w:rPr>
          <w:rFonts w:ascii="Times New Roman" w:hAnsi="Times New Roman" w:cs="Times New Roman"/>
          <w:sz w:val="24"/>
          <w:szCs w:val="24"/>
        </w:rPr>
      </w:pPr>
    </w:p>
    <w:p w14:paraId="0602CB9A">
      <w:pPr>
        <w:spacing w:line="240" w:lineRule="auto"/>
        <w:jc w:val="both"/>
        <w:rPr>
          <w:rFonts w:ascii="Times New Roman" w:hAnsi="Times New Roman" w:cs="Times New Roman"/>
          <w:sz w:val="24"/>
          <w:szCs w:val="24"/>
        </w:rPr>
      </w:pPr>
    </w:p>
    <w:p w14:paraId="344980E1">
      <w:pPr>
        <w:spacing w:line="240" w:lineRule="auto"/>
        <w:jc w:val="both"/>
        <w:rPr>
          <w:rFonts w:ascii="Times New Roman" w:hAnsi="Times New Roman" w:cs="Times New Roman"/>
          <w:sz w:val="24"/>
          <w:szCs w:val="24"/>
        </w:rPr>
      </w:pPr>
    </w:p>
    <w:p w14:paraId="02E1F87B">
      <w:pPr>
        <w:spacing w:line="240" w:lineRule="auto"/>
        <w:jc w:val="both"/>
        <w:rPr>
          <w:rFonts w:ascii="Times New Roman" w:hAnsi="Times New Roman" w:cs="Times New Roman"/>
          <w:sz w:val="24"/>
          <w:szCs w:val="24"/>
        </w:rPr>
      </w:pPr>
    </w:p>
    <w:p w14:paraId="320637C3">
      <w:pPr>
        <w:spacing w:line="240" w:lineRule="auto"/>
        <w:jc w:val="both"/>
        <w:rPr>
          <w:rFonts w:ascii="Times New Roman" w:hAnsi="Times New Roman" w:cs="Times New Roman"/>
          <w:sz w:val="24"/>
          <w:szCs w:val="24"/>
        </w:rPr>
      </w:pPr>
    </w:p>
    <w:p w14:paraId="33960CB5">
      <w:pPr>
        <w:spacing w:line="240" w:lineRule="auto"/>
        <w:jc w:val="both"/>
        <w:rPr>
          <w:rFonts w:ascii="Times New Roman" w:hAnsi="Times New Roman" w:cs="Times New Roman"/>
          <w:sz w:val="24"/>
          <w:szCs w:val="24"/>
        </w:rPr>
      </w:pPr>
    </w:p>
    <w:p w14:paraId="1E725692">
      <w:pPr>
        <w:spacing w:line="240" w:lineRule="auto"/>
        <w:jc w:val="both"/>
        <w:rPr>
          <w:rFonts w:ascii="Times New Roman" w:hAnsi="Times New Roman" w:cs="Times New Roman"/>
          <w:sz w:val="24"/>
          <w:szCs w:val="24"/>
        </w:rPr>
      </w:pPr>
    </w:p>
    <w:p w14:paraId="236FD836">
      <w:pPr>
        <w:rPr>
          <w:rFonts w:ascii="Times New Roman" w:hAnsi="Times New Roman" w:cs="Times New Roman"/>
          <w:b/>
          <w:bCs/>
          <w:sz w:val="24"/>
          <w:szCs w:val="24"/>
        </w:rPr>
      </w:pPr>
      <w:r>
        <w:rPr>
          <w:rFonts w:ascii="Times New Roman" w:hAnsi="Times New Roman" w:cs="Times New Roman"/>
          <w:b/>
          <w:bCs/>
          <w:sz w:val="24"/>
          <w:szCs w:val="24"/>
        </w:rPr>
        <w:br w:type="page"/>
      </w:r>
    </w:p>
    <w:p w14:paraId="14C659C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AKNOWLEDGEMNT</w:t>
      </w:r>
    </w:p>
    <w:p w14:paraId="186FBA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Immeasurable thanks goes to Almighty Allah for the privilege given to me to complete this project work; he has been helping me from the beginning till the end of this project </w:t>
      </w:r>
    </w:p>
    <w:p w14:paraId="11474797">
      <w:pPr>
        <w:spacing w:line="240" w:lineRule="auto"/>
        <w:jc w:val="both"/>
        <w:rPr>
          <w:rFonts w:ascii="Times New Roman" w:hAnsi="Times New Roman" w:cs="Times New Roman"/>
          <w:sz w:val="24"/>
          <w:szCs w:val="24"/>
        </w:rPr>
      </w:pPr>
      <w:r>
        <w:rPr>
          <w:rFonts w:ascii="Times New Roman" w:hAnsi="Times New Roman" w:cs="Times New Roman"/>
          <w:sz w:val="24"/>
          <w:szCs w:val="24"/>
        </w:rPr>
        <w:t>My sincere gratitude goes to my kind and esteem supervisor in person of Mrs. Amira E.O, for her advice through supervision, moral support and word of encouragement to the success of this project. May God almighty continue to preserve, guide, and shower his blessings on you ma.</w:t>
      </w:r>
    </w:p>
    <w:p w14:paraId="76923881">
      <w:pPr>
        <w:spacing w:line="240" w:lineRule="auto"/>
        <w:jc w:val="both"/>
        <w:rPr>
          <w:rFonts w:ascii="Times New Roman" w:hAnsi="Times New Roman" w:cs="Times New Roman"/>
          <w:sz w:val="24"/>
          <w:szCs w:val="24"/>
        </w:rPr>
      </w:pPr>
      <w:r>
        <w:rPr>
          <w:rFonts w:ascii="Times New Roman" w:hAnsi="Times New Roman" w:cs="Times New Roman"/>
          <w:sz w:val="24"/>
          <w:szCs w:val="24"/>
        </w:rPr>
        <w:t>My upmost and sincere appreciation goes to my beloved parents Mr. and Mrs. ADEBAYO for being my backbone and supporters, without them, I have no power to be where we are today. I thank them for their support financially, morally, and spiritually, and for always encouraging me to be of my best behavior. May God in his absolute mercy enrich their course and grant them long life and prosperity to reap the fruit of their labor.</w:t>
      </w:r>
    </w:p>
    <w:p w14:paraId="628EA61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My special appreciation goes to the Head of Department of S.L.T, Head of Biochemistry Unit and all our lectures for their kind gesture and academical support. May God Almighty continue to bless you all.  </w:t>
      </w:r>
    </w:p>
    <w:p w14:paraId="1586E30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C044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50295DB">
      <w:pPr>
        <w:spacing w:line="480" w:lineRule="auto"/>
        <w:jc w:val="both"/>
        <w:rPr>
          <w:rFonts w:ascii="Times New Roman" w:hAnsi="Times New Roman" w:cs="Times New Roman"/>
          <w:sz w:val="24"/>
          <w:szCs w:val="24"/>
        </w:rPr>
      </w:pPr>
    </w:p>
    <w:p w14:paraId="5F3BD3BD">
      <w:pPr>
        <w:spacing w:line="480" w:lineRule="auto"/>
        <w:jc w:val="both"/>
        <w:rPr>
          <w:rFonts w:ascii="Times New Roman" w:hAnsi="Times New Roman" w:cs="Times New Roman"/>
          <w:sz w:val="24"/>
          <w:szCs w:val="24"/>
        </w:rPr>
      </w:pPr>
    </w:p>
    <w:p w14:paraId="1536EA0E">
      <w:pPr>
        <w:spacing w:line="480" w:lineRule="auto"/>
        <w:jc w:val="both"/>
        <w:rPr>
          <w:rFonts w:ascii="Times New Roman" w:hAnsi="Times New Roman" w:cs="Times New Roman"/>
          <w:sz w:val="24"/>
          <w:szCs w:val="24"/>
        </w:rPr>
      </w:pPr>
    </w:p>
    <w:p w14:paraId="76BDE03E">
      <w:pPr>
        <w:spacing w:line="480" w:lineRule="auto"/>
        <w:jc w:val="both"/>
        <w:rPr>
          <w:rFonts w:ascii="Times New Roman" w:hAnsi="Times New Roman" w:cs="Times New Roman"/>
          <w:sz w:val="24"/>
          <w:szCs w:val="24"/>
        </w:rPr>
      </w:pPr>
    </w:p>
    <w:p w14:paraId="6D509D76">
      <w:pPr>
        <w:spacing w:line="480" w:lineRule="auto"/>
        <w:jc w:val="both"/>
        <w:rPr>
          <w:rFonts w:ascii="Times New Roman" w:hAnsi="Times New Roman" w:cs="Times New Roman"/>
          <w:sz w:val="24"/>
          <w:szCs w:val="24"/>
        </w:rPr>
      </w:pPr>
    </w:p>
    <w:p w14:paraId="48B5AA48">
      <w:pPr>
        <w:spacing w:line="480" w:lineRule="auto"/>
        <w:jc w:val="both"/>
        <w:rPr>
          <w:rFonts w:ascii="Times New Roman" w:hAnsi="Times New Roman" w:cs="Times New Roman"/>
          <w:sz w:val="24"/>
          <w:szCs w:val="24"/>
        </w:rPr>
      </w:pPr>
    </w:p>
    <w:p w14:paraId="7C527414">
      <w:pPr>
        <w:spacing w:line="480" w:lineRule="auto"/>
        <w:jc w:val="both"/>
        <w:rPr>
          <w:rFonts w:ascii="Times New Roman" w:hAnsi="Times New Roman" w:cs="Times New Roman"/>
          <w:sz w:val="24"/>
          <w:szCs w:val="24"/>
        </w:rPr>
      </w:pPr>
    </w:p>
    <w:p w14:paraId="023C2100">
      <w:pPr>
        <w:spacing w:line="480" w:lineRule="auto"/>
        <w:jc w:val="both"/>
        <w:rPr>
          <w:rFonts w:ascii="Times New Roman" w:hAnsi="Times New Roman" w:cs="Times New Roman"/>
          <w:sz w:val="24"/>
          <w:szCs w:val="24"/>
        </w:rPr>
      </w:pPr>
    </w:p>
    <w:p w14:paraId="5D3EC671">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type="page"/>
      </w:r>
    </w:p>
    <w:p w14:paraId="51555E01">
      <w:pPr>
        <w:spacing w:before="100" w:beforeAutospacing="1" w:after="100" w:afterAutospacing="1" w:line="24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TABLE OF CONTENTS</w:t>
      </w:r>
    </w:p>
    <w:p w14:paraId="0EF0656F">
      <w:pPr>
        <w:spacing w:after="0"/>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w:t>
      </w:r>
    </w:p>
    <w:p w14:paraId="377002D3">
      <w:pPr>
        <w:spacing w:after="0"/>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w:t>
      </w:r>
    </w:p>
    <w:p w14:paraId="5F293103">
      <w:pPr>
        <w:spacing w:after="0"/>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iii</w:t>
      </w:r>
    </w:p>
    <w:p w14:paraId="4A4A17FB">
      <w:pPr>
        <w:spacing w:after="0"/>
        <w:jc w:val="both"/>
        <w:rPr>
          <w:rFonts w:ascii="Times New Roman" w:hAnsi="Times New Roman" w:cs="Times New Roman"/>
          <w:bCs/>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iv</w:t>
      </w:r>
    </w:p>
    <w:p w14:paraId="1786D47F">
      <w:pPr>
        <w:spacing w:after="0"/>
        <w:jc w:val="both"/>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w:t>
      </w:r>
    </w:p>
    <w:p w14:paraId="2A92DD96">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vii</w:t>
      </w:r>
    </w:p>
    <w:p w14:paraId="46341B06">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One</w:t>
      </w:r>
    </w:p>
    <w:p w14:paraId="0784106F">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1.0 Introduction</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1</w:t>
      </w:r>
    </w:p>
    <w:p w14:paraId="2376B7B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 Background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1.2 Statement of the Problem</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1.3 Justification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1.4 Aim and Objectives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1.5 Scope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8</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1.6 Significance of the Study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9</w:t>
      </w:r>
    </w:p>
    <w:p w14:paraId="1C732A12">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Two</w:t>
      </w:r>
    </w:p>
    <w:p w14:paraId="6F5C23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 Literature Review</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2.1 Ethnomedicinal and Nutritional Importance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2.2 Overview of Seed Oils and Extraction Techniques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2.3 Physicochemical Properties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2.4 Biochemical Constituents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17</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2.5 Antioxidant and Antinutritional Activities of Seed Oils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18</w:t>
      </w:r>
    </w:p>
    <w:p w14:paraId="1D7E47EC">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Three</w:t>
      </w:r>
    </w:p>
    <w:p w14:paraId="3CC70DAB">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3.0 Sample Collection and Preparation</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20</w:t>
      </w:r>
    </w:p>
    <w:p w14:paraId="2A4A7F3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 Materials 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p>
    <w:p w14:paraId="4EA77E6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3.1.1 Reagents Used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3.2 Procedure for Extraction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 Physicochemical Analysis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3.3.1 Acid Value and Percentage Free Fatty Acid</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21</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3.3.2 Iodine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22</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3.3.3 Peroxide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3.3.4  Saponification Value and Ester Value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23</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 Biochemical Assessment of the Oil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3.4.1 Estimation of Antioxidant Activities (e.g, DPPH,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59D9381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3.4.1.1 DPPH (2,2-diphemyl-1-picrylhydrazyl)</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24</w:t>
      </w:r>
    </w:p>
    <w:p w14:paraId="569A869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3.4.1.2 Total Phenolic Content (TPC)</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3.4.2 Oxalate Determination (Anti-nutritional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25</w:t>
      </w:r>
    </w:p>
    <w:p w14:paraId="7D61F5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3.4.2.1 Standardization of KMnO4 using Oxalic acid solution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194364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3.4.2.2 Determination of oxalate in cake sample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26</w:t>
      </w:r>
    </w:p>
    <w:p w14:paraId="7068A7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3.4.3 Estimation of Lycopene and β-carotene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27</w:t>
      </w:r>
    </w:p>
    <w:p w14:paraId="3DF092C1">
      <w:pPr>
        <w:spacing w:before="100" w:beforeAutospacing="1" w:after="0"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Chapter Four</w:t>
      </w:r>
    </w:p>
    <w:p w14:paraId="7792B4F6">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4.0 Results</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28</w:t>
      </w:r>
    </w:p>
    <w:p w14:paraId="0917323A">
      <w:pPr>
        <w:spacing w:after="0" w:line="240" w:lineRule="auto"/>
        <w:outlineLvl w:val="2"/>
        <w:rPr>
          <w:rFonts w:ascii="Times New Roman" w:hAnsi="Times New Roman" w:eastAsia="Times New Roman" w:cs="Times New Roman"/>
          <w:bCs/>
          <w:sz w:val="27"/>
          <w:szCs w:val="27"/>
        </w:rPr>
      </w:pPr>
      <w:r>
        <w:rPr>
          <w:rFonts w:ascii="Times New Roman" w:hAnsi="Times New Roman" w:eastAsia="Times New Roman" w:cs="Times New Roman"/>
          <w:bCs/>
          <w:sz w:val="27"/>
          <w:szCs w:val="27"/>
        </w:rPr>
        <w:t>4.1 Discussions</w:t>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ab/>
      </w:r>
      <w:r>
        <w:rPr>
          <w:rFonts w:ascii="Times New Roman" w:hAnsi="Times New Roman" w:eastAsia="Times New Roman" w:cs="Times New Roman"/>
          <w:bCs/>
          <w:sz w:val="27"/>
          <w:szCs w:val="27"/>
        </w:rPr>
        <w:t>29</w:t>
      </w:r>
    </w:p>
    <w:p w14:paraId="30B9D8B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4.1.1 Oil yield and Physical characteristics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29</w:t>
      </w:r>
    </w:p>
    <w:p w14:paraId="78BB98D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4.1.2 Physicochemical Properties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30</w:t>
      </w:r>
    </w:p>
    <w:p w14:paraId="4E6780A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4.1.3 Antioxidant and Anti-nutritional Activity</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31</w:t>
      </w:r>
    </w:p>
    <w:p w14:paraId="35A2542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4.1.4 Carotenoid Composition: Lycopene and β-carotene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32</w:t>
      </w:r>
    </w:p>
    <w:p w14:paraId="52354A0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4.1.5 Deviant results and possible causes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33</w:t>
      </w:r>
      <w:r>
        <w:rPr>
          <w:rFonts w:ascii="Times New Roman" w:hAnsi="Times New Roman" w:eastAsia="Times New Roman" w:cs="Times New Roman"/>
          <w:sz w:val="24"/>
          <w:szCs w:val="24"/>
        </w:rPr>
        <w:br w:type="textWrapping"/>
      </w:r>
    </w:p>
    <w:p w14:paraId="3F852AEB">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34</w:t>
      </w:r>
    </w:p>
    <w:p w14:paraId="46FE388A">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APPENDIX</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36</w:t>
      </w:r>
    </w:p>
    <w:p w14:paraId="49C477D4">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43</w:t>
      </w:r>
    </w:p>
    <w:p w14:paraId="05E994E7">
      <w:pPr>
        <w:spacing w:after="0" w:line="240" w:lineRule="auto"/>
        <w:jc w:val="center"/>
        <w:rPr>
          <w:rFonts w:ascii="Times New Roman" w:hAnsi="Times New Roman" w:cs="Times New Roman"/>
          <w:b/>
          <w:bCs/>
          <w:sz w:val="24"/>
          <w:szCs w:val="24"/>
        </w:rPr>
      </w:pPr>
    </w:p>
    <w:p w14:paraId="2B9D9E2E">
      <w:pPr>
        <w:rPr>
          <w:rFonts w:ascii="Times New Roman" w:hAnsi="Times New Roman" w:cs="Times New Roman"/>
          <w:b/>
          <w:bCs/>
          <w:sz w:val="24"/>
          <w:szCs w:val="24"/>
        </w:rPr>
      </w:pPr>
      <w:r>
        <w:rPr>
          <w:rFonts w:ascii="Times New Roman" w:hAnsi="Times New Roman" w:cs="Times New Roman"/>
          <w:b/>
          <w:bCs/>
          <w:sz w:val="24"/>
          <w:szCs w:val="24"/>
        </w:rPr>
        <w:br w:type="page"/>
      </w:r>
    </w:p>
    <w:p w14:paraId="64ED95B6">
      <w:pPr>
        <w:spacing w:after="100" w:afterAutospacing="1" w:line="240" w:lineRule="auto"/>
        <w:jc w:val="center"/>
        <w:rPr>
          <w:rFonts w:ascii="Times New Roman" w:hAnsi="Times New Roman" w:eastAsia="Times New Roman" w:cs="Times New Roman"/>
          <w:b/>
          <w:bCs/>
          <w:sz w:val="24"/>
          <w:szCs w:val="24"/>
        </w:rPr>
      </w:pPr>
      <w:r>
        <w:rPr>
          <w:rFonts w:ascii="Times New Roman" w:hAnsi="Times New Roman" w:cs="Times New Roman"/>
          <w:b/>
          <w:bCs/>
          <w:sz w:val="24"/>
          <w:szCs w:val="24"/>
        </w:rPr>
        <w:t>ABSTRACT</w:t>
      </w:r>
    </w:p>
    <w:p w14:paraId="26C0C79F">
      <w:pPr>
        <w:pStyle w:val="11"/>
        <w:spacing w:before="0" w:beforeAutospacing="0" w:after="0" w:afterAutospacing="0" w:line="360" w:lineRule="auto"/>
        <w:jc w:val="both"/>
        <w:rPr>
          <w:i/>
          <w:iCs/>
        </w:rPr>
      </w:pPr>
      <w:r>
        <w:rPr>
          <w:i/>
          <w:iCs/>
        </w:rPr>
        <w:t xml:space="preserve">This study investigated the physicochemical properties and biochemical composition of </w:t>
      </w:r>
      <w:r>
        <w:rPr>
          <w:rStyle w:val="8"/>
          <w:i w:val="0"/>
          <w:iCs w:val="0"/>
        </w:rPr>
        <w:t>Monodora myristica</w:t>
      </w:r>
      <w:r>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14:paraId="4CB6EF16">
      <w:pPr>
        <w:pStyle w:val="11"/>
        <w:spacing w:before="0" w:beforeAutospacing="0" w:after="0" w:afterAutospacing="0" w:line="360" w:lineRule="auto"/>
        <w:jc w:val="both"/>
        <w:rPr>
          <w:i/>
          <w:iCs/>
        </w:rPr>
      </w:pPr>
      <w:r>
        <w:rPr>
          <w:i/>
          <w:iCs/>
        </w:rPr>
        <w:t>Key physicochemical values included an acid value of 21.61 mg KOH/g, free fatty acid content of 14.83%, iodine value of 69.54 g I₂/100g, saponification value of 60.01 mg KOH/g, and peroxide value of 232.0 mEq/kg. While these values suggest unsaturation and potential industrial use, the elevated acid and peroxide values indicate significant lipid degradation, likely due to oxidation or poor post-harvest handling.</w:t>
      </w:r>
    </w:p>
    <w:p w14:paraId="20FEEE0B">
      <w:pPr>
        <w:pStyle w:val="11"/>
        <w:spacing w:before="0" w:beforeAutospacing="0" w:after="0" w:afterAutospacing="0" w:line="360" w:lineRule="auto"/>
        <w:jc w:val="both"/>
        <w:rPr>
          <w:i/>
          <w:iCs/>
        </w:rPr>
      </w:pPr>
      <w:r>
        <w:rPr>
          <w:i/>
          <w:iCs/>
        </w:rPr>
        <w:t>Biochemical assays revealed moderate antioxidant activity (42.84% DPPH inhibition) and total phenolic content of 21.79 mg GAE/g oil. Additionally, carotenoids such as β-carotene and lycopene were present in measurable amounts (β-carotene: 0.0186mg/ml, lycopene: 0.0169mg/ml). The oxalate content in the cake residue (0.5251 mg/g) was low, suggesting minimal antinutritional risk.</w:t>
      </w:r>
    </w:p>
    <w:p w14:paraId="6EFEE7AC">
      <w:pPr>
        <w:pStyle w:val="11"/>
        <w:spacing w:before="0" w:beforeAutospacing="0" w:after="0" w:afterAutospacing="0" w:line="360" w:lineRule="auto"/>
        <w:jc w:val="both"/>
        <w:rPr>
          <w:i/>
          <w:iCs/>
        </w:rPr>
      </w:pPr>
      <w:r>
        <w:rPr>
          <w:i/>
          <w:iCs/>
        </w:rPr>
        <w:t xml:space="preserve">In conclusion, </w:t>
      </w:r>
      <w:r>
        <w:rPr>
          <w:rStyle w:val="8"/>
          <w:iCs w:val="0"/>
        </w:rPr>
        <w:t>Monodora myristica</w:t>
      </w:r>
      <w:r>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3F2BBA31">
      <w:pPr>
        <w:jc w:val="both"/>
        <w:rPr>
          <w:rFonts w:ascii="Times New Roman" w:hAnsi="Times New Roman" w:cs="Times New Roman"/>
          <w:sz w:val="24"/>
          <w:szCs w:val="24"/>
        </w:rPr>
      </w:pPr>
    </w:p>
    <w:p w14:paraId="1828FF19">
      <w:pPr>
        <w:jc w:val="center"/>
        <w:rPr>
          <w:rFonts w:ascii="Times New Roman" w:hAnsi="Times New Roman" w:cs="Times New Roman"/>
          <w:sz w:val="24"/>
          <w:szCs w:val="24"/>
        </w:rPr>
      </w:pPr>
    </w:p>
    <w:p w14:paraId="60804957">
      <w:pPr>
        <w:jc w:val="center"/>
        <w:rPr>
          <w:rFonts w:ascii="Times New Roman" w:hAnsi="Times New Roman" w:cs="Times New Roman"/>
          <w:sz w:val="24"/>
          <w:szCs w:val="24"/>
        </w:rPr>
      </w:pPr>
    </w:p>
    <w:p w14:paraId="409B83A2">
      <w:pPr>
        <w:jc w:val="center"/>
        <w:rPr>
          <w:rFonts w:ascii="Times New Roman" w:hAnsi="Times New Roman" w:cs="Times New Roman"/>
          <w:sz w:val="24"/>
          <w:szCs w:val="24"/>
        </w:rPr>
      </w:pPr>
    </w:p>
    <w:p w14:paraId="409999F5">
      <w:pPr>
        <w:jc w:val="center"/>
        <w:rPr>
          <w:rFonts w:ascii="Times New Roman" w:hAnsi="Times New Roman" w:cs="Times New Roman"/>
          <w:sz w:val="24"/>
          <w:szCs w:val="24"/>
        </w:rPr>
      </w:pPr>
    </w:p>
    <w:p w14:paraId="41654E27">
      <w:pPr>
        <w:jc w:val="center"/>
        <w:rPr>
          <w:rFonts w:ascii="Times New Roman" w:hAnsi="Times New Roman" w:cs="Times New Roman"/>
          <w:sz w:val="24"/>
          <w:szCs w:val="24"/>
        </w:rPr>
        <w:sectPr>
          <w:footerReference r:id="rId5" w:type="default"/>
          <w:pgSz w:w="11907" w:h="16839"/>
          <w:pgMar w:top="1440" w:right="1440" w:bottom="1440" w:left="1440" w:header="720" w:footer="720" w:gutter="0"/>
          <w:pgNumType w:fmt="lowerRoman"/>
          <w:cols w:space="720" w:num="1"/>
          <w:titlePg/>
          <w:docGrid w:linePitch="360" w:charSpace="0"/>
        </w:sectPr>
      </w:pPr>
    </w:p>
    <w:p w14:paraId="43B2A0CF">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2649FE8C">
      <w:pPr>
        <w:pStyle w:val="20"/>
        <w:numPr>
          <w:ilvl w:val="0"/>
          <w:numId w:val="1"/>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60C702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(Akinoso et al., 2011). Among various plant sources,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(Burkill, 2000).</w:t>
      </w:r>
    </w:p>
    <w:p w14:paraId="4DC59FB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(Edeoga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18C27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or storage conditions. In addition, the biochemical assessment especially the identification of antioxidant compounds like phenolics, flavonoids, and carotenoids provides insight into the oil’s potential health benefits. Such bioactive compounds help combat oxidative stress and may contribute to the prevention of chronic diseases (Halliwell &amp; Gutteridge, 2007).</w:t>
      </w:r>
    </w:p>
    <w:p w14:paraId="1ED6A60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increasing interest in nutraceuticals and natural food preservatives,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5B867F5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1.1 BACKGROUND OF THE STUDY</w:t>
      </w:r>
    </w:p>
    <w:p w14:paraId="51CF1A4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commonly known as African nutmeg. This aromatic spice, native to the tropical rainforests of West and Central Africa, is primarily cultivated for its seeds, which are widely used as condiments in traditional African cuisines (Burkill, 2000).</w:t>
      </w:r>
    </w:p>
    <w:p w14:paraId="112FACB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seed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is rich in oil, and previous studies suggest that it may possess a wide range of bioactive compounds including flavonoids, tannins, alkaloids, and essential fatty acids (Ojezele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(Edeoga et al., 2005).</w:t>
      </w:r>
    </w:p>
    <w:p w14:paraId="6D01FF0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its traditional usage, the scientific basis for the physicochemical and biochemical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(Akinoso et al., 2011).</w:t>
      </w:r>
    </w:p>
    <w:p w14:paraId="00A0ECB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will contribute to the scientific database and provide insight into its quality, safety, and functionality.</w:t>
      </w:r>
    </w:p>
    <w:p w14:paraId="4811DB7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widespread traditional use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as a viable natural resource for health and industrial purposes.</w:t>
      </w:r>
    </w:p>
    <w:p w14:paraId="701C6DF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 STATEMENT OF THE PROBLEM</w:t>
      </w:r>
    </w:p>
    <w:p w14:paraId="0DB4915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Although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14:paraId="6338E8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hinders its qualification as a candidate for such substitution (Iwu, 1993).</w:t>
      </w:r>
    </w:p>
    <w:p w14:paraId="19445EB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underexploitation could be linked to the absence of research that comprehensively evaluates its physicochemical indices and antioxidant properties (Nwosu et al., 2008).</w:t>
      </w:r>
    </w:p>
    <w:p w14:paraId="6EF3639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5AFF229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Therefore, there is a compelling need to analyze the seed oil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08DF061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 JUSTIFICATION OF THE STUDY</w:t>
      </w:r>
    </w:p>
    <w:p w14:paraId="6EF8CD1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increasing trend toward natural remedies and organic products has placed significant value on indigenous plants with nutritional and medicinal potentials.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59E18C9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may contribute significantly to the nutraceutical and pharmaceutical sectors.</w:t>
      </w:r>
    </w:p>
    <w:p w14:paraId="3CDAE8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(Akinoso et al., 2011).</w:t>
      </w:r>
    </w:p>
    <w:p w14:paraId="351DFA3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addition, the economic benefits of promoting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454B136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Ultimately, the justification for this study lies in bridging the gap between traditional use and scientific validation. It is a step toward developing a comprehensive profile for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and positioning it as a bioresource of high nutritional, medicinal, and industrial relevance.</w:t>
      </w:r>
    </w:p>
    <w:p w14:paraId="6C34B25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 AIM AND OBJECTIVES OF THE STUDY</w:t>
      </w:r>
    </w:p>
    <w:p w14:paraId="3CAA452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Aim:</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 xml:space="preserve">The main aim of this study is to extract, characterize, and evaluate the physicochemical and biochemical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to determine its potential for nutritional, medicinal, and industrial applications.</w:t>
      </w:r>
    </w:p>
    <w:p w14:paraId="6B2B3D08">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Objectives:</w:t>
      </w:r>
    </w:p>
    <w:p w14:paraId="74D15CA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extract oil from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seeds using appropriate laboratory techniques.</w:t>
      </w:r>
    </w:p>
    <w:p w14:paraId="1EDB8F17">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determine the physicochemical properties of the extracted oil, including acid value, iodine value, saponification value, peroxide value, Ester value, specific gravity, %Free Fatty Acid, Density and % Oil yield</w:t>
      </w:r>
    </w:p>
    <w:p w14:paraId="680D2FE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evaluate the biochemical composition of the oil by determining the presence and concentration of bioactive compounds such as carotenoids.</w:t>
      </w:r>
    </w:p>
    <w:p w14:paraId="79968E70">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the antioxidant potential of the oil using DPPH radical scavenging assay, and Total Phenolic Content (TPC)</w:t>
      </w:r>
    </w:p>
    <w:p w14:paraId="5CF3CD38">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assess the antinutritional content of the oil.</w:t>
      </w:r>
    </w:p>
    <w:p w14:paraId="1014B371">
      <w:pPr>
        <w:numPr>
          <w:ilvl w:val="0"/>
          <w:numId w:val="2"/>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compare the results obtained with standard values and existing literature for possible industrial or pharmaceutical application.</w:t>
      </w:r>
    </w:p>
    <w:p w14:paraId="4EA6653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study’s objectives are designed to generate a multidimensional profile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offering insights that can support its commercial development and health applications.</w:t>
      </w:r>
    </w:p>
    <w:p w14:paraId="6086DD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 SCOPE OF THE STUDY</w:t>
      </w:r>
    </w:p>
    <w:p w14:paraId="30E7B49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research is limited to the extraction and analytical evaluation of oil obtained from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14:paraId="4408FE3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14:paraId="280C94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059AEF1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0D56BED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summary, the study emphasizes characterization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for its potential as a bioresource through in-laboratory physicochemical and biochemical assessments.</w:t>
      </w:r>
    </w:p>
    <w:p w14:paraId="53E4A7C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1.6 SIGNIFICANCE OF THE STUDY</w:t>
      </w:r>
    </w:p>
    <w:p w14:paraId="0606784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offers both scientific and socioeconomic significance. From a scientific standpoint, it contributes new knowledge to the relatively under-researched area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The findings will provide empirical data on its quality and safety, facilitating the understanding of its nutritional and health-promoting potentials (Edeoga et al., 2005).</w:t>
      </w:r>
    </w:p>
    <w:p w14:paraId="414131F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14:paraId="7D2648A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6CBA1D9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terms of economic implications, validating the properties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14:paraId="04907BE8">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14:paraId="498C83EE">
      <w:pPr>
        <w:spacing w:before="100" w:beforeAutospacing="1" w:after="100" w:afterAutospacing="1" w:line="48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TWO</w:t>
      </w:r>
    </w:p>
    <w:p w14:paraId="165589C5">
      <w:pPr>
        <w:pStyle w:val="3"/>
        <w:rPr>
          <w:sz w:val="24"/>
          <w:szCs w:val="24"/>
        </w:rPr>
      </w:pPr>
      <w:r>
        <w:rPr>
          <w:sz w:val="24"/>
          <w:szCs w:val="24"/>
        </w:rPr>
        <w:t xml:space="preserve">2.0 </w:t>
      </w:r>
      <w:r>
        <w:rPr>
          <w:sz w:val="24"/>
          <w:szCs w:val="24"/>
        </w:rPr>
        <w:tab/>
      </w:r>
      <w:r>
        <w:rPr>
          <w:sz w:val="24"/>
          <w:szCs w:val="24"/>
        </w:rPr>
        <w:t>LITERATURE REVIEW</w:t>
      </w:r>
    </w:p>
    <w:p w14:paraId="6A930216">
      <w:pPr>
        <w:pStyle w:val="11"/>
        <w:spacing w:line="480" w:lineRule="auto"/>
        <w:jc w:val="both"/>
      </w:pPr>
      <w:r>
        <w:rPr>
          <w:rStyle w:val="8"/>
        </w:rPr>
        <w:t>Monodora myristica</w:t>
      </w:r>
      <w:r>
        <w:t>, commonly known as African nutmeg, is a tropical plant that belongs to the family Annonaceae.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24C3F6B0">
      <w:pPr>
        <w:pStyle w:val="11"/>
        <w:spacing w:line="480" w:lineRule="auto"/>
        <w:jc w:val="both"/>
      </w:pPr>
      <w:r>
        <w:t xml:space="preserve">The fruit of </w:t>
      </w:r>
      <w:r>
        <w:rPr>
          <w:rStyle w:val="8"/>
        </w:rPr>
        <w:t>Monodora myristica</w:t>
      </w:r>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14:paraId="0CDB789C">
      <w:pPr>
        <w:pStyle w:val="11"/>
        <w:spacing w:line="480" w:lineRule="auto"/>
        <w:jc w:val="both"/>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rStyle w:val="8"/>
        </w:rPr>
        <w:t>Monodora myristica</w:t>
      </w:r>
      <w:r>
        <w:t xml:space="preserve"> remains underexploited compared to other spice crops, primarily due to limited agronomic data and commercial awareness (Nwosu et al., 2008).</w:t>
      </w:r>
    </w:p>
    <w:p w14:paraId="5AAEB4C3">
      <w:pPr>
        <w:pStyle w:val="11"/>
        <w:spacing w:line="480" w:lineRule="auto"/>
        <w:jc w:val="both"/>
      </w:pPr>
      <w:r>
        <w:t xml:space="preserve">Botanically, the plant shares similarities with other members of the Annonaceae family, including </w:t>
      </w:r>
      <w:r>
        <w:rPr>
          <w:rStyle w:val="8"/>
        </w:rPr>
        <w:t>Annona muricata</w:t>
      </w:r>
      <w:r>
        <w:t xml:space="preserve"> and </w:t>
      </w:r>
      <w:r>
        <w:rPr>
          <w:rStyle w:val="8"/>
        </w:rPr>
        <w:t>Xylopia aethiopica</w:t>
      </w:r>
      <w:r>
        <w:t xml:space="preserve">, which are also known for their aromatic and medicinal seeds. However, </w:t>
      </w:r>
      <w:r>
        <w:rPr>
          <w:rStyle w:val="8"/>
        </w:rPr>
        <w:t>Monodora myristica</w:t>
      </w:r>
      <w:r>
        <w:t xml:space="preserve"> is distinguished by its unique floral structure and highly aromatic seeds. The seed oil extracted from the kernels has been reported to possess a rich profile of volatile oils and fatty acids (Ajayi et al., 2014).</w:t>
      </w:r>
    </w:p>
    <w:p w14:paraId="7B59909A">
      <w:pPr>
        <w:pStyle w:val="11"/>
        <w:spacing w:line="480" w:lineRule="auto"/>
        <w:jc w:val="both"/>
      </w:pPr>
      <w:r>
        <w:t xml:space="preserve">Scientific interest in the plant has increased in recent years due to its potential pharmacological and nutritional benefits. A thorough botanical understanding of </w:t>
      </w:r>
      <w:r>
        <w:rPr>
          <w:rStyle w:val="8"/>
        </w:rPr>
        <w:t>Monodora myristica</w:t>
      </w:r>
      <w:r>
        <w:t xml:space="preserve"> is essential for its identification, propagation, and utilization in various scientific and industrial applications.</w:t>
      </w:r>
    </w:p>
    <w:p w14:paraId="360D5623">
      <w:pPr>
        <w:pStyle w:val="3"/>
        <w:spacing w:line="480" w:lineRule="auto"/>
        <w:jc w:val="both"/>
        <w:rPr>
          <w:sz w:val="24"/>
          <w:szCs w:val="24"/>
        </w:rPr>
      </w:pPr>
      <w:r>
        <w:rPr>
          <w:sz w:val="24"/>
          <w:szCs w:val="24"/>
        </w:rPr>
        <w:t>2.1 ETHNOMEDICINAL AND NUTRITIONAL IMPORTANCE</w:t>
      </w:r>
    </w:p>
    <w:p w14:paraId="38AE4FA9">
      <w:pPr>
        <w:pStyle w:val="11"/>
        <w:spacing w:line="480" w:lineRule="auto"/>
        <w:jc w:val="both"/>
      </w:pPr>
      <w:r>
        <w:rPr>
          <w:rStyle w:val="8"/>
        </w:rPr>
        <w:t>Monodora myristica</w:t>
      </w:r>
      <w:r>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(Ojezele &amp; Agunbiade, 2013).</w:t>
      </w:r>
    </w:p>
    <w:p w14:paraId="1232E329">
      <w:pPr>
        <w:pStyle w:val="11"/>
        <w:spacing w:line="480" w:lineRule="auto"/>
        <w:jc w:val="both"/>
      </w:pPr>
      <w:r>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45414A6D">
      <w:pPr>
        <w:pStyle w:val="11"/>
        <w:spacing w:line="480" w:lineRule="auto"/>
        <w:jc w:val="both"/>
      </w:pPr>
      <w:r>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14:paraId="74D109B7">
      <w:pPr>
        <w:pStyle w:val="11"/>
        <w:spacing w:line="480" w:lineRule="auto"/>
        <w:jc w:val="both"/>
      </w:pPr>
      <w:r>
        <w:t xml:space="preserve">Culinarily, </w:t>
      </w:r>
      <w:r>
        <w:rPr>
          <w:rStyle w:val="8"/>
        </w:rPr>
        <w:t>Monodora myristica</w:t>
      </w:r>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w:t>
      </w:r>
    </w:p>
    <w:p w14:paraId="126EB4AF">
      <w:pPr>
        <w:pStyle w:val="11"/>
        <w:spacing w:line="480" w:lineRule="auto"/>
        <w:jc w:val="both"/>
      </w:pPr>
      <w:r>
        <w:t xml:space="preserve">Despite these benefits, the full potential of </w:t>
      </w:r>
      <w:r>
        <w:rPr>
          <w:rStyle w:val="8"/>
        </w:rPr>
        <w:t>Monodora myristica</w:t>
      </w:r>
      <w:r>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14:paraId="3C165326">
      <w:pPr>
        <w:pStyle w:val="3"/>
        <w:spacing w:line="480" w:lineRule="auto"/>
        <w:jc w:val="both"/>
        <w:rPr>
          <w:sz w:val="24"/>
          <w:szCs w:val="24"/>
        </w:rPr>
      </w:pPr>
      <w:r>
        <w:rPr>
          <w:sz w:val="24"/>
          <w:szCs w:val="24"/>
        </w:rPr>
        <w:t>2.2 OVERVIEW OF SEED OILS AND EXTRACTION TECHNIQUES</w:t>
      </w:r>
    </w:p>
    <w:p w14:paraId="3F80ADC6">
      <w:pPr>
        <w:pStyle w:val="11"/>
        <w:spacing w:line="480" w:lineRule="auto"/>
        <w:jc w:val="both"/>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(Akinoso et al., 2011).</w:t>
      </w:r>
    </w:p>
    <w:p w14:paraId="46975E05">
      <w:pPr>
        <w:pStyle w:val="11"/>
        <w:spacing w:line="480" w:lineRule="auto"/>
        <w:jc w:val="both"/>
      </w:pPr>
      <w:r>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37FEBE88">
      <w:pPr>
        <w:pStyle w:val="11"/>
        <w:spacing w:line="480" w:lineRule="auto"/>
        <w:jc w:val="both"/>
      </w:pPr>
      <w:r>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Pr>
          <w:vertAlign w:val="subscript"/>
        </w:rPr>
        <w:t>2</w:t>
      </w:r>
      <w:r>
        <w:t xml:space="preserve"> extraction is one such method that uses carbon dioxide under high pressure and temperature, offering high purity and minimal thermal degradation (AOAC, 2010).</w:t>
      </w:r>
    </w:p>
    <w:p w14:paraId="42E043A5">
      <w:pPr>
        <w:pStyle w:val="11"/>
        <w:spacing w:line="480" w:lineRule="auto"/>
        <w:jc w:val="both"/>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14:paraId="308FDB6C">
      <w:pPr>
        <w:pStyle w:val="11"/>
        <w:spacing w:line="480" w:lineRule="auto"/>
        <w:jc w:val="both"/>
      </w:pPr>
      <w:r>
        <w:t xml:space="preserve">In the case of </w:t>
      </w:r>
      <w:r>
        <w:rPr>
          <w:rStyle w:val="8"/>
        </w:rPr>
        <w:t>Monodora 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19E186D8">
      <w:pPr>
        <w:pStyle w:val="3"/>
        <w:spacing w:line="480" w:lineRule="auto"/>
        <w:jc w:val="both"/>
        <w:rPr>
          <w:sz w:val="24"/>
          <w:szCs w:val="24"/>
        </w:rPr>
      </w:pPr>
      <w:r>
        <w:rPr>
          <w:sz w:val="24"/>
          <w:szCs w:val="24"/>
        </w:rPr>
        <w:t>2.3 PHYSICOCHEMICAL PROPERTIES OF SEED OILS</w:t>
      </w:r>
    </w:p>
    <w:p w14:paraId="7BFEC051">
      <w:pPr>
        <w:pStyle w:val="11"/>
        <w:spacing w:line="480" w:lineRule="auto"/>
        <w:jc w:val="both"/>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7724D7F0">
      <w:pPr>
        <w:pStyle w:val="11"/>
        <w:spacing w:line="480" w:lineRule="auto"/>
        <w:jc w:val="both"/>
      </w:pPr>
      <w: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(Akinoso et al., 2011).</w:t>
      </w:r>
    </w:p>
    <w:p w14:paraId="5B7CFD69">
      <w:pPr>
        <w:pStyle w:val="11"/>
        <w:spacing w:line="480" w:lineRule="auto"/>
        <w:jc w:val="both"/>
      </w:pPr>
      <w:r>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14:paraId="65127C49">
      <w:pPr>
        <w:pStyle w:val="11"/>
        <w:spacing w:line="480" w:lineRule="auto"/>
        <w:jc w:val="both"/>
      </w:pPr>
      <w:r>
        <w:t xml:space="preserve">Refractive index and specific gravity provide additional information about oil purity and composition. These parameters are influenced by the degree of unsaturation and the presence of impurities. For </w:t>
      </w:r>
      <w:r>
        <w:rPr>
          <w:rStyle w:val="8"/>
        </w:rPr>
        <w:t>Monodora myristica</w:t>
      </w:r>
      <w:r>
        <w:t xml:space="preserve"> seed oil, studies have shown favorable physicochemical properties comparable to those of established edible oils like soybean and palm kernel oils (Nwosu et al., 2008).</w:t>
      </w:r>
    </w:p>
    <w:p w14:paraId="1136DFE1">
      <w:pPr>
        <w:pStyle w:val="11"/>
        <w:spacing w:line="480" w:lineRule="auto"/>
        <w:jc w:val="both"/>
      </w:pPr>
      <w: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013768AC">
      <w:pPr>
        <w:pStyle w:val="3"/>
        <w:spacing w:line="480" w:lineRule="auto"/>
        <w:jc w:val="both"/>
        <w:rPr>
          <w:sz w:val="24"/>
          <w:szCs w:val="24"/>
        </w:rPr>
      </w:pPr>
      <w:r>
        <w:rPr>
          <w:sz w:val="24"/>
          <w:szCs w:val="24"/>
        </w:rPr>
        <w:t>2.4 BIOCHEMICAL CONSTITUENTS OF SEED OILS</w:t>
      </w:r>
    </w:p>
    <w:p w14:paraId="45B74F39">
      <w:pPr>
        <w:pStyle w:val="11"/>
        <w:spacing w:line="480" w:lineRule="auto"/>
        <w:jc w:val="both"/>
      </w:pPr>
      <w:r>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14:paraId="24671527">
      <w:pPr>
        <w:pStyle w:val="11"/>
        <w:spacing w:line="480" w:lineRule="auto"/>
        <w:jc w:val="both"/>
      </w:pPr>
      <w:r>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14:paraId="21A33723">
      <w:pPr>
        <w:pStyle w:val="11"/>
        <w:spacing w:line="480" w:lineRule="auto"/>
        <w:jc w:val="both"/>
      </w:pPr>
      <w:r>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14:paraId="0D86F583">
      <w:pPr>
        <w:pStyle w:val="11"/>
        <w:spacing w:line="480" w:lineRule="auto"/>
        <w:jc w:val="both"/>
      </w:pPr>
      <w:r>
        <w:t xml:space="preserve">Phenolic and flavonoid compounds are responsible for the antioxidant capacity of many seed oils. These polyphenols scavenge free radicals and chelate metal ions, thereby preventing oxidative stress-related damage. In </w:t>
      </w:r>
      <w:r>
        <w:rPr>
          <w:rStyle w:val="8"/>
        </w:rPr>
        <w:t>Monodora myristica</w:t>
      </w:r>
      <w:r>
        <w:t>, significant levels of flavonoids and phenolics have been reported, supporting its traditional use in managing oxidative stress-related ailments (Edeoga et al., 2005).</w:t>
      </w:r>
    </w:p>
    <w:p w14:paraId="0D85541F">
      <w:pPr>
        <w:pStyle w:val="11"/>
        <w:spacing w:line="480" w:lineRule="auto"/>
        <w:jc w:val="both"/>
      </w:pPr>
      <w:r>
        <w:t xml:space="preserve">The biochemical richness of seed oils, including that of </w:t>
      </w:r>
      <w:r>
        <w:rPr>
          <w:rStyle w:val="8"/>
        </w:rPr>
        <w:t>Monodora myristica</w:t>
      </w:r>
      <w:r>
        <w:t>, enhances their functional value and supports their inclusion in nutraceuticals, functional foods, and cosmetics. Understanding these constituents is critical for product formulation and for establishing the therapeutic claims of natural oil-based products.</w:t>
      </w:r>
    </w:p>
    <w:p w14:paraId="4EF8DF36">
      <w:pPr>
        <w:pStyle w:val="3"/>
        <w:spacing w:line="480" w:lineRule="auto"/>
        <w:jc w:val="both"/>
        <w:rPr>
          <w:sz w:val="24"/>
          <w:szCs w:val="24"/>
        </w:rPr>
      </w:pPr>
      <w:r>
        <w:rPr>
          <w:sz w:val="24"/>
          <w:szCs w:val="24"/>
        </w:rPr>
        <w:t>2.5 ANTIOXIDANT AND ANTINUTRITIONAL ACTIVITIES OF SEED OILS</w:t>
      </w:r>
    </w:p>
    <w:p w14:paraId="3C97EC11">
      <w:pPr>
        <w:pStyle w:val="11"/>
        <w:spacing w:line="480" w:lineRule="auto"/>
        <w:jc w:val="both"/>
      </w:pPr>
      <w:r>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14:paraId="2B480CA9">
      <w:pPr>
        <w:pStyle w:val="11"/>
        <w:spacing w:line="480" w:lineRule="auto"/>
        <w:jc w:val="both"/>
      </w:pPr>
      <w:r>
        <w:t xml:space="preserve">In the case of </w:t>
      </w:r>
      <w:r>
        <w:rPr>
          <w:rStyle w:val="8"/>
        </w:rPr>
        <w:t>Monodora myristica</w:t>
      </w:r>
      <w:r>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w:t>
      </w:r>
    </w:p>
    <w:p w14:paraId="061A89FD">
      <w:pPr>
        <w:pStyle w:val="11"/>
        <w:spacing w:line="480" w:lineRule="auto"/>
        <w:jc w:val="both"/>
      </w:pPr>
      <w:r>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(Ojezele &amp; Agunbiade, 2013).</w:t>
      </w:r>
    </w:p>
    <w:p w14:paraId="432C532D">
      <w:pPr>
        <w:pStyle w:val="11"/>
        <w:spacing w:line="480" w:lineRule="auto"/>
        <w:jc w:val="both"/>
      </w:pPr>
      <w:r>
        <w:t xml:space="preserve">Processing methods such as roasting, fermentation, and solvent extraction can significantly reduce the levels of antinutritional factors. In </w:t>
      </w:r>
      <w:r>
        <w:rPr>
          <w:rStyle w:val="8"/>
        </w:rPr>
        <w:t>Monodora myristica</w:t>
      </w:r>
      <w:r>
        <w:t>, the levels of these compounds are relatively low and can be minimized through proper processing, making the oil suitable for consumption and therapeutic use.</w:t>
      </w:r>
    </w:p>
    <w:p w14:paraId="167FBBE5">
      <w:pPr>
        <w:pStyle w:val="11"/>
        <w:spacing w:line="480" w:lineRule="auto"/>
        <w:jc w:val="both"/>
      </w:pPr>
      <w:r>
        <w:t>The dual presence of antioxidants and trace antinutritional factors in seed oils underscores the importance of comprehensive evaluation. It is essential to balance their health benefits and potential risks to ensure safe and effective use in food and medicine.</w:t>
      </w:r>
    </w:p>
    <w:p w14:paraId="41BB6769">
      <w:pPr>
        <w:spacing w:before="100" w:beforeAutospacing="1" w:after="100" w:afterAutospacing="1" w:line="480" w:lineRule="auto"/>
        <w:jc w:val="both"/>
        <w:rPr>
          <w:rFonts w:ascii="Times New Roman" w:hAnsi="Times New Roman" w:eastAsia="Times New Roman" w:cs="Times New Roman"/>
          <w:sz w:val="24"/>
          <w:szCs w:val="24"/>
        </w:rPr>
      </w:pPr>
    </w:p>
    <w:p w14:paraId="10EF72CF">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8CAF54A">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5B3E60D">
      <w:pPr>
        <w:spacing w:before="100" w:beforeAutospacing="1" w:after="100" w:afterAutospacing="1" w:line="480" w:lineRule="auto"/>
        <w:jc w:val="both"/>
        <w:outlineLvl w:val="2"/>
        <w:rPr>
          <w:rFonts w:ascii="Times New Roman" w:hAnsi="Times New Roman" w:eastAsia="Times New Roman" w:cs="Times New Roman"/>
          <w:sz w:val="24"/>
          <w:szCs w:val="24"/>
        </w:rPr>
      </w:pPr>
    </w:p>
    <w:p w14:paraId="1309A3D4">
      <w:pPr>
        <w:spacing w:before="100" w:beforeAutospacing="1" w:after="100" w:afterAutospacing="1" w:line="480" w:lineRule="auto"/>
        <w:jc w:val="both"/>
        <w:outlineLvl w:val="2"/>
        <w:rPr>
          <w:rFonts w:ascii="Times New Roman" w:hAnsi="Times New Roman" w:eastAsia="Times New Roman" w:cs="Times New Roman"/>
          <w:sz w:val="24"/>
          <w:szCs w:val="24"/>
        </w:rPr>
      </w:pPr>
    </w:p>
    <w:p w14:paraId="6907426C">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CHAPTER THREE</w:t>
      </w:r>
    </w:p>
    <w:p w14:paraId="0BC60572">
      <w:pPr>
        <w:pStyle w:val="20"/>
        <w:spacing w:before="100" w:beforeAutospacing="1" w:after="100" w:afterAutospacing="1" w:line="480" w:lineRule="auto"/>
        <w:ind w:left="0"/>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3.0</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SAMPLE COLLECTION AND PREPARATION</w:t>
      </w:r>
    </w:p>
    <w:p w14:paraId="68D75A0F">
      <w:pPr>
        <w:pStyle w:val="20"/>
        <w:spacing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Seeds of </w:t>
      </w:r>
      <w:r>
        <w:rPr>
          <w:rFonts w:ascii="Times New Roman" w:hAnsi="Times New Roman" w:cs="Times New Roman"/>
          <w:i/>
          <w:iCs/>
          <w:color w:val="000000" w:themeColor="text1"/>
          <w:sz w:val="24"/>
          <w:szCs w:val="24"/>
          <w14:textFill>
            <w14:solidFill>
              <w14:schemeClr w14:val="tx1"/>
            </w14:solidFill>
          </w14:textFill>
        </w:rPr>
        <w:t xml:space="preserve">Monodora myristica </w:t>
      </w:r>
      <w:r>
        <w:rPr>
          <w:rFonts w:ascii="Times New Roman" w:hAnsi="Times New Roman" w:cs="Times New Roman"/>
          <w:color w:val="000000" w:themeColor="text1"/>
          <w:sz w:val="24"/>
          <w:szCs w:val="24"/>
          <w14:textFill>
            <w14:solidFill>
              <w14:schemeClr w14:val="tx1"/>
            </w14:solidFill>
          </w14:textFill>
        </w:rPr>
        <w:t>were</w:t>
      </w:r>
      <w:r>
        <w:rPr>
          <w:rFonts w:ascii="Times New Roman" w:hAnsi="Times New Roman" w:cs="Times New Roman"/>
          <w:i/>
          <w:i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purchased from Oja-Oba market in Ilorin-West L.G.A, Ilorin, Kwara State, in North central of Nigeria.</w:t>
      </w:r>
    </w:p>
    <w:p w14:paraId="28A6EAC3">
      <w:pPr>
        <w:pStyle w:val="20"/>
        <w:spacing w:line="48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seed coats were peeled, and pulverized (grounded) using a grinding machine.</w:t>
      </w:r>
    </w:p>
    <w:p w14:paraId="465FEB6C">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USED</w:t>
      </w:r>
    </w:p>
    <w:p w14:paraId="05D633D9">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materials utilized for this study include </w:t>
      </w:r>
      <w:r>
        <w:rPr>
          <w:rFonts w:ascii="Times New Roman" w:hAnsi="Times New Roman" w:cs="Times New Roman"/>
          <w:i/>
          <w:iCs/>
          <w:color w:val="000000" w:themeColor="text1"/>
          <w:sz w:val="24"/>
          <w:szCs w:val="24"/>
          <w14:textFill>
            <w14:solidFill>
              <w14:schemeClr w14:val="tx1"/>
            </w14:solidFill>
          </w14:textFill>
        </w:rPr>
        <w:t xml:space="preserve">Monodora myristica </w:t>
      </w:r>
      <w:r>
        <w:rPr>
          <w:rFonts w:ascii="Times New Roman" w:hAnsi="Times New Roman" w:cs="Times New Roman"/>
          <w:color w:val="000000" w:themeColor="text1"/>
          <w:sz w:val="24"/>
          <w:szCs w:val="24"/>
          <w14:textFill>
            <w14:solidFill>
              <w14:schemeClr w14:val="tx1"/>
            </w14:solidFill>
          </w14:textFill>
        </w:rPr>
        <w:t>seed, Thimble, Grinding machine, Magnetic stirrer, Tissue paper, White thin rope, UV-Visible spectrophotometer, Distillation apparatus, Heating mantle, Measuring pipette, Analytical balance, Erlenmeyer flask, 250ml volumetric cylinder, Micropipette, Digital thermometer, Mortar, Pestle, Titration setup (burette, pipette, conical, retort stand).</w:t>
      </w:r>
    </w:p>
    <w:p w14:paraId="058FBB6A">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REAGENTS USED</w:t>
      </w:r>
    </w:p>
    <w:p w14:paraId="67DC80B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Ethanol, N- Hexane: Acetone (1:1), Ethanol:Ether (1:1), Phenolphthalein, 0.1M NaoH (Sodium Hydroxide) solution, Chloroform, Wij’s solution,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(Sodium Thiosulphate), 5% KI (Potassium Iodide), Starch solution, Ethanolic KOH (Potassium Hydroxide),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(Sulfuric Acid), 0.1M oxalic acid solution, 0.02M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(Potassium Permanganate), Methanol, DPPH (2,2- Diphenyl-1-picrylhydrazyl) solution, Standard solution of ascorbic acid, Folin-Ciocalteu Reagent (FCR),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(Sodium Carbonate), Distilled water.</w:t>
      </w:r>
    </w:p>
    <w:p w14:paraId="74ABDD2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PROCEDURE FOR EXTRACTION</w:t>
      </w:r>
    </w:p>
    <w:p w14:paraId="7BD1BE2C">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0FE12C25">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samples were wrapped and placed in the extraction chamber and 450ml of ethanol was added as solvent. The beaker was placed on magnetic stirrer for about 8hours for the extraction of the sample oil.</w:t>
      </w:r>
    </w:p>
    <w:p w14:paraId="7F241E6D">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solvent extraction process was carried out using steam distillation for 4hours. The extracted oil was collected in a beaker. The solvent was removed using a heating mantle.</w:t>
      </w:r>
    </w:p>
    <w:p w14:paraId="737B0857">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PHYSICOCHEMICAL ANALYSIS</w:t>
      </w:r>
      <w:r>
        <w:rPr>
          <w:rFonts w:ascii="Times New Roman" w:hAnsi="Times New Roman" w:cs="Times New Roman"/>
          <w:color w:val="000000" w:themeColor="text1"/>
          <w:sz w:val="24"/>
          <w:szCs w:val="24"/>
          <w14:textFill>
            <w14:solidFill>
              <w14:schemeClr w14:val="tx1"/>
            </w14:solidFill>
          </w14:textFill>
        </w:rPr>
        <w:t xml:space="preserve">  </w:t>
      </w:r>
    </w:p>
    <w:p w14:paraId="51FBD9C1">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physicochemical properties of the seed oil were performed using standard titrimetric method.</w:t>
      </w:r>
    </w:p>
    <w:p w14:paraId="007BEF57">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ACID VALUE AND PERCENTAGE FREE FATTY ACID</w:t>
      </w:r>
    </w:p>
    <w:p w14:paraId="2D9994A7">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0.2g of oil sample was weighed on an analytical balance into a clean dry Erlenmeyer flask using a micropipette </w:t>
      </w:r>
    </w:p>
    <w:p w14:paraId="77E89F69">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Ethanol:Ether (1:1) mixture was added</w:t>
      </w:r>
    </w:p>
    <w:p w14:paraId="32387532">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phenolphthalein was added as indicator</w:t>
      </w:r>
    </w:p>
    <w:p w14:paraId="5C58A280">
      <w:pPr>
        <w:pStyle w:val="20"/>
        <w:numPr>
          <w:ilvl w:val="0"/>
          <w:numId w:val="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0.1M NaoH solution to a a faint pink end point.</w:t>
      </w:r>
    </w:p>
    <w:p w14:paraId="3846D5DE">
      <w:pPr>
        <w:pStyle w:val="11"/>
        <w:spacing w:line="360" w:lineRule="auto"/>
        <w:jc w:val="both"/>
      </w:pPr>
      <w:r>
        <w:rPr>
          <w:rStyle w:val="12"/>
        </w:rPr>
        <w:t xml:space="preserve"> Acid Value Calculation:</w:t>
      </w:r>
    </w:p>
    <w:p w14:paraId="108779CC">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2BB27F54">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79CB91A1">
      <w:pPr>
        <w:pStyle w:val="11"/>
        <w:spacing w:line="360" w:lineRule="auto"/>
        <w:jc w:val="both"/>
      </w:pPr>
      <w:r>
        <w:t>Where:</w:t>
      </w:r>
    </w:p>
    <w:p w14:paraId="119EBEB5">
      <w:pPr>
        <w:pStyle w:val="11"/>
        <w:numPr>
          <w:ilvl w:val="0"/>
          <w:numId w:val="4"/>
        </w:numPr>
        <w:spacing w:line="360" w:lineRule="auto"/>
        <w:jc w:val="both"/>
      </w:pPr>
      <w:r>
        <w:rPr>
          <w:rStyle w:val="8"/>
        </w:rPr>
        <w:t>Mw</w:t>
      </w:r>
      <w:r>
        <w:t xml:space="preserve"> = molecular weight of NaOH used (g/mol) = 40.1g/mol</w:t>
      </w:r>
    </w:p>
    <w:p w14:paraId="1206EAEA">
      <w:pPr>
        <w:pStyle w:val="11"/>
        <w:numPr>
          <w:ilvl w:val="0"/>
          <w:numId w:val="4"/>
        </w:numPr>
        <w:spacing w:line="360" w:lineRule="auto"/>
        <w:jc w:val="both"/>
      </w:pPr>
      <w:r>
        <w:rPr>
          <w:rStyle w:val="8"/>
        </w:rPr>
        <w:t>Av</w:t>
      </w:r>
      <w:r>
        <w:t xml:space="preserve"> = average titer value = 2.70ml</w:t>
      </w:r>
    </w:p>
    <w:p w14:paraId="2E6EDF96">
      <w:pPr>
        <w:pStyle w:val="11"/>
        <w:numPr>
          <w:ilvl w:val="0"/>
          <w:numId w:val="4"/>
        </w:numPr>
        <w:spacing w:line="360" w:lineRule="auto"/>
        <w:jc w:val="both"/>
      </w:pPr>
      <w:r>
        <w:rPr>
          <w:rStyle w:val="8"/>
        </w:rPr>
        <w:t>M NaOH</w:t>
      </w:r>
      <w:r>
        <w:t xml:space="preserve"> = molarity of NaOH used = 0.1M</w:t>
      </w:r>
    </w:p>
    <w:p w14:paraId="41EB6B4F">
      <w:pPr>
        <w:pStyle w:val="11"/>
        <w:numPr>
          <w:ilvl w:val="0"/>
          <w:numId w:val="4"/>
        </w:numPr>
        <w:spacing w:line="360" w:lineRule="auto"/>
        <w:jc w:val="both"/>
      </w:pPr>
      <w:r>
        <w:rPr>
          <w:rStyle w:val="8"/>
        </w:rPr>
        <w:t xml:space="preserve">Sample weight = </w:t>
      </w:r>
      <w:r>
        <w:rPr>
          <w:rStyle w:val="8"/>
          <w:i w:val="0"/>
          <w:iCs w:val="0"/>
        </w:rPr>
        <w:t>0.5g</w:t>
      </w:r>
    </w:p>
    <w:p w14:paraId="6E844964">
      <w:pPr>
        <w:pStyle w:val="11"/>
        <w:spacing w:line="360" w:lineRule="auto"/>
        <w:jc w:val="both"/>
      </w:pPr>
      <w:r>
        <w:rPr>
          <w:rStyle w:val="12"/>
        </w:rPr>
        <w:t xml:space="preserve"> Percentage Free Fatty Acid:</w:t>
      </w:r>
    </w:p>
    <w:p w14:paraId="6400819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Percentage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0278EFF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749A128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5C65376">
      <w:pPr>
        <w:pStyle w:val="2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347CB51A">
      <w:pPr>
        <w:pStyle w:val="2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2ACA803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IODINE VALUE</w:t>
      </w:r>
    </w:p>
    <w:p w14:paraId="3820E1D3">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sample was weighed on an analytical balance into a 350ml clean and dry Erlenmeyer flask</w:t>
      </w:r>
    </w:p>
    <w:p w14:paraId="608437E3">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10ml of chloroform was added and swirled to mix</w:t>
      </w:r>
    </w:p>
    <w:p w14:paraId="4B60F04E">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Wij’s solution was added, swirled to mix, and all was stood in the dark for 1hour.</w:t>
      </w:r>
    </w:p>
    <w:p w14:paraId="60EFCF4E">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clean burette was filled with 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and was adjusted to mark</w:t>
      </w:r>
    </w:p>
    <w:p w14:paraId="6AF0BD8C">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20ml of 5% KI solution was added to the solution kept in the dark after 1hour of been kept, then we swirled to mix.</w:t>
      </w:r>
    </w:p>
    <w:p w14:paraId="35765FBC">
      <w:pPr>
        <w:pStyle w:val="20"/>
        <w:numPr>
          <w:ilvl w:val="0"/>
          <w:numId w:val="6"/>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titrated against the solution to a faint yellow, 0.5ml of starch solution was added (a blue-black color was observed). The volume of thiosulphate consumed was recorded.</w:t>
      </w:r>
    </w:p>
    <w:p w14:paraId="2F3C7B1E">
      <w:pPr>
        <w:pStyle w:val="20"/>
        <w:numPr>
          <w:ilvl w:val="0"/>
          <w:numId w:val="6"/>
        </w:numPr>
        <w:spacing w:after="0" w:line="360" w:lineRule="auto"/>
        <w:ind w:left="360"/>
        <w:jc w:val="both"/>
        <w:rPr>
          <w:rStyle w:val="12"/>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3E4BEB1E">
      <w:pPr>
        <w:pStyle w:val="11"/>
        <w:spacing w:line="360" w:lineRule="auto"/>
        <w:jc w:val="both"/>
      </w:pPr>
      <w:r>
        <w:rPr>
          <w:rStyle w:val="12"/>
        </w:rPr>
        <w:t xml:space="preserve"> Iodine Value:</w:t>
      </w:r>
    </w:p>
    <w:p w14:paraId="0187A0BD">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4B2E2709">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449C5CD6">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p>
    <w:p w14:paraId="3DA25782">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432969D">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30.20ml</w:t>
      </w:r>
    </w:p>
    <w:p w14:paraId="67D8E7F8">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2.70ml</w:t>
      </w:r>
    </w:p>
    <w:p w14:paraId="632DD25D">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4AEF4D00">
      <w:pPr>
        <w:pStyle w:val="20"/>
        <w:numPr>
          <w:ilvl w:val="0"/>
          <w:numId w:val="7"/>
        </w:numPr>
        <w:spacing w:before="100" w:beforeAutospacing="1" w:after="100" w:afterAutospacing="1"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53E62F67">
      <w:pPr>
        <w:pStyle w:val="20"/>
        <w:spacing w:before="100" w:beforeAutospacing="1" w:after="100" w:afterAutospacing="1" w:line="360" w:lineRule="auto"/>
        <w:ind w:left="0"/>
        <w:jc w:val="both"/>
        <w:rPr>
          <w:rFonts w:ascii="Times New Roman" w:hAnsi="Times New Roman" w:cs="Times New Roman"/>
          <w:b/>
          <w:bCs/>
          <w:color w:val="000000" w:themeColor="text1"/>
          <w:sz w:val="24"/>
          <w:szCs w:val="24"/>
          <w14:textFill>
            <w14:solidFill>
              <w14:schemeClr w14:val="tx1"/>
            </w14:solidFill>
          </w14:textFill>
        </w:rPr>
      </w:pPr>
    </w:p>
    <w:p w14:paraId="6616A1C9">
      <w:pPr>
        <w:pStyle w:val="20"/>
        <w:spacing w:before="100" w:beforeAutospacing="1" w:after="100" w:afterAutospacing="1"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3.3.3 DETERMINATION OF PEROXIDE VALUE</w:t>
      </w:r>
    </w:p>
    <w:p w14:paraId="5721403F">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31AA99DD">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30ml of NaoH:Chloroform mixture was added and swirled to mix to obtain a homogenous solution</w:t>
      </w:r>
    </w:p>
    <w:p w14:paraId="78DD791D">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saturated KI solution was added </w:t>
      </w:r>
    </w:p>
    <w:p w14:paraId="637C58D3">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shaken carefully for 2minutes</w:t>
      </w:r>
    </w:p>
    <w:p w14:paraId="34688A45">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starch solution was added </w:t>
      </w:r>
    </w:p>
    <w:p w14:paraId="298D36F5">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solution was titrated against 0.01M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O</w:t>
      </w:r>
      <w:r>
        <w:rPr>
          <w:rFonts w:ascii="Times New Roman" w:hAnsi="Times New Roman" w:cs="Times New Roman"/>
          <w:color w:val="000000" w:themeColor="text1"/>
          <w:sz w:val="24"/>
          <w:szCs w:val="24"/>
          <w:vertAlign w:val="sub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solution to a blue-black solution end point</w:t>
      </w:r>
    </w:p>
    <w:p w14:paraId="29823031">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titration was performed on both extract A and B</w:t>
      </w:r>
    </w:p>
    <w:p w14:paraId="027FA3D1">
      <w:pPr>
        <w:pStyle w:val="20"/>
        <w:numPr>
          <w:ilvl w:val="0"/>
          <w:numId w:val="8"/>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Blank titration was performed.</w:t>
      </w:r>
    </w:p>
    <w:p w14:paraId="7199EA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Peroxide value:</w:t>
      </w:r>
    </w:p>
    <w:p w14:paraId="38D8330A">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592AE5B7">
      <w:pPr>
        <w:pStyle w:val="2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7EC0153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29FB1429">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15.50ml</w:t>
      </w:r>
    </w:p>
    <w:p w14:paraId="2041247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3.90ml</w:t>
      </w:r>
    </w:p>
    <w:p w14:paraId="7E20AC3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01FF96AF">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C62220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SAPONIFICATION AND ESTER VALUE</w:t>
      </w:r>
    </w:p>
    <w:p w14:paraId="4BBF8FB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EF8B23A">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0.5g of oil sample was weighed into an Erlenmeyer flask</w:t>
      </w:r>
    </w:p>
    <w:p w14:paraId="75DA19A2">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Ethanolic KOH was added, and well shaken</w:t>
      </w:r>
    </w:p>
    <w:p w14:paraId="4B164F64">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placed on heating mantle for 10minutes</w:t>
      </w:r>
    </w:p>
    <w:p w14:paraId="31F08CC4">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mixture was left to cool for 1hour</w:t>
      </w:r>
    </w:p>
    <w:p w14:paraId="74550215">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Phenolphthalein indicator was added to turn pinkish color</w:t>
      </w:r>
    </w:p>
    <w:p w14:paraId="7C3DD962">
      <w:pPr>
        <w:pStyle w:val="20"/>
        <w:numPr>
          <w:ilvl w:val="0"/>
          <w:numId w:val="10"/>
        </w:num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titrated against the mixture until a faint yellow color was observed</w:t>
      </w:r>
    </w:p>
    <w:p w14:paraId="101BD76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Blank titration was performed</w:t>
      </w:r>
    </w:p>
    <w:p w14:paraId="17246CFB">
      <w:pPr>
        <w:pStyle w:val="20"/>
        <w:spacing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Saponification value:</w:t>
      </w:r>
    </w:p>
    <w:p w14:paraId="6B75A0B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1AA45E6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58E365E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D0BEA73">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2D2E17B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21.50ml</w:t>
      </w:r>
    </w:p>
    <w:p w14:paraId="5C4FB9F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799D27D1">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39317FC">
      <w:pPr>
        <w:pStyle w:val="20"/>
        <w:numPr>
          <w:ilvl w:val="0"/>
          <w:numId w:val="9"/>
        </w:num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Mw NaOH = Molecular weight of NaOH = 40.01g/mol</w:t>
      </w:r>
    </w:p>
    <w:p w14:paraId="6C8003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2EC69D6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Ester value:</w:t>
      </w:r>
    </w:p>
    <w:p w14:paraId="19971027">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Ester value = Saponification value – Acid value </w:t>
      </w:r>
    </w:p>
    <w:p w14:paraId="07B56C42">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40A4B277">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BIOCHEMICAL ASSESSMENT</w:t>
      </w:r>
    </w:p>
    <w:p w14:paraId="095F618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biochemical component of the extracted oil was assessed and evaluated using spectrophotometry technique. This includes, antioxidant activity (DPPH, TPC), anti-nutritional assay (oxalate determination), and carotenoids estimation. Lycopene and β- Carotene were the carotenoids estimated in this experiment. </w:t>
      </w:r>
    </w:p>
    <w:p w14:paraId="11F683A8">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39256FD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ESTIMATION OF ANTIOXIDANT ACTIVITY (E.G., DPPH, TPC)  </w:t>
      </w:r>
    </w:p>
    <w:p w14:paraId="01042C89">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 xml:space="preserve"> DPPH (2,2- Diphenyl-1-picrylhydrazyl)</w:t>
      </w:r>
    </w:p>
    <w:p w14:paraId="182D3E11">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0.5ml of the extracted oil was carefully measured into a clean test tube with the aid of a micropipette. </w:t>
      </w:r>
    </w:p>
    <w:p w14:paraId="1AB2D1CB">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2ml of methanol and 1ml of DPPH solution were added respectively and was labeled as sample. </w:t>
      </w:r>
    </w:p>
    <w:p w14:paraId="59271FE4">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containing 2ml methanol and 1ml of DPPH solution was done separately</w:t>
      </w:r>
    </w:p>
    <w:p w14:paraId="4CFF466E">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These test tubes were left in the dark for 30minutes.</w:t>
      </w:r>
    </w:p>
    <w:p w14:paraId="783DCEF6">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of the solutions (sample and blank) were measured at 517nm.</w:t>
      </w:r>
    </w:p>
    <w:p w14:paraId="068F47CE">
      <w:pPr>
        <w:pStyle w:val="20"/>
        <w:numPr>
          <w:ilvl w:val="0"/>
          <w:numId w:val="11"/>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standard solution of abscorbic acid (0.1g in 10ml of distilled water) was prepared and absorbance measured as control.</w:t>
      </w:r>
    </w:p>
    <w:p w14:paraId="185F16A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1C53494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57EF8F8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 absorbance of control</w:t>
      </w:r>
    </w:p>
    <w:p w14:paraId="6EB6F37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1B541F56">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0542F03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4D4F762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BD91B2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 absorbance of standard</w:t>
      </w:r>
    </w:p>
    <w:p w14:paraId="46822D3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37FEFE90">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114400B">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3.4.1.2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TOTAL PHENOLIC CONTENT (TPC)</w:t>
      </w:r>
    </w:p>
    <w:p w14:paraId="00E9A34B">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0.5ml of the extracted oil was weighed and added to 5ml of FCR and 4ml of 7%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 xml:space="preserve">This was labeled as sample. </w:t>
      </w:r>
    </w:p>
    <w:p w14:paraId="1E2A17B1">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2ml of the resulting solution was further diluted to 10ml with distilled water</w:t>
      </w:r>
    </w:p>
    <w:p w14:paraId="4FDB9D0E">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FCR and 4ml of Na</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CO</w:t>
      </w:r>
      <w:r>
        <w:rPr>
          <w:rFonts w:ascii="Times New Roman" w:hAnsi="Times New Roman" w:cs="Times New Roman"/>
          <w:color w:val="000000" w:themeColor="text1"/>
          <w:sz w:val="24"/>
          <w:szCs w:val="24"/>
          <w:vertAlign w:val="subscript"/>
          <w14:textFill>
            <w14:solidFill>
              <w14:schemeClr w14:val="tx1"/>
            </w14:solidFill>
          </w14:textFill>
        </w:rPr>
        <w:t xml:space="preserve">3 </w:t>
      </w:r>
      <w:r>
        <w:rPr>
          <w:rFonts w:ascii="Times New Roman" w:hAnsi="Times New Roman" w:cs="Times New Roman"/>
          <w:color w:val="000000" w:themeColor="text1"/>
          <w:sz w:val="24"/>
          <w:szCs w:val="24"/>
          <w14:textFill>
            <w14:solidFill>
              <w14:schemeClr w14:val="tx1"/>
            </w14:solidFill>
          </w14:textFill>
        </w:rPr>
        <w:t>was mixed and labeled as blank</w:t>
      </w:r>
    </w:p>
    <w:p w14:paraId="3724F2AC">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was incubated at 40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for 40minutes (both sample and blank).</w:t>
      </w:r>
    </w:p>
    <w:p w14:paraId="1F7E84B5">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measurement was taken at 760nm.</w:t>
      </w:r>
    </w:p>
    <w:p w14:paraId="53B5CD86">
      <w:pPr>
        <w:pStyle w:val="20"/>
        <w:numPr>
          <w:ilvl w:val="0"/>
          <w:numId w:val="12"/>
        </w:num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Readings of absorbance and concentrations (based on Gallic acid) was used, and a graph of absorbance against concentration was plotted to determine the concentration of TPC.</w:t>
      </w:r>
    </w:p>
    <w:p w14:paraId="63CBE06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TPC (mgGAEquiv/g) = C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p>
    <w:p w14:paraId="71157FC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M</w:t>
      </w:r>
    </w:p>
    <w:p w14:paraId="49809D3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009A693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 = Concentration = 47.50</w:t>
      </w:r>
    </w:p>
    <w:p w14:paraId="659BDEA3">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 = Volume of sample = 0.5ml</w:t>
      </w:r>
    </w:p>
    <w:p w14:paraId="5FCB4D89">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 = Mass of sample = 1.09g</w:t>
      </w:r>
    </w:p>
    <w:p w14:paraId="3C3F57BD">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p>
    <w:p w14:paraId="0B0B88CA">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 OXALATE DETERMINATION (ANTI-NUTRITIONAL ACTIVITY)</w:t>
      </w:r>
    </w:p>
    <w:p w14:paraId="548B6953">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STANDARDIZATION OF KMNO4 USING 0.1M OXALIC ACID SOLUTION</w:t>
      </w:r>
    </w:p>
    <w:p w14:paraId="03547AF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0.1M oxalic acid solution was used to standardized KMNO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This is done to know the molarity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that will be required in the estimation of oxalate in the cake sample.</w:t>
      </w:r>
    </w:p>
    <w:p w14:paraId="5AFEC34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12.60g of oxalic acid crystals were carefully weighed and dissolved in small quantity of water. The solution was then made up to 1L using appropriate volumetric flask. This gave a 0.1M oxalic acid solution used to standardized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w:t>
      </w:r>
    </w:p>
    <w:p w14:paraId="7A9566CF">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25ml of 0.1M oxalic acid was pipetted into a clean, dry Erlenmeyer flask.</w:t>
      </w:r>
    </w:p>
    <w:p w14:paraId="50960E02">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 xml:space="preserve">4 </w:t>
      </w:r>
      <w:r>
        <w:rPr>
          <w:rFonts w:ascii="Times New Roman" w:hAnsi="Times New Roman" w:cs="Times New Roman"/>
          <w:color w:val="000000" w:themeColor="text1"/>
          <w:sz w:val="24"/>
          <w:szCs w:val="24"/>
          <w14:textFill>
            <w14:solidFill>
              <w14:schemeClr w14:val="tx1"/>
            </w14:solidFill>
          </w14:textFill>
        </w:rPr>
        <w:t>solution was added and the content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Digital thermometer was used to measure the temperature.</w:t>
      </w:r>
    </w:p>
    <w:p w14:paraId="27A4317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hot mixture was quickly titrated against the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solution from a burette until a permanent faint pink color appeared.</w:t>
      </w:r>
    </w:p>
    <w:p w14:paraId="610AEB7C">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calculated using mole concept.</w:t>
      </w:r>
    </w:p>
    <w:p w14:paraId="3B18546C">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3.4.2.2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DETERMINATION OF OXALATE IN CAKE SAMPLE</w:t>
      </w:r>
    </w:p>
    <w:p w14:paraId="2F6B9577">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cake sample was grounded into a powder form using a mortar and pestle</w:t>
      </w:r>
    </w:p>
    <w:p w14:paraId="4D51D517">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5g of cake sample was weighed and diluted with 10ml of distilled water. This was labeled as the cake solution.</w:t>
      </w:r>
    </w:p>
    <w:p w14:paraId="5768AB8C">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5ml of the cake solution was further diluted with distilled water to 250ml mark of volumetric flask.</w:t>
      </w:r>
    </w:p>
    <w:p w14:paraId="6589EBAE">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15ml of 0.5M H</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SO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added to the solution the heated to 60</w:t>
      </w:r>
      <w:r>
        <w:rPr>
          <w:rFonts w:ascii="Times New Roman" w:hAnsi="Times New Roman" w:cs="Times New Roman"/>
          <w:color w:val="000000" w:themeColor="text1"/>
          <w:sz w:val="24"/>
          <w:szCs w:val="24"/>
          <w:vertAlign w:val="superscript"/>
          <w14:textFill>
            <w14:solidFill>
              <w14:schemeClr w14:val="tx1"/>
            </w14:solidFill>
          </w14:textFill>
        </w:rPr>
        <w:t>0</w:t>
      </w:r>
      <w:r>
        <w:rPr>
          <w:rFonts w:ascii="Times New Roman" w:hAnsi="Times New Roman" w:cs="Times New Roman"/>
          <w:color w:val="000000" w:themeColor="text1"/>
          <w:sz w:val="24"/>
          <w:szCs w:val="24"/>
          <w14:textFill>
            <w14:solidFill>
              <w14:schemeClr w14:val="tx1"/>
            </w14:solidFill>
          </w14:textFill>
        </w:rPr>
        <w:t>C. The temperature was monitored using a digital thermometer.</w:t>
      </w:r>
    </w:p>
    <w:p w14:paraId="59AD0418">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0.02M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xml:space="preserve"> was quickly titrated against the solution until a pink color appeared to mark the end point.</w:t>
      </w:r>
    </w:p>
    <w:p w14:paraId="35A7C23E">
      <w:pPr>
        <w:pStyle w:val="20"/>
        <w:numPr>
          <w:ilvl w:val="0"/>
          <w:numId w:val="13"/>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exact concentration of oxalate was calculated using mole concept.</w:t>
      </w:r>
    </w:p>
    <w:p w14:paraId="5D82E2A9">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3.4.3</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ESTIMATION OF LYCOPENE AND β-CAROTENE IN OIL EXTRACT (DETERMINATION OF CAROTENOIDS).</w:t>
      </w:r>
    </w:p>
    <w:p w14:paraId="013E545A">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1ml of oil extract was mixed with 12.5ml of N- Hexane:Acetone mixture (1:1) were prepared in 100ml of conical flask</w:t>
      </w:r>
    </w:p>
    <w:p w14:paraId="7E3829D9">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 blank solution containing 12.5ml of N- Hexane:Acetone mixture was performed</w:t>
      </w:r>
    </w:p>
    <w:p w14:paraId="4BAA5EB8">
      <w:pPr>
        <w:pStyle w:val="20"/>
        <w:numPr>
          <w:ilvl w:val="0"/>
          <w:numId w:val="14"/>
        </w:numPr>
        <w:spacing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Absorbance was measured at 453nm, 505nm, and 663nm.</w:t>
      </w:r>
    </w:p>
    <w:p w14:paraId="33C1C856">
      <w:pPr>
        <w:spacing w:after="0"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Lycopene and β-carotene Estimation</w:t>
      </w:r>
    </w:p>
    <w:p w14:paraId="312609B9">
      <w:pPr>
        <w:spacing w:line="480" w:lineRule="auto"/>
        <w:jc w:val="both"/>
        <w:rPr>
          <w:rFonts w:ascii="Times New Roman" w:hAnsi="Times New Roman" w:cs="Times New Roman"/>
          <w:sz w:val="24"/>
          <w:szCs w:val="24"/>
          <w:u w:val="single"/>
        </w:rPr>
      </w:pPr>
      <w:r>
        <w:rPr>
          <w:rFonts w:ascii="Times New Roman" w:hAnsi="Times New Roman" w:cs="Times New Roman"/>
          <w:b/>
          <w:bCs/>
          <w:sz w:val="24"/>
          <w:szCs w:val="24"/>
        </w:rPr>
        <w:t>β</w:t>
      </w:r>
      <w:r>
        <w:rPr>
          <w:rFonts w:ascii="Times New Roman" w:hAnsi="Times New Roman" w:cs="Times New Roman"/>
          <w:sz w:val="24"/>
          <w:szCs w:val="24"/>
        </w:rPr>
        <w:t xml:space="preserve">-carotene(mg/ml) = </w:t>
      </w:r>
      <w:r>
        <w:rPr>
          <w:rFonts w:ascii="Times New Roman" w:hAnsi="Times New Roman" w:cs="Times New Roman"/>
          <w:sz w:val="24"/>
          <w:szCs w:val="24"/>
          <w:u w:val="single"/>
        </w:rPr>
        <w:t>0.126(A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0.304(A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+ 0.450(A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p>
    <w:p w14:paraId="0F25AE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58723D51">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28A2B0E5">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63761895">
      <w:pPr>
        <w:spacing w:line="36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CHAPTER FOUR</w:t>
      </w:r>
    </w:p>
    <w:p w14:paraId="6515B48A">
      <w:pPr>
        <w:pStyle w:val="20"/>
        <w:spacing w:line="360" w:lineRule="auto"/>
        <w:ind w:left="0"/>
        <w:jc w:val="both"/>
        <w:rPr>
          <w:rFonts w:ascii="Times New Roman" w:hAnsi="Times New Roman" w:cs="Times New Roman"/>
          <w:b/>
          <w:color w:val="000000" w:themeColor="text1"/>
          <w:sz w:val="24"/>
          <w:szCs w:val="24"/>
          <w14:textFill>
            <w14:solidFill>
              <w14:schemeClr w14:val="tx1"/>
            </w14:solidFill>
          </w14:textFill>
        </w:rPr>
      </w:pPr>
      <w:r>
        <w:rPr>
          <w:rFonts w:ascii="Times New Roman" w:hAnsi="Times New Roman" w:cs="Times New Roman"/>
          <w:b/>
          <w:color w:val="000000" w:themeColor="text1"/>
          <w:sz w:val="24"/>
          <w:szCs w:val="24"/>
          <w14:textFill>
            <w14:solidFill>
              <w14:schemeClr w14:val="tx1"/>
            </w14:solidFill>
          </w14:textFill>
        </w:rPr>
        <w:t>4.0</w:t>
      </w:r>
      <w:r>
        <w:rPr>
          <w:rFonts w:ascii="Times New Roman" w:hAnsi="Times New Roman" w:cs="Times New Roman"/>
          <w:b/>
          <w:color w:val="000000" w:themeColor="text1"/>
          <w:sz w:val="24"/>
          <w:szCs w:val="24"/>
          <w14:textFill>
            <w14:solidFill>
              <w14:schemeClr w14:val="tx1"/>
            </w14:solidFill>
          </w14:textFill>
        </w:rPr>
        <w:tab/>
      </w:r>
      <w:r>
        <w:rPr>
          <w:rFonts w:ascii="Times New Roman" w:hAnsi="Times New Roman" w:cs="Times New Roman"/>
          <w:b/>
          <w:color w:val="000000" w:themeColor="text1"/>
          <w:sz w:val="24"/>
          <w:szCs w:val="24"/>
          <w14:textFill>
            <w14:solidFill>
              <w14:schemeClr w14:val="tx1"/>
            </w14:solidFill>
          </w14:textFill>
        </w:rPr>
        <w:t>RESULTS</w:t>
      </w:r>
    </w:p>
    <w:p w14:paraId="199E2BCC">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results of the oil physical properties and % yield is shown in Table 1. Table 2 shows the physicochemical properties of </w:t>
      </w:r>
      <w:r>
        <w:rPr>
          <w:rFonts w:ascii="Times New Roman" w:hAnsi="Times New Roman" w:cs="Times New Roman"/>
          <w:i/>
          <w:iCs/>
          <w:color w:val="000000" w:themeColor="text1"/>
          <w:sz w:val="24"/>
          <w:szCs w:val="24"/>
          <w14:textFill>
            <w14:solidFill>
              <w14:schemeClr w14:val="tx1"/>
            </w14:solidFill>
          </w14:textFill>
        </w:rPr>
        <w:t>Monodora myristica</w:t>
      </w:r>
      <w:r>
        <w:rPr>
          <w:rFonts w:ascii="Times New Roman" w:hAnsi="Times New Roman" w:cs="Times New Roman"/>
          <w:color w:val="000000" w:themeColor="text1"/>
          <w:sz w:val="24"/>
          <w:szCs w:val="24"/>
          <w14:textFill>
            <w14:solidFill>
              <w14:schemeClr w14:val="tx1"/>
            </w14:solidFill>
          </w14:textFill>
        </w:rPr>
        <w:t xml:space="preserve"> oil extract. Table 3 shows the antioxidant and anti-nutritional activity as well as the 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r>
        <w:rPr>
          <w:rFonts w:ascii="Times New Roman" w:hAnsi="Times New Roman" w:cs="Times New Roman"/>
          <w:color w:val="000000" w:themeColor="text1"/>
          <w:sz w:val="24"/>
          <w:szCs w:val="24"/>
          <w14:textFill>
            <w14:solidFill>
              <w14:schemeClr w14:val="tx1"/>
            </w14:solidFill>
          </w14:textFill>
        </w:rPr>
        <w:t>. Table 4 shows lycopene and β- carotene in oil extract.</w:t>
      </w:r>
    </w:p>
    <w:p w14:paraId="4DCA39E4">
      <w:pPr>
        <w:pStyle w:val="20"/>
        <w:spacing w:line="360" w:lineRule="auto"/>
        <w:ind w:left="0"/>
        <w:jc w:val="both"/>
        <w:rPr>
          <w:rFonts w:ascii="Times New Roman" w:hAnsi="Times New Roman" w:cs="Times New Roman"/>
          <w:b/>
          <w:bCs/>
          <w:color w:val="000000" w:themeColor="text1"/>
          <w:sz w:val="24"/>
          <w:szCs w:val="32"/>
          <w14:textFill>
            <w14:solidFill>
              <w14:schemeClr w14:val="tx1"/>
            </w14:solidFill>
          </w14:textFill>
        </w:rPr>
      </w:pPr>
      <w:r>
        <w:rPr>
          <w:rFonts w:ascii="Times New Roman" w:hAnsi="Times New Roman" w:cs="Times New Roman"/>
          <w:b/>
          <w:bCs/>
          <w:color w:val="000000" w:themeColor="text1"/>
          <w:sz w:val="24"/>
          <w:szCs w:val="32"/>
          <w14:textFill>
            <w14:solidFill>
              <w14:schemeClr w14:val="tx1"/>
            </w14:solidFill>
          </w14:textFill>
        </w:rPr>
        <w:t>Table 1: % oil and some physical properties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2B13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65FDFD6E">
            <w:pPr>
              <w:pStyle w:val="20"/>
              <w:spacing w:after="0"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PARAMETERS</w:t>
            </w:r>
          </w:p>
        </w:tc>
        <w:tc>
          <w:tcPr>
            <w:tcW w:w="4675" w:type="dxa"/>
          </w:tcPr>
          <w:p w14:paraId="5BF041A5">
            <w:pPr>
              <w:pStyle w:val="20"/>
              <w:spacing w:after="0"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RESULTS</w:t>
            </w:r>
          </w:p>
        </w:tc>
      </w:tr>
      <w:tr w14:paraId="4CBC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E39ECAE">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Oil yield</w:t>
            </w:r>
          </w:p>
        </w:tc>
        <w:tc>
          <w:tcPr>
            <w:tcW w:w="4675" w:type="dxa"/>
          </w:tcPr>
          <w:p w14:paraId="2F39854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18.38%</w:t>
            </w:r>
          </w:p>
        </w:tc>
      </w:tr>
      <w:tr w14:paraId="67DA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468933C">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Color</w:t>
            </w:r>
          </w:p>
        </w:tc>
        <w:tc>
          <w:tcPr>
            <w:tcW w:w="4675" w:type="dxa"/>
          </w:tcPr>
          <w:p w14:paraId="1AE54023">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Dark brown</w:t>
            </w:r>
          </w:p>
        </w:tc>
      </w:tr>
      <w:tr w14:paraId="442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B2E57A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Odor</w:t>
            </w:r>
          </w:p>
        </w:tc>
        <w:tc>
          <w:tcPr>
            <w:tcW w:w="4675" w:type="dxa"/>
          </w:tcPr>
          <w:p w14:paraId="7BE610D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Aromatic</w:t>
            </w:r>
          </w:p>
        </w:tc>
      </w:tr>
      <w:tr w14:paraId="0512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B5DE01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Appearance</w:t>
            </w:r>
          </w:p>
        </w:tc>
        <w:tc>
          <w:tcPr>
            <w:tcW w:w="4675" w:type="dxa"/>
          </w:tcPr>
          <w:p w14:paraId="1B6B792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viscous</w:t>
            </w:r>
          </w:p>
        </w:tc>
      </w:tr>
      <w:tr w14:paraId="0D4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3349F51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Density</w:t>
            </w:r>
          </w:p>
        </w:tc>
        <w:tc>
          <w:tcPr>
            <w:tcW w:w="4675" w:type="dxa"/>
          </w:tcPr>
          <w:p w14:paraId="374C8325">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0.9971g/ml</w:t>
            </w:r>
          </w:p>
        </w:tc>
      </w:tr>
      <w:tr w14:paraId="0C4C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4E12E46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Specific gravity</w:t>
            </w:r>
          </w:p>
        </w:tc>
        <w:tc>
          <w:tcPr>
            <w:tcW w:w="4675" w:type="dxa"/>
          </w:tcPr>
          <w:p w14:paraId="45D15F92">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1.029</w:t>
            </w:r>
          </w:p>
        </w:tc>
      </w:tr>
    </w:tbl>
    <w:p w14:paraId="387D3375">
      <w:pPr>
        <w:pStyle w:val="20"/>
        <w:spacing w:line="360" w:lineRule="auto"/>
        <w:ind w:left="0"/>
        <w:jc w:val="both"/>
        <w:rPr>
          <w:rFonts w:ascii="Times New Roman" w:hAnsi="Times New Roman" w:cs="Times New Roman"/>
          <w:color w:val="000000" w:themeColor="text1"/>
          <w:sz w:val="32"/>
          <w:szCs w:val="32"/>
          <w14:textFill>
            <w14:solidFill>
              <w14:schemeClr w14:val="tx1"/>
            </w14:solidFill>
          </w14:textFill>
        </w:rPr>
      </w:pPr>
    </w:p>
    <w:p w14:paraId="2079E0F1">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2: Physicochemical properties of oil extract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63EB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5584B96A">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5FCA034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7416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4B59C9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Acid value</w:t>
            </w:r>
          </w:p>
        </w:tc>
        <w:tc>
          <w:tcPr>
            <w:tcW w:w="4675" w:type="dxa"/>
          </w:tcPr>
          <w:p w14:paraId="26465AC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21.61mg/NaoH/gOil</w:t>
            </w:r>
          </w:p>
        </w:tc>
      </w:tr>
      <w:tr w14:paraId="0820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384370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Free fatty acid</w:t>
            </w:r>
          </w:p>
        </w:tc>
        <w:tc>
          <w:tcPr>
            <w:tcW w:w="4675" w:type="dxa"/>
          </w:tcPr>
          <w:p w14:paraId="52404EED">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14.83%</w:t>
            </w:r>
          </w:p>
        </w:tc>
      </w:tr>
      <w:tr w14:paraId="61F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BA098F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Iodine value</w:t>
            </w:r>
          </w:p>
        </w:tc>
        <w:tc>
          <w:tcPr>
            <w:tcW w:w="4675" w:type="dxa"/>
          </w:tcPr>
          <w:p w14:paraId="0B193AF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69.54mgI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64D9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6A76DB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Peroxide value</w:t>
            </w:r>
          </w:p>
        </w:tc>
        <w:tc>
          <w:tcPr>
            <w:tcW w:w="4675" w:type="dxa"/>
          </w:tcPr>
          <w:p w14:paraId="1027E06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232.0mEquiv.I</w:t>
            </w:r>
            <w:r>
              <w:rPr>
                <w:rFonts w:ascii="Times New Roman" w:hAnsi="Times New Roman" w:cs="Times New Roman"/>
                <w:color w:val="000000" w:themeColor="text1"/>
                <w:sz w:val="24"/>
                <w:szCs w:val="24"/>
                <w:vertAlign w:val="subscript"/>
                <w14:textFill>
                  <w14:solidFill>
                    <w14:schemeClr w14:val="tx1"/>
                  </w14:solidFill>
                </w14:textFill>
              </w:rPr>
              <w:t>2</w:t>
            </w:r>
            <w:r>
              <w:rPr>
                <w:rFonts w:ascii="Times New Roman" w:hAnsi="Times New Roman" w:cs="Times New Roman"/>
                <w:color w:val="000000" w:themeColor="text1"/>
                <w:sz w:val="24"/>
                <w:szCs w:val="24"/>
                <w14:textFill>
                  <w14:solidFill>
                    <w14:schemeClr w14:val="tx1"/>
                  </w14:solidFill>
                </w14:textFill>
              </w:rPr>
              <w:t>/gOil</w:t>
            </w:r>
          </w:p>
        </w:tc>
      </w:tr>
      <w:tr w14:paraId="74AA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77411E1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Saponification value</w:t>
            </w:r>
          </w:p>
        </w:tc>
        <w:tc>
          <w:tcPr>
            <w:tcW w:w="4675" w:type="dxa"/>
          </w:tcPr>
          <w:p w14:paraId="182C404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60.01mg/NaoH/gOil</w:t>
            </w:r>
          </w:p>
        </w:tc>
      </w:tr>
      <w:tr w14:paraId="154B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A9D8372">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Ester value</w:t>
            </w:r>
          </w:p>
        </w:tc>
        <w:tc>
          <w:tcPr>
            <w:tcW w:w="4675" w:type="dxa"/>
          </w:tcPr>
          <w:p w14:paraId="67C896BC">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38.40mgNaoH/gOil</w:t>
            </w:r>
          </w:p>
        </w:tc>
      </w:tr>
    </w:tbl>
    <w:p w14:paraId="04080364">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p>
    <w:p w14:paraId="57A8FAA8">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br w:type="page"/>
      </w:r>
    </w:p>
    <w:p w14:paraId="64284250">
      <w:pPr>
        <w:pStyle w:val="20"/>
        <w:spacing w:line="360" w:lineRule="auto"/>
        <w:ind w:left="0"/>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3: Antioxidant and anti-nutritional activity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14:paraId="0E0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5" w:type="dxa"/>
          </w:tcPr>
          <w:p w14:paraId="1DAFA95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4675" w:type="dxa"/>
          </w:tcPr>
          <w:p w14:paraId="770175A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Results</w:t>
            </w:r>
          </w:p>
        </w:tc>
      </w:tr>
      <w:tr w14:paraId="4E38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6B4E68F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w:t>
            </w:r>
          </w:p>
        </w:tc>
        <w:tc>
          <w:tcPr>
            <w:tcW w:w="4675" w:type="dxa"/>
          </w:tcPr>
          <w:p w14:paraId="3A1EE4B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42.84%</w:t>
            </w:r>
          </w:p>
        </w:tc>
      </w:tr>
      <w:tr w14:paraId="77DD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59BFC295">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w:t>
            </w:r>
          </w:p>
        </w:tc>
        <w:tc>
          <w:tcPr>
            <w:tcW w:w="4675" w:type="dxa"/>
          </w:tcPr>
          <w:p w14:paraId="2C98AAD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-26.54%</w:t>
            </w:r>
          </w:p>
        </w:tc>
      </w:tr>
      <w:tr w14:paraId="2B6D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62E3E71">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TPC</w:t>
            </w:r>
          </w:p>
        </w:tc>
        <w:tc>
          <w:tcPr>
            <w:tcW w:w="4675" w:type="dxa"/>
          </w:tcPr>
          <w:p w14:paraId="071E2B3A">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21.79mgGAEquiv/g</w:t>
            </w:r>
          </w:p>
        </w:tc>
      </w:tr>
      <w:tr w14:paraId="7D3F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20DEDF0">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Standardization of KMNO</w:t>
            </w:r>
            <w:r>
              <w:rPr>
                <w:rFonts w:ascii="Times New Roman" w:hAnsi="Times New Roman" w:cs="Times New Roman"/>
                <w:color w:val="000000" w:themeColor="text1"/>
                <w:sz w:val="24"/>
                <w:szCs w:val="24"/>
                <w:vertAlign w:val="subscript"/>
                <w14:textFill>
                  <w14:solidFill>
                    <w14:schemeClr w14:val="tx1"/>
                  </w14:solidFill>
                </w14:textFill>
              </w:rPr>
              <w:t>4</w:t>
            </w:r>
          </w:p>
        </w:tc>
        <w:tc>
          <w:tcPr>
            <w:tcW w:w="4675" w:type="dxa"/>
          </w:tcPr>
          <w:p w14:paraId="3B6DC58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0.018M</w:t>
            </w:r>
          </w:p>
        </w:tc>
      </w:tr>
      <w:tr w14:paraId="2EA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14:paraId="1B2E069F">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Oxalate determination in cake</w:t>
            </w:r>
          </w:p>
        </w:tc>
        <w:tc>
          <w:tcPr>
            <w:tcW w:w="4675" w:type="dxa"/>
          </w:tcPr>
          <w:p w14:paraId="4FC0B324">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0.5251mg/g</w:t>
            </w:r>
          </w:p>
        </w:tc>
      </w:tr>
    </w:tbl>
    <w:p w14:paraId="621BCCFF">
      <w:pPr>
        <w:pStyle w:val="20"/>
        <w:spacing w:line="360" w:lineRule="auto"/>
        <w:ind w:left="0"/>
        <w:jc w:val="both"/>
        <w:rPr>
          <w:rFonts w:ascii="Times New Roman" w:hAnsi="Times New Roman" w:cs="Times New Roman"/>
          <w:b/>
          <w:bCs/>
          <w:color w:val="000000" w:themeColor="text1"/>
          <w:sz w:val="32"/>
          <w:szCs w:val="32"/>
          <w14:textFill>
            <w14:solidFill>
              <w14:schemeClr w14:val="tx1"/>
            </w14:solidFill>
          </w14:textFill>
        </w:rPr>
      </w:pPr>
      <w:r>
        <w:rPr>
          <w:rFonts w:ascii="Times New Roman" w:hAnsi="Times New Roman" w:cs="Times New Roman"/>
          <w:b/>
          <w:bCs/>
          <w:color w:val="000000" w:themeColor="text1"/>
          <w:sz w:val="32"/>
          <w:szCs w:val="32"/>
          <w14:textFill>
            <w14:solidFill>
              <w14:schemeClr w14:val="tx1"/>
            </w14:solidFill>
          </w14:textFill>
        </w:rPr>
        <w:t xml:space="preserve"> </w:t>
      </w:r>
    </w:p>
    <w:p w14:paraId="74D88ED6">
      <w:pPr>
        <w:pStyle w:val="20"/>
        <w:spacing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4: Lycopene and Β-Carotene in Oil Extract A and B</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14:paraId="4219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32EC98E3">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Parameters</w:t>
            </w:r>
          </w:p>
        </w:tc>
        <w:tc>
          <w:tcPr>
            <w:tcW w:w="3117" w:type="dxa"/>
          </w:tcPr>
          <w:p w14:paraId="39B1FABB">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A</w:t>
            </w:r>
          </w:p>
        </w:tc>
        <w:tc>
          <w:tcPr>
            <w:tcW w:w="3117" w:type="dxa"/>
          </w:tcPr>
          <w:p w14:paraId="7BECAF9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Oil extract B</w:t>
            </w:r>
          </w:p>
        </w:tc>
      </w:tr>
      <w:tr w14:paraId="5454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64AB5094">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Lycopene</w:t>
            </w:r>
          </w:p>
        </w:tc>
        <w:tc>
          <w:tcPr>
            <w:tcW w:w="3117" w:type="dxa"/>
          </w:tcPr>
          <w:p w14:paraId="1B3F2E76">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0.019mg/ml</w:t>
            </w:r>
          </w:p>
        </w:tc>
        <w:tc>
          <w:tcPr>
            <w:tcW w:w="3117" w:type="dxa"/>
          </w:tcPr>
          <w:p w14:paraId="61E61F89">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0.026mg/ml</w:t>
            </w:r>
          </w:p>
        </w:tc>
      </w:tr>
      <w:tr w14:paraId="036A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14:paraId="4F86577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Β-carotene</w:t>
            </w:r>
          </w:p>
        </w:tc>
        <w:tc>
          <w:tcPr>
            <w:tcW w:w="3117" w:type="dxa"/>
          </w:tcPr>
          <w:p w14:paraId="6FD688C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0.066mg/ml</w:t>
            </w:r>
          </w:p>
        </w:tc>
        <w:tc>
          <w:tcPr>
            <w:tcW w:w="3117" w:type="dxa"/>
          </w:tcPr>
          <w:p w14:paraId="144A59F8">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0.025mg/ml</w:t>
            </w:r>
          </w:p>
        </w:tc>
      </w:tr>
    </w:tbl>
    <w:p w14:paraId="43D6C524">
      <w:pPr>
        <w:spacing w:line="360" w:lineRule="auto"/>
        <w:jc w:val="both"/>
        <w:rPr>
          <w:rFonts w:ascii="Times New Roman" w:hAnsi="Times New Roman" w:cs="Times New Roman"/>
          <w:b/>
          <w:bCs/>
          <w:color w:val="000000" w:themeColor="text1"/>
          <w:sz w:val="24"/>
          <w:szCs w:val="24"/>
          <w14:textFill>
            <w14:solidFill>
              <w14:schemeClr w14:val="tx1"/>
            </w14:solidFill>
          </w14:textFill>
        </w:rPr>
      </w:pPr>
    </w:p>
    <w:p w14:paraId="54E4A7C1">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DISCUSSIONS</w:t>
      </w:r>
    </w:p>
    <w:p w14:paraId="583EB5B5">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extraction and subsequent analysis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yielded important insights into the oil’s physicochemical properties, antioxidant activity, antinutritional content, and carotenoid composition. While the sample displayed valuable characteristics for potential food, nutraceutical, or industrial applications, certain results deviated from the expected or ideal range and warrant further interpretation.</w:t>
      </w:r>
    </w:p>
    <w:p w14:paraId="038AF1A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OIL YIELD AND PHYSICAL CHARACTERISTICS</w:t>
      </w:r>
    </w:p>
    <w:p w14:paraId="0464FEB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oil yield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was </w:t>
      </w:r>
      <w:r>
        <w:rPr>
          <w:rFonts w:ascii="Times New Roman" w:hAnsi="Times New Roman" w:eastAsia="Times New Roman" w:cs="Times New Roman"/>
          <w:b/>
          <w:bCs/>
          <w:sz w:val="24"/>
          <w:szCs w:val="24"/>
        </w:rPr>
        <w:t>18.38%</w:t>
      </w:r>
      <w:r>
        <w:rPr>
          <w:rFonts w:ascii="Times New Roman" w:hAnsi="Times New Roman" w:eastAsia="Times New Roman" w:cs="Times New Roman"/>
          <w:sz w:val="24"/>
          <w:szCs w:val="24"/>
        </w:rPr>
        <w:t xml:space="preserve">, which is moderately high for underutilized oil seeds. This result aligns with previous studies, suggesting that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14:paraId="5080BDA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physical appearance of the oil dark brown, aromatic, and viscous is consistent with oils rich in polyphenolic compounds and essential oils. The </w:t>
      </w:r>
      <w:r>
        <w:rPr>
          <w:rFonts w:ascii="Times New Roman" w:hAnsi="Times New Roman" w:eastAsia="Times New Roman" w:cs="Times New Roman"/>
          <w:b/>
          <w:bCs/>
          <w:sz w:val="24"/>
          <w:szCs w:val="24"/>
        </w:rPr>
        <w:t>density (0.9971 g/ml)</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specific gravity (1.029)</w:t>
      </w:r>
      <w:r>
        <w:rPr>
          <w:rFonts w:ascii="Times New Roman" w:hAnsi="Times New Roman" w:eastAsia="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75F8933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PHYSICOCHEMICAL PROPERTIES</w:t>
      </w:r>
    </w:p>
    <w:p w14:paraId="5C35C11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acid value (21.61 mg KOH/g oil)</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percentage of free fatty acid (14.83%)</w:t>
      </w:r>
      <w:r>
        <w:rPr>
          <w:rFonts w:ascii="Times New Roman" w:hAnsi="Times New Roman" w:eastAsia="Times New Roman" w:cs="Times New Roman"/>
          <w:sz w:val="24"/>
          <w:szCs w:val="24"/>
        </w:rPr>
        <w:t xml:space="preserve"> was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14:paraId="153D43B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iodine value (69.54 mg I₂/g)</w:t>
      </w:r>
      <w:r>
        <w:rPr>
          <w:rFonts w:ascii="Times New Roman" w:hAnsi="Times New Roman" w:eastAsia="Times New Roman" w:cs="Times New Roman"/>
          <w:sz w:val="24"/>
          <w:szCs w:val="24"/>
        </w:rPr>
        <w:t xml:space="preserve"> reflects a moderate degree of unsaturation, placing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6A5C357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peroxide value (232.0 mEq I₂/g)</w:t>
      </w:r>
      <w:r>
        <w:rPr>
          <w:rFonts w:ascii="Times New Roman" w:hAnsi="Times New Roman" w:eastAsia="Times New Roman" w:cs="Times New Roman"/>
          <w:sz w:val="24"/>
          <w:szCs w:val="24"/>
        </w:rPr>
        <w:t xml:space="preserve"> is extremely high and significantly exceeds the safe limit for fresh oils (usually below 10 mEq/kg). This indicates advanced oxidation, likely due to prolonged storage, high exposure to light or oxygen, or poor handling conditions. Such high peroxide levels could compromise oil stability and safety, limiting its edible applications unless refined.</w:t>
      </w:r>
    </w:p>
    <w:p w14:paraId="55B8B431">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saponification value (60.01 mg KOH/g oil)</w:t>
      </w:r>
      <w:r>
        <w:rPr>
          <w:rFonts w:ascii="Times New Roman" w:hAnsi="Times New Roman" w:eastAsia="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Pr>
          <w:rFonts w:ascii="Times New Roman" w:hAnsi="Times New Roman" w:eastAsia="Times New Roman" w:cs="Times New Roman"/>
          <w:b/>
          <w:bCs/>
          <w:sz w:val="24"/>
          <w:szCs w:val="24"/>
        </w:rPr>
        <w:t>ester value (38.40 mg KOH/g)</w:t>
      </w:r>
      <w:r>
        <w:rPr>
          <w:rFonts w:ascii="Times New Roman" w:hAnsi="Times New Roman" w:eastAsia="Times New Roman" w:cs="Times New Roman"/>
          <w:sz w:val="24"/>
          <w:szCs w:val="24"/>
        </w:rPr>
        <w:t>, derived from the difference between saponification and acid values, supports this finding. This indicates potential for industrial use, though its soap-making efficiency may be relatively low.</w:t>
      </w:r>
    </w:p>
    <w:p w14:paraId="29E5AA06">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ANTIOXIDANT AND ANTINUTRITIONAL ACTIVITY</w:t>
      </w:r>
    </w:p>
    <w:p w14:paraId="6AB8631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DPPH antioxidant activity</w:t>
      </w:r>
      <w:r>
        <w:rPr>
          <w:rFonts w:ascii="Times New Roman" w:hAnsi="Times New Roman" w:eastAsia="Times New Roman" w:cs="Times New Roman"/>
          <w:sz w:val="24"/>
          <w:szCs w:val="24"/>
        </w:rPr>
        <w:t xml:space="preserve"> recorded was </w:t>
      </w:r>
      <w:r>
        <w:rPr>
          <w:rFonts w:ascii="Times New Roman" w:hAnsi="Times New Roman" w:eastAsia="Times New Roman" w:cs="Times New Roman"/>
          <w:b/>
          <w:bCs/>
          <w:sz w:val="24"/>
          <w:szCs w:val="24"/>
        </w:rPr>
        <w:t>42.84% (control)</w:t>
      </w:r>
      <w:r>
        <w:rPr>
          <w:rFonts w:ascii="Times New Roman" w:hAnsi="Times New Roman" w:eastAsia="Times New Roman" w:cs="Times New Roman"/>
          <w:sz w:val="24"/>
          <w:szCs w:val="24"/>
        </w:rPr>
        <w:t xml:space="preserve">, indicating moderate antioxidant capacity. This aligns with the presence of bioactive compounds like flavonoids and phenolics in the oil. However, the </w:t>
      </w:r>
      <w:r>
        <w:rPr>
          <w:rFonts w:ascii="Times New Roman" w:hAnsi="Times New Roman" w:eastAsia="Times New Roman" w:cs="Times New Roman"/>
          <w:b/>
          <w:bCs/>
          <w:sz w:val="24"/>
          <w:szCs w:val="24"/>
        </w:rPr>
        <w:t>standard DPPH value</w:t>
      </w:r>
      <w:r>
        <w:rPr>
          <w:rFonts w:ascii="Times New Roman" w:hAnsi="Times New Roman" w:eastAsia="Times New Roman" w:cs="Times New Roman"/>
          <w:sz w:val="24"/>
          <w:szCs w:val="24"/>
        </w:rPr>
        <w:t xml:space="preserve"> was negative (</w:t>
      </w:r>
      <w:r>
        <w:rPr>
          <w:rFonts w:ascii="Times New Roman" w:hAnsi="Times New Roman" w:eastAsia="Times New Roman" w:cs="Times New Roman"/>
          <w:b/>
          <w:bCs/>
          <w:sz w:val="24"/>
          <w:szCs w:val="24"/>
        </w:rPr>
        <w:t>–26.54%</w:t>
      </w:r>
      <w:r>
        <w:rPr>
          <w:rFonts w:ascii="Times New Roman" w:hAnsi="Times New Roman" w:eastAsia="Times New Roman" w:cs="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14:paraId="3EBDA0E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Total Phenolic Content (TPC)</w:t>
      </w:r>
      <w:r>
        <w:rPr>
          <w:rFonts w:ascii="Times New Roman" w:hAnsi="Times New Roman" w:eastAsia="Times New Roman" w:cs="Times New Roman"/>
          <w:sz w:val="24"/>
          <w:szCs w:val="24"/>
        </w:rPr>
        <w:t xml:space="preserve"> was </w:t>
      </w:r>
      <w:r>
        <w:rPr>
          <w:rFonts w:ascii="Times New Roman" w:hAnsi="Times New Roman" w:eastAsia="Times New Roman" w:cs="Times New Roman"/>
          <w:b/>
          <w:bCs/>
          <w:sz w:val="24"/>
          <w:szCs w:val="24"/>
        </w:rPr>
        <w:t>21.79 mg GAE/g</w:t>
      </w:r>
      <w:r>
        <w:rPr>
          <w:rFonts w:ascii="Times New Roman" w:hAnsi="Times New Roman" w:eastAsia="Times New Roman" w:cs="Times New Roman"/>
          <w:sz w:val="24"/>
          <w:szCs w:val="24"/>
        </w:rPr>
        <w:t>, which supports the moderate antioxidant activity observed. Phenolic compounds contribute to the oil’s radical-scavenging abilities and shelf stability. This value, though decent, could have been influenced by the solvent used in extraction (ethanol), which is known to be effective at recovering polar compounds.</w:t>
      </w:r>
    </w:p>
    <w:p w14:paraId="6F3B77D6">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
          <w:bCs/>
          <w:sz w:val="24"/>
          <w:szCs w:val="24"/>
        </w:rPr>
        <w:t>oxalate content</w:t>
      </w:r>
      <w:r>
        <w:rPr>
          <w:rFonts w:ascii="Times New Roman" w:hAnsi="Times New Roman" w:eastAsia="Times New Roman" w:cs="Times New Roman"/>
          <w:sz w:val="24"/>
          <w:szCs w:val="24"/>
        </w:rPr>
        <w:t xml:space="preserve"> in the cake residue was </w:t>
      </w:r>
      <w:r>
        <w:rPr>
          <w:rFonts w:ascii="Times New Roman" w:hAnsi="Times New Roman" w:eastAsia="Times New Roman" w:cs="Times New Roman"/>
          <w:b/>
          <w:bCs/>
          <w:sz w:val="24"/>
          <w:szCs w:val="24"/>
        </w:rPr>
        <w:t>0.5251 mg/g</w:t>
      </w:r>
      <w:r>
        <w:rPr>
          <w:rFonts w:ascii="Times New Roman" w:hAnsi="Times New Roman" w:eastAsia="Times New Roman" w:cs="Times New Roman"/>
          <w:sz w:val="24"/>
          <w:szCs w:val="24"/>
        </w:rPr>
        <w:t xml:space="preserve">, a relatively low level, indicating minimal antinutritional risk. This suggests that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14:paraId="06EB046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 CAROTENOID COMPOSITION: LYCOPENE AND Β-CAROTENE</w:t>
      </w:r>
    </w:p>
    <w:p w14:paraId="01140F4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oil extracts (A and B) revealed variable levels of </w:t>
      </w:r>
      <w:r>
        <w:rPr>
          <w:rFonts w:ascii="Times New Roman" w:hAnsi="Times New Roman" w:eastAsia="Times New Roman" w:cs="Times New Roman"/>
          <w:b/>
          <w:bCs/>
          <w:sz w:val="24"/>
          <w:szCs w:val="24"/>
        </w:rPr>
        <w:t>lycopene and β-carotene</w:t>
      </w:r>
      <w:r>
        <w:rPr>
          <w:rFonts w:ascii="Times New Roman" w:hAnsi="Times New Roman" w:eastAsia="Times New Roman" w:cs="Times New Roman"/>
          <w:sz w:val="24"/>
          <w:szCs w:val="24"/>
        </w:rPr>
        <w:t xml:space="preserve">. Lycopene concentrations were </w:t>
      </w:r>
      <w:r>
        <w:rPr>
          <w:rFonts w:ascii="Times New Roman" w:hAnsi="Times New Roman" w:eastAsia="Times New Roman" w:cs="Times New Roman"/>
          <w:b/>
          <w:bCs/>
          <w:sz w:val="24"/>
          <w:szCs w:val="24"/>
        </w:rPr>
        <w:t>0.019 mg/ml (A)</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0.026 mg/ml (B)</w:t>
      </w:r>
      <w:r>
        <w:rPr>
          <w:rFonts w:ascii="Times New Roman" w:hAnsi="Times New Roman" w:eastAsia="Times New Roman" w:cs="Times New Roman"/>
          <w:sz w:val="24"/>
          <w:szCs w:val="24"/>
        </w:rPr>
        <w:t xml:space="preserve">, while β-carotene levels were </w:t>
      </w:r>
      <w:r>
        <w:rPr>
          <w:rFonts w:ascii="Times New Roman" w:hAnsi="Times New Roman" w:eastAsia="Times New Roman" w:cs="Times New Roman"/>
          <w:b/>
          <w:bCs/>
          <w:sz w:val="24"/>
          <w:szCs w:val="24"/>
        </w:rPr>
        <w:t>0.066 mg/ml (A)</w:t>
      </w:r>
      <w:r>
        <w:rPr>
          <w:rFonts w:ascii="Times New Roman" w:hAnsi="Times New Roman" w:eastAsia="Times New Roman" w:cs="Times New Roman"/>
          <w:sz w:val="24"/>
          <w:szCs w:val="24"/>
        </w:rPr>
        <w:t xml:space="preserve"> and </w:t>
      </w:r>
      <w:r>
        <w:rPr>
          <w:rFonts w:ascii="Times New Roman" w:hAnsi="Times New Roman" w:eastAsia="Times New Roman" w:cs="Times New Roman"/>
          <w:b/>
          <w:bCs/>
          <w:sz w:val="24"/>
          <w:szCs w:val="24"/>
        </w:rPr>
        <w:t>0.025 mg/ml (B)</w:t>
      </w:r>
      <w:r>
        <w:rPr>
          <w:rFonts w:ascii="Times New Roman" w:hAnsi="Times New Roman" w:eastAsia="Times New Roman" w:cs="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14:paraId="4268699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oil and its role in promoting visual and immune health.</w:t>
      </w:r>
    </w:p>
    <w:p w14:paraId="3AA712A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4.1.5</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DEVIANT RESULTS AND POSSIBLE CAUSES</w:t>
      </w:r>
    </w:p>
    <w:p w14:paraId="368474BA">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High Acid and Peroxide Values</w:t>
      </w:r>
      <w:r>
        <w:rPr>
          <w:rFonts w:ascii="Times New Roman" w:hAnsi="Times New Roman" w:eastAsia="Times New Roman" w:cs="Times New Roman"/>
          <w:sz w:val="24"/>
          <w:szCs w:val="24"/>
        </w:rPr>
        <w:t>: These strongly suggest oil degradation, possibly due to improper storage, high moisture, or enzyme activity during or after extraction.</w:t>
      </w:r>
    </w:p>
    <w:p w14:paraId="127EE368">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Low Saponification Value</w:t>
      </w:r>
      <w:r>
        <w:rPr>
          <w:rFonts w:ascii="Times New Roman" w:hAnsi="Times New Roman" w:eastAsia="Times New Roman" w:cs="Times New Roman"/>
          <w:sz w:val="24"/>
          <w:szCs w:val="24"/>
        </w:rPr>
        <w:t>: May indicate the presence of long-chain fatty acids or impurities that require further purification.</w:t>
      </w:r>
    </w:p>
    <w:p w14:paraId="28E6CC79">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Negative DPPH Standard Reading</w:t>
      </w:r>
      <w:r>
        <w:rPr>
          <w:rFonts w:ascii="Times New Roman" w:hAnsi="Times New Roman" w:eastAsia="Times New Roman" w:cs="Times New Roman"/>
          <w:sz w:val="24"/>
          <w:szCs w:val="24"/>
        </w:rPr>
        <w:t>: Likely caused by errors in standard preparation or instrumental calibration.</w:t>
      </w:r>
    </w:p>
    <w:p w14:paraId="393F0092">
      <w:pPr>
        <w:numPr>
          <w:ilvl w:val="0"/>
          <w:numId w:val="15"/>
        </w:num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Variation in Lycopene/β-Carotene Levels</w:t>
      </w:r>
      <w:r>
        <w:rPr>
          <w:rFonts w:ascii="Times New Roman" w:hAnsi="Times New Roman" w:eastAsia="Times New Roman" w:cs="Times New Roman"/>
          <w:sz w:val="24"/>
          <w:szCs w:val="24"/>
        </w:rPr>
        <w:t>: Could be due to inconsistent sample handling, light sensitivity of carotenoids, or pipetting inaccuracies.</w:t>
      </w:r>
    </w:p>
    <w:p w14:paraId="780FD299">
      <w:pPr>
        <w:spacing w:line="480" w:lineRule="auto"/>
        <w:jc w:val="both"/>
        <w:rPr>
          <w:rFonts w:ascii="Times New Roman" w:hAnsi="Times New Roman" w:cs="Times New Roman"/>
          <w:b/>
          <w:bCs/>
          <w:color w:val="000000" w:themeColor="text1"/>
          <w:sz w:val="24"/>
          <w:szCs w:val="24"/>
          <w14:textFill>
            <w14:solidFill>
              <w14:schemeClr w14:val="tx1"/>
            </w14:solidFill>
          </w14:textFill>
        </w:rPr>
      </w:pPr>
    </w:p>
    <w:p w14:paraId="73A6EE3C">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br w:type="page"/>
      </w:r>
    </w:p>
    <w:p w14:paraId="1D34914E">
      <w:pPr>
        <w:spacing w:line="480" w:lineRule="auto"/>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CONCLUSION</w:t>
      </w:r>
    </w:p>
    <w:p w14:paraId="0471C9A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comprehensive analysis of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in this study has provided valuable insights into its physicochemical and biochemical properties, confirming its potential as a nutritionally and industrially relevant plant oil. The seed oil yield of 18.38%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1C50A26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 likely caused by handling, storage, or processing conditions. These results highlight the importance of refining and preserving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to ensure safety and usability in food and pharmaceutical products.</w:t>
      </w:r>
    </w:p>
    <w:p w14:paraId="5C73AB8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14:paraId="5C892167">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a few deviant results such as the unusually high peroxide value and a negative DPPH standard, this study successfully establishes </w:t>
      </w:r>
      <w:r>
        <w:rPr>
          <w:rFonts w:ascii="Times New Roman" w:hAnsi="Times New Roman" w:eastAsia="Times New Roman" w:cs="Times New Roman"/>
          <w:i/>
          <w:iCs/>
          <w:sz w:val="24"/>
          <w:szCs w:val="24"/>
        </w:rPr>
        <w:t>Monodora myristica</w:t>
      </w:r>
      <w:r>
        <w:rPr>
          <w:rFonts w:ascii="Times New Roman" w:hAnsi="Times New Roman" w:eastAsia="Times New Roman" w:cs="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14:paraId="3EC6D749">
      <w:pPr>
        <w:spacing w:line="480" w:lineRule="auto"/>
        <w:jc w:val="both"/>
        <w:rPr>
          <w:rFonts w:ascii="Times New Roman" w:hAnsi="Times New Roman" w:cs="Times New Roman"/>
          <w:b/>
          <w:bCs/>
          <w:color w:val="000000" w:themeColor="text1"/>
          <w:sz w:val="24"/>
          <w:szCs w:val="24"/>
          <w14:textFill>
            <w14:solidFill>
              <w14:schemeClr w14:val="tx1"/>
            </w14:solidFill>
          </w14:textFill>
        </w:rPr>
      </w:pPr>
    </w:p>
    <w:p w14:paraId="13AB41AE"/>
    <w:p w14:paraId="7ED1A1FB">
      <w:pPr>
        <w:pStyle w:val="2"/>
        <w:jc w:val="center"/>
        <w:rPr>
          <w:rStyle w:val="12"/>
          <w:rFonts w:ascii="Times New Roman" w:hAnsi="Times New Roman" w:cs="Times New Roman"/>
          <w:color w:val="auto"/>
          <w:sz w:val="24"/>
          <w:szCs w:val="24"/>
        </w:rPr>
      </w:pPr>
    </w:p>
    <w:p w14:paraId="7685EB05">
      <w:pPr>
        <w:pStyle w:val="2"/>
        <w:jc w:val="center"/>
        <w:rPr>
          <w:rStyle w:val="12"/>
          <w:rFonts w:ascii="Times New Roman" w:hAnsi="Times New Roman" w:cs="Times New Roman"/>
          <w:color w:val="auto"/>
          <w:sz w:val="24"/>
          <w:szCs w:val="24"/>
        </w:rPr>
      </w:pPr>
    </w:p>
    <w:p w14:paraId="3B537E99">
      <w:pPr>
        <w:pStyle w:val="2"/>
        <w:jc w:val="center"/>
        <w:rPr>
          <w:rStyle w:val="12"/>
          <w:rFonts w:ascii="Times New Roman" w:hAnsi="Times New Roman" w:cs="Times New Roman"/>
          <w:color w:val="auto"/>
          <w:sz w:val="24"/>
          <w:szCs w:val="24"/>
        </w:rPr>
      </w:pPr>
    </w:p>
    <w:p w14:paraId="7F0F72DD">
      <w:pPr>
        <w:pStyle w:val="2"/>
        <w:jc w:val="center"/>
        <w:rPr>
          <w:rStyle w:val="12"/>
          <w:rFonts w:ascii="Times New Roman" w:hAnsi="Times New Roman" w:cs="Times New Roman"/>
          <w:color w:val="auto"/>
          <w:sz w:val="24"/>
          <w:szCs w:val="24"/>
        </w:rPr>
      </w:pPr>
    </w:p>
    <w:p w14:paraId="0A03E794">
      <w:pPr>
        <w:pStyle w:val="2"/>
        <w:jc w:val="center"/>
        <w:rPr>
          <w:rStyle w:val="12"/>
          <w:rFonts w:ascii="Times New Roman" w:hAnsi="Times New Roman" w:cs="Times New Roman"/>
          <w:color w:val="auto"/>
          <w:sz w:val="24"/>
          <w:szCs w:val="24"/>
        </w:rPr>
      </w:pPr>
    </w:p>
    <w:p w14:paraId="3DC5C10C">
      <w:pPr>
        <w:pStyle w:val="2"/>
        <w:jc w:val="center"/>
        <w:rPr>
          <w:rStyle w:val="12"/>
          <w:rFonts w:ascii="Times New Roman" w:hAnsi="Times New Roman" w:cs="Times New Roman"/>
          <w:color w:val="auto"/>
          <w:sz w:val="24"/>
          <w:szCs w:val="24"/>
        </w:rPr>
      </w:pPr>
    </w:p>
    <w:p w14:paraId="196ABD1C">
      <w:pPr>
        <w:pStyle w:val="2"/>
        <w:jc w:val="center"/>
        <w:rPr>
          <w:rStyle w:val="12"/>
          <w:rFonts w:ascii="Times New Roman" w:hAnsi="Times New Roman" w:cs="Times New Roman"/>
          <w:color w:val="auto"/>
          <w:sz w:val="24"/>
          <w:szCs w:val="24"/>
        </w:rPr>
      </w:pPr>
    </w:p>
    <w:p w14:paraId="38C65AA8">
      <w:pPr>
        <w:pStyle w:val="2"/>
        <w:jc w:val="center"/>
        <w:rPr>
          <w:rStyle w:val="12"/>
          <w:rFonts w:ascii="Times New Roman" w:hAnsi="Times New Roman" w:cs="Times New Roman"/>
          <w:color w:val="auto"/>
          <w:sz w:val="24"/>
          <w:szCs w:val="24"/>
        </w:rPr>
      </w:pPr>
    </w:p>
    <w:p w14:paraId="46A0F9BA">
      <w:pPr>
        <w:pStyle w:val="2"/>
        <w:jc w:val="center"/>
        <w:rPr>
          <w:rStyle w:val="12"/>
          <w:rFonts w:ascii="Times New Roman" w:hAnsi="Times New Roman" w:cs="Times New Roman"/>
          <w:color w:val="auto"/>
          <w:sz w:val="24"/>
          <w:szCs w:val="24"/>
        </w:rPr>
      </w:pPr>
    </w:p>
    <w:p w14:paraId="189BD80D">
      <w:pPr>
        <w:pStyle w:val="2"/>
        <w:jc w:val="center"/>
        <w:rPr>
          <w:rStyle w:val="12"/>
          <w:rFonts w:ascii="Times New Roman" w:hAnsi="Times New Roman" w:cs="Times New Roman"/>
          <w:color w:val="auto"/>
          <w:sz w:val="24"/>
          <w:szCs w:val="24"/>
        </w:rPr>
      </w:pPr>
    </w:p>
    <w:p w14:paraId="1FF79E7A">
      <w:pPr>
        <w:pStyle w:val="2"/>
        <w:jc w:val="center"/>
        <w:rPr>
          <w:rStyle w:val="12"/>
          <w:rFonts w:ascii="Times New Roman" w:hAnsi="Times New Roman" w:cs="Times New Roman"/>
          <w:color w:val="auto"/>
          <w:sz w:val="24"/>
          <w:szCs w:val="24"/>
        </w:rPr>
      </w:pPr>
    </w:p>
    <w:p w14:paraId="284C57AC">
      <w:pPr>
        <w:pStyle w:val="2"/>
        <w:rPr>
          <w:rStyle w:val="12"/>
          <w:rFonts w:ascii="Times New Roman" w:hAnsi="Times New Roman" w:cs="Times New Roman"/>
          <w:color w:val="auto"/>
          <w:sz w:val="24"/>
          <w:szCs w:val="24"/>
        </w:rPr>
      </w:pPr>
    </w:p>
    <w:p w14:paraId="54A49A15"/>
    <w:p w14:paraId="4F85A3C9">
      <w:pPr>
        <w:rPr>
          <w:rStyle w:val="12"/>
          <w:rFonts w:ascii="Times New Roman" w:hAnsi="Times New Roman" w:cs="Times New Roman" w:eastAsiaTheme="majorEastAsia"/>
          <w:sz w:val="24"/>
          <w:szCs w:val="24"/>
        </w:rPr>
      </w:pPr>
      <w:r>
        <w:rPr>
          <w:rStyle w:val="12"/>
          <w:rFonts w:ascii="Times New Roman" w:hAnsi="Times New Roman" w:cs="Times New Roman"/>
          <w:sz w:val="24"/>
          <w:szCs w:val="24"/>
        </w:rPr>
        <w:br w:type="page"/>
      </w:r>
    </w:p>
    <w:p w14:paraId="2C035993">
      <w:pPr>
        <w:pStyle w:val="2"/>
        <w:spacing w:line="360" w:lineRule="auto"/>
        <w:jc w:val="center"/>
        <w:rPr>
          <w:rFonts w:ascii="Times New Roman" w:hAnsi="Times New Roman" w:cs="Times New Roman"/>
          <w:color w:val="auto"/>
          <w:sz w:val="24"/>
          <w:szCs w:val="24"/>
        </w:rPr>
      </w:pPr>
      <w:r>
        <w:rPr>
          <w:rStyle w:val="12"/>
          <w:rFonts w:ascii="Times New Roman" w:hAnsi="Times New Roman" w:cs="Times New Roman"/>
          <w:color w:val="auto"/>
          <w:sz w:val="24"/>
          <w:szCs w:val="24"/>
        </w:rPr>
        <w:t>APPENDIX</w:t>
      </w:r>
    </w:p>
    <w:p w14:paraId="0C03F182">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xml:space="preserve">. Calculations of </w:t>
      </w:r>
      <w:r>
        <w:rPr>
          <w:rFonts w:ascii="Times New Roman" w:hAnsi="Times New Roman" w:cs="Times New Roman"/>
          <w:b/>
          <w:bCs/>
          <w:sz w:val="24"/>
          <w:szCs w:val="24"/>
        </w:rPr>
        <w:t>% Oil yield</w:t>
      </w:r>
      <w:r>
        <w:rPr>
          <w:rFonts w:ascii="Times New Roman" w:hAnsi="Times New Roman" w:cs="Times New Roman"/>
          <w:sz w:val="24"/>
          <w:szCs w:val="24"/>
        </w:rPr>
        <w:t xml:space="preserve"> after distillation process. Parameters given are as follows.</w:t>
      </w:r>
    </w:p>
    <w:p w14:paraId="0E54D123">
      <w:pPr>
        <w:spacing w:line="360" w:lineRule="auto"/>
        <w:rPr>
          <w:rFonts w:ascii="Times New Roman" w:hAnsi="Times New Roman" w:cs="Times New Roman"/>
          <w:sz w:val="24"/>
          <w:szCs w:val="24"/>
        </w:rPr>
      </w:pPr>
      <w:r>
        <w:rPr>
          <w:rFonts w:ascii="Times New Roman" w:hAnsi="Times New Roman" w:cs="Times New Roman"/>
          <w:sz w:val="24"/>
          <w:szCs w:val="24"/>
        </w:rPr>
        <w:t>Weight of thimble W1 = 11.10g</w:t>
      </w:r>
    </w:p>
    <w:p w14:paraId="66E7D513">
      <w:pPr>
        <w:spacing w:line="360" w:lineRule="auto"/>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66E61DEE">
      <w:pPr>
        <w:spacing w:line="360" w:lineRule="auto"/>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517201C">
      <w:pPr>
        <w:spacing w:line="360" w:lineRule="auto"/>
        <w:rPr>
          <w:rFonts w:ascii="Times New Roman" w:hAnsi="Times New Roman" w:cs="Times New Roman"/>
          <w:sz w:val="24"/>
          <w:szCs w:val="24"/>
        </w:rPr>
      </w:pPr>
      <w:r>
        <w:rPr>
          <w:rFonts w:ascii="Times New Roman" w:hAnsi="Times New Roman" w:cs="Times New Roman"/>
          <w:sz w:val="24"/>
          <w:szCs w:val="24"/>
        </w:rPr>
        <w:t>Weight of beaker W4 = 87.92g</w:t>
      </w:r>
    </w:p>
    <w:p w14:paraId="03379430">
      <w:pPr>
        <w:spacing w:line="360" w:lineRule="auto"/>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063CA9E4">
      <w:pPr>
        <w:spacing w:line="360" w:lineRule="auto"/>
        <w:rPr>
          <w:rFonts w:ascii="Times New Roman" w:hAnsi="Times New Roman" w:cs="Times New Roman"/>
          <w:sz w:val="24"/>
          <w:szCs w:val="24"/>
        </w:rPr>
      </w:pPr>
      <w:r>
        <w:rPr>
          <w:rFonts w:ascii="Times New Roman" w:hAnsi="Times New Roman" w:cs="Times New Roman"/>
          <w:sz w:val="24"/>
          <w:szCs w:val="24"/>
        </w:rPr>
        <w:t>Weight of extract only W6 = W5 -W4 = 105.30g – 87.92g = 17.38g</w:t>
      </w:r>
    </w:p>
    <w:p w14:paraId="604E4900">
      <w:pPr>
        <w:spacing w:line="360" w:lineRule="auto"/>
        <w:rPr>
          <w:rFonts w:ascii="Times New Roman" w:hAnsi="Times New Roman" w:cs="Times New Roman"/>
          <w:sz w:val="24"/>
          <w:szCs w:val="24"/>
        </w:rPr>
      </w:pPr>
      <w:r>
        <w:rPr>
          <w:rFonts w:ascii="Times New Roman" w:hAnsi="Times New Roman" w:cs="Times New Roman"/>
          <w:sz w:val="24"/>
          <w:szCs w:val="24"/>
        </w:rPr>
        <w:t xml:space="preserve">% Oil yield = </w:t>
      </w:r>
      <w:r>
        <w:rPr>
          <w:rFonts w:ascii="Times New Roman" w:hAnsi="Times New Roman" w:cs="Times New Roman"/>
          <w:sz w:val="24"/>
          <w:szCs w:val="24"/>
          <w:u w:val="single"/>
        </w:rPr>
        <w:t>weight of oil</w:t>
      </w:r>
      <w:r>
        <w:rPr>
          <w:rFonts w:ascii="Times New Roman" w:hAnsi="Times New Roman" w:cs="Times New Roman"/>
          <w:sz w:val="24"/>
          <w:szCs w:val="24"/>
        </w:rPr>
        <w:t xml:space="preserve"> x 100</w:t>
      </w:r>
    </w:p>
    <w:p w14:paraId="3653662C">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weight of sample</w:t>
      </w:r>
      <w:r>
        <w:rPr>
          <w:rFonts w:ascii="Times New Roman" w:hAnsi="Times New Roman" w:cs="Times New Roman"/>
          <w:sz w:val="24"/>
          <w:szCs w:val="24"/>
        </w:rPr>
        <w:tab/>
      </w:r>
    </w:p>
    <w:p w14:paraId="388387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28E266C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96.52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18.38%</w:t>
      </w:r>
    </w:p>
    <w:p w14:paraId="108DCFF0">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Calculation of</w:t>
      </w:r>
      <w:r>
        <w:rPr>
          <w:rFonts w:ascii="Times New Roman" w:hAnsi="Times New Roman" w:cs="Times New Roman"/>
          <w:b/>
          <w:bCs/>
          <w:sz w:val="24"/>
          <w:szCs w:val="24"/>
        </w:rPr>
        <w:t xml:space="preserve"> oil density</w:t>
      </w:r>
      <w:r>
        <w:rPr>
          <w:rFonts w:ascii="Times New Roman" w:hAnsi="Times New Roman" w:cs="Times New Roman"/>
          <w:sz w:val="24"/>
          <w:szCs w:val="24"/>
        </w:rPr>
        <w:t>. Parameters is given as follows:</w:t>
      </w:r>
    </w:p>
    <w:p w14:paraId="2B6EF664">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Weight of oil</w:t>
      </w:r>
    </w:p>
    <w:p w14:paraId="5AEF29C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Volume of oil</w:t>
      </w:r>
    </w:p>
    <w:p w14:paraId="24219945">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3801C2D6">
      <w:pPr>
        <w:spacing w:line="360" w:lineRule="auto"/>
        <w:rPr>
          <w:rFonts w:ascii="Times New Roman" w:hAnsi="Times New Roman" w:cs="Times New Roman"/>
          <w:sz w:val="24"/>
          <w:szCs w:val="24"/>
        </w:rPr>
      </w:pPr>
      <w:r>
        <w:rPr>
          <w:rFonts w:ascii="Times New Roman" w:hAnsi="Times New Roman" w:cs="Times New Roman"/>
          <w:sz w:val="24"/>
          <w:szCs w:val="24"/>
        </w:rPr>
        <w:t>Volume of oil = 7ml</w:t>
      </w:r>
    </w:p>
    <w:p w14:paraId="369C4C42">
      <w:pPr>
        <w:spacing w:line="360" w:lineRule="auto"/>
        <w:rPr>
          <w:rFonts w:ascii="Times New Roman" w:hAnsi="Times New Roman" w:cs="Times New Roman"/>
          <w:sz w:val="24"/>
          <w:szCs w:val="24"/>
        </w:rPr>
      </w:pPr>
      <w:r>
        <w:rPr>
          <w:rFonts w:ascii="Times New Roman" w:hAnsi="Times New Roman" w:cs="Times New Roman"/>
          <w:sz w:val="24"/>
          <w:szCs w:val="24"/>
        </w:rPr>
        <w:t>Weight of oil is calculated as:</w:t>
      </w:r>
    </w:p>
    <w:p w14:paraId="25264284">
      <w:pPr>
        <w:spacing w:line="360" w:lineRule="auto"/>
        <w:rPr>
          <w:rFonts w:ascii="Times New Roman" w:hAnsi="Times New Roman" w:cs="Times New Roman"/>
          <w:sz w:val="24"/>
          <w:szCs w:val="24"/>
        </w:rPr>
      </w:pPr>
      <w:r>
        <w:rPr>
          <w:rFonts w:ascii="Times New Roman" w:hAnsi="Times New Roman" w:cs="Times New Roman"/>
          <w:sz w:val="24"/>
          <w:szCs w:val="24"/>
        </w:rPr>
        <w:t>Weight of empty cylinder W1 =28.18g</w:t>
      </w:r>
    </w:p>
    <w:p w14:paraId="47D280D1">
      <w:pPr>
        <w:spacing w:line="360" w:lineRule="auto"/>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71A4BAF9">
      <w:pPr>
        <w:spacing w:line="360" w:lineRule="auto"/>
        <w:rPr>
          <w:rFonts w:ascii="Times New Roman" w:hAnsi="Times New Roman" w:cs="Times New Roman"/>
          <w:sz w:val="24"/>
          <w:szCs w:val="24"/>
        </w:rPr>
      </w:pPr>
      <w:r>
        <w:rPr>
          <w:rFonts w:ascii="Times New Roman" w:hAnsi="Times New Roman" w:cs="Times New Roman"/>
          <w:sz w:val="24"/>
          <w:szCs w:val="24"/>
        </w:rPr>
        <w:t>Weight of 7ml of oil W3 = W2 – W1 = 35.16g – 28.18g = 6.98g</w:t>
      </w:r>
    </w:p>
    <w:p w14:paraId="57A5D59F">
      <w:pPr>
        <w:spacing w:line="360" w:lineRule="auto"/>
        <w:rPr>
          <w:rFonts w:ascii="Times New Roman" w:hAnsi="Times New Roman" w:cs="Times New Roman"/>
          <w:sz w:val="24"/>
          <w:szCs w:val="24"/>
        </w:rPr>
      </w:pPr>
      <w:r>
        <w:rPr>
          <w:rFonts w:ascii="Times New Roman" w:hAnsi="Times New Roman" w:cs="Times New Roman"/>
          <w:sz w:val="24"/>
          <w:szCs w:val="24"/>
        </w:rPr>
        <w:t xml:space="preserve">Density of oil = </w:t>
      </w:r>
      <w:r>
        <w:rPr>
          <w:rFonts w:ascii="Times New Roman" w:hAnsi="Times New Roman" w:cs="Times New Roman"/>
          <w:sz w:val="24"/>
          <w:szCs w:val="24"/>
          <w:u w:val="single"/>
        </w:rPr>
        <w:t>6.98g</w:t>
      </w:r>
    </w:p>
    <w:p w14:paraId="100115A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7ml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0.9971g/ml </w:t>
      </w:r>
    </w:p>
    <w:p w14:paraId="14A82F77">
      <w:pPr>
        <w:spacing w:line="360"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of</w:t>
      </w:r>
      <w:r>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13319783">
      <w:pPr>
        <w:spacing w:line="360" w:lineRule="auto"/>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Density of oil</w:t>
      </w:r>
    </w:p>
    <w:p w14:paraId="708E47A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Density of water</w:t>
      </w:r>
    </w:p>
    <w:p w14:paraId="176E03AD">
      <w:pPr>
        <w:spacing w:line="360" w:lineRule="auto"/>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728FCEB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Weight of measuring cylinder containing 10ml of water (W1) – weight of empty cylinder (W2)</w:t>
      </w:r>
    </w:p>
    <w:p w14:paraId="11F994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Volume of water</w:t>
      </w:r>
    </w:p>
    <w:p w14:paraId="2EC1D214">
      <w:pPr>
        <w:spacing w:line="360" w:lineRule="auto"/>
        <w:jc w:val="both"/>
        <w:rPr>
          <w:rFonts w:ascii="Times New Roman" w:hAnsi="Times New Roman" w:cs="Times New Roman"/>
          <w:sz w:val="24"/>
          <w:szCs w:val="24"/>
        </w:rPr>
      </w:pPr>
      <w:r>
        <w:rPr>
          <w:rFonts w:ascii="Times New Roman" w:hAnsi="Times New Roman" w:cs="Times New Roman"/>
          <w:sz w:val="24"/>
          <w:szCs w:val="24"/>
        </w:rPr>
        <w:t>W1 = 36.33g</w:t>
      </w:r>
    </w:p>
    <w:p w14:paraId="5CA52739">
      <w:pPr>
        <w:spacing w:line="360" w:lineRule="auto"/>
        <w:jc w:val="both"/>
        <w:rPr>
          <w:rFonts w:ascii="Times New Roman" w:hAnsi="Times New Roman" w:cs="Times New Roman"/>
          <w:sz w:val="24"/>
          <w:szCs w:val="24"/>
        </w:rPr>
      </w:pPr>
      <w:r>
        <w:rPr>
          <w:rFonts w:ascii="Times New Roman" w:hAnsi="Times New Roman" w:cs="Times New Roman"/>
          <w:sz w:val="24"/>
          <w:szCs w:val="24"/>
        </w:rPr>
        <w:t>W2 = 26.64g</w:t>
      </w:r>
    </w:p>
    <w:p w14:paraId="46DEAD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Pr>
          <w:rFonts w:ascii="Times New Roman" w:hAnsi="Times New Roman" w:cs="Times New Roman"/>
          <w:sz w:val="24"/>
          <w:szCs w:val="24"/>
          <w:u w:val="single"/>
        </w:rPr>
        <w:t xml:space="preserve">36.33g – 26.64g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u w:val="single"/>
        </w:rPr>
        <w:t>9.69</w:t>
      </w:r>
    </w:p>
    <w:p w14:paraId="67ADCC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10ml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0.969g/ml</w:t>
      </w:r>
    </w:p>
    <w:p w14:paraId="117A3E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Pr>
          <w:rFonts w:ascii="Times New Roman" w:hAnsi="Times New Roman" w:cs="Times New Roman"/>
          <w:sz w:val="24"/>
          <w:szCs w:val="24"/>
          <w:u w:val="single"/>
        </w:rPr>
        <w:t>0.9971</w:t>
      </w:r>
    </w:p>
    <w:p w14:paraId="19B41A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0.969</w:t>
      </w:r>
      <w:r>
        <w:rPr>
          <w:rFonts w:ascii="Times New Roman" w:hAnsi="Times New Roman" w:cs="Times New Roman"/>
          <w:sz w:val="24"/>
          <w:szCs w:val="24"/>
        </w:rPr>
        <w:tab/>
      </w:r>
      <w:r>
        <w:rPr>
          <w:rFonts w:ascii="Times New Roman" w:hAnsi="Times New Roman" w:cs="Times New Roman"/>
          <w:sz w:val="24"/>
          <w:szCs w:val="24"/>
        </w:rPr>
        <w:t>= 1.029</w:t>
      </w:r>
    </w:p>
    <w:p w14:paraId="4EC1853A">
      <w:pPr>
        <w:rPr>
          <w:rStyle w:val="12"/>
          <w:rFonts w:ascii="Times New Roman" w:hAnsi="Times New Roman" w:eastAsia="Times New Roman" w:cs="Times New Roman"/>
          <w:sz w:val="27"/>
          <w:szCs w:val="27"/>
        </w:rPr>
      </w:pPr>
      <w:r>
        <w:rPr>
          <w:rStyle w:val="12"/>
          <w:b w:val="0"/>
          <w:bCs w:val="0"/>
        </w:rPr>
        <w:br w:type="page"/>
      </w:r>
    </w:p>
    <w:p w14:paraId="17901A12">
      <w:pPr>
        <w:pStyle w:val="3"/>
        <w:spacing w:line="360" w:lineRule="auto"/>
      </w:pPr>
      <w:r>
        <w:rPr>
          <w:rStyle w:val="12"/>
          <w:b/>
          <w:bCs/>
        </w:rPr>
        <w:t>D. Calculations of Physicochemical Properties</w:t>
      </w:r>
    </w:p>
    <w:p w14:paraId="0E44EAD3">
      <w:pPr>
        <w:pStyle w:val="4"/>
        <w:spacing w:line="360" w:lineRule="auto"/>
        <w:rPr>
          <w:rFonts w:ascii="Times New Roman" w:hAnsi="Times New Roman" w:cs="Times New Roman"/>
          <w:i w:val="0"/>
          <w:iCs w:val="0"/>
          <w:color w:val="auto"/>
          <w:sz w:val="24"/>
          <w:szCs w:val="24"/>
        </w:rPr>
      </w:pPr>
      <w:r>
        <w:rPr>
          <w:rFonts w:ascii="Times New Roman" w:hAnsi="Times New Roman" w:cs="Times New Roman"/>
          <w:i w:val="0"/>
          <w:iCs w:val="0"/>
          <w:color w:val="auto"/>
          <w:sz w:val="24"/>
          <w:szCs w:val="24"/>
        </w:rPr>
        <w:t xml:space="preserve">1. </w:t>
      </w:r>
      <w:r>
        <w:rPr>
          <w:rStyle w:val="12"/>
          <w:rFonts w:ascii="Times New Roman" w:hAnsi="Times New Roman" w:cs="Times New Roman"/>
          <w:i w:val="0"/>
          <w:iCs w:val="0"/>
          <w:color w:val="auto"/>
          <w:sz w:val="24"/>
          <w:szCs w:val="24"/>
        </w:rPr>
        <w:t>Acid Value (AV)</w:t>
      </w:r>
    </w:p>
    <w:p w14:paraId="2E7E7BEF">
      <w:pPr>
        <w:pStyle w:val="11"/>
        <w:spacing w:line="360" w:lineRule="auto"/>
      </w:pPr>
      <w:r>
        <w:t>Formula:</w:t>
      </w:r>
    </w:p>
    <w:p w14:paraId="4565546B">
      <w:pPr>
        <w:spacing w:after="0" w:line="360" w:lineRule="auto"/>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Acid Value = </w:t>
      </w:r>
      <w:r>
        <w:rPr>
          <w:rFonts w:ascii="Times New Roman" w:hAnsi="Times New Roman" w:cs="Times New Roman"/>
          <w:color w:val="000000" w:themeColor="text1"/>
          <w:sz w:val="24"/>
          <w:szCs w:val="24"/>
          <w:u w:val="single"/>
          <w14:textFill>
            <w14:solidFill>
              <w14:schemeClr w14:val="tx1"/>
            </w14:solidFill>
          </w14:textFill>
        </w:rPr>
        <w:t xml:space="preserve">Mw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xml:space="preserve">Av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 NaOH</w:t>
      </w:r>
    </w:p>
    <w:p w14:paraId="5B64697B">
      <w:pPr>
        <w:spacing w:after="0" w:line="360" w:lineRule="auto"/>
        <w:ind w:left="1440" w:firstLine="720"/>
        <w:jc w:val="both"/>
        <w:rPr>
          <w:rFonts w:ascii="Times New Roman" w:hAnsi="Times New Roman" w:cs="Times New Roman"/>
          <w:color w:val="000000" w:themeColor="text1"/>
          <w:sz w:val="24"/>
          <w:szCs w:val="24"/>
          <w:u w:val="single"/>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Sample weight</w:t>
      </w:r>
    </w:p>
    <w:p w14:paraId="362F8101">
      <w:pPr>
        <w:pStyle w:val="11"/>
        <w:spacing w:line="360" w:lineRule="auto"/>
        <w:jc w:val="both"/>
      </w:pPr>
      <w:r>
        <w:t>Where:</w:t>
      </w:r>
    </w:p>
    <w:p w14:paraId="5774DDBA">
      <w:pPr>
        <w:pStyle w:val="11"/>
        <w:numPr>
          <w:ilvl w:val="0"/>
          <w:numId w:val="4"/>
        </w:numPr>
        <w:spacing w:line="360" w:lineRule="auto"/>
        <w:jc w:val="both"/>
      </w:pPr>
      <w:r>
        <w:rPr>
          <w:rStyle w:val="8"/>
        </w:rPr>
        <w:t>Mw</w:t>
      </w:r>
      <w:r>
        <w:t xml:space="preserve"> = molecular weight of NaOH used (g/mol) = 40.1g/mol</w:t>
      </w:r>
    </w:p>
    <w:p w14:paraId="396B04A8">
      <w:pPr>
        <w:pStyle w:val="11"/>
        <w:numPr>
          <w:ilvl w:val="0"/>
          <w:numId w:val="4"/>
        </w:numPr>
        <w:spacing w:line="360" w:lineRule="auto"/>
        <w:jc w:val="both"/>
      </w:pPr>
      <w:r>
        <w:rPr>
          <w:rStyle w:val="8"/>
        </w:rPr>
        <w:t>Av</w:t>
      </w:r>
      <w:r>
        <w:t xml:space="preserve"> = average titer value = 2.70ml</w:t>
      </w:r>
    </w:p>
    <w:p w14:paraId="599E83EF">
      <w:pPr>
        <w:pStyle w:val="11"/>
        <w:numPr>
          <w:ilvl w:val="0"/>
          <w:numId w:val="4"/>
        </w:numPr>
        <w:spacing w:line="360" w:lineRule="auto"/>
        <w:jc w:val="both"/>
      </w:pPr>
      <w:r>
        <w:rPr>
          <w:rStyle w:val="8"/>
        </w:rPr>
        <w:t>M NaOH</w:t>
      </w:r>
      <w:r>
        <w:t xml:space="preserve"> = molarity of NaOH used = 0.1M</w:t>
      </w:r>
    </w:p>
    <w:p w14:paraId="31385F09">
      <w:pPr>
        <w:pStyle w:val="11"/>
        <w:numPr>
          <w:ilvl w:val="0"/>
          <w:numId w:val="4"/>
        </w:numPr>
        <w:spacing w:line="360" w:lineRule="auto"/>
        <w:jc w:val="both"/>
        <w:rPr>
          <w:rStyle w:val="8"/>
          <w:i w:val="0"/>
          <w:iCs w:val="0"/>
        </w:rPr>
      </w:pPr>
      <w:r>
        <w:rPr>
          <w:rStyle w:val="8"/>
        </w:rPr>
        <w:t>Sample weight = 0.5g</w:t>
      </w:r>
    </w:p>
    <w:p w14:paraId="5A6377FA">
      <w:pPr>
        <w:pStyle w:val="11"/>
        <w:spacing w:before="0" w:beforeAutospacing="0" w:after="0" w:afterAutospacing="0" w:line="360" w:lineRule="auto"/>
        <w:jc w:val="both"/>
        <w:rPr>
          <w:rStyle w:val="8"/>
          <w:i w:val="0"/>
          <w:iCs w:val="0"/>
          <w:u w:val="single"/>
        </w:rPr>
      </w:pPr>
      <w:r>
        <w:rPr>
          <w:rStyle w:val="8"/>
          <w:i w:val="0"/>
          <w:iCs w:val="0"/>
        </w:rPr>
        <w:t xml:space="preserve">Acid value = </w:t>
      </w:r>
      <w:r>
        <w:rPr>
          <w:rStyle w:val="8"/>
          <w:i w:val="0"/>
          <w:iCs w:val="0"/>
          <w:u w:val="single"/>
        </w:rPr>
        <w:t>40.01 x 2.70 x0.1</w:t>
      </w:r>
    </w:p>
    <w:p w14:paraId="56001E5C">
      <w:pPr>
        <w:pStyle w:val="11"/>
        <w:spacing w:before="0" w:beforeAutospacing="0" w:after="0" w:afterAutospacing="0" w:line="360" w:lineRule="auto"/>
        <w:jc w:val="both"/>
      </w:pPr>
      <w:r>
        <w:rPr>
          <w:rStyle w:val="8"/>
          <w:i w:val="0"/>
          <w:iCs w:val="0"/>
        </w:rPr>
        <w:tab/>
      </w:r>
      <w:r>
        <w:rPr>
          <w:rStyle w:val="8"/>
          <w:i w:val="0"/>
          <w:iCs w:val="0"/>
        </w:rPr>
        <w:tab/>
      </w:r>
      <w:r>
        <w:rPr>
          <w:rStyle w:val="8"/>
          <w:i w:val="0"/>
          <w:iCs w:val="0"/>
        </w:rPr>
        <w:tab/>
      </w:r>
      <w:r>
        <w:rPr>
          <w:rStyle w:val="8"/>
          <w:i w:val="0"/>
          <w:iCs w:val="0"/>
        </w:rPr>
        <w:t>0.5</w:t>
      </w:r>
      <w:r>
        <w:rPr>
          <w:rStyle w:val="8"/>
          <w:i w:val="0"/>
          <w:iCs w:val="0"/>
        </w:rPr>
        <w:tab/>
      </w:r>
      <w:r>
        <w:rPr>
          <w:rStyle w:val="8"/>
          <w:i w:val="0"/>
          <w:iCs w:val="0"/>
        </w:rPr>
        <w:tab/>
      </w:r>
      <w:r>
        <w:rPr>
          <w:rStyle w:val="8"/>
          <w:i w:val="0"/>
          <w:iCs w:val="0"/>
        </w:rPr>
        <w:t>= 21.61mg/NaOH/gOil</w:t>
      </w:r>
    </w:p>
    <w:p w14:paraId="5AA2B5BC">
      <w:pPr>
        <w:pStyle w:val="11"/>
        <w:spacing w:line="360" w:lineRule="auto"/>
        <w:jc w:val="both"/>
      </w:pPr>
      <w:r>
        <w:rPr>
          <w:rStyle w:val="12"/>
        </w:rPr>
        <w:t xml:space="preserve"> 2. % Free Fatty Acid:</w:t>
      </w:r>
    </w:p>
    <w:p w14:paraId="2F22C27E">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Style w:val="21"/>
          <w:rFonts w:ascii="Times New Roman" w:hAnsi="Times New Roman" w:cs="Times New Roman"/>
          <w:sz w:val="24"/>
          <w:szCs w:val="24"/>
        </w:rPr>
        <w:t>%</w:t>
      </w:r>
      <w:r>
        <w:rPr>
          <w:rFonts w:ascii="Times New Roman" w:hAnsi="Times New Roman" w:cs="Times New Roman"/>
          <w:color w:val="000000" w:themeColor="text1"/>
          <w:sz w:val="24"/>
          <w:szCs w:val="24"/>
          <w14:textFill>
            <w14:solidFill>
              <w14:schemeClr w14:val="tx1"/>
            </w14:solidFill>
          </w14:textFill>
        </w:rPr>
        <w:t xml:space="preserve"> Free Fatty Acid (based on oleic acid) = </w:t>
      </w:r>
      <w:r>
        <w:rPr>
          <w:rFonts w:ascii="Times New Roman" w:hAnsi="Times New Roman" w:cs="Times New Roman"/>
          <w:color w:val="000000" w:themeColor="text1"/>
          <w:sz w:val="24"/>
          <w:szCs w:val="24"/>
          <w:u w:val="single"/>
          <w14:textFill>
            <w14:solidFill>
              <w14:schemeClr w14:val="tx1"/>
            </w14:solidFill>
          </w14:textFill>
        </w:rPr>
        <w:t xml:space="preserve">Acid value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Mw Oleic acid</w:t>
      </w:r>
      <w:r>
        <w:rPr>
          <w:rFonts w:ascii="Times New Roman" w:hAnsi="Times New Roman" w:cs="Times New Roman"/>
          <w:color w:val="000000" w:themeColor="text1"/>
          <w:sz w:val="24"/>
          <w:szCs w:val="24"/>
          <w14:textFill>
            <w14:solidFill>
              <w14:schemeClr w14:val="tx1"/>
            </w14:solidFill>
          </w14:textFill>
        </w:rPr>
        <w:t xml:space="preserve"> </w:t>
      </w:r>
    </w:p>
    <w:p w14:paraId="638C2367">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14:textFill>
            <w14:solidFill>
              <w14:schemeClr w14:val="tx1"/>
            </w14:solidFill>
          </w14:textFill>
        </w:rPr>
        <w:t xml:space="preserve"> Mw NaOH</w:t>
      </w:r>
    </w:p>
    <w:p w14:paraId="12371923">
      <w:pPr>
        <w:spacing w:after="0" w:line="276"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66CC0AB6">
      <w:pPr>
        <w:pStyle w:val="20"/>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Mw Oleic acid = molecular weight of Oleic acid = 282g/mol</w:t>
      </w:r>
    </w:p>
    <w:p w14:paraId="3CC3CE65">
      <w:pPr>
        <w:pStyle w:val="20"/>
        <w:numPr>
          <w:ilvl w:val="0"/>
          <w:numId w:val="5"/>
        </w:numPr>
        <w:spacing w:line="276" w:lineRule="auto"/>
        <w:jc w:val="both"/>
        <w:rPr>
          <w:rFonts w:ascii="Times New Roman" w:hAnsi="Times New Roman" w:cs="Times New Roman"/>
          <w:sz w:val="24"/>
          <w:szCs w:val="24"/>
        </w:rPr>
      </w:pPr>
      <w:r>
        <w:rPr>
          <w:rFonts w:ascii="Times New Roman" w:hAnsi="Times New Roman" w:cs="Times New Roman"/>
          <w:sz w:val="24"/>
          <w:szCs w:val="24"/>
        </w:rPr>
        <w:t>Mw NaOH = molecular weight of NaOH = 40.01g/mol</w:t>
      </w:r>
    </w:p>
    <w:p w14:paraId="4DA37B1A">
      <w:pPr>
        <w:pStyle w:val="11"/>
        <w:numPr>
          <w:ilvl w:val="0"/>
          <w:numId w:val="16"/>
        </w:numPr>
        <w:spacing w:before="0" w:beforeAutospacing="0" w:line="276" w:lineRule="auto"/>
      </w:pPr>
      <w:r>
        <w:t>AV = 21.61</w:t>
      </w:r>
    </w:p>
    <w:p w14:paraId="13B684D7">
      <w:pPr>
        <w:pStyle w:val="11"/>
        <w:numPr>
          <w:ilvl w:val="0"/>
          <w:numId w:val="16"/>
        </w:numPr>
        <w:spacing w:line="276" w:lineRule="auto"/>
      </w:pPr>
      <w:r>
        <w:t>M = Molecular weight of oleic acid = 282</w:t>
      </w:r>
    </w:p>
    <w:p w14:paraId="5496D399">
      <w:pPr>
        <w:pStyle w:val="11"/>
        <w:spacing w:before="0" w:beforeAutospacing="0" w:after="0" w:afterAutospacing="0" w:line="276" w:lineRule="auto"/>
      </w:pPr>
      <w:r>
        <w:t xml:space="preserve">%FFA = </w:t>
      </w:r>
      <w:r>
        <w:rPr>
          <w:u w:val="single"/>
        </w:rPr>
        <w:t>21.61 x 282</w:t>
      </w:r>
    </w:p>
    <w:p w14:paraId="39407D08">
      <w:pPr>
        <w:pStyle w:val="11"/>
        <w:spacing w:before="0" w:beforeAutospacing="0" w:after="0" w:afterAutospacing="0" w:line="276" w:lineRule="auto"/>
      </w:pPr>
      <w:r>
        <w:tab/>
      </w:r>
      <w:r>
        <w:t xml:space="preserve">    10 x 40.01 </w:t>
      </w:r>
      <w:r>
        <w:tab/>
      </w:r>
      <w:r>
        <w:t>= 14.83%</w:t>
      </w:r>
    </w:p>
    <w:p w14:paraId="31135621">
      <w:pPr>
        <w:pStyle w:val="11"/>
        <w:spacing w:before="0" w:beforeAutospacing="0" w:after="0" w:afterAutospacing="0" w:line="360" w:lineRule="auto"/>
      </w:pPr>
    </w:p>
    <w:p w14:paraId="01920BDF">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3</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Saponification Value (SV)</w:t>
      </w:r>
    </w:p>
    <w:p w14:paraId="1F2A42B5">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 xml:space="preserve">     </w:t>
      </w:r>
      <w:r>
        <w:rPr>
          <w:rFonts w:ascii="Times New Roman" w:hAnsi="Times New Roman" w:cs="Times New Roman"/>
          <w:color w:val="000000" w:themeColor="text1"/>
          <w:sz w:val="24"/>
          <w:szCs w:val="24"/>
          <w14:textFill>
            <w14:solidFill>
              <w14:schemeClr w14:val="tx1"/>
            </w14:solidFill>
          </w14:textFill>
        </w:rPr>
        <w:t xml:space="preserve">Saponification value = </w:t>
      </w:r>
      <w:r>
        <w:rPr>
          <w:rFonts w:ascii="Times New Roman" w:hAnsi="Times New Roman" w:cs="Times New Roman"/>
          <w:color w:val="000000" w:themeColor="text1"/>
          <w:sz w:val="24"/>
          <w:szCs w:val="24"/>
          <w:u w:val="single"/>
          <w14:textFill>
            <w14:solidFill>
              <w14:schemeClr w14:val="tx1"/>
            </w14:solidFill>
          </w14:textFill>
        </w:rPr>
        <w:t>M</w:t>
      </w:r>
      <w:r>
        <w:rPr>
          <w:rFonts w:ascii="Times New Roman" w:hAnsi="Times New Roman" w:cs="Times New Roman"/>
          <w:color w:val="000000" w:themeColor="text1"/>
          <w:sz w:val="24"/>
          <w:szCs w:val="24"/>
          <w:u w:val="single"/>
          <w:vertAlign w:val="subscript"/>
          <w14:textFill>
            <w14:solidFill>
              <w14:schemeClr w14:val="tx1"/>
            </w14:solidFill>
          </w14:textFill>
        </w:rPr>
        <w:t>w</w:t>
      </w:r>
      <w:r>
        <w:rPr>
          <w:rFonts w:ascii="Times New Roman" w:hAnsi="Times New Roman" w:cs="Times New Roman"/>
          <w:color w:val="000000" w:themeColor="text1"/>
          <w:sz w:val="24"/>
          <w:szCs w:val="24"/>
          <w:u w:val="single"/>
          <w14:textFill>
            <w14:solidFill>
              <w14:schemeClr w14:val="tx1"/>
            </w14:solidFill>
          </w14:textFill>
        </w:rPr>
        <w:t xml:space="preserve"> NaoH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H</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SO</w:t>
      </w:r>
      <w:r>
        <w:rPr>
          <w:rFonts w:ascii="Times New Roman" w:hAnsi="Times New Roman" w:cs="Times New Roman"/>
          <w:color w:val="000000" w:themeColor="text1"/>
          <w:sz w:val="24"/>
          <w:szCs w:val="24"/>
          <w:u w:val="single"/>
          <w:vertAlign w:val="subscript"/>
          <w14:textFill>
            <w14:solidFill>
              <w14:schemeClr w14:val="tx1"/>
            </w14:solidFill>
          </w14:textFill>
        </w:rPr>
        <w:t>4</w:t>
      </w:r>
    </w:p>
    <w:p w14:paraId="334DD732">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0.5</w:t>
      </w:r>
    </w:p>
    <w:p w14:paraId="4C4570E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F0942A9">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23.00ml</w:t>
      </w:r>
    </w:p>
    <w:p w14:paraId="414F00B8">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21.50ml</w:t>
      </w:r>
    </w:p>
    <w:p w14:paraId="0EDB7CF2">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H</w:t>
      </w:r>
      <w:r>
        <w:rPr>
          <w:rFonts w:ascii="Times New Roman" w:hAnsi="Times New Roman" w:cs="Times New Roman"/>
          <w:sz w:val="24"/>
          <w:szCs w:val="24"/>
          <w:vertAlign w:val="subscript"/>
        </w:rPr>
        <w:t>2</w:t>
      </w:r>
      <w:r>
        <w:rPr>
          <w:rFonts w:ascii="Times New Roman" w:hAnsi="Times New Roman" w:cs="Times New Roman"/>
          <w:sz w:val="24"/>
          <w:szCs w:val="24"/>
        </w:rPr>
        <w:t>SO4</w:t>
      </w:r>
      <w:r>
        <w:rPr>
          <w:rFonts w:ascii="Times New Roman" w:hAnsi="Times New Roman" w:cs="Times New Roman"/>
          <w:sz w:val="24"/>
          <w:szCs w:val="24"/>
          <w:vertAlign w:val="subscript"/>
        </w:rPr>
        <w:t xml:space="preserve"> </w:t>
      </w:r>
      <w:r>
        <w:rPr>
          <w:rFonts w:ascii="Times New Roman" w:hAnsi="Times New Roman" w:cs="Times New Roman"/>
          <w:sz w:val="24"/>
          <w:szCs w:val="24"/>
        </w:rPr>
        <w:t>= molarity Of Sulfuric acid = 0.05M</w:t>
      </w:r>
    </w:p>
    <w:p w14:paraId="15550B2F">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0F747DB">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71E59F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 = </w:t>
      </w:r>
      <w:r>
        <w:rPr>
          <w:rFonts w:ascii="Times New Roman" w:hAnsi="Times New Roman" w:cs="Times New Roman"/>
          <w:sz w:val="24"/>
          <w:szCs w:val="24"/>
          <w:u w:val="single"/>
        </w:rPr>
        <w:t>40.01 x (23.00 – 21.50) x 0.05</w:t>
      </w:r>
    </w:p>
    <w:p w14:paraId="50C620F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60.01mgNaOH/gOil</w:t>
      </w:r>
    </w:p>
    <w:p w14:paraId="7B034D7A">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4. Ester value =</w:t>
      </w:r>
      <w:r>
        <w:rPr>
          <w:rFonts w:ascii="Times New Roman" w:hAnsi="Times New Roman" w:cs="Times New Roman"/>
          <w:color w:val="000000" w:themeColor="text1"/>
          <w:sz w:val="24"/>
          <w:szCs w:val="24"/>
          <w14:textFill>
            <w14:solidFill>
              <w14:schemeClr w14:val="tx1"/>
            </w14:solidFill>
          </w14:textFill>
        </w:rPr>
        <w:t xml:space="preserve"> Saponification value – Acid value</w:t>
      </w:r>
    </w:p>
    <w:p w14:paraId="63E97B90">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60.01 – 21.61 = 38.40mgNaOH/gOil</w:t>
      </w:r>
    </w:p>
    <w:p w14:paraId="3575296F">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5</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Iodine Value (IV)</w:t>
      </w:r>
    </w:p>
    <w:p w14:paraId="13CE51A4">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Iodine Value = </w:t>
      </w:r>
      <w:r>
        <w:rPr>
          <w:rFonts w:ascii="Times New Roman" w:hAnsi="Times New Roman" w:cs="Times New Roman"/>
          <w:color w:val="000000" w:themeColor="text1"/>
          <w:sz w:val="24"/>
          <w:szCs w:val="24"/>
          <w:u w:val="single"/>
          <w14:textFill>
            <w14:solidFill>
              <w14:schemeClr w14:val="tx1"/>
            </w14:solidFill>
          </w14:textFill>
        </w:rPr>
        <w:t xml:space="preserve">126.90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Molarity of thiosulphate</w:t>
      </w:r>
    </w:p>
    <w:p w14:paraId="6D1EBB78">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10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Weight of sample</w:t>
      </w:r>
    </w:p>
    <w:p w14:paraId="6F8B351D">
      <w:pPr>
        <w:pStyle w:val="20"/>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4A8193D1">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30.20ml</w:t>
      </w:r>
    </w:p>
    <w:p w14:paraId="6810A38C">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2.70ml</w:t>
      </w:r>
    </w:p>
    <w:p w14:paraId="615F1DE7">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190B2447">
      <w:pPr>
        <w:pStyle w:val="20"/>
        <w:numPr>
          <w:ilvl w:val="0"/>
          <w:numId w:val="7"/>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15F28468">
      <w:pPr>
        <w:spacing w:line="360" w:lineRule="auto"/>
        <w:rPr>
          <w:rFonts w:ascii="Times New Roman" w:hAnsi="Times New Roman" w:cs="Times New Roman"/>
          <w:sz w:val="24"/>
          <w:szCs w:val="24"/>
        </w:rPr>
      </w:pPr>
      <w:r>
        <w:rPr>
          <w:rFonts w:ascii="Times New Roman" w:hAnsi="Times New Roman" w:cs="Times New Roman"/>
          <w:sz w:val="24"/>
          <w:szCs w:val="24"/>
        </w:rPr>
        <w:t xml:space="preserve">IV = </w:t>
      </w:r>
      <w:r>
        <w:rPr>
          <w:rFonts w:ascii="Times New Roman" w:hAnsi="Times New Roman" w:cs="Times New Roman"/>
          <w:sz w:val="24"/>
          <w:szCs w:val="24"/>
          <w:u w:val="single"/>
        </w:rPr>
        <w:t>126.90 x (30.20 – 2.70) x 0.1</w:t>
      </w:r>
    </w:p>
    <w:p w14:paraId="5ABA264D">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 x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69.54mEquivI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0E144B3D">
      <w:pPr>
        <w:pStyle w:val="4"/>
        <w:spacing w:line="360" w:lineRule="auto"/>
        <w:rPr>
          <w:rStyle w:val="12"/>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6</w:t>
      </w:r>
      <w:r>
        <w:rPr>
          <w:rFonts w:ascii="Times New Roman" w:hAnsi="Times New Roman" w:cs="Times New Roman"/>
          <w:i w:val="0"/>
          <w:iCs w:val="0"/>
          <w:color w:val="auto"/>
          <w:sz w:val="24"/>
          <w:szCs w:val="24"/>
        </w:rPr>
        <w:t xml:space="preserve">. </w:t>
      </w:r>
      <w:r>
        <w:rPr>
          <w:rStyle w:val="12"/>
          <w:rFonts w:ascii="Times New Roman" w:hAnsi="Times New Roman" w:cs="Times New Roman"/>
          <w:i w:val="0"/>
          <w:iCs w:val="0"/>
          <w:color w:val="auto"/>
          <w:sz w:val="24"/>
          <w:szCs w:val="24"/>
        </w:rPr>
        <w:t>Peroxide Value (PV)</w:t>
      </w:r>
    </w:p>
    <w:p w14:paraId="6806B3B8">
      <w:pPr>
        <w:spacing w:after="0" w:line="360" w:lineRule="auto"/>
        <w:ind w:left="36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Peroxide value = </w:t>
      </w:r>
      <w:r>
        <w:rPr>
          <w:rFonts w:ascii="Times New Roman" w:hAnsi="Times New Roman" w:cs="Times New Roman"/>
          <w:color w:val="000000" w:themeColor="text1"/>
          <w:sz w:val="24"/>
          <w:szCs w:val="24"/>
          <w:u w:val="single"/>
          <w14:textFill>
            <w14:solidFill>
              <w14:schemeClr w14:val="tx1"/>
            </w14:solidFill>
          </w14:textFill>
        </w:rPr>
        <w:t xml:space="preserve">1000 </w:t>
      </w:r>
      <w:r>
        <w:rPr>
          <w:rFonts w:ascii="Times New Roman" w:hAnsi="Times New Roman" w:cs="Times New Roman"/>
          <w:b/>
          <w:bCs/>
          <w:color w:val="000000" w:themeColor="text1"/>
          <w:sz w:val="24"/>
          <w:szCs w:val="24"/>
          <w:u w:val="single"/>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(V</w:t>
      </w:r>
      <w:r>
        <w:rPr>
          <w:rFonts w:ascii="Times New Roman" w:hAnsi="Times New Roman" w:cs="Times New Roman"/>
          <w:color w:val="000000" w:themeColor="text1"/>
          <w:sz w:val="24"/>
          <w:szCs w:val="24"/>
          <w:u w:val="single"/>
          <w:vertAlign w:val="subscript"/>
          <w14:textFill>
            <w14:solidFill>
              <w14:schemeClr w14:val="tx1"/>
            </w14:solidFill>
          </w14:textFill>
        </w:rPr>
        <w:t>T</w:t>
      </w:r>
      <w:r>
        <w:rPr>
          <w:rFonts w:ascii="Times New Roman" w:hAnsi="Times New Roman" w:cs="Times New Roman"/>
          <w:color w:val="000000" w:themeColor="text1"/>
          <w:sz w:val="24"/>
          <w:szCs w:val="24"/>
          <w:u w:val="single"/>
          <w14:textFill>
            <w14:solidFill>
              <w14:schemeClr w14:val="tx1"/>
            </w14:solidFill>
          </w14:textFill>
        </w:rPr>
        <w:t xml:space="preserve"> – V</w:t>
      </w:r>
      <w:r>
        <w:rPr>
          <w:rFonts w:ascii="Times New Roman" w:hAnsi="Times New Roman" w:cs="Times New Roman"/>
          <w:color w:val="000000" w:themeColor="text1"/>
          <w:sz w:val="24"/>
          <w:szCs w:val="24"/>
          <w:u w:val="single"/>
          <w:vertAlign w:val="subscript"/>
          <w14:textFill>
            <w14:solidFill>
              <w14:schemeClr w14:val="tx1"/>
            </w14:solidFill>
          </w14:textFill>
        </w:rPr>
        <w:t>B</w:t>
      </w:r>
      <w:r>
        <w:rPr>
          <w:rFonts w:ascii="Times New Roman" w:hAnsi="Times New Roman" w:cs="Times New Roman"/>
          <w:color w:val="000000" w:themeColor="text1"/>
          <w:sz w:val="24"/>
          <w:szCs w:val="24"/>
          <w:u w:val="single"/>
          <w14:textFill>
            <w14:solidFill>
              <w14:schemeClr w14:val="tx1"/>
            </w14:solidFill>
          </w14:textFill>
        </w:rPr>
        <w:t>) × M Na</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S</w:t>
      </w:r>
      <w:r>
        <w:rPr>
          <w:rFonts w:ascii="Times New Roman" w:hAnsi="Times New Roman" w:cs="Times New Roman"/>
          <w:color w:val="000000" w:themeColor="text1"/>
          <w:sz w:val="24"/>
          <w:szCs w:val="24"/>
          <w:u w:val="single"/>
          <w:vertAlign w:val="subscript"/>
          <w14:textFill>
            <w14:solidFill>
              <w14:schemeClr w14:val="tx1"/>
            </w14:solidFill>
          </w14:textFill>
        </w:rPr>
        <w:t>2</w:t>
      </w:r>
      <w:r>
        <w:rPr>
          <w:rFonts w:ascii="Times New Roman" w:hAnsi="Times New Roman" w:cs="Times New Roman"/>
          <w:color w:val="000000" w:themeColor="text1"/>
          <w:sz w:val="24"/>
          <w:szCs w:val="24"/>
          <w:u w:val="single"/>
          <w14:textFill>
            <w14:solidFill>
              <w14:schemeClr w14:val="tx1"/>
            </w14:solidFill>
          </w14:textFill>
        </w:rPr>
        <w:t>O</w:t>
      </w:r>
      <w:r>
        <w:rPr>
          <w:rFonts w:ascii="Times New Roman" w:hAnsi="Times New Roman" w:cs="Times New Roman"/>
          <w:color w:val="000000" w:themeColor="text1"/>
          <w:sz w:val="24"/>
          <w:szCs w:val="24"/>
          <w:u w:val="single"/>
          <w:vertAlign w:val="subscript"/>
          <w14:textFill>
            <w14:solidFill>
              <w14:schemeClr w14:val="tx1"/>
            </w14:solidFill>
          </w14:textFill>
        </w:rPr>
        <w:t>3</w:t>
      </w:r>
    </w:p>
    <w:p w14:paraId="6429922D">
      <w:pPr>
        <w:pStyle w:val="20"/>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Weight of sample</w:t>
      </w:r>
    </w:p>
    <w:p w14:paraId="214BEDC7">
      <w:pPr>
        <w:pStyle w:val="20"/>
        <w:spacing w:after="0" w:line="360" w:lineRule="auto"/>
        <w:ind w:left="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78EDB88A">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B</w:t>
      </w:r>
      <w:r>
        <w:rPr>
          <w:rFonts w:ascii="Times New Roman" w:hAnsi="Times New Roman" w:cs="Times New Roman"/>
          <w:sz w:val="24"/>
          <w:szCs w:val="24"/>
        </w:rPr>
        <w:t xml:space="preserve"> = volume of blank = 15.50ml</w:t>
      </w:r>
    </w:p>
    <w:p w14:paraId="52CD90C0">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T</w:t>
      </w:r>
      <w:r>
        <w:rPr>
          <w:rFonts w:ascii="Times New Roman" w:hAnsi="Times New Roman" w:cs="Times New Roman"/>
          <w:sz w:val="24"/>
          <w:szCs w:val="24"/>
        </w:rPr>
        <w:t xml:space="preserve"> = volume of test = 3.90ml</w:t>
      </w:r>
    </w:p>
    <w:p w14:paraId="3336F117">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 xml:space="preserve">3 </w:t>
      </w:r>
      <w:r>
        <w:rPr>
          <w:rFonts w:ascii="Times New Roman" w:hAnsi="Times New Roman" w:cs="Times New Roman"/>
          <w:sz w:val="24"/>
          <w:szCs w:val="24"/>
        </w:rPr>
        <w:t>= molarity of sodium thiosulphate = 0.01M</w:t>
      </w:r>
    </w:p>
    <w:p w14:paraId="5DCBC2F0">
      <w:pPr>
        <w:pStyle w:val="20"/>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C2DCBE8">
      <w:p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PV = </w:t>
      </w:r>
      <w:r>
        <w:rPr>
          <w:rFonts w:ascii="Times New Roman" w:hAnsi="Times New Roman" w:cs="Times New Roman"/>
          <w:sz w:val="24"/>
          <w:szCs w:val="24"/>
          <w:u w:val="single"/>
        </w:rPr>
        <w:t>1000 x (3.90 – 15.50) x 0.01</w:t>
      </w:r>
    </w:p>
    <w:p w14:paraId="7C1E9A39">
      <w:pPr>
        <w:spacing w:line="360" w:lineRule="auto"/>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232.0mEquivI</w:t>
      </w:r>
      <w:r>
        <w:rPr>
          <w:rFonts w:ascii="Times New Roman" w:hAnsi="Times New Roman" w:cs="Times New Roman"/>
          <w:sz w:val="24"/>
          <w:szCs w:val="24"/>
          <w:vertAlign w:val="subscript"/>
        </w:rPr>
        <w:t>2</w:t>
      </w:r>
      <w:r>
        <w:rPr>
          <w:rFonts w:ascii="Times New Roman" w:hAnsi="Times New Roman" w:cs="Times New Roman"/>
          <w:sz w:val="24"/>
          <w:szCs w:val="24"/>
        </w:rPr>
        <w:t>/gOil</w:t>
      </w:r>
    </w:p>
    <w:p w14:paraId="07BE80F3">
      <w:pPr>
        <w:pStyle w:val="3"/>
        <w:spacing w:line="360" w:lineRule="auto"/>
        <w:rPr>
          <w:rStyle w:val="12"/>
          <w:b/>
          <w:bCs/>
          <w:sz w:val="24"/>
          <w:szCs w:val="24"/>
        </w:rPr>
      </w:pPr>
      <w:r>
        <w:rPr>
          <w:rStyle w:val="12"/>
          <w:b/>
          <w:bCs/>
          <w:sz w:val="24"/>
          <w:szCs w:val="24"/>
        </w:rPr>
        <w:t>7. Carotenoid Content Calculation</w:t>
      </w:r>
    </w:p>
    <w:p w14:paraId="4E602F57">
      <w:pPr>
        <w:pStyle w:val="3"/>
        <w:spacing w:line="360" w:lineRule="auto"/>
        <w:rPr>
          <w:sz w:val="24"/>
          <w:szCs w:val="24"/>
        </w:rPr>
      </w:pPr>
      <w:r>
        <w:rPr>
          <w:sz w:val="24"/>
          <w:szCs w:val="24"/>
        </w:rPr>
        <w:t xml:space="preserve">β-carotene(mg/ml) = </w:t>
      </w:r>
      <w:r>
        <w:rPr>
          <w:sz w:val="24"/>
          <w:szCs w:val="24"/>
          <w:u w:val="single"/>
        </w:rPr>
        <w:t>0.126(A</w:t>
      </w:r>
      <w:r>
        <w:rPr>
          <w:sz w:val="24"/>
          <w:szCs w:val="24"/>
          <w:u w:val="single"/>
          <w:vertAlign w:val="subscript"/>
        </w:rPr>
        <w:t>663</w:t>
      </w:r>
      <w:r>
        <w:rPr>
          <w:sz w:val="24"/>
          <w:szCs w:val="24"/>
          <w:u w:val="single"/>
        </w:rPr>
        <w:t>) – 0.304(A</w:t>
      </w:r>
      <w:r>
        <w:rPr>
          <w:sz w:val="24"/>
          <w:szCs w:val="24"/>
          <w:u w:val="single"/>
          <w:vertAlign w:val="subscript"/>
        </w:rPr>
        <w:t>505</w:t>
      </w:r>
      <w:r>
        <w:rPr>
          <w:sz w:val="24"/>
          <w:szCs w:val="24"/>
          <w:u w:val="single"/>
        </w:rPr>
        <w:t>) + 0.450(A</w:t>
      </w:r>
      <w:r>
        <w:rPr>
          <w:sz w:val="24"/>
          <w:szCs w:val="24"/>
          <w:u w:val="single"/>
          <w:vertAlign w:val="subscript"/>
        </w:rPr>
        <w:t>453</w:t>
      </w:r>
      <w:r>
        <w:rPr>
          <w:sz w:val="24"/>
          <w:szCs w:val="24"/>
          <w:u w:val="single"/>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10</w:t>
      </w:r>
    </w:p>
    <w:p w14:paraId="5B04FA1D">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68FC1EBF">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0.259nm</w:t>
      </w:r>
    </w:p>
    <w:p w14:paraId="2B347B07">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-0.182nm</w:t>
      </w:r>
    </w:p>
    <w:p w14:paraId="176075C4">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0.218nm</w:t>
      </w:r>
    </w:p>
    <w:p w14:paraId="1D14311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β-</w:t>
      </w:r>
      <w:r>
        <w:rPr>
          <w:rFonts w:ascii="Times New Roman" w:hAnsi="Times New Roman" w:cs="Times New Roman"/>
          <w:sz w:val="24"/>
          <w:szCs w:val="24"/>
        </w:rPr>
        <w:t xml:space="preserve">carotene = </w:t>
      </w:r>
      <w:r>
        <w:rPr>
          <w:rFonts w:ascii="Times New Roman" w:hAnsi="Times New Roman" w:cs="Times New Roman"/>
          <w:sz w:val="24"/>
          <w:szCs w:val="24"/>
          <w:u w:val="single"/>
        </w:rPr>
        <w:t>0.126 (0.259) – 0.304 (-0.182) + 0.450 (0.218)</w:t>
      </w:r>
    </w:p>
    <w:p w14:paraId="01C9D3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0.0186mg/ml</w:t>
      </w:r>
    </w:p>
    <w:p w14:paraId="757FC5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Pr>
          <w:rFonts w:ascii="Times New Roman" w:hAnsi="Times New Roman" w:cs="Times New Roman"/>
          <w:sz w:val="24"/>
          <w:szCs w:val="24"/>
          <w:u w:val="single"/>
        </w:rPr>
        <w:t>0.458(A</w:t>
      </w:r>
      <w:r>
        <w:rPr>
          <w:rFonts w:ascii="Times New Roman" w:hAnsi="Times New Roman" w:cs="Times New Roman"/>
          <w:sz w:val="24"/>
          <w:szCs w:val="24"/>
          <w:u w:val="single"/>
          <w:vertAlign w:val="subscript"/>
        </w:rPr>
        <w:t>663</w:t>
      </w:r>
      <w:r>
        <w:rPr>
          <w:rFonts w:ascii="Times New Roman" w:hAnsi="Times New Roman" w:cs="Times New Roman"/>
          <w:sz w:val="24"/>
          <w:szCs w:val="24"/>
          <w:u w:val="single"/>
        </w:rPr>
        <w:t>) – 0.372(A</w:t>
      </w:r>
      <w:r>
        <w:rPr>
          <w:rFonts w:ascii="Times New Roman" w:hAnsi="Times New Roman" w:cs="Times New Roman"/>
          <w:sz w:val="24"/>
          <w:szCs w:val="24"/>
          <w:u w:val="single"/>
          <w:vertAlign w:val="subscript"/>
        </w:rPr>
        <w:t>505</w:t>
      </w:r>
      <w:r>
        <w:rPr>
          <w:rFonts w:ascii="Times New Roman" w:hAnsi="Times New Roman" w:cs="Times New Roman"/>
          <w:sz w:val="24"/>
          <w:szCs w:val="24"/>
          <w:u w:val="single"/>
        </w:rPr>
        <w:t>) – 0.0806(A</w:t>
      </w:r>
      <w:r>
        <w:rPr>
          <w:rFonts w:ascii="Times New Roman" w:hAnsi="Times New Roman" w:cs="Times New Roman"/>
          <w:sz w:val="24"/>
          <w:szCs w:val="24"/>
          <w:u w:val="single"/>
          <w:vertAlign w:val="subscript"/>
        </w:rPr>
        <w:t>453</w:t>
      </w:r>
      <w:r>
        <w:rPr>
          <w:rFonts w:ascii="Times New Roman" w:hAnsi="Times New Roman" w:cs="Times New Roman"/>
          <w:sz w:val="24"/>
          <w:szCs w:val="24"/>
          <w:u w:val="single"/>
        </w:rPr>
        <w:t>)</w:t>
      </w:r>
    </w:p>
    <w:p w14:paraId="41C02556">
      <w:pPr>
        <w:spacing w:after="0" w:line="480" w:lineRule="auto"/>
        <w:ind w:left="2880" w:firstLine="720"/>
        <w:jc w:val="both"/>
        <w:rPr>
          <w:rFonts w:ascii="Times New Roman" w:hAnsi="Times New Roman" w:cs="Times New Roman"/>
          <w:sz w:val="24"/>
          <w:szCs w:val="24"/>
        </w:rPr>
      </w:pPr>
      <w:r>
        <w:rPr>
          <w:rFonts w:ascii="Times New Roman" w:hAnsi="Times New Roman" w:cs="Times New Roman"/>
          <w:sz w:val="24"/>
          <w:szCs w:val="24"/>
        </w:rPr>
        <w:t>10</w:t>
      </w:r>
    </w:p>
    <w:p w14:paraId="0365277E">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5AA8B8AE">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0.259nm</w:t>
      </w:r>
    </w:p>
    <w:p w14:paraId="15C1D5FD">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-0.182nm</w:t>
      </w:r>
    </w:p>
    <w:p w14:paraId="483AF82B">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0.218nm</w:t>
      </w:r>
    </w:p>
    <w:p w14:paraId="194F5860">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Lycopene = </w:t>
      </w:r>
      <w:r>
        <w:rPr>
          <w:rFonts w:ascii="Times New Roman" w:hAnsi="Times New Roman" w:cs="Times New Roman"/>
          <w:color w:val="000000" w:themeColor="text1"/>
          <w:sz w:val="24"/>
          <w:szCs w:val="24"/>
          <w:u w:val="single"/>
          <w14:textFill>
            <w14:solidFill>
              <w14:schemeClr w14:val="tx1"/>
            </w14:solidFill>
          </w14:textFill>
        </w:rPr>
        <w:t>0.458 (0.259) – 0.372 (-0.182) – 0.0806 (0.218)</w:t>
      </w:r>
    </w:p>
    <w:p w14:paraId="6A9D6D74">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0.0169mg/ml</w:t>
      </w:r>
    </w:p>
    <w:p w14:paraId="347CFD71">
      <w:pPr>
        <w:pStyle w:val="3"/>
        <w:spacing w:line="480" w:lineRule="auto"/>
        <w:rPr>
          <w:sz w:val="24"/>
          <w:szCs w:val="24"/>
        </w:rPr>
      </w:pPr>
      <w:r>
        <w:rPr>
          <w:rStyle w:val="12"/>
          <w:b/>
          <w:bCs/>
          <w:sz w:val="24"/>
          <w:szCs w:val="24"/>
        </w:rPr>
        <w:t>8. DPPH Radical Scavenging Activity</w:t>
      </w:r>
    </w:p>
    <w:p w14:paraId="7D89835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(control) = (</w:t>
      </w:r>
      <w:r>
        <w:rPr>
          <w:rFonts w:ascii="Times New Roman" w:hAnsi="Times New Roman" w:cs="Times New Roman"/>
          <w:color w:val="000000" w:themeColor="text1"/>
          <w:sz w:val="24"/>
          <w:szCs w:val="24"/>
          <w:u w:val="single"/>
          <w14:textFill>
            <w14:solidFill>
              <w14:schemeClr w14:val="tx1"/>
            </w14:solidFill>
          </w14:textFill>
        </w:rPr>
        <w:t>Ab</w:t>
      </w:r>
      <w:r>
        <w:rPr>
          <w:rFonts w:ascii="Times New Roman" w:hAnsi="Times New Roman" w:cs="Times New Roman"/>
          <w:color w:val="000000" w:themeColor="text1"/>
          <w:sz w:val="24"/>
          <w:szCs w:val="24"/>
          <w:u w:val="single"/>
          <w:vertAlign w:val="subscript"/>
          <w14:textFill>
            <w14:solidFill>
              <w14:schemeClr w14:val="tx1"/>
            </w14:solidFill>
          </w14:textFill>
        </w:rPr>
        <w:t xml:space="preserve"> </w:t>
      </w:r>
      <w:r>
        <w:rPr>
          <w:rFonts w:ascii="Times New Roman" w:hAnsi="Times New Roman" w:cs="Times New Roman"/>
          <w:color w:val="000000" w:themeColor="text1"/>
          <w:sz w:val="24"/>
          <w:szCs w:val="24"/>
          <w:u w:val="single"/>
          <w14:textFill>
            <w14:solidFill>
              <w14:schemeClr w14:val="tx1"/>
            </w14:solidFill>
          </w14:textFill>
        </w:rPr>
        <w:t>–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Ab </w:t>
      </w:r>
    </w:p>
    <w:p w14:paraId="1F813338">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3A96BA3E">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w:t>
      </w:r>
      <w:r>
        <w:rPr>
          <w:rFonts w:ascii="Times New Roman" w:hAnsi="Times New Roman" w:cs="Times New Roman"/>
          <w:color w:val="000000" w:themeColor="text1"/>
          <w:sz w:val="24"/>
          <w:szCs w:val="24"/>
          <w:vertAlign w:val="subscript"/>
          <w14:textFill>
            <w14:solidFill>
              <w14:schemeClr w14:val="tx1"/>
            </w14:solidFill>
          </w14:textFill>
        </w:rPr>
        <w:t>control</w:t>
      </w:r>
      <w:r>
        <w:rPr>
          <w:rFonts w:ascii="Times New Roman" w:hAnsi="Times New Roman" w:cs="Times New Roman"/>
          <w:color w:val="000000" w:themeColor="text1"/>
          <w:sz w:val="24"/>
          <w:szCs w:val="24"/>
          <w14:textFill>
            <w14:solidFill>
              <w14:schemeClr w14:val="tx1"/>
            </w14:solidFill>
          </w14:textFill>
        </w:rPr>
        <w:t xml:space="preserve"> = absorbance of control = 2.85</w:t>
      </w:r>
    </w:p>
    <w:p w14:paraId="4373C0A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 = 1.63</w:t>
      </w:r>
    </w:p>
    <w:p w14:paraId="4AB1ADB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 DPPH antiradical activity = </w:t>
      </w:r>
      <w:r>
        <w:rPr>
          <w:rFonts w:ascii="Times New Roman" w:hAnsi="Times New Roman" w:cs="Times New Roman"/>
          <w:color w:val="000000" w:themeColor="text1"/>
          <w:sz w:val="24"/>
          <w:szCs w:val="24"/>
          <w:u w:val="single"/>
          <w14:textFill>
            <w14:solidFill>
              <w14:schemeClr w14:val="tx1"/>
            </w14:solidFill>
          </w14:textFill>
        </w:rPr>
        <w:t>(2.85 – 1.63)</w:t>
      </w:r>
      <w:r>
        <w:rPr>
          <w:rFonts w:ascii="Times New Roman" w:hAnsi="Times New Roman" w:cs="Times New Roman"/>
          <w:color w:val="000000" w:themeColor="text1"/>
          <w:sz w:val="24"/>
          <w:szCs w:val="24"/>
          <w14:textFill>
            <w14:solidFill>
              <w14:schemeClr w14:val="tx1"/>
            </w14:solidFill>
          </w14:textFill>
        </w:rPr>
        <w:t xml:space="preserve"> x 100</w:t>
      </w:r>
    </w:p>
    <w:p w14:paraId="0EC88294">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2.85</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42.84%</w:t>
      </w:r>
    </w:p>
    <w:p w14:paraId="4DEC9F5D">
      <w:pPr>
        <w:spacing w:after="0" w:line="360" w:lineRule="auto"/>
        <w:jc w:val="both"/>
        <w:rPr>
          <w:rFonts w:ascii="Times New Roman" w:hAnsi="Times New Roman" w:cs="Times New Roman"/>
          <w:color w:val="000000" w:themeColor="text1"/>
          <w:sz w:val="24"/>
          <w:szCs w:val="24"/>
          <w14:textFill>
            <w14:solidFill>
              <w14:schemeClr w14:val="tx1"/>
            </w14:solidFill>
          </w14:textFill>
        </w:rPr>
      </w:pPr>
    </w:p>
    <w:p w14:paraId="1D630FEB">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Ab – Aa)</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b/>
          <w:bCs/>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100</w:t>
      </w:r>
    </w:p>
    <w:p w14:paraId="7C665F31">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 Ab </w:t>
      </w:r>
    </w:p>
    <w:p w14:paraId="7E5EDD2C">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Where:</w:t>
      </w:r>
    </w:p>
    <w:p w14:paraId="1857E34A">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Ab </w:t>
      </w:r>
      <w:r>
        <w:rPr>
          <w:rFonts w:ascii="Times New Roman" w:hAnsi="Times New Roman" w:cs="Times New Roman"/>
          <w:color w:val="000000" w:themeColor="text1"/>
          <w:sz w:val="24"/>
          <w:szCs w:val="24"/>
          <w:vertAlign w:val="subscript"/>
          <w14:textFill>
            <w14:solidFill>
              <w14:schemeClr w14:val="tx1"/>
            </w14:solidFill>
          </w14:textFill>
        </w:rPr>
        <w:t>standard</w:t>
      </w:r>
      <w:r>
        <w:rPr>
          <w:rFonts w:ascii="Times New Roman" w:hAnsi="Times New Roman" w:cs="Times New Roman"/>
          <w:color w:val="000000" w:themeColor="text1"/>
          <w:sz w:val="24"/>
          <w:szCs w:val="24"/>
          <w14:textFill>
            <w14:solidFill>
              <w14:schemeClr w14:val="tx1"/>
            </w14:solidFill>
          </w14:textFill>
        </w:rPr>
        <w:t xml:space="preserve"> = absorbance of standard</w:t>
      </w:r>
    </w:p>
    <w:p w14:paraId="7EB73C8F">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Aa = absorbance of sample</w:t>
      </w:r>
    </w:p>
    <w:p w14:paraId="1878391D">
      <w:pPr>
        <w:spacing w:after="0" w:line="48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DPPH antiradical activity (standard) = (</w:t>
      </w:r>
      <w:r>
        <w:rPr>
          <w:rFonts w:ascii="Times New Roman" w:hAnsi="Times New Roman" w:cs="Times New Roman"/>
          <w:color w:val="000000" w:themeColor="text1"/>
          <w:sz w:val="24"/>
          <w:szCs w:val="24"/>
          <w:u w:val="single"/>
          <w14:textFill>
            <w14:solidFill>
              <w14:schemeClr w14:val="tx1"/>
            </w14:solidFill>
          </w14:textFill>
        </w:rPr>
        <w:t>1.308 – 1.63)</w:t>
      </w:r>
      <w:r>
        <w:rPr>
          <w:rFonts w:ascii="Times New Roman" w:hAnsi="Times New Roman" w:cs="Times New Roman"/>
          <w:color w:val="000000" w:themeColor="text1"/>
          <w:sz w:val="24"/>
          <w:szCs w:val="24"/>
          <w14:textFill>
            <w14:solidFill>
              <w14:schemeClr w14:val="tx1"/>
            </w14:solidFill>
          </w14:textFill>
        </w:rPr>
        <w:t xml:space="preserve"> x 100</w:t>
      </w:r>
    </w:p>
    <w:p w14:paraId="60C4A30F">
      <w:pPr>
        <w:spacing w:after="0" w:line="480" w:lineRule="auto"/>
        <w:rPr>
          <w:rStyle w:val="12"/>
          <w:rFonts w:ascii="Times New Roman" w:hAnsi="Times New Roman" w:cs="Times New Roman"/>
          <w:b w:val="0"/>
          <w:bCs w:val="0"/>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1.308</w:t>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-24.54%</w:t>
      </w:r>
    </w:p>
    <w:p w14:paraId="5733C2F5">
      <w:pPr>
        <w:pStyle w:val="3"/>
        <w:spacing w:line="480" w:lineRule="auto"/>
        <w:rPr>
          <w:sz w:val="24"/>
          <w:szCs w:val="24"/>
        </w:rPr>
      </w:pPr>
      <w:r>
        <w:rPr>
          <w:rStyle w:val="12"/>
          <w:b/>
          <w:bCs/>
          <w:sz w:val="24"/>
          <w:szCs w:val="24"/>
        </w:rPr>
        <w:t>9. Total Phenolic Content (TPC)</w:t>
      </w:r>
    </w:p>
    <w:p w14:paraId="37865D21">
      <w:pPr>
        <w:spacing w:line="480" w:lineRule="auto"/>
        <w:rPr>
          <w:rStyle w:val="21"/>
          <w:rFonts w:ascii="Times New Roman" w:hAnsi="Times New Roman" w:cs="Times New Roman"/>
          <w:sz w:val="24"/>
          <w:szCs w:val="24"/>
        </w:rPr>
      </w:pPr>
      <w:r>
        <w:rPr>
          <w:rStyle w:val="21"/>
          <w:rFonts w:ascii="Times New Roman" w:hAnsi="Times New Roman" w:cs="Times New Roman"/>
          <w:sz w:val="24"/>
          <w:szCs w:val="24"/>
        </w:rPr>
        <w:t>TPC (mg GAE/g) = C×VM</w:t>
      </w:r>
    </w:p>
    <w:p w14:paraId="3A75D69D">
      <w:pPr>
        <w:pStyle w:val="11"/>
        <w:numPr>
          <w:ilvl w:val="0"/>
          <w:numId w:val="17"/>
        </w:numPr>
        <w:spacing w:line="480" w:lineRule="auto"/>
      </w:pPr>
      <w:r>
        <w:t>V = volume of extract used = 0.5ml</w:t>
      </w:r>
    </w:p>
    <w:p w14:paraId="55B70E3D">
      <w:pPr>
        <w:pStyle w:val="11"/>
        <w:numPr>
          <w:ilvl w:val="0"/>
          <w:numId w:val="17"/>
        </w:numPr>
        <w:spacing w:line="480" w:lineRule="auto"/>
      </w:pPr>
      <w:r>
        <w:t>M = mass of sample = 1.09g</w:t>
      </w:r>
    </w:p>
    <w:p w14:paraId="1761B962">
      <w:pPr>
        <w:pStyle w:val="11"/>
        <w:numPr>
          <w:ilvl w:val="0"/>
          <w:numId w:val="17"/>
        </w:numPr>
        <w:spacing w:line="480" w:lineRule="auto"/>
      </w:pPr>
      <w:r>
        <w:t>C = concentration from standard curve = 47.50</w:t>
      </w:r>
    </w:p>
    <w:p w14:paraId="6AAA25C1">
      <w:pPr>
        <w:spacing w:after="0" w:line="480" w:lineRule="auto"/>
        <w:rPr>
          <w:rStyle w:val="21"/>
          <w:rFonts w:ascii="Times New Roman" w:hAnsi="Times New Roman" w:cs="Times New Roman"/>
          <w:sz w:val="24"/>
          <w:szCs w:val="24"/>
        </w:rPr>
      </w:pPr>
      <w:r>
        <w:rPr>
          <w:rStyle w:val="21"/>
          <w:rFonts w:ascii="Times New Roman" w:hAnsi="Times New Roman" w:cs="Times New Roman"/>
          <w:sz w:val="24"/>
          <w:szCs w:val="24"/>
        </w:rPr>
        <w:t xml:space="preserve">TPC= 47.50 x </w:t>
      </w:r>
      <w:r>
        <w:rPr>
          <w:rStyle w:val="21"/>
          <w:rFonts w:ascii="Times New Roman" w:hAnsi="Times New Roman" w:cs="Times New Roman"/>
          <w:sz w:val="24"/>
          <w:szCs w:val="24"/>
          <w:u w:val="single"/>
        </w:rPr>
        <w:t xml:space="preserve">0.5 </w:t>
      </w:r>
    </w:p>
    <w:p w14:paraId="1BD9C66E">
      <w:pPr>
        <w:spacing w:after="0" w:line="480" w:lineRule="auto"/>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59264" behindDoc="0" locked="0" layoutInCell="1" allowOverlap="1">
                <wp:simplePos x="0" y="0"/>
                <wp:positionH relativeFrom="column">
                  <wp:posOffset>1562735</wp:posOffset>
                </wp:positionH>
                <wp:positionV relativeFrom="paragraph">
                  <wp:posOffset>244475</wp:posOffset>
                </wp:positionV>
                <wp:extent cx="1967230" cy="2105660"/>
                <wp:effectExtent l="0" t="0" r="14605" b="28575"/>
                <wp:wrapNone/>
                <wp:docPr id="7" name="Group 7"/>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4" name="Group 4"/>
                        <wpg:cNvGrpSpPr/>
                        <wpg:grpSpPr>
                          <a:xfrm>
                            <a:off x="0" y="147107"/>
                            <a:ext cx="1775637" cy="1533206"/>
                            <a:chOff x="0" y="147107"/>
                            <a:chExt cx="1775637" cy="1533206"/>
                          </a:xfrm>
                        </wpg:grpSpPr>
                        <wps:wsp>
                          <wps:cNvPr id="1" name="Straight Connector 1"/>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123.05pt;margin-top:19.25pt;height:165.8pt;width:154.9pt;z-index:251659264;mso-width-relative:page;mso-height-relative:page;" coordorigin="0,147107" coordsize="1775637,1533206" o:gfxdata="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9&#10;Hhue2wAAAAoBAAAPAAAAAAAAAAEAIAAAACIAAABkcnMvZG93bnJldi54bWxQSwECFAAUAAAACACH&#10;TuJAsyblqgUDAAC+DQAADgAAAAAAAAABACAAAAAqAQAAZHJzL2Uyb0RvYy54bWxQSwUGAAAAAAYA&#10;BgBZAQAAoQYAAAAA&#10;">
                <o:lock v:ext="edit" aspectratio="f"/>
                <v:group id="_x0000_s1026" o:spid="_x0000_s1026" o:spt="203" style="position:absolute;left:0;top:147107;height:1533206;width:1775637;" coordorigin="0,147107" coordsize="1775637,153320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147107;height:1532049;width:0;" filled="f" stroked="t" coordsize="21600,21600" o:gfxdata="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E/i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1679944;flip:x;height:369;width:1775637;" filled="f" stroked="t" coordsize="21600,21600" o:gfxdata="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TcpeK8AAAA&#10;2gAAAA8AAAAAAAAAAQAgAAAAIgAAAGRycy9kb3ducmV2LnhtbFBLAQIUABQAAAAIAIdO4kAzLwWe&#10;OwAAADkAAAAQAAAAAAAAAAEAIAAAAAsBAABkcnMvc2hhcGV4bWwueG1sUEsFBgAAAAAGAAYAWwEA&#10;ALUDAAAAAA==&#10;">
                    <v:fill on="f" focussize="0,0"/>
                    <v:stroke weight="0.5pt" color="#000000 [3213]" miterlimit="8" joinstyle="miter"/>
                    <v:imagedata o:title=""/>
                    <o:lock v:ext="edit" aspectratio="f"/>
                  </v:line>
                  <v:line id="_x0000_s1026" o:spid="_x0000_s1026" o:spt="20" style="position:absolute;left:0;top:584791;flip:x;height:1094710;width:1063256;" filled="f" stroked="t" coordsize="21600,21600" o:gfxdata="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AB5vQAA&#10;ANo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group>
                <v:line id="_x0000_s1026" o:spid="_x0000_s1026" o:spt="20" style="position:absolute;left:0;top:1063256;height:0;width:541655;" filled="f" stroked="t" coordsize="21600,21600" o:gfxdata="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rwsnbsAAADa&#10;AAAADwAAAAAAAAABACAAAAAiAAAAZHJzL2Rvd25yZXYueG1sUEsBAhQAFAAAAAgAh07iQDMvBZ47&#10;AAAAOQAAABAAAAAAAAAAAQAgAAAACgEAAGRycy9zaGFwZXhtbC54bWxQSwUGAAAAAAYABgBbAQAA&#10;tAMAAAAA&#10;">
                  <v:fill on="f" focussize="0,0"/>
                  <v:stroke weight="0.5pt" color="#000000 [3213]" miterlimit="8" joinstyle="miter" dashstyle="3 1"/>
                  <v:imagedata o:title=""/>
                  <o:lock v:ext="edit" aspectratio="f"/>
                </v:line>
                <v:line id="_x0000_s1026" o:spid="_x0000_s1026" o:spt="20" style="position:absolute;left:595423;top:1063256;height:616570;width:0;" filled="f" stroked="t" coordsize="21600,21600" o:gfxdata="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m6y6rgAAADaAAAA&#10;DwAAAAAAAAABACAAAAAiAAAAZHJzL2Rvd25yZXYueG1sUEsBAhQAFAAAAAgAh07iQDMvBZ47AAAA&#10;OQAAABAAAAAAAAAAAQAgAAAABwEAAGRycy9zaGFwZXhtbC54bWxQSwUGAAAAAAYABgBbAQAAsQMA&#10;AAAA&#10;">
                  <v:fill on="f" focussize="0,0"/>
                  <v:stroke weight="0.5pt" color="#000000 [3213]" miterlimit="8" joinstyle="miter" dashstyle="3 1"/>
                  <v:imagedata o:title=""/>
                  <o:lock v:ext="edit" aspectratio="f"/>
                </v:line>
              </v:group>
            </w:pict>
          </mc:Fallback>
        </mc:AlternateContent>
      </w:r>
      <w:r>
        <w:rPr>
          <w:rStyle w:val="21"/>
          <w:rFonts w:ascii="Times New Roman" w:hAnsi="Times New Roman" w:cs="Times New Roman"/>
          <w:sz w:val="24"/>
          <w:szCs w:val="24"/>
        </w:rPr>
        <w:tab/>
      </w:r>
      <w:r>
        <w:rPr>
          <w:rStyle w:val="21"/>
          <w:rFonts w:ascii="Times New Roman" w:hAnsi="Times New Roman" w:cs="Times New Roman"/>
          <w:sz w:val="24"/>
          <w:szCs w:val="24"/>
        </w:rPr>
        <w:t xml:space="preserve">         1.09</w:t>
      </w:r>
      <w:r>
        <w:rPr>
          <w:rStyle w:val="21"/>
          <w:rFonts w:ascii="Times New Roman" w:hAnsi="Times New Roman" w:cs="Times New Roman"/>
          <w:sz w:val="24"/>
          <w:szCs w:val="24"/>
        </w:rPr>
        <w:tab/>
      </w:r>
      <w:r>
        <w:rPr>
          <w:rStyle w:val="21"/>
          <w:rFonts w:ascii="Times New Roman" w:hAnsi="Times New Roman" w:cs="Times New Roman"/>
          <w:sz w:val="24"/>
          <w:szCs w:val="24"/>
        </w:rPr>
        <w:tab/>
      </w:r>
      <w:r>
        <w:rPr>
          <w:rStyle w:val="21"/>
          <w:rFonts w:ascii="Times New Roman" w:hAnsi="Times New Roman" w:cs="Times New Roman"/>
          <w:sz w:val="24"/>
          <w:szCs w:val="24"/>
        </w:rPr>
        <w:t>= 21.79mgEquiv/g</w:t>
      </w:r>
    </w:p>
    <w:p w14:paraId="54C5DFA8">
      <w:pPr>
        <w:spacing w:line="480" w:lineRule="auto"/>
        <w:rPr>
          <w:rFonts w:ascii="Times New Roman" w:hAnsi="Times New Roman" w:cs="Times New Roman"/>
          <w:sz w:val="24"/>
          <w:szCs w:val="24"/>
        </w:rPr>
      </w:pPr>
    </w:p>
    <w:p w14:paraId="27B0959C">
      <w:pPr>
        <w:pStyle w:val="11"/>
        <w:spacing w:line="480" w:lineRule="auto"/>
        <w:ind w:left="1440" w:firstLine="720"/>
      </w:pPr>
      <w:r>
        <w:t>A</w:t>
      </w:r>
    </w:p>
    <w:p w14:paraId="36F84A3D">
      <w:pPr>
        <w:pStyle w:val="11"/>
        <w:spacing w:line="480" w:lineRule="auto"/>
        <w:ind w:left="1440"/>
      </w:pPr>
      <w:r>
        <w:t xml:space="preserve">      0.650</w:t>
      </w:r>
    </w:p>
    <w:p w14:paraId="6D28B0C5">
      <w:pPr>
        <w:pStyle w:val="11"/>
        <w:spacing w:line="480" w:lineRule="auto"/>
        <w:ind w:left="360" w:firstLine="360"/>
      </w:pPr>
    </w:p>
    <w:p w14:paraId="3F3E8E9E">
      <w:pPr>
        <w:pStyle w:val="11"/>
        <w:spacing w:line="480" w:lineRule="auto"/>
        <w:ind w:left="3240"/>
      </w:pPr>
      <w:r>
        <w:t xml:space="preserve"> 47.50</w:t>
      </w:r>
      <w:r>
        <w:tab/>
      </w:r>
      <w:r>
        <w:t>C</w:t>
      </w:r>
    </w:p>
    <w:p w14:paraId="3CDDCA44">
      <w:pPr>
        <w:pStyle w:val="11"/>
        <w:spacing w:line="480" w:lineRule="auto"/>
        <w:ind w:left="360"/>
      </w:pPr>
      <w:r>
        <w:t>Fig 1. Calibration curve showing Absorbance against Concentration of TPC (0.650 is the absorbance average of sample, while 47.50is the concentration obtained from standard curve)</w:t>
      </w:r>
    </w:p>
    <w:p w14:paraId="738970B3">
      <w:pPr>
        <w:rPr>
          <w:rFonts w:ascii="Times New Roman" w:hAnsi="Times New Roman" w:eastAsia="Times New Roman" w:cs="Times New Roman"/>
          <w:sz w:val="24"/>
          <w:szCs w:val="24"/>
        </w:rPr>
      </w:pPr>
      <w:r>
        <w:br w:type="page"/>
      </w:r>
    </w:p>
    <w:p w14:paraId="238C060F">
      <w:pPr>
        <w:pStyle w:val="11"/>
        <w:spacing w:line="480" w:lineRule="auto"/>
        <w:jc w:val="center"/>
      </w:pPr>
      <w:r>
        <w:rPr>
          <w:b/>
          <w:bCs/>
        </w:rPr>
        <w:t>REFERENCES</w:t>
      </w:r>
    </w:p>
    <w:p w14:paraId="2D8BA755">
      <w:pPr>
        <w:pStyle w:val="11"/>
        <w:spacing w:before="0" w:beforeAutospacing="0" w:after="0" w:afterAutospacing="0" w:line="360" w:lineRule="auto"/>
        <w:ind w:left="720" w:hanging="720"/>
        <w:jc w:val="both"/>
      </w:pPr>
      <w:r>
        <w:t xml:space="preserve">Akinoso, R., Aremu, A. K., &amp; Balogun, S. A. (2011). </w:t>
      </w:r>
      <w:r>
        <w:rPr>
          <w:i/>
        </w:rPr>
        <w:t xml:space="preserve">Some physicochemical properties of fluted pumpkin seed oil. </w:t>
      </w:r>
      <w:r>
        <w:rPr>
          <w:rStyle w:val="8"/>
        </w:rPr>
        <w:t>Journal of Agricultural Research</w:t>
      </w:r>
      <w:r>
        <w:t>, 2(4), 52–58.</w:t>
      </w:r>
    </w:p>
    <w:p w14:paraId="619F3C9F">
      <w:pPr>
        <w:pStyle w:val="11"/>
        <w:spacing w:before="0" w:beforeAutospacing="0" w:after="0" w:afterAutospacing="0" w:line="360" w:lineRule="auto"/>
        <w:ind w:left="720" w:hanging="720"/>
        <w:jc w:val="both"/>
        <w:rPr>
          <w:i/>
        </w:rPr>
      </w:pPr>
      <w:r>
        <w:t xml:space="preserve">Ajayi, I. A., Oderinde, R. A., Kajogbola, D. O., &amp; Uponi, J. I. (2014). </w:t>
      </w:r>
      <w:r>
        <w:rPr>
          <w:i/>
        </w:rPr>
        <w:t>Oil content and fatty acid composition of some underutilized legumes from Nigeria.</w:t>
      </w:r>
      <w:r>
        <w:t xml:space="preserve"> </w:t>
      </w:r>
      <w:r>
        <w:rPr>
          <w:rStyle w:val="8"/>
        </w:rPr>
        <w:t>Food Chemistry</w:t>
      </w:r>
      <w:r>
        <w:t xml:space="preserve">, </w:t>
      </w:r>
      <w:r>
        <w:rPr>
          <w:i/>
        </w:rPr>
        <w:t>99(1), 115–120.</w:t>
      </w:r>
    </w:p>
    <w:p w14:paraId="34E58A50">
      <w:pPr>
        <w:pStyle w:val="11"/>
        <w:spacing w:before="0" w:beforeAutospacing="0" w:after="0" w:afterAutospacing="0" w:line="360" w:lineRule="auto"/>
        <w:ind w:left="720" w:hanging="720"/>
        <w:jc w:val="both"/>
        <w:rPr>
          <w:i/>
        </w:rPr>
      </w:pPr>
      <w:r>
        <w:t xml:space="preserve">AOAC. (2010). </w:t>
      </w:r>
      <w:r>
        <w:rPr>
          <w:rStyle w:val="8"/>
        </w:rPr>
        <w:t>Official Methods of Analysis</w:t>
      </w:r>
      <w:r>
        <w:t xml:space="preserve"> (18th ed</w:t>
      </w:r>
      <w:r>
        <w:rPr>
          <w:i/>
        </w:rPr>
        <w:t>.). Association of Official Analytical Chemists.</w:t>
      </w:r>
    </w:p>
    <w:p w14:paraId="64F7DDC7">
      <w:pPr>
        <w:pStyle w:val="11"/>
        <w:spacing w:before="0" w:beforeAutospacing="0" w:after="0" w:afterAutospacing="0" w:line="360" w:lineRule="auto"/>
        <w:ind w:left="720" w:hanging="720"/>
        <w:jc w:val="both"/>
        <w:rPr>
          <w:i/>
        </w:rPr>
      </w:pPr>
      <w:r>
        <w:t xml:space="preserve">Burkill, H. M. (2000). </w:t>
      </w:r>
      <w:r>
        <w:rPr>
          <w:rStyle w:val="8"/>
        </w:rPr>
        <w:t>The Useful Plants of West Tropical Africa</w:t>
      </w:r>
      <w:r>
        <w:t xml:space="preserve"> (Vol. 5</w:t>
      </w:r>
      <w:r>
        <w:rPr>
          <w:i/>
        </w:rPr>
        <w:t>). Royal Botanic Gardens, Kew.</w:t>
      </w:r>
    </w:p>
    <w:p w14:paraId="1403F669">
      <w:pPr>
        <w:pStyle w:val="11"/>
        <w:spacing w:before="0" w:beforeAutospacing="0" w:after="0" w:afterAutospacing="0" w:line="360" w:lineRule="auto"/>
        <w:ind w:left="720" w:hanging="720"/>
        <w:jc w:val="both"/>
      </w:pPr>
      <w:r>
        <w:t>Dutta, S., Chakraborty, S., &amp; Sarkar, D. (2016</w:t>
      </w:r>
      <w:r>
        <w:rPr>
          <w:i/>
        </w:rPr>
        <w:t>). Seed oil extraction and utilization.</w:t>
      </w:r>
      <w:r>
        <w:t xml:space="preserve"> </w:t>
      </w:r>
      <w:r>
        <w:rPr>
          <w:rStyle w:val="8"/>
        </w:rPr>
        <w:t>Journal of Food Engineering</w:t>
      </w:r>
      <w:r>
        <w:rPr>
          <w:i/>
        </w:rPr>
        <w:t>, 167, 123–132</w:t>
      </w:r>
      <w:r>
        <w:t>.</w:t>
      </w:r>
    </w:p>
    <w:p w14:paraId="7710C8D2">
      <w:pPr>
        <w:pStyle w:val="11"/>
        <w:spacing w:before="0" w:beforeAutospacing="0" w:after="0" w:afterAutospacing="0" w:line="360" w:lineRule="auto"/>
        <w:ind w:left="720" w:hanging="720"/>
        <w:jc w:val="both"/>
        <w:rPr>
          <w:i/>
        </w:rPr>
      </w:pPr>
      <w:r>
        <w:t xml:space="preserve">Edeoga, H. O., Okwu, D. E., &amp; Mbaebie, B. O. (2005). </w:t>
      </w:r>
      <w:r>
        <w:rPr>
          <w:i/>
        </w:rPr>
        <w:t>Phytochemical constituents of some Nigerian medicinal plants.</w:t>
      </w:r>
      <w:r>
        <w:t xml:space="preserve"> </w:t>
      </w:r>
      <w:r>
        <w:rPr>
          <w:rStyle w:val="8"/>
        </w:rPr>
        <w:t>African Journal of Biotechnology</w:t>
      </w:r>
      <w:r>
        <w:rPr>
          <w:i/>
        </w:rPr>
        <w:t>, 4(7), 685–688.</w:t>
      </w:r>
    </w:p>
    <w:p w14:paraId="59F526B6">
      <w:pPr>
        <w:pStyle w:val="11"/>
        <w:spacing w:before="0" w:beforeAutospacing="0" w:after="0" w:afterAutospacing="0" w:line="360" w:lineRule="auto"/>
        <w:ind w:left="720" w:hanging="720"/>
        <w:jc w:val="both"/>
      </w:pPr>
      <w:r>
        <w:t>Eromosele, C. O., &amp; Eromosele, I. C. (2002</w:t>
      </w:r>
      <w:r>
        <w:rPr>
          <w:i/>
        </w:rPr>
        <w:t>). Studies on the chemical composition and physicochemical properties of seeds of some wild plants.</w:t>
      </w:r>
      <w:r>
        <w:t xml:space="preserve"> </w:t>
      </w:r>
      <w:r>
        <w:rPr>
          <w:rStyle w:val="8"/>
        </w:rPr>
        <w:t>Plant Foods for Human Nutrition</w:t>
      </w:r>
      <w:r>
        <w:t>, 57(2), 1–11.</w:t>
      </w:r>
    </w:p>
    <w:p w14:paraId="2CDAE8DD">
      <w:pPr>
        <w:pStyle w:val="11"/>
        <w:spacing w:before="0" w:beforeAutospacing="0" w:after="0" w:afterAutospacing="0" w:line="360" w:lineRule="auto"/>
        <w:ind w:left="720" w:hanging="720"/>
        <w:jc w:val="both"/>
      </w:pPr>
      <w:r>
        <w:t xml:space="preserve">Fasoyiro, S. B., &amp; Adegoke, G. O. (2007). Phytochemicals and antimicrobial properties of </w:t>
      </w:r>
      <w:r>
        <w:rPr>
          <w:rStyle w:val="8"/>
        </w:rPr>
        <w:t>Parkia biglobosa</w:t>
      </w:r>
      <w:r>
        <w:t xml:space="preserve"> and </w:t>
      </w:r>
      <w:r>
        <w:rPr>
          <w:rStyle w:val="8"/>
        </w:rPr>
        <w:t>Monodora myristica</w:t>
      </w:r>
      <w:r>
        <w:t xml:space="preserve">. </w:t>
      </w:r>
      <w:r>
        <w:rPr>
          <w:rStyle w:val="8"/>
        </w:rPr>
        <w:t>African Journal of Food Science</w:t>
      </w:r>
      <w:r>
        <w:t>, 1(1), 31–36.</w:t>
      </w:r>
    </w:p>
    <w:p w14:paraId="65242A78">
      <w:pPr>
        <w:pStyle w:val="11"/>
        <w:spacing w:before="0" w:beforeAutospacing="0" w:after="0" w:afterAutospacing="0" w:line="360" w:lineRule="auto"/>
        <w:ind w:left="720" w:hanging="720"/>
        <w:jc w:val="both"/>
      </w:pPr>
      <w:r>
        <w:t>Fagbemi, T. N., Eleyinmi, A. F., &amp; Atum, H. A. (2005). Nutritional composition of fermented fluted pumpkin (</w:t>
      </w:r>
      <w:r>
        <w:rPr>
          <w:rStyle w:val="8"/>
        </w:rPr>
        <w:t>Telfairia occidentalis</w:t>
      </w:r>
      <w:r>
        <w:t>) and melon (</w:t>
      </w:r>
      <w:r>
        <w:rPr>
          <w:rStyle w:val="8"/>
        </w:rPr>
        <w:t>Citrullus vulgaris</w:t>
      </w:r>
      <w:r>
        <w:t xml:space="preserve">) seed. </w:t>
      </w:r>
      <w:r>
        <w:rPr>
          <w:rStyle w:val="8"/>
        </w:rPr>
        <w:t>Nigerian Food Journal</w:t>
      </w:r>
      <w:r>
        <w:t>, 23(1), 41–46.</w:t>
      </w:r>
    </w:p>
    <w:p w14:paraId="377E22AC">
      <w:pPr>
        <w:pStyle w:val="11"/>
        <w:spacing w:before="0" w:beforeAutospacing="0" w:after="0" w:afterAutospacing="0" w:line="360" w:lineRule="auto"/>
        <w:ind w:left="720" w:hanging="720"/>
        <w:jc w:val="both"/>
      </w:pPr>
      <w:r>
        <w:t xml:space="preserve">Gunstone, F. D. (2011). </w:t>
      </w:r>
      <w:r>
        <w:rPr>
          <w:rStyle w:val="8"/>
        </w:rPr>
        <w:t>Vegetable Oils in Food Technology: Composition, Properties and Uses</w:t>
      </w:r>
      <w:r>
        <w:t xml:space="preserve"> (2nd ed.). Wiley-Blackwell.</w:t>
      </w:r>
    </w:p>
    <w:p w14:paraId="7D04FB98">
      <w:pPr>
        <w:pStyle w:val="11"/>
        <w:spacing w:before="0" w:beforeAutospacing="0" w:after="0" w:afterAutospacing="0" w:line="360" w:lineRule="auto"/>
        <w:ind w:left="720" w:hanging="720"/>
        <w:jc w:val="both"/>
      </w:pPr>
      <w:r>
        <w:t xml:space="preserve">Halliwell, B., &amp; Gutteridge, J. M. C. (2007). </w:t>
      </w:r>
      <w:r>
        <w:rPr>
          <w:rStyle w:val="8"/>
        </w:rPr>
        <w:t>Free Radicals in Biology and Medicine</w:t>
      </w:r>
      <w:r>
        <w:t xml:space="preserve"> (4th ed.). Oxford University Press.</w:t>
      </w:r>
    </w:p>
    <w:p w14:paraId="4334F1A0">
      <w:pPr>
        <w:pStyle w:val="11"/>
        <w:spacing w:before="0" w:beforeAutospacing="0" w:after="0" w:afterAutospacing="0" w:line="360" w:lineRule="auto"/>
        <w:ind w:left="720" w:hanging="720"/>
        <w:jc w:val="both"/>
      </w:pPr>
      <w:r>
        <w:t xml:space="preserve">Iwu, M. M. (1993). </w:t>
      </w:r>
      <w:r>
        <w:rPr>
          <w:rStyle w:val="8"/>
        </w:rPr>
        <w:t>Handbook of African Medicinal Plants</w:t>
      </w:r>
      <w:r>
        <w:t xml:space="preserve">. </w:t>
      </w:r>
      <w:r>
        <w:rPr>
          <w:i/>
        </w:rPr>
        <w:t>CRC Press.</w:t>
      </w:r>
    </w:p>
    <w:p w14:paraId="61266742">
      <w:pPr>
        <w:pStyle w:val="11"/>
        <w:spacing w:before="0" w:beforeAutospacing="0" w:after="0" w:afterAutospacing="0" w:line="360" w:lineRule="auto"/>
        <w:ind w:left="720" w:hanging="720"/>
        <w:jc w:val="both"/>
      </w:pPr>
      <w:r>
        <w:t xml:space="preserve">Ijarotimi, O. S., &amp; Keshinro, O. O. (2012). </w:t>
      </w:r>
      <w:r>
        <w:rPr>
          <w:i/>
        </w:rPr>
        <w:t>Nutritional evaluation of complementary food made from maize, soybean and</w:t>
      </w:r>
      <w:r>
        <w:t xml:space="preserve"> </w:t>
      </w:r>
      <w:r>
        <w:rPr>
          <w:rStyle w:val="8"/>
        </w:rPr>
        <w:t>Monodora myristica</w:t>
      </w:r>
      <w:r>
        <w:t xml:space="preserve"> seeds. </w:t>
      </w:r>
      <w:r>
        <w:rPr>
          <w:rStyle w:val="8"/>
        </w:rPr>
        <w:t>Malaysian Journal of Nutrition</w:t>
      </w:r>
      <w:r>
        <w:t xml:space="preserve">, </w:t>
      </w:r>
      <w:r>
        <w:rPr>
          <w:i/>
        </w:rPr>
        <w:t>18(2), 251–260.</w:t>
      </w:r>
    </w:p>
    <w:p w14:paraId="19542A8B">
      <w:pPr>
        <w:pStyle w:val="11"/>
        <w:spacing w:before="0" w:beforeAutospacing="0" w:after="0" w:afterAutospacing="0" w:line="360" w:lineRule="auto"/>
        <w:ind w:left="720" w:hanging="720"/>
        <w:jc w:val="both"/>
        <w:rPr>
          <w:i/>
        </w:rPr>
      </w:pPr>
      <w:r>
        <w:t xml:space="preserve">Martínez, M. L., Maestri, D. M., Labuckas, D. O., &amp; Lamarque, A. L. (2012). </w:t>
      </w:r>
      <w:r>
        <w:rPr>
          <w:i/>
        </w:rPr>
        <w:t>Optimization of oil extraction from seeds</w:t>
      </w:r>
      <w:r>
        <w:t xml:space="preserve">. </w:t>
      </w:r>
      <w:r>
        <w:rPr>
          <w:rStyle w:val="8"/>
        </w:rPr>
        <w:t>Food Research International</w:t>
      </w:r>
      <w:r>
        <w:t xml:space="preserve">, </w:t>
      </w:r>
      <w:r>
        <w:rPr>
          <w:i/>
        </w:rPr>
        <w:t>45(1), 297–302.</w:t>
      </w:r>
    </w:p>
    <w:p w14:paraId="4CF0C89F">
      <w:pPr>
        <w:pStyle w:val="11"/>
        <w:spacing w:before="0" w:beforeAutospacing="0" w:after="0" w:afterAutospacing="0" w:line="360" w:lineRule="auto"/>
        <w:ind w:left="720" w:hanging="720"/>
        <w:jc w:val="both"/>
      </w:pPr>
      <w:r>
        <w:t xml:space="preserve">Mohammed, M. I., &amp; Hamza, Z. U. (2008). </w:t>
      </w:r>
      <w:r>
        <w:rPr>
          <w:i/>
        </w:rPr>
        <w:t xml:space="preserve">Physicochemical properties of oil extracts from </w:t>
      </w:r>
      <w:r>
        <w:rPr>
          <w:rStyle w:val="8"/>
        </w:rPr>
        <w:t>Sesamum indicum</w:t>
      </w:r>
      <w:r>
        <w:t xml:space="preserve"> and </w:t>
      </w:r>
      <w:r>
        <w:rPr>
          <w:rStyle w:val="8"/>
        </w:rPr>
        <w:t>Cucurbita maxima</w:t>
      </w:r>
      <w:r>
        <w:t xml:space="preserve"> seeds. </w:t>
      </w:r>
      <w:r>
        <w:rPr>
          <w:rStyle w:val="8"/>
        </w:rPr>
        <w:t>Bayero Journal of Pure and Applied Sciences</w:t>
      </w:r>
      <w:r>
        <w:t>, 1(1), 1–5.</w:t>
      </w:r>
    </w:p>
    <w:p w14:paraId="4C4D6975">
      <w:pPr>
        <w:pStyle w:val="11"/>
        <w:spacing w:before="0" w:beforeAutospacing="0" w:after="0" w:afterAutospacing="0" w:line="360" w:lineRule="auto"/>
        <w:ind w:left="720" w:hanging="720"/>
        <w:jc w:val="both"/>
        <w:rPr>
          <w:i/>
        </w:rPr>
      </w:pPr>
      <w:r>
        <w:t xml:space="preserve">Musa, A. E., &amp; Oladipo, O. O. (2014). </w:t>
      </w:r>
      <w:r>
        <w:rPr>
          <w:i/>
        </w:rPr>
        <w:t>Extraction and evaluation of oil from</w:t>
      </w:r>
      <w:r>
        <w:t xml:space="preserve"> </w:t>
      </w:r>
      <w:r>
        <w:rPr>
          <w:rStyle w:val="8"/>
        </w:rPr>
        <w:t>Monodora myristica</w:t>
      </w:r>
      <w:r>
        <w:t xml:space="preserve"> seeds. </w:t>
      </w:r>
      <w:r>
        <w:rPr>
          <w:rStyle w:val="8"/>
        </w:rPr>
        <w:t>International Journal of Scientific Research in Environmental Sciences</w:t>
      </w:r>
      <w:r>
        <w:rPr>
          <w:i/>
        </w:rPr>
        <w:t>, 2(4), 129–133.</w:t>
      </w:r>
    </w:p>
    <w:p w14:paraId="50D38458">
      <w:pPr>
        <w:pStyle w:val="11"/>
        <w:spacing w:before="0" w:beforeAutospacing="0" w:after="0" w:afterAutospacing="0" w:line="360" w:lineRule="auto"/>
        <w:ind w:left="720" w:hanging="720"/>
        <w:jc w:val="both"/>
        <w:rPr>
          <w:i/>
        </w:rPr>
      </w:pPr>
      <w:r>
        <w:t xml:space="preserve">Nwosu, M. O., Dosumu, O. O., &amp; Onwuliri, V. A. (2008). </w:t>
      </w:r>
      <w:r>
        <w:rPr>
          <w:i/>
        </w:rPr>
        <w:t xml:space="preserve">The potentials of </w:t>
      </w:r>
      <w:r>
        <w:rPr>
          <w:rStyle w:val="8"/>
        </w:rPr>
        <w:t>Monodora</w:t>
      </w:r>
      <w:r>
        <w:rPr>
          <w:rStyle w:val="8"/>
          <w:i w:val="0"/>
        </w:rPr>
        <w:t xml:space="preserve"> </w:t>
      </w:r>
      <w:r>
        <w:rPr>
          <w:rStyle w:val="8"/>
        </w:rPr>
        <w:t>myristica</w:t>
      </w:r>
      <w:r>
        <w:rPr>
          <w:i/>
        </w:rPr>
        <w:t xml:space="preserve"> seed oil in cosmetic and pharmaceutical industries. </w:t>
      </w:r>
      <w:r>
        <w:rPr>
          <w:rStyle w:val="8"/>
        </w:rPr>
        <w:t>Nigerian Journal of Biotechnology</w:t>
      </w:r>
      <w:r>
        <w:rPr>
          <w:i/>
        </w:rPr>
        <w:t>, 19(1), 12–16.</w:t>
      </w:r>
    </w:p>
    <w:p w14:paraId="5D8911D0">
      <w:pPr>
        <w:pStyle w:val="11"/>
        <w:spacing w:before="0" w:beforeAutospacing="0" w:after="0" w:afterAutospacing="0" w:line="360" w:lineRule="auto"/>
        <w:ind w:left="720" w:hanging="720"/>
        <w:jc w:val="both"/>
      </w:pPr>
      <w:r>
        <w:t>Odoemelam, S. A. (2005).</w:t>
      </w:r>
      <w:r>
        <w:rPr>
          <w:i/>
        </w:rPr>
        <w:t xml:space="preserve"> Proximate composition and selected physicochemical properties of the seeds of African nutmeg (</w:t>
      </w:r>
      <w:r>
        <w:rPr>
          <w:rStyle w:val="8"/>
        </w:rPr>
        <w:t>Monodora myristica</w:t>
      </w:r>
      <w:r>
        <w:t xml:space="preserve">). </w:t>
      </w:r>
      <w:r>
        <w:rPr>
          <w:rStyle w:val="8"/>
        </w:rPr>
        <w:t>Research Journal of Chemistry and Environment</w:t>
      </w:r>
      <w:r>
        <w:t xml:space="preserve">, </w:t>
      </w:r>
      <w:r>
        <w:rPr>
          <w:i/>
        </w:rPr>
        <w:t>9(1), 63–66.</w:t>
      </w:r>
    </w:p>
    <w:p w14:paraId="6E7D3D57">
      <w:pPr>
        <w:pStyle w:val="11"/>
        <w:spacing w:before="0" w:beforeAutospacing="0" w:after="0" w:afterAutospacing="0" w:line="360" w:lineRule="auto"/>
        <w:ind w:left="720" w:hanging="720"/>
        <w:jc w:val="both"/>
      </w:pPr>
      <w:r>
        <w:t xml:space="preserve">Ojezele, M. O., &amp; Agunbiade, S. O. (2013). </w:t>
      </w:r>
      <w:r>
        <w:rPr>
          <w:i/>
        </w:rPr>
        <w:t>Comparative phytochemical and proximate analysis of</w:t>
      </w:r>
      <w:r>
        <w:t xml:space="preserve"> </w:t>
      </w:r>
      <w:r>
        <w:rPr>
          <w:rStyle w:val="8"/>
        </w:rPr>
        <w:t>Monodora myristica</w:t>
      </w:r>
      <w:r>
        <w:t xml:space="preserve"> and </w:t>
      </w:r>
      <w:r>
        <w:rPr>
          <w:rStyle w:val="8"/>
        </w:rPr>
        <w:t>Tetrapleura tetraptera</w:t>
      </w:r>
      <w:r>
        <w:t xml:space="preserve">. </w:t>
      </w:r>
      <w:r>
        <w:rPr>
          <w:rStyle w:val="8"/>
        </w:rPr>
        <w:t>African Journal of Biotechnology</w:t>
      </w:r>
      <w:r>
        <w:t xml:space="preserve">, </w:t>
      </w:r>
      <w:r>
        <w:rPr>
          <w:i/>
        </w:rPr>
        <w:t>12(43), 6194–6197.</w:t>
      </w:r>
    </w:p>
    <w:p w14:paraId="55A71835">
      <w:pPr>
        <w:pStyle w:val="11"/>
        <w:spacing w:before="0" w:beforeAutospacing="0" w:after="0" w:afterAutospacing="0" w:line="360" w:lineRule="auto"/>
        <w:ind w:left="720" w:hanging="720"/>
        <w:jc w:val="both"/>
      </w:pPr>
      <w:r>
        <w:t xml:space="preserve">Okwu, D. E., &amp; Morah, F. N. I. (2007). </w:t>
      </w:r>
      <w:r>
        <w:rPr>
          <w:i/>
        </w:rPr>
        <w:t>Isolation and characterization of phenanthrene alkaloid from the seeds of</w:t>
      </w:r>
      <w:r>
        <w:t xml:space="preserve"> </w:t>
      </w:r>
      <w:r>
        <w:rPr>
          <w:rStyle w:val="8"/>
        </w:rPr>
        <w:t>Monodora myristica</w:t>
      </w:r>
      <w:r>
        <w:t xml:space="preserve">. </w:t>
      </w:r>
      <w:r>
        <w:rPr>
          <w:rStyle w:val="8"/>
        </w:rPr>
        <w:t>Journal of Medicinal and Aromatic Plant Science</w:t>
      </w:r>
      <w:r>
        <w:t xml:space="preserve">, </w:t>
      </w:r>
      <w:r>
        <w:rPr>
          <w:i/>
        </w:rPr>
        <w:t>29(1), 11–15.</w:t>
      </w:r>
    </w:p>
    <w:p w14:paraId="06588EC9">
      <w:pPr>
        <w:pStyle w:val="11"/>
        <w:spacing w:before="0" w:beforeAutospacing="0" w:after="0" w:afterAutospacing="0" w:line="360" w:lineRule="auto"/>
        <w:ind w:left="720" w:hanging="720"/>
        <w:jc w:val="both"/>
        <w:rPr>
          <w:i/>
        </w:rPr>
      </w:pPr>
      <w:r>
        <w:t xml:space="preserve">Oladele, A. K., &amp; Oshodi, A. A. (2008). </w:t>
      </w:r>
      <w:r>
        <w:rPr>
          <w:i/>
        </w:rPr>
        <w:t>Nutritional and functional properties of</w:t>
      </w:r>
      <w:r>
        <w:t xml:space="preserve"> </w:t>
      </w:r>
      <w:r>
        <w:rPr>
          <w:rStyle w:val="8"/>
        </w:rPr>
        <w:t>Monodora myristica</w:t>
      </w:r>
      <w:r>
        <w:t xml:space="preserve"> and </w:t>
      </w:r>
      <w:r>
        <w:rPr>
          <w:rStyle w:val="8"/>
        </w:rPr>
        <w:t>Detarium microcarpum</w:t>
      </w:r>
      <w:r>
        <w:t xml:space="preserve"> seeds. </w:t>
      </w:r>
      <w:r>
        <w:rPr>
          <w:rStyle w:val="8"/>
        </w:rPr>
        <w:t>African Journal of Food Science</w:t>
      </w:r>
      <w:r>
        <w:rPr>
          <w:i/>
        </w:rPr>
        <w:t>, 2(6), 71–75.</w:t>
      </w:r>
    </w:p>
    <w:p w14:paraId="0E6A6D38">
      <w:pPr>
        <w:pStyle w:val="11"/>
        <w:spacing w:before="0" w:beforeAutospacing="0" w:after="0" w:afterAutospacing="0" w:line="360" w:lineRule="auto"/>
        <w:ind w:left="720" w:hanging="720"/>
        <w:jc w:val="both"/>
        <w:rPr>
          <w:i/>
        </w:rPr>
      </w:pPr>
      <w:r>
        <w:t xml:space="preserve">Omoboyowa, D. A., &amp; Adewale, I. O. (2017). </w:t>
      </w:r>
      <w:r>
        <w:rPr>
          <w:i/>
        </w:rPr>
        <w:t xml:space="preserve">Evaluation of antioxidant activity of methanolic extract of </w:t>
      </w:r>
      <w:r>
        <w:rPr>
          <w:rStyle w:val="8"/>
        </w:rPr>
        <w:t>Monodora myristica</w:t>
      </w:r>
      <w:r>
        <w:t xml:space="preserve">. </w:t>
      </w:r>
      <w:r>
        <w:rPr>
          <w:rStyle w:val="8"/>
        </w:rPr>
        <w:t>Journal of Scientific Research &amp; Reports</w:t>
      </w:r>
      <w:r>
        <w:t xml:space="preserve">, </w:t>
      </w:r>
      <w:r>
        <w:rPr>
          <w:i/>
        </w:rPr>
        <w:t>16(1), 1–9.</w:t>
      </w:r>
    </w:p>
    <w:p w14:paraId="23ECB9AA">
      <w:pPr>
        <w:pStyle w:val="11"/>
        <w:spacing w:before="0" w:beforeAutospacing="0" w:after="0" w:afterAutospacing="0" w:line="360" w:lineRule="auto"/>
        <w:ind w:left="720" w:hanging="720"/>
        <w:jc w:val="both"/>
        <w:rPr>
          <w:i/>
        </w:rPr>
      </w:pPr>
      <w:r>
        <w:t xml:space="preserve">Onwuka, G. I. (2005). </w:t>
      </w:r>
      <w:r>
        <w:rPr>
          <w:rStyle w:val="8"/>
        </w:rPr>
        <w:t>Food Analysis and Instrumentation: Theory and Practice</w:t>
      </w:r>
      <w:r>
        <w:rPr>
          <w:i/>
        </w:rPr>
        <w:t>. Naphtali Prints.</w:t>
      </w:r>
    </w:p>
    <w:p w14:paraId="4B9B6AB3">
      <w:pPr>
        <w:pStyle w:val="11"/>
        <w:spacing w:before="0" w:beforeAutospacing="0" w:after="0" w:afterAutospacing="0" w:line="360" w:lineRule="auto"/>
        <w:ind w:left="720" w:hanging="720"/>
        <w:jc w:val="both"/>
        <w:rPr>
          <w:i/>
        </w:rPr>
      </w:pPr>
      <w:r>
        <w:rPr>
          <w:i/>
        </w:rPr>
        <w:t xml:space="preserve">Oyeleke, G. O., &amp; Adegoke, A. E. (2008). Antioxidant and antimicrobial properties of </w:t>
      </w:r>
      <w:r>
        <w:rPr>
          <w:rStyle w:val="8"/>
        </w:rPr>
        <w:t>Monodora myristica</w:t>
      </w:r>
      <w:r>
        <w:t xml:space="preserve">. </w:t>
      </w:r>
      <w:r>
        <w:rPr>
          <w:rStyle w:val="8"/>
        </w:rPr>
        <w:t>International Journal of Agricultural Research</w:t>
      </w:r>
      <w:r>
        <w:rPr>
          <w:i/>
        </w:rPr>
        <w:t>, 3(1), 10–16.</w:t>
      </w:r>
    </w:p>
    <w:p w14:paraId="24593ADB">
      <w:pPr>
        <w:pStyle w:val="11"/>
        <w:spacing w:before="0" w:beforeAutospacing="0" w:after="0" w:afterAutospacing="0" w:line="360" w:lineRule="auto"/>
        <w:ind w:left="720" w:hanging="720"/>
        <w:jc w:val="both"/>
      </w:pPr>
      <w:r>
        <w:t xml:space="preserve">Salau, A. K., &amp; Yakubu, M. T. (2019). </w:t>
      </w:r>
      <w:r>
        <w:rPr>
          <w:i/>
        </w:rPr>
        <w:t>Comparative antioxidant activities of essential oils from</w:t>
      </w:r>
      <w:r>
        <w:t xml:space="preserve"> </w:t>
      </w:r>
      <w:r>
        <w:rPr>
          <w:rStyle w:val="8"/>
        </w:rPr>
        <w:t>Monodora myristica</w:t>
      </w:r>
      <w:r>
        <w:t xml:space="preserve"> and </w:t>
      </w:r>
      <w:r>
        <w:rPr>
          <w:rStyle w:val="8"/>
        </w:rPr>
        <w:t>Xylopia aethiopica</w:t>
      </w:r>
      <w:r>
        <w:t xml:space="preserve">. </w:t>
      </w:r>
      <w:r>
        <w:rPr>
          <w:rStyle w:val="8"/>
        </w:rPr>
        <w:t>Journal of Essential Oil Bearing Plants</w:t>
      </w:r>
      <w:r>
        <w:t xml:space="preserve">, </w:t>
      </w:r>
      <w:r>
        <w:rPr>
          <w:i/>
        </w:rPr>
        <w:t>22(5), 1260–1271.</w:t>
      </w:r>
    </w:p>
    <w:p w14:paraId="0E33B7A2">
      <w:pPr>
        <w:pStyle w:val="11"/>
        <w:spacing w:before="0" w:beforeAutospacing="0" w:after="0" w:afterAutospacing="0" w:line="360" w:lineRule="auto"/>
        <w:ind w:left="720" w:hanging="720"/>
        <w:jc w:val="both"/>
        <w:rPr>
          <w:i/>
        </w:rPr>
      </w:pPr>
      <w:r>
        <w:t xml:space="preserve">Sofowora, A. (2008). </w:t>
      </w:r>
      <w:r>
        <w:rPr>
          <w:rStyle w:val="8"/>
        </w:rPr>
        <w:t>Medicinal Plants and Traditional Medicine in Africa</w:t>
      </w:r>
      <w:r>
        <w:t xml:space="preserve"> (3rd ed.). </w:t>
      </w:r>
      <w:r>
        <w:rPr>
          <w:i/>
        </w:rPr>
        <w:t>Spectrum Books Ltd.</w:t>
      </w:r>
    </w:p>
    <w:p w14:paraId="71186DAF">
      <w:pPr>
        <w:pStyle w:val="11"/>
        <w:spacing w:before="0" w:beforeAutospacing="0" w:after="0" w:afterAutospacing="0" w:line="360" w:lineRule="auto"/>
        <w:ind w:left="720" w:hanging="720"/>
        <w:jc w:val="both"/>
      </w:pPr>
      <w:r>
        <w:t xml:space="preserve">Uhegbu, F. O., Elekwa, I., &amp; Ukoha, C. (2011). </w:t>
      </w:r>
      <w:r>
        <w:rPr>
          <w:i/>
        </w:rPr>
        <w:t>Comparative antioxidant potential of</w:t>
      </w:r>
      <w:r>
        <w:t xml:space="preserve"> </w:t>
      </w:r>
      <w:r>
        <w:rPr>
          <w:rStyle w:val="8"/>
        </w:rPr>
        <w:t>Monodora myristica</w:t>
      </w:r>
      <w:r>
        <w:t xml:space="preserve">, </w:t>
      </w:r>
      <w:r>
        <w:rPr>
          <w:rStyle w:val="8"/>
        </w:rPr>
        <w:t>Xylopia aethiopica</w:t>
      </w:r>
      <w:r>
        <w:t xml:space="preserve"> and </w:t>
      </w:r>
      <w:r>
        <w:rPr>
          <w:rStyle w:val="8"/>
        </w:rPr>
        <w:t>Allium sativum</w:t>
      </w:r>
      <w:r>
        <w:t xml:space="preserve">. </w:t>
      </w:r>
      <w:r>
        <w:rPr>
          <w:rStyle w:val="8"/>
        </w:rPr>
        <w:t>African Journal of Biotechnology</w:t>
      </w:r>
      <w:r>
        <w:t xml:space="preserve">, </w:t>
      </w:r>
      <w:r>
        <w:rPr>
          <w:i/>
        </w:rPr>
        <w:t>10(47), 9611–9617.</w:t>
      </w:r>
    </w:p>
    <w:p w14:paraId="5134B661">
      <w:pPr>
        <w:pStyle w:val="11"/>
        <w:spacing w:before="0" w:beforeAutospacing="0" w:after="0" w:afterAutospacing="0" w:line="360" w:lineRule="auto"/>
        <w:ind w:left="720" w:hanging="720"/>
        <w:jc w:val="both"/>
      </w:pPr>
      <w:r>
        <w:t xml:space="preserve">Yusuf, A. A., Matori, M. A., &amp; Musa, A. M. (2016). </w:t>
      </w:r>
      <w:r>
        <w:rPr>
          <w:i/>
        </w:rPr>
        <w:t>Physicochemical and phytochemical analysis of</w:t>
      </w:r>
      <w:r>
        <w:t xml:space="preserve"> </w:t>
      </w:r>
      <w:r>
        <w:rPr>
          <w:rStyle w:val="8"/>
        </w:rPr>
        <w:t>Monodora myristica</w:t>
      </w:r>
      <w:r>
        <w:t xml:space="preserve"> seed oil. </w:t>
      </w:r>
      <w:r>
        <w:rPr>
          <w:rStyle w:val="8"/>
        </w:rPr>
        <w:t>International Journal of Biological and Chemical Sciences</w:t>
      </w:r>
      <w:r>
        <w:t xml:space="preserve">, </w:t>
      </w:r>
      <w:r>
        <w:rPr>
          <w:i/>
        </w:rPr>
        <w:t>10(3), 1204–1210.</w:t>
      </w:r>
    </w:p>
    <w:p w14:paraId="6E457EFA">
      <w:pPr>
        <w:pStyle w:val="11"/>
        <w:spacing w:before="0" w:beforeAutospacing="0" w:after="0" w:afterAutospacing="0" w:line="360" w:lineRule="auto"/>
        <w:ind w:left="720" w:hanging="720"/>
        <w:jc w:val="both"/>
      </w:pPr>
      <w:r>
        <w:t xml:space="preserve">Zakpaa, H. D., Mak-Mensah, E. E., &amp; Adubofuor, J. (2010). </w:t>
      </w:r>
      <w:r>
        <w:rPr>
          <w:i/>
        </w:rPr>
        <w:t>Physicochemical and functional properties of flours and oils from underutilized Ghanaian oilseeds.</w:t>
      </w:r>
      <w:r>
        <w:t xml:space="preserve"> </w:t>
      </w:r>
      <w:r>
        <w:rPr>
          <w:rStyle w:val="8"/>
        </w:rPr>
        <w:t>African Journal of Food Science</w:t>
      </w:r>
      <w:r>
        <w:t xml:space="preserve">, </w:t>
      </w:r>
      <w:r>
        <w:rPr>
          <w:i/>
        </w:rPr>
        <w:t>4(10), 668–675.</w:t>
      </w:r>
    </w:p>
    <w:p w14:paraId="1392E82F">
      <w:pPr>
        <w:pStyle w:val="11"/>
        <w:spacing w:before="0" w:beforeAutospacing="0" w:after="0" w:afterAutospacing="0" w:line="360" w:lineRule="auto"/>
        <w:ind w:left="720" w:hanging="720"/>
        <w:jc w:val="both"/>
        <w:rPr>
          <w:i/>
        </w:rPr>
      </w:pPr>
      <w:r>
        <w:t xml:space="preserve">Zongo, C., Ouattara, L., Savadogo, A., Ouattara, C. T., Bassole, I. H. N., Ouattara, A. S., &amp; Traore, A. S. (2010). </w:t>
      </w:r>
      <w:r>
        <w:rPr>
          <w:i/>
        </w:rPr>
        <w:t xml:space="preserve">Antioxidant and antimicrobial properties of essential oils from three medicinal plants in Burkina Faso. </w:t>
      </w:r>
      <w:r>
        <w:rPr>
          <w:rStyle w:val="8"/>
        </w:rPr>
        <w:t>Journal of Medicinal Plants Research</w:t>
      </w:r>
      <w:r>
        <w:rPr>
          <w:i/>
        </w:rPr>
        <w:t>, 4(1), 95–Bottom of Form.</w:t>
      </w:r>
    </w:p>
    <w:p w14:paraId="114398CC">
      <w:pPr>
        <w:spacing w:line="480" w:lineRule="auto"/>
        <w:jc w:val="both"/>
        <w:rPr>
          <w:rStyle w:val="12"/>
          <w:rFonts w:ascii="Times New Roman" w:hAnsi="Times New Roman" w:cs="Times New Roman"/>
          <w:sz w:val="24"/>
          <w:szCs w:val="24"/>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322318"/>
      <w:docPartObj>
        <w:docPartGallery w:val="autotext"/>
      </w:docPartObj>
    </w:sdtPr>
    <w:sdtContent>
      <w:p w14:paraId="7FEA6D63">
        <w:pPr>
          <w:pStyle w:val="9"/>
          <w:jc w:val="center"/>
        </w:pPr>
      </w:p>
      <w:p w14:paraId="69B91F29">
        <w:pPr>
          <w:pStyle w:val="9"/>
          <w:jc w:val="center"/>
        </w:pPr>
      </w:p>
      <w:p w14:paraId="4691656A">
        <w:pPr>
          <w:pStyle w:val="9"/>
          <w:jc w:val="center"/>
        </w:pPr>
        <w:r>
          <w:fldChar w:fldCharType="begin"/>
        </w:r>
        <w:r>
          <w:instrText xml:space="preserve"> PAGE   \* MERGEFORMAT </w:instrText>
        </w:r>
        <w:r>
          <w:fldChar w:fldCharType="separate"/>
        </w:r>
        <w:r>
          <w:t>45</w:t>
        </w:r>
        <w:r>
          <w:fldChar w:fldCharType="end"/>
        </w:r>
      </w:p>
      <w:p w14:paraId="546DB285">
        <w:pPr>
          <w:pStyle w:val="9"/>
          <w:jc w:val="center"/>
        </w:pPr>
      </w:p>
      <w:p w14:paraId="0F667083">
        <w:pPr>
          <w:pStyle w:val="9"/>
          <w:jc w:val="center"/>
        </w:pPr>
      </w:p>
      <w:p w14:paraId="67F6FD0C">
        <w:pPr>
          <w:pStyle w:val="9"/>
          <w:jc w:val="center"/>
        </w:pPr>
      </w:p>
      <w:p w14:paraId="40B656E8">
        <w:pPr>
          <w:pStyle w:val="9"/>
          <w:jc w:val="center"/>
        </w:pPr>
      </w:p>
    </w:sdtContent>
  </w:sdt>
  <w:p w14:paraId="5CE124F3">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11A13"/>
    <w:multiLevelType w:val="multilevel"/>
    <w:tmpl w:val="02E11A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F620CA"/>
    <w:multiLevelType w:val="multilevel"/>
    <w:tmpl w:val="0BF620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560FFA"/>
    <w:multiLevelType w:val="multilevel"/>
    <w:tmpl w:val="12560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11974E3"/>
    <w:multiLevelType w:val="multilevel"/>
    <w:tmpl w:val="211974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75D644D"/>
    <w:multiLevelType w:val="multilevel"/>
    <w:tmpl w:val="275D64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7DC693B"/>
    <w:multiLevelType w:val="multilevel"/>
    <w:tmpl w:val="27DC69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3B6407"/>
    <w:multiLevelType w:val="multilevel"/>
    <w:tmpl w:val="293B6407"/>
    <w:lvl w:ilvl="0" w:tentative="0">
      <w:start w:val="1"/>
      <w:numFmt w:val="decimal"/>
      <w:lvlText w:val="%1.0"/>
      <w:lvlJc w:val="left"/>
      <w:pPr>
        <w:ind w:left="720" w:hanging="720"/>
      </w:pPr>
      <w:rPr>
        <w:rFonts w:hint="default"/>
        <w:b/>
      </w:rPr>
    </w:lvl>
    <w:lvl w:ilvl="1" w:tentative="0">
      <w:start w:val="1"/>
      <w:numFmt w:val="decimal"/>
      <w:lvlText w:val="%1.%2"/>
      <w:lvlJc w:val="left"/>
      <w:pPr>
        <w:ind w:left="1440" w:hanging="720"/>
      </w:pPr>
      <w:rPr>
        <w:rFonts w:hint="default"/>
        <w:b/>
      </w:rPr>
    </w:lvl>
    <w:lvl w:ilvl="2" w:tentative="0">
      <w:start w:val="1"/>
      <w:numFmt w:val="decimal"/>
      <w:lvlText w:val="%1.%2.%3"/>
      <w:lvlJc w:val="left"/>
      <w:pPr>
        <w:ind w:left="2160" w:hanging="720"/>
      </w:pPr>
      <w:rPr>
        <w:rFonts w:hint="default"/>
        <w:b/>
      </w:rPr>
    </w:lvl>
    <w:lvl w:ilvl="3" w:tentative="0">
      <w:start w:val="1"/>
      <w:numFmt w:val="decimal"/>
      <w:lvlText w:val="%1.%2.%3.%4"/>
      <w:lvlJc w:val="left"/>
      <w:pPr>
        <w:ind w:left="2880" w:hanging="720"/>
      </w:pPr>
      <w:rPr>
        <w:rFonts w:hint="default"/>
        <w:b/>
      </w:rPr>
    </w:lvl>
    <w:lvl w:ilvl="4" w:tentative="0">
      <w:start w:val="1"/>
      <w:numFmt w:val="decimal"/>
      <w:lvlText w:val="%1.%2.%3.%4.%5"/>
      <w:lvlJc w:val="left"/>
      <w:pPr>
        <w:ind w:left="3960" w:hanging="1080"/>
      </w:pPr>
      <w:rPr>
        <w:rFonts w:hint="default"/>
        <w:b/>
      </w:rPr>
    </w:lvl>
    <w:lvl w:ilvl="5" w:tentative="0">
      <w:start w:val="1"/>
      <w:numFmt w:val="decimal"/>
      <w:lvlText w:val="%1.%2.%3.%4.%5.%6"/>
      <w:lvlJc w:val="left"/>
      <w:pPr>
        <w:ind w:left="4680" w:hanging="1080"/>
      </w:pPr>
      <w:rPr>
        <w:rFonts w:hint="default"/>
        <w:b/>
      </w:rPr>
    </w:lvl>
    <w:lvl w:ilvl="6" w:tentative="0">
      <w:start w:val="1"/>
      <w:numFmt w:val="decimal"/>
      <w:lvlText w:val="%1.%2.%3.%4.%5.%6.%7"/>
      <w:lvlJc w:val="left"/>
      <w:pPr>
        <w:ind w:left="5760" w:hanging="1440"/>
      </w:pPr>
      <w:rPr>
        <w:rFonts w:hint="default"/>
        <w:b/>
      </w:rPr>
    </w:lvl>
    <w:lvl w:ilvl="7" w:tentative="0">
      <w:start w:val="1"/>
      <w:numFmt w:val="decimal"/>
      <w:lvlText w:val="%1.%2.%3.%4.%5.%6.%7.%8"/>
      <w:lvlJc w:val="left"/>
      <w:pPr>
        <w:ind w:left="6480" w:hanging="1440"/>
      </w:pPr>
      <w:rPr>
        <w:rFonts w:hint="default"/>
        <w:b/>
      </w:rPr>
    </w:lvl>
    <w:lvl w:ilvl="8" w:tentative="0">
      <w:start w:val="1"/>
      <w:numFmt w:val="decimal"/>
      <w:lvlText w:val="%1.%2.%3.%4.%5.%6.%7.%8.%9"/>
      <w:lvlJc w:val="left"/>
      <w:pPr>
        <w:ind w:left="7560" w:hanging="1800"/>
      </w:pPr>
      <w:rPr>
        <w:rFonts w:hint="default"/>
        <w:b/>
      </w:rPr>
    </w:lvl>
  </w:abstractNum>
  <w:abstractNum w:abstractNumId="7">
    <w:nsid w:val="2FD254D5"/>
    <w:multiLevelType w:val="multilevel"/>
    <w:tmpl w:val="2FD254D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256577E"/>
    <w:multiLevelType w:val="multilevel"/>
    <w:tmpl w:val="3256577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BB4366C"/>
    <w:multiLevelType w:val="multilevel"/>
    <w:tmpl w:val="3BB436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4F079C9"/>
    <w:multiLevelType w:val="multilevel"/>
    <w:tmpl w:val="44F079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752652E"/>
    <w:multiLevelType w:val="multilevel"/>
    <w:tmpl w:val="475265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26063C3"/>
    <w:multiLevelType w:val="multilevel"/>
    <w:tmpl w:val="526063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73287D"/>
    <w:multiLevelType w:val="multilevel"/>
    <w:tmpl w:val="6673287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0A4077D"/>
    <w:multiLevelType w:val="multilevel"/>
    <w:tmpl w:val="70A4077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5">
    <w:nsid w:val="78157EBE"/>
    <w:multiLevelType w:val="multilevel"/>
    <w:tmpl w:val="78157E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96D13C5"/>
    <w:multiLevelType w:val="multilevel"/>
    <w:tmpl w:val="796D13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8"/>
  </w:num>
  <w:num w:numId="3">
    <w:abstractNumId w:val="15"/>
  </w:num>
  <w:num w:numId="4">
    <w:abstractNumId w:val="7"/>
  </w:num>
  <w:num w:numId="5">
    <w:abstractNumId w:val="16"/>
  </w:num>
  <w:num w:numId="6">
    <w:abstractNumId w:val="1"/>
  </w:num>
  <w:num w:numId="7">
    <w:abstractNumId w:val="14"/>
  </w:num>
  <w:num w:numId="8">
    <w:abstractNumId w:val="13"/>
  </w:num>
  <w:num w:numId="9">
    <w:abstractNumId w:val="4"/>
  </w:num>
  <w:num w:numId="10">
    <w:abstractNumId w:val="11"/>
  </w:num>
  <w:num w:numId="11">
    <w:abstractNumId w:val="9"/>
  </w:num>
  <w:num w:numId="12">
    <w:abstractNumId w:val="5"/>
  </w:num>
  <w:num w:numId="13">
    <w:abstractNumId w:val="0"/>
  </w:num>
  <w:num w:numId="14">
    <w:abstractNumId w:val="12"/>
  </w:num>
  <w:num w:numId="15">
    <w:abstractNumId w:val="3"/>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9A"/>
    <w:rsid w:val="00000353"/>
    <w:rsid w:val="00000F00"/>
    <w:rsid w:val="000064F1"/>
    <w:rsid w:val="000330C8"/>
    <w:rsid w:val="000358F1"/>
    <w:rsid w:val="00044291"/>
    <w:rsid w:val="00050ADD"/>
    <w:rsid w:val="00055F92"/>
    <w:rsid w:val="00057C24"/>
    <w:rsid w:val="000752EE"/>
    <w:rsid w:val="000767C7"/>
    <w:rsid w:val="00091E19"/>
    <w:rsid w:val="000938D0"/>
    <w:rsid w:val="00095A49"/>
    <w:rsid w:val="000A14CA"/>
    <w:rsid w:val="000A3AD8"/>
    <w:rsid w:val="000A6104"/>
    <w:rsid w:val="000C4C85"/>
    <w:rsid w:val="000C79BB"/>
    <w:rsid w:val="000D4906"/>
    <w:rsid w:val="000F3074"/>
    <w:rsid w:val="0010282A"/>
    <w:rsid w:val="00105E95"/>
    <w:rsid w:val="0012230B"/>
    <w:rsid w:val="001260A4"/>
    <w:rsid w:val="00131272"/>
    <w:rsid w:val="0014039A"/>
    <w:rsid w:val="00145722"/>
    <w:rsid w:val="001469EB"/>
    <w:rsid w:val="00147526"/>
    <w:rsid w:val="001638B5"/>
    <w:rsid w:val="00166018"/>
    <w:rsid w:val="00177173"/>
    <w:rsid w:val="001A793F"/>
    <w:rsid w:val="001B4BC1"/>
    <w:rsid w:val="001C06C5"/>
    <w:rsid w:val="001D22E9"/>
    <w:rsid w:val="001E3DD9"/>
    <w:rsid w:val="001E4CFB"/>
    <w:rsid w:val="00202545"/>
    <w:rsid w:val="0020597A"/>
    <w:rsid w:val="002267BE"/>
    <w:rsid w:val="00233E28"/>
    <w:rsid w:val="00235682"/>
    <w:rsid w:val="002412D7"/>
    <w:rsid w:val="00252DE9"/>
    <w:rsid w:val="002659B8"/>
    <w:rsid w:val="00284CE2"/>
    <w:rsid w:val="002A3AC7"/>
    <w:rsid w:val="002B754C"/>
    <w:rsid w:val="002C6E87"/>
    <w:rsid w:val="002D2A5C"/>
    <w:rsid w:val="002E2F16"/>
    <w:rsid w:val="002F5DD2"/>
    <w:rsid w:val="002F7C7C"/>
    <w:rsid w:val="0030293B"/>
    <w:rsid w:val="00305EC9"/>
    <w:rsid w:val="00307309"/>
    <w:rsid w:val="00310739"/>
    <w:rsid w:val="00341F7F"/>
    <w:rsid w:val="00345849"/>
    <w:rsid w:val="003516EE"/>
    <w:rsid w:val="003541F4"/>
    <w:rsid w:val="003766D5"/>
    <w:rsid w:val="00384E79"/>
    <w:rsid w:val="0039168D"/>
    <w:rsid w:val="003B10D1"/>
    <w:rsid w:val="003B11DB"/>
    <w:rsid w:val="003C080C"/>
    <w:rsid w:val="003C1A0D"/>
    <w:rsid w:val="003C359C"/>
    <w:rsid w:val="003C3EC0"/>
    <w:rsid w:val="003D4C44"/>
    <w:rsid w:val="003E4AA1"/>
    <w:rsid w:val="003F1153"/>
    <w:rsid w:val="003F4150"/>
    <w:rsid w:val="0041395D"/>
    <w:rsid w:val="004246F0"/>
    <w:rsid w:val="00425DA6"/>
    <w:rsid w:val="00465D26"/>
    <w:rsid w:val="00474E0C"/>
    <w:rsid w:val="00486465"/>
    <w:rsid w:val="00487012"/>
    <w:rsid w:val="00494982"/>
    <w:rsid w:val="004A01ED"/>
    <w:rsid w:val="004B1044"/>
    <w:rsid w:val="004B5110"/>
    <w:rsid w:val="004C6E19"/>
    <w:rsid w:val="004D615A"/>
    <w:rsid w:val="00524232"/>
    <w:rsid w:val="0054391F"/>
    <w:rsid w:val="00543930"/>
    <w:rsid w:val="00563A1E"/>
    <w:rsid w:val="00576745"/>
    <w:rsid w:val="00577D11"/>
    <w:rsid w:val="00580F21"/>
    <w:rsid w:val="005A0B5E"/>
    <w:rsid w:val="005C4110"/>
    <w:rsid w:val="005D25F6"/>
    <w:rsid w:val="005E51DE"/>
    <w:rsid w:val="00603AAE"/>
    <w:rsid w:val="00606503"/>
    <w:rsid w:val="00610268"/>
    <w:rsid w:val="00610D27"/>
    <w:rsid w:val="0061419C"/>
    <w:rsid w:val="0064489B"/>
    <w:rsid w:val="0065534B"/>
    <w:rsid w:val="0065795E"/>
    <w:rsid w:val="00667054"/>
    <w:rsid w:val="0068269F"/>
    <w:rsid w:val="00690B4C"/>
    <w:rsid w:val="006919F6"/>
    <w:rsid w:val="006A2D94"/>
    <w:rsid w:val="006B0380"/>
    <w:rsid w:val="006B2E75"/>
    <w:rsid w:val="006C012A"/>
    <w:rsid w:val="006C6E4B"/>
    <w:rsid w:val="006D0AAB"/>
    <w:rsid w:val="006D60DD"/>
    <w:rsid w:val="006D6DEA"/>
    <w:rsid w:val="006E349B"/>
    <w:rsid w:val="006F44E5"/>
    <w:rsid w:val="00705350"/>
    <w:rsid w:val="00711FA0"/>
    <w:rsid w:val="0071324D"/>
    <w:rsid w:val="00716A47"/>
    <w:rsid w:val="00737544"/>
    <w:rsid w:val="007376A8"/>
    <w:rsid w:val="00743C5C"/>
    <w:rsid w:val="00752443"/>
    <w:rsid w:val="00765C64"/>
    <w:rsid w:val="00793BF3"/>
    <w:rsid w:val="00794FFA"/>
    <w:rsid w:val="007A0479"/>
    <w:rsid w:val="007A1CF8"/>
    <w:rsid w:val="007A3EE6"/>
    <w:rsid w:val="007A7ECB"/>
    <w:rsid w:val="007C1C63"/>
    <w:rsid w:val="007E56FA"/>
    <w:rsid w:val="00830301"/>
    <w:rsid w:val="00835339"/>
    <w:rsid w:val="00850351"/>
    <w:rsid w:val="00873F54"/>
    <w:rsid w:val="00883D4E"/>
    <w:rsid w:val="008841B2"/>
    <w:rsid w:val="0088457C"/>
    <w:rsid w:val="008865A0"/>
    <w:rsid w:val="00895272"/>
    <w:rsid w:val="008A0BA3"/>
    <w:rsid w:val="008A5257"/>
    <w:rsid w:val="008B0CE0"/>
    <w:rsid w:val="00912000"/>
    <w:rsid w:val="009165F4"/>
    <w:rsid w:val="00985F14"/>
    <w:rsid w:val="00991605"/>
    <w:rsid w:val="009A38FA"/>
    <w:rsid w:val="009A701C"/>
    <w:rsid w:val="009C0D47"/>
    <w:rsid w:val="009C2FC8"/>
    <w:rsid w:val="009D0415"/>
    <w:rsid w:val="009D4F6C"/>
    <w:rsid w:val="009D637D"/>
    <w:rsid w:val="009E366C"/>
    <w:rsid w:val="009E5EC5"/>
    <w:rsid w:val="009E7637"/>
    <w:rsid w:val="009F131F"/>
    <w:rsid w:val="00A24625"/>
    <w:rsid w:val="00A65F4D"/>
    <w:rsid w:val="00A847F8"/>
    <w:rsid w:val="00AB592E"/>
    <w:rsid w:val="00AB66C9"/>
    <w:rsid w:val="00AC05E2"/>
    <w:rsid w:val="00AE512B"/>
    <w:rsid w:val="00AF2097"/>
    <w:rsid w:val="00AF3B7F"/>
    <w:rsid w:val="00B04247"/>
    <w:rsid w:val="00B37446"/>
    <w:rsid w:val="00B50D40"/>
    <w:rsid w:val="00B76F2B"/>
    <w:rsid w:val="00B8331D"/>
    <w:rsid w:val="00B94185"/>
    <w:rsid w:val="00B95A4F"/>
    <w:rsid w:val="00BE0B61"/>
    <w:rsid w:val="00BF0162"/>
    <w:rsid w:val="00BF5EBE"/>
    <w:rsid w:val="00C04674"/>
    <w:rsid w:val="00C04C5D"/>
    <w:rsid w:val="00C06A3D"/>
    <w:rsid w:val="00C1039B"/>
    <w:rsid w:val="00C142D5"/>
    <w:rsid w:val="00C15D26"/>
    <w:rsid w:val="00C24EA3"/>
    <w:rsid w:val="00C25652"/>
    <w:rsid w:val="00C67118"/>
    <w:rsid w:val="00C72539"/>
    <w:rsid w:val="00C73553"/>
    <w:rsid w:val="00C77545"/>
    <w:rsid w:val="00C96C04"/>
    <w:rsid w:val="00CA0B41"/>
    <w:rsid w:val="00CA6140"/>
    <w:rsid w:val="00CB1245"/>
    <w:rsid w:val="00CB21CF"/>
    <w:rsid w:val="00CD78BD"/>
    <w:rsid w:val="00CE0C82"/>
    <w:rsid w:val="00CE47E9"/>
    <w:rsid w:val="00CE5359"/>
    <w:rsid w:val="00CF6920"/>
    <w:rsid w:val="00CF78DB"/>
    <w:rsid w:val="00D012A0"/>
    <w:rsid w:val="00D024F4"/>
    <w:rsid w:val="00D03B64"/>
    <w:rsid w:val="00D05DC0"/>
    <w:rsid w:val="00D4144A"/>
    <w:rsid w:val="00D42C1D"/>
    <w:rsid w:val="00D56E54"/>
    <w:rsid w:val="00D57CE2"/>
    <w:rsid w:val="00D57D54"/>
    <w:rsid w:val="00D64D83"/>
    <w:rsid w:val="00D87A5F"/>
    <w:rsid w:val="00D91AD8"/>
    <w:rsid w:val="00D91B93"/>
    <w:rsid w:val="00DC7868"/>
    <w:rsid w:val="00DD391E"/>
    <w:rsid w:val="00DE4D39"/>
    <w:rsid w:val="00DE7209"/>
    <w:rsid w:val="00DF6523"/>
    <w:rsid w:val="00DF7971"/>
    <w:rsid w:val="00E01634"/>
    <w:rsid w:val="00E1092C"/>
    <w:rsid w:val="00E37B27"/>
    <w:rsid w:val="00E81241"/>
    <w:rsid w:val="00E90E20"/>
    <w:rsid w:val="00E91C8A"/>
    <w:rsid w:val="00E97EF7"/>
    <w:rsid w:val="00EA0A0A"/>
    <w:rsid w:val="00EA76D9"/>
    <w:rsid w:val="00EB570E"/>
    <w:rsid w:val="00EC5704"/>
    <w:rsid w:val="00ED3505"/>
    <w:rsid w:val="00EE2C11"/>
    <w:rsid w:val="00F00054"/>
    <w:rsid w:val="00F1460E"/>
    <w:rsid w:val="00F16B9A"/>
    <w:rsid w:val="00F17C99"/>
    <w:rsid w:val="00F21556"/>
    <w:rsid w:val="00F26E94"/>
    <w:rsid w:val="00F362FA"/>
    <w:rsid w:val="00F40E73"/>
    <w:rsid w:val="00F51842"/>
    <w:rsid w:val="00F6549F"/>
    <w:rsid w:val="00F77997"/>
    <w:rsid w:val="00F91BCD"/>
    <w:rsid w:val="00FA6C60"/>
    <w:rsid w:val="00FA71AC"/>
    <w:rsid w:val="00FB252B"/>
    <w:rsid w:val="00FD4484"/>
    <w:rsid w:val="00FF2728"/>
    <w:rsid w:val="00FF6DA7"/>
    <w:rsid w:val="437B6885"/>
    <w:rsid w:val="6D6F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22"/>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next w:val="1"/>
    <w:link w:val="23"/>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34"/>
    <w:semiHidden/>
    <w:unhideWhenUsed/>
    <w:qFormat/>
    <w:uiPriority w:val="99"/>
    <w:pPr>
      <w:spacing w:after="0" w:line="240" w:lineRule="auto"/>
    </w:pPr>
    <w:rPr>
      <w:rFonts w:ascii="Segoe UI" w:hAnsi="Segoe UI" w:cs="Segoe UI"/>
      <w:sz w:val="18"/>
      <w:szCs w:val="18"/>
    </w:rPr>
  </w:style>
  <w:style w:type="character" w:styleId="8">
    <w:name w:val="Emphasis"/>
    <w:basedOn w:val="5"/>
    <w:qFormat/>
    <w:uiPriority w:val="20"/>
    <w:rPr>
      <w:i/>
      <w:iCs/>
    </w:rPr>
  </w:style>
  <w:style w:type="paragraph" w:styleId="9">
    <w:name w:val="footer"/>
    <w:basedOn w:val="1"/>
    <w:link w:val="33"/>
    <w:unhideWhenUsed/>
    <w:qFormat/>
    <w:uiPriority w:val="99"/>
    <w:pPr>
      <w:tabs>
        <w:tab w:val="center" w:pos="4680"/>
        <w:tab w:val="right" w:pos="9360"/>
      </w:tabs>
      <w:spacing w:after="0" w:line="240" w:lineRule="auto"/>
    </w:pPr>
  </w:style>
  <w:style w:type="paragraph" w:styleId="10">
    <w:name w:val="header"/>
    <w:basedOn w:val="1"/>
    <w:link w:val="32"/>
    <w:unhideWhenUsed/>
    <w:qFormat/>
    <w:uiPriority w:val="99"/>
    <w:pPr>
      <w:tabs>
        <w:tab w:val="center" w:pos="4680"/>
        <w:tab w:val="right" w:pos="9360"/>
      </w:tabs>
      <w:spacing w:after="0" w:line="240" w:lineRule="auto"/>
    </w:p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5"/>
    <w:qFormat/>
    <w:uiPriority w:val="22"/>
    <w:rPr>
      <w:b/>
      <w:bCs/>
    </w:r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3 Char"/>
    <w:basedOn w:val="5"/>
    <w:link w:val="3"/>
    <w:qFormat/>
    <w:uiPriority w:val="9"/>
    <w:rPr>
      <w:rFonts w:ascii="Times New Roman" w:hAnsi="Times New Roman" w:eastAsia="Times New Roman" w:cs="Times New Roman"/>
      <w:b/>
      <w:bCs/>
      <w:sz w:val="27"/>
      <w:szCs w:val="27"/>
    </w:rPr>
  </w:style>
  <w:style w:type="character" w:customStyle="1" w:styleId="15">
    <w:name w:val="sr-only"/>
    <w:basedOn w:val="5"/>
    <w:qFormat/>
    <w:uiPriority w:val="0"/>
  </w:style>
  <w:style w:type="paragraph" w:customStyle="1" w:styleId="16">
    <w:name w:val="HTML Top of Form"/>
    <w:basedOn w:val="1"/>
    <w:next w:val="1"/>
    <w:link w:val="17"/>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17">
    <w:name w:val="z-Top of Form Char"/>
    <w:basedOn w:val="5"/>
    <w:link w:val="16"/>
    <w:semiHidden/>
    <w:qFormat/>
    <w:uiPriority w:val="99"/>
    <w:rPr>
      <w:rFonts w:ascii="Arial" w:hAnsi="Arial" w:eastAsia="Times New Roman" w:cs="Arial"/>
      <w:vanish/>
      <w:sz w:val="16"/>
      <w:szCs w:val="16"/>
    </w:rPr>
  </w:style>
  <w:style w:type="paragraph" w:customStyle="1" w:styleId="18">
    <w:name w:val="HTML Bottom of Form"/>
    <w:basedOn w:val="1"/>
    <w:next w:val="1"/>
    <w:link w:val="19"/>
    <w:semiHidden/>
    <w:unhideWhenUsed/>
    <w:qFormat/>
    <w:uiPriority w:val="99"/>
    <w:pPr>
      <w:pBdr>
        <w:top w:val="single" w:color="auto" w:sz="6" w:space="1"/>
      </w:pBdr>
      <w:spacing w:after="0" w:line="240" w:lineRule="auto"/>
      <w:jc w:val="center"/>
    </w:pPr>
    <w:rPr>
      <w:rFonts w:ascii="Arial" w:hAnsi="Arial" w:eastAsia="Times New Roman" w:cs="Arial"/>
      <w:vanish/>
      <w:sz w:val="16"/>
      <w:szCs w:val="16"/>
    </w:rPr>
  </w:style>
  <w:style w:type="character" w:customStyle="1" w:styleId="19">
    <w:name w:val="z-Bottom of Form Char"/>
    <w:basedOn w:val="5"/>
    <w:link w:val="18"/>
    <w:semiHidden/>
    <w:qFormat/>
    <w:uiPriority w:val="99"/>
    <w:rPr>
      <w:rFonts w:ascii="Arial" w:hAnsi="Arial" w:eastAsia="Times New Roman" w:cs="Arial"/>
      <w:vanish/>
      <w:sz w:val="16"/>
      <w:szCs w:val="16"/>
    </w:rPr>
  </w:style>
  <w:style w:type="paragraph" w:styleId="20">
    <w:name w:val="List Paragraph"/>
    <w:basedOn w:val="1"/>
    <w:qFormat/>
    <w:uiPriority w:val="34"/>
    <w:pPr>
      <w:ind w:left="720"/>
      <w:contextualSpacing/>
    </w:pPr>
  </w:style>
  <w:style w:type="character" w:customStyle="1" w:styleId="21">
    <w:name w:val="katex-mathml"/>
    <w:basedOn w:val="5"/>
    <w:qFormat/>
    <w:uiPriority w:val="0"/>
  </w:style>
  <w:style w:type="character" w:customStyle="1" w:styleId="22">
    <w:name w:val="Heading 2 Char"/>
    <w:basedOn w:val="5"/>
    <w:link w:val="2"/>
    <w:semiHidden/>
    <w:qFormat/>
    <w:uiPriority w:val="9"/>
    <w:rPr>
      <w:rFonts w:asciiTheme="majorHAnsi" w:hAnsiTheme="majorHAnsi" w:eastAsiaTheme="majorEastAsia" w:cstheme="majorBidi"/>
      <w:color w:val="2F5597" w:themeColor="accent1" w:themeShade="BF"/>
      <w:sz w:val="26"/>
      <w:szCs w:val="26"/>
    </w:rPr>
  </w:style>
  <w:style w:type="character" w:customStyle="1" w:styleId="23">
    <w:name w:val="Heading 4 Char"/>
    <w:basedOn w:val="5"/>
    <w:link w:val="4"/>
    <w:qFormat/>
    <w:uiPriority w:val="9"/>
    <w:rPr>
      <w:rFonts w:asciiTheme="majorHAnsi" w:hAnsiTheme="majorHAnsi" w:eastAsiaTheme="majorEastAsia" w:cstheme="majorBidi"/>
      <w:i/>
      <w:iCs/>
      <w:color w:val="2F5597" w:themeColor="accent1" w:themeShade="BF"/>
    </w:rPr>
  </w:style>
  <w:style w:type="character" w:customStyle="1" w:styleId="24">
    <w:name w:val="mord"/>
    <w:basedOn w:val="5"/>
    <w:qFormat/>
    <w:uiPriority w:val="0"/>
  </w:style>
  <w:style w:type="character" w:customStyle="1" w:styleId="25">
    <w:name w:val="mspace"/>
    <w:basedOn w:val="5"/>
    <w:qFormat/>
    <w:uiPriority w:val="0"/>
  </w:style>
  <w:style w:type="character" w:customStyle="1" w:styleId="26">
    <w:name w:val="mrel"/>
    <w:basedOn w:val="5"/>
    <w:qFormat/>
    <w:uiPriority w:val="0"/>
  </w:style>
  <w:style w:type="character" w:customStyle="1" w:styleId="27">
    <w:name w:val="mopen"/>
    <w:basedOn w:val="5"/>
    <w:qFormat/>
    <w:uiPriority w:val="0"/>
  </w:style>
  <w:style w:type="character" w:customStyle="1" w:styleId="28">
    <w:name w:val="mbin"/>
    <w:basedOn w:val="5"/>
    <w:qFormat/>
    <w:uiPriority w:val="0"/>
  </w:style>
  <w:style w:type="character" w:customStyle="1" w:styleId="29">
    <w:name w:val="vlist-s"/>
    <w:basedOn w:val="5"/>
    <w:qFormat/>
    <w:uiPriority w:val="0"/>
  </w:style>
  <w:style w:type="character" w:customStyle="1" w:styleId="30">
    <w:name w:val="mclose"/>
    <w:basedOn w:val="5"/>
    <w:qFormat/>
    <w:uiPriority w:val="0"/>
  </w:style>
  <w:style w:type="paragraph" w:customStyle="1" w:styleId="31">
    <w:name w:val="placeholder"/>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2">
    <w:name w:val="Header Char"/>
    <w:basedOn w:val="5"/>
    <w:link w:val="10"/>
    <w:qFormat/>
    <w:uiPriority w:val="99"/>
  </w:style>
  <w:style w:type="character" w:customStyle="1" w:styleId="33">
    <w:name w:val="Footer Char"/>
    <w:basedOn w:val="5"/>
    <w:link w:val="9"/>
    <w:qFormat/>
    <w:uiPriority w:val="99"/>
  </w:style>
  <w:style w:type="character" w:customStyle="1" w:styleId="34">
    <w:name w:val="Balloon Text Char"/>
    <w:basedOn w:val="5"/>
    <w:link w:val="7"/>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9121</Words>
  <Characters>51995</Characters>
  <Lines>433</Lines>
  <Paragraphs>121</Paragraphs>
  <TotalTime>2</TotalTime>
  <ScaleCrop>false</ScaleCrop>
  <LinksUpToDate>false</LinksUpToDate>
  <CharactersWithSpaces>60995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2025-07-17T09:17:00Z</dcterms:created>
  <dc:creator>AJAGBE</dc:creator>
  <cp:lastModifiedBy>Musa Muritadho</cp:lastModifiedBy>
  <cp:lastPrinted>2025-07-16T14:11:00Z</cp:lastPrinted>
  <dcterms:modified xsi:type="dcterms:W3CDTF">2025-07-25T16:55:19Z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45B9D3B6BF5A4ABB9841C4F58908BAE3_13</vt:lpwstr>
  </property>
</Properties>
</file>