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charts/chart1.xml" ContentType="application/vnd.openxmlformats-officedocument.drawingml.chart+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sz w:val="32"/>
          <w:szCs w:val="26"/>
        </w:rPr>
      </w:pPr>
      <w:r>
        <w:rPr>
          <w:noProof/>
        </w:rPr>
        <w:drawing>
          <wp:anchor distT="0" distB="0" distL="0" distR="0" simplePos="false" relativeHeight="2"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26"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240" w:lineRule="auto" w:line="480"/>
        <w:jc w:val="center"/>
        <w:rPr>
          <w:rFonts w:ascii="Tahoma" w:cs="Tahoma" w:hAnsi="Tahoma"/>
          <w:b/>
          <w:sz w:val="32"/>
          <w:szCs w:val="26"/>
        </w:rPr>
      </w:pPr>
      <w:r>
        <w:rPr>
          <w:rFonts w:ascii="Tahoma" w:cs="Tahoma" w:hAnsi="Tahoma"/>
          <w:b/>
          <w:sz w:val="32"/>
          <w:szCs w:val="26"/>
        </w:rPr>
        <w:t xml:space="preserve">AMELIORATIVE EFFECTS OF </w:t>
      </w:r>
      <w:r>
        <w:rPr>
          <w:rFonts w:ascii="Tahoma" w:cs="Tahoma" w:hAnsi="Tahoma"/>
          <w:b/>
          <w:i/>
          <w:sz w:val="32"/>
          <w:szCs w:val="26"/>
        </w:rPr>
        <w:t>Sida acuta</w:t>
      </w:r>
      <w:r>
        <w:rPr>
          <w:rFonts w:ascii="Tahoma" w:cs="Tahoma" w:hAnsi="Tahoma"/>
          <w:b/>
          <w:sz w:val="32"/>
          <w:szCs w:val="26"/>
        </w:rPr>
        <w:t xml:space="preserve"> ON INDOMETHACIN-INDUCED ULCEROGENIC RATS</w:t>
      </w:r>
    </w:p>
    <w:p>
      <w:pPr>
        <w:pStyle w:val="style0"/>
        <w:spacing w:lineRule="auto" w:line="480"/>
        <w:jc w:val="center"/>
        <w:rPr>
          <w:rFonts w:ascii="Tahoma" w:cs="Tahoma" w:hAnsi="Tahoma"/>
          <w:b/>
          <w:bCs/>
          <w:sz w:val="38"/>
          <w:szCs w:val="26"/>
        </w:rPr>
      </w:pPr>
      <w:r>
        <w:rPr>
          <w:rFonts w:ascii="Tahoma" w:cs="Tahoma" w:hAnsi="Tahoma"/>
          <w:b/>
          <w:bCs/>
          <w:sz w:val="38"/>
          <w:szCs w:val="26"/>
        </w:rPr>
        <w:t>Presented By:</w:t>
      </w:r>
    </w:p>
    <w:p>
      <w:pPr>
        <w:pStyle w:val="style0"/>
        <w:jc w:val="center"/>
        <w:rPr>
          <w:rFonts w:ascii="Tahoma" w:cs="Tahoma" w:hAnsi="Tahoma"/>
          <w:b/>
          <w:bCs/>
          <w:sz w:val="42"/>
          <w:szCs w:val="26"/>
        </w:rPr>
      </w:pPr>
      <w:r>
        <w:rPr>
          <w:rFonts w:cs="Tahoma" w:hAnsi="Tahoma"/>
          <w:b/>
          <w:bCs/>
          <w:sz w:val="42"/>
          <w:szCs w:val="26"/>
          <w:lang w:val="en-US"/>
        </w:rPr>
        <w:t>JIMOH KUBURAT DAMILOLA</w:t>
      </w:r>
    </w:p>
    <w:p>
      <w:pPr>
        <w:pStyle w:val="style0"/>
        <w:jc w:val="center"/>
        <w:rPr>
          <w:rFonts w:ascii="Tahoma" w:cs="Tahoma" w:hAnsi="Tahoma"/>
          <w:b/>
          <w:bCs/>
          <w:sz w:val="36"/>
          <w:szCs w:val="26"/>
        </w:rPr>
      </w:pPr>
      <w:r>
        <w:rPr>
          <w:rFonts w:ascii="Tahoma" w:cs="Tahoma" w:hAnsi="Tahoma"/>
          <w:b/>
          <w:bCs/>
          <w:sz w:val="36"/>
          <w:szCs w:val="26"/>
        </w:rPr>
        <w:t>HND/23/SLT/FT/</w:t>
      </w:r>
      <w:r>
        <w:rPr>
          <w:rFonts w:cs="Tahoma" w:hAnsi="Tahoma"/>
          <w:b/>
          <w:bCs/>
          <w:sz w:val="36"/>
          <w:szCs w:val="26"/>
          <w:lang w:val="en-US"/>
        </w:rPr>
        <w:t>0819</w:t>
      </w:r>
    </w:p>
    <w:p>
      <w:pPr>
        <w:pStyle w:val="style0"/>
        <w:spacing w:lineRule="auto" w:line="480"/>
        <w:jc w:val="center"/>
        <w:rPr>
          <w:rFonts w:ascii="Tahoma" w:cs="Tahoma" w:hAnsi="Tahoma"/>
          <w:b/>
          <w:bCs/>
          <w:sz w:val="26"/>
          <w:szCs w:val="26"/>
        </w:rPr>
      </w:pPr>
    </w:p>
    <w:p>
      <w:pPr>
        <w:pStyle w:val="style0"/>
        <w:spacing w:lineRule="auto" w:line="480"/>
        <w:jc w:val="center"/>
        <w:rPr>
          <w:rFonts w:ascii="Tahoma" w:cs="Tahoma" w:hAnsi="Tahoma"/>
          <w:b/>
          <w:bCs/>
          <w:sz w:val="16"/>
          <w:szCs w:val="26"/>
        </w:rPr>
      </w:pPr>
      <w:r>
        <w:rPr>
          <w:rFonts w:ascii="Tahoma" w:cs="Tahoma" w:hAnsi="Tahoma"/>
          <w:b/>
          <w:bCs/>
          <w:sz w:val="22"/>
          <w:szCs w:val="26"/>
        </w:rPr>
        <w:t xml:space="preserve">A RESEARCH PROJECT SUBMITTED TO THE DEPARTMENT OF SCIENCE LABORATORY TECHNOLOGY (BIOCHEMISTRY UNIT), INSTITUTE OF APPLIED SCIENCES, (IAS) KWARA STATE POLYTECHNIC, </w:t>
      </w:r>
      <w:r>
        <w:rPr>
          <w:rFonts w:ascii="Tahoma" w:cs="Tahoma" w:hAnsi="Tahoma"/>
          <w:b/>
          <w:bCs/>
          <w:sz w:val="22"/>
          <w:szCs w:val="26"/>
        </w:rPr>
        <w:t>ILORIN</w:t>
      </w:r>
      <w:r>
        <w:rPr>
          <w:rFonts w:ascii="Tahoma" w:cs="Tahoma" w:hAnsi="Tahoma"/>
          <w:b/>
          <w:bCs/>
          <w:sz w:val="22"/>
          <w:szCs w:val="26"/>
        </w:rPr>
        <w:t>.</w:t>
      </w:r>
    </w:p>
    <w:p>
      <w:pPr>
        <w:pStyle w:val="style0"/>
        <w:spacing w:lineRule="auto" w:line="480"/>
        <w:jc w:val="center"/>
        <w:rPr>
          <w:rFonts w:ascii="Tahoma" w:cs="Tahoma" w:hAnsi="Tahoma"/>
          <w:b/>
          <w:bCs/>
          <w:sz w:val="22"/>
          <w:szCs w:val="26"/>
        </w:rPr>
      </w:pPr>
      <w:r>
        <w:rPr>
          <w:rFonts w:ascii="Tahoma" w:cs="Tahoma" w:hAnsi="Tahoma"/>
          <w:b/>
          <w:bCs/>
          <w:sz w:val="22"/>
          <w:szCs w:val="26"/>
        </w:rPr>
        <w:t>IN PARTIAL FULFUILMENT OF THE REQUIREMENTS FOR THE AWARD OF HIGHER NATIONAL DIPLOMA (HND) IN SCIENCE LABORATORY TECHNOLOGY.</w:t>
      </w:r>
    </w:p>
    <w:p>
      <w:pPr>
        <w:pStyle w:val="style0"/>
        <w:jc w:val="center"/>
        <w:rPr>
          <w:rFonts w:ascii="Tahoma" w:cs="Tahoma" w:hAnsi="Tahoma"/>
          <w:b/>
          <w:bCs/>
          <w:sz w:val="24"/>
          <w:szCs w:val="26"/>
        </w:rPr>
      </w:pPr>
      <w:r>
        <w:rPr>
          <w:rFonts w:ascii="Tahoma" w:cs="Tahoma" w:hAnsi="Tahoma"/>
          <w:b/>
          <w:bCs/>
          <w:sz w:val="24"/>
          <w:szCs w:val="26"/>
        </w:rPr>
        <w:t>SUPERVISED BY</w:t>
      </w:r>
    </w:p>
    <w:p>
      <w:pPr>
        <w:pStyle w:val="style0"/>
        <w:jc w:val="center"/>
        <w:rPr>
          <w:b/>
          <w:color w:val="000000"/>
          <w:sz w:val="26"/>
        </w:rPr>
      </w:pPr>
      <w:r>
        <w:rPr>
          <w:b/>
          <w:color w:val="000000"/>
          <w:sz w:val="26"/>
        </w:rPr>
        <w:t xml:space="preserve">DR. (MRS.) HASSAN, I.R. </w:t>
      </w:r>
    </w:p>
    <w:p>
      <w:pPr>
        <w:pStyle w:val="style0"/>
        <w:ind w:left="5760" w:firstLine="720"/>
        <w:jc w:val="center"/>
        <w:rPr>
          <w:rFonts w:ascii="Calibri" w:cs="宋体" w:hAnsi="Calibri"/>
          <w:b/>
          <w:color w:val="000000"/>
          <w:sz w:val="26"/>
          <w:szCs w:val="22"/>
        </w:rPr>
      </w:pPr>
      <w:r>
        <w:rPr>
          <w:rFonts w:ascii="Tahoma" w:cs="Tahoma" w:hAnsi="Tahoma"/>
          <w:b/>
          <w:color w:val="000000"/>
          <w:szCs w:val="38"/>
        </w:rPr>
        <w:t xml:space="preserve">     JULY, 2025</w:t>
      </w:r>
    </w:p>
    <w:p>
      <w:pPr>
        <w:pStyle w:val="style0"/>
        <w:spacing w:lineRule="auto" w:line="360"/>
        <w:jc w:val="center"/>
        <w:rPr>
          <w:b/>
          <w:color w:val="000000"/>
          <w:sz w:val="24"/>
          <w:szCs w:val="24"/>
        </w:rPr>
      </w:pPr>
      <w:r>
        <w:rPr>
          <w:b/>
          <w:color w:val="000000"/>
          <w:sz w:val="24"/>
          <w:szCs w:val="24"/>
        </w:rPr>
        <w:t>CERTIFICATION</w:t>
      </w:r>
    </w:p>
    <w:p>
      <w:pPr>
        <w:pStyle w:val="style0"/>
        <w:spacing w:lineRule="auto" w:line="360"/>
        <w:ind w:left="-90" w:firstLine="90"/>
        <w:jc w:val="both"/>
        <w:rPr>
          <w:color w:val="000000"/>
          <w:sz w:val="24"/>
          <w:szCs w:val="24"/>
        </w:rPr>
      </w:pPr>
      <w:r>
        <w:rPr>
          <w:color w:val="000000"/>
          <w:sz w:val="24"/>
          <w:szCs w:val="24"/>
        </w:rPr>
        <w:t xml:space="preserve">This is to certify that this project research was written by </w:t>
      </w:r>
      <w:r>
        <w:rPr>
          <w:color w:val="000000"/>
          <w:sz w:val="24"/>
          <w:szCs w:val="24"/>
          <w:lang w:val="en-US"/>
        </w:rPr>
        <w:t xml:space="preserve">JIMOH KUBURAT DAMILOLA </w:t>
      </w:r>
      <w:r>
        <w:rPr>
          <w:b/>
          <w:color w:val="000000"/>
          <w:sz w:val="24"/>
          <w:szCs w:val="24"/>
        </w:rPr>
        <w:t>HND/23/SLT/FT/</w:t>
      </w:r>
      <w:r>
        <w:rPr>
          <w:b/>
          <w:color w:val="000000"/>
          <w:sz w:val="24"/>
          <w:szCs w:val="24"/>
          <w:lang w:val="en-US"/>
        </w:rPr>
        <w:t>0819,</w:t>
      </w:r>
      <w:r>
        <w:rPr>
          <w:color w:val="000000"/>
          <w:sz w:val="24"/>
          <w:szCs w:val="24"/>
        </w:rPr>
        <w:t xml:space="preserve">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pPr>
        <w:pStyle w:val="style0"/>
        <w:spacing w:lineRule="auto" w:line="360"/>
        <w:ind w:left="-90" w:firstLine="90"/>
        <w:jc w:val="both"/>
        <w:rPr>
          <w:color w:val="000000"/>
          <w:sz w:val="24"/>
          <w:szCs w:val="24"/>
        </w:rPr>
      </w:pP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rPr>
          <w:color w:val="000000"/>
          <w:sz w:val="24"/>
          <w:szCs w:val="24"/>
        </w:rPr>
      </w:pPr>
    </w:p>
    <w:p>
      <w:pPr>
        <w:pStyle w:val="style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tabs>
          <w:tab w:val="left" w:leader="none" w:pos="2202"/>
        </w:tabs>
        <w:ind w:left="-90" w:firstLine="90"/>
        <w:rPr>
          <w:b/>
          <w:color w:val="000000"/>
          <w:sz w:val="24"/>
          <w:szCs w:val="24"/>
        </w:rPr>
      </w:pPr>
      <w:r>
        <w:rPr>
          <w:b/>
          <w:color w:val="000000"/>
          <w:sz w:val="24"/>
          <w:szCs w:val="24"/>
        </w:rPr>
        <w:tab/>
      </w:r>
    </w:p>
    <w:p>
      <w:pPr>
        <w:pStyle w:val="style0"/>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p>
    <w:p>
      <w:pPr>
        <w:pStyle w:val="style0"/>
        <w:tabs>
          <w:tab w:val="center" w:leader="none" w:pos="5233"/>
        </w:tabs>
        <w:spacing w:lineRule="auto" w:line="240"/>
        <w:rPr>
          <w:b/>
          <w:color w:val="000000"/>
          <w:sz w:val="24"/>
          <w:szCs w:val="24"/>
        </w:rPr>
      </w:pPr>
      <w:r>
        <w:rPr>
          <w:b/>
          <w:color w:val="000000"/>
          <w:sz w:val="24"/>
          <w:szCs w:val="24"/>
        </w:rPr>
        <w:t>DR. USMAN, ABDULKAREEM</w:t>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rPr>
          <w:color w:val="000000"/>
          <w:sz w:val="24"/>
          <w:szCs w:val="24"/>
        </w:rPr>
      </w:pPr>
      <w:r>
        <w:rPr>
          <w:b/>
          <w:color w:val="000000"/>
          <w:sz w:val="24"/>
          <w:szCs w:val="24"/>
        </w:rPr>
        <w:t>HEAD 0F DEPARTMENT</w:t>
      </w:r>
      <w:r>
        <w:rPr>
          <w:color w:val="000000"/>
          <w:sz w:val="24"/>
          <w:szCs w:val="24"/>
        </w:rPr>
        <w:tab/>
      </w:r>
    </w:p>
    <w:p>
      <w:pPr>
        <w:pStyle w:val="style0"/>
        <w:spacing w:lineRule="auto" w:line="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480"/>
        <w:rPr>
          <w:sz w:val="24"/>
          <w:szCs w:val="24"/>
        </w:rPr>
      </w:pPr>
    </w:p>
    <w:p>
      <w:pPr>
        <w:pStyle w:val="style0"/>
        <w:spacing w:lineRule="auto" w:line="480"/>
        <w:rPr>
          <w:sz w:val="24"/>
          <w:szCs w:val="24"/>
        </w:rPr>
      </w:pPr>
    </w:p>
    <w:p>
      <w:pPr>
        <w:pStyle w:val="style0"/>
        <w:spacing w:lineRule="auto" w:line="480"/>
        <w:jc w:val="center"/>
        <w:rPr>
          <w:sz w:val="24"/>
          <w:szCs w:val="24"/>
        </w:rPr>
      </w:pPr>
      <w:r>
        <w:rPr>
          <w:b/>
          <w:sz w:val="24"/>
          <w:szCs w:val="24"/>
        </w:rPr>
        <w:t>DEDICATION</w:t>
      </w:r>
    </w:p>
    <w:p>
      <w:pPr>
        <w:pStyle w:val="style0"/>
        <w:spacing w:before="240" w:lineRule="auto" w:line="480"/>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r>
        <w:rPr>
          <w:sz w:val="26"/>
          <w:szCs w:val="24"/>
        </w:rPr>
        <w:t>understanding</w:t>
      </w:r>
      <w:r>
        <w:rPr>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b/>
          <w:sz w:val="24"/>
          <w:szCs w:val="24"/>
        </w:rPr>
      </w:pPr>
    </w:p>
    <w:p>
      <w:pPr>
        <w:pStyle w:val="style0"/>
        <w:spacing w:lineRule="auto" w:line="480"/>
        <w:jc w:val="center"/>
        <w:rPr>
          <w:b/>
          <w:sz w:val="24"/>
          <w:szCs w:val="24"/>
        </w:rPr>
      </w:pPr>
    </w:p>
    <w:p>
      <w:pPr>
        <w:pStyle w:val="style0"/>
        <w:spacing w:lineRule="auto" w:line="480"/>
        <w:jc w:val="both"/>
        <w:rPr>
          <w:b/>
          <w:sz w:val="24"/>
          <w:szCs w:val="24"/>
        </w:rPr>
      </w:pPr>
      <w:r>
        <w:rPr>
          <w:b/>
          <w:sz w:val="24"/>
          <w:szCs w:val="24"/>
        </w:rPr>
        <w:tab/>
      </w:r>
      <w:r>
        <w:rPr>
          <w:b/>
          <w:sz w:val="24"/>
          <w:szCs w:val="24"/>
        </w:rPr>
        <w:tab/>
      </w:r>
      <w:r>
        <w:rPr>
          <w:b/>
          <w:sz w:val="24"/>
          <w:szCs w:val="24"/>
        </w:rPr>
        <w:tab/>
      </w:r>
      <w:r>
        <w:rPr>
          <w:b/>
          <w:sz w:val="24"/>
          <w:szCs w:val="24"/>
        </w:rPr>
        <w:tab/>
      </w: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jc w:val="center"/>
        <w:rPr>
          <w:b/>
          <w:sz w:val="24"/>
          <w:szCs w:val="24"/>
        </w:rPr>
      </w:pPr>
      <w:r>
        <w:rPr>
          <w:b/>
          <w:sz w:val="24"/>
          <w:szCs w:val="24"/>
        </w:rPr>
        <w:t>ACKNOWLEDGEMENT</w:t>
      </w:r>
    </w:p>
    <w:p>
      <w:pPr>
        <w:pStyle w:val="style0"/>
        <w:spacing w:lineRule="auto" w:line="480"/>
        <w:jc w:val="both"/>
        <w:rPr>
          <w:b/>
          <w:sz w:val="26"/>
          <w:szCs w:val="26"/>
        </w:rPr>
      </w:pPr>
      <w:r>
        <w:rPr>
          <w:sz w:val="26"/>
          <w:szCs w:val="24"/>
        </w:rPr>
        <w:t>I would like to express my heartfelt gratitude to all those who supported me throughout the course of this project.</w:t>
      </w:r>
    </w:p>
    <w:p>
      <w:pPr>
        <w:pStyle w:val="style0"/>
        <w:spacing w:lineRule="auto" w:line="480"/>
        <w:jc w:val="both"/>
        <w:rPr>
          <w:b/>
          <w:sz w:val="26"/>
          <w:szCs w:val="26"/>
        </w:rPr>
      </w:pPr>
      <w:r>
        <w:rPr>
          <w:b/>
          <w:sz w:val="26"/>
          <w:szCs w:val="26"/>
          <w:lang w:val="en-US"/>
        </w:rPr>
        <w:t>First and foremost, I am deeply thankful to Dr.(Mrs). Hassan I.R  my project supervisor, for their invaluable guidance, constructive feedback, and unwavering support from the inception of this project to its completion. Their insights and encouragement played a significant role in shaping the outcome of this work.</w:t>
      </w:r>
    </w:p>
    <w:p>
      <w:pPr>
        <w:pStyle w:val="style0"/>
        <w:spacing w:lineRule="auto" w:line="480"/>
        <w:jc w:val="both"/>
        <w:rPr>
          <w:b/>
          <w:sz w:val="26"/>
          <w:szCs w:val="26"/>
        </w:rPr>
      </w:pPr>
      <w:r>
        <w:rPr>
          <w:b/>
          <w:sz w:val="26"/>
          <w:szCs w:val="26"/>
          <w:lang w:val="en-US"/>
        </w:rPr>
        <w:t>I would also like to extend my appreciation to the (HOU ) Mrs. Salaudeen K.A and (HOD) DR. USMAN ABDULKAREEM for providing the necessary resources and a conducive environment for research and development.</w:t>
      </w:r>
    </w:p>
    <w:p>
      <w:pPr>
        <w:pStyle w:val="style0"/>
        <w:spacing w:lineRule="auto" w:line="480"/>
        <w:jc w:val="both"/>
        <w:rPr>
          <w:b/>
          <w:sz w:val="26"/>
          <w:szCs w:val="26"/>
        </w:rPr>
      </w:pPr>
      <w:r>
        <w:rPr>
          <w:b/>
          <w:sz w:val="26"/>
          <w:szCs w:val="26"/>
          <w:lang w:val="en-US"/>
        </w:rPr>
        <w:t>A special thanks to my colleagues and friends for their constant motivation, encouragement, and assistance during the challenging moments of this project.</w:t>
      </w:r>
    </w:p>
    <w:p>
      <w:pPr>
        <w:pStyle w:val="style0"/>
        <w:spacing w:lineRule="auto" w:line="480"/>
        <w:jc w:val="both"/>
        <w:rPr>
          <w:b/>
          <w:sz w:val="26"/>
          <w:szCs w:val="26"/>
        </w:rPr>
      </w:pPr>
      <w:r>
        <w:rPr>
          <w:b/>
          <w:sz w:val="26"/>
          <w:szCs w:val="26"/>
          <w:lang w:val="en-US"/>
        </w:rPr>
        <w:t>Last but not least, I am immensely grateful to my family for their patience, love, and unending support throughout the journey.</w:t>
      </w:r>
    </w:p>
    <w:p>
      <w:pPr>
        <w:pStyle w:val="style0"/>
        <w:spacing w:lineRule="auto" w:line="480"/>
        <w:jc w:val="both"/>
        <w:rPr>
          <w:b/>
          <w:sz w:val="26"/>
          <w:szCs w:val="26"/>
        </w:rPr>
      </w:pPr>
      <w:r>
        <w:rPr>
          <w:b/>
          <w:sz w:val="26"/>
          <w:szCs w:val="26"/>
          <w:lang w:val="en-US"/>
        </w:rPr>
        <w:t>This project would not have been possible without the contribution and encouragement of each and every one of you. Thank you.</w:t>
      </w:r>
    </w:p>
    <w:p>
      <w:pPr>
        <w:pStyle w:val="style0"/>
        <w:jc w:val="center"/>
        <w:rPr>
          <w:b/>
          <w:sz w:val="24"/>
          <w:szCs w:val="26"/>
        </w:rPr>
      </w:pPr>
      <w:r>
        <w:rPr>
          <w:b/>
          <w:sz w:val="24"/>
          <w:szCs w:val="26"/>
        </w:rPr>
        <w:t>TABLE OF CONTENTS</w:t>
      </w:r>
    </w:p>
    <w:p>
      <w:pPr>
        <w:pStyle w:val="style0"/>
        <w:spacing w:lineRule="auto" w:line="480"/>
        <w:rPr>
          <w:b/>
          <w:sz w:val="24"/>
          <w:szCs w:val="26"/>
        </w:rPr>
      </w:pPr>
      <w:r>
        <w:rPr>
          <w:b/>
          <w:sz w:val="24"/>
          <w:szCs w:val="26"/>
        </w:rPr>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w:t>
      </w:r>
    </w:p>
    <w:p>
      <w:pPr>
        <w:pStyle w:val="style0"/>
        <w:spacing w:lineRule="auto" w:line="480"/>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w:t>
      </w:r>
    </w:p>
    <w:p>
      <w:pPr>
        <w:pStyle w:val="style0"/>
        <w:spacing w:lineRule="auto" w:line="480"/>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iii</w:t>
      </w:r>
    </w:p>
    <w:p>
      <w:pPr>
        <w:pStyle w:val="style0"/>
        <w:spacing w:lineRule="auto" w:line="480"/>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iv</w:t>
      </w:r>
    </w:p>
    <w:p>
      <w:pPr>
        <w:pStyle w:val="style0"/>
        <w:spacing w:lineRule="auto" w:line="480"/>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w:t>
      </w:r>
    </w:p>
    <w:p>
      <w:pPr>
        <w:pStyle w:val="style0"/>
        <w:spacing w:lineRule="auto" w:line="480"/>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viii</w:t>
      </w:r>
    </w:p>
    <w:p>
      <w:pPr>
        <w:pStyle w:val="style0"/>
        <w:spacing w:lineRule="auto" w:line="360"/>
        <w:rPr>
          <w:b/>
          <w:sz w:val="24"/>
          <w:szCs w:val="26"/>
        </w:rPr>
      </w:pPr>
      <w:r>
        <w:rPr>
          <w:b/>
          <w:sz w:val="24"/>
          <w:szCs w:val="26"/>
        </w:rPr>
        <w:t>CHAPTER ONE</w:t>
      </w:r>
    </w:p>
    <w:p>
      <w:pPr>
        <w:pStyle w:val="style179"/>
        <w:numPr>
          <w:ilvl w:val="0"/>
          <w:numId w:val="1"/>
        </w:numPr>
        <w:spacing w:after="0" w:lineRule="auto" w:line="360"/>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p>
    <w:p>
      <w:pPr>
        <w:pStyle w:val="style0"/>
        <w:spacing w:after="0" w:lineRule="auto" w:line="480"/>
        <w:jc w:val="both"/>
        <w:rPr>
          <w:bCs/>
          <w:color w:val="000000"/>
          <w:sz w:val="24"/>
          <w:szCs w:val="26"/>
        </w:rPr>
      </w:pPr>
      <w:r>
        <w:rPr>
          <w:bCs/>
          <w:color w:val="000000"/>
          <w:sz w:val="24"/>
          <w:szCs w:val="26"/>
        </w:rPr>
        <w:t xml:space="preserve">1.1 </w:t>
      </w:r>
      <w:r>
        <w:rPr>
          <w:bCs/>
          <w:color w:val="000000"/>
          <w:sz w:val="24"/>
          <w:szCs w:val="26"/>
        </w:rPr>
        <w:t xml:space="preserve">   </w:t>
      </w:r>
      <w:r>
        <w:rPr>
          <w:bCs/>
          <w:color w:val="000000"/>
          <w:sz w:val="24"/>
          <w:szCs w:val="26"/>
        </w:rPr>
        <w:t>Background of</w:t>
      </w:r>
      <w:bookmarkStart w:id="0" w:name="_GoBack"/>
      <w:bookmarkEnd w:id="0"/>
      <w:r>
        <w:rPr>
          <w:bCs/>
          <w:color w:val="000000"/>
          <w:sz w:val="24"/>
          <w:szCs w:val="26"/>
        </w:rPr>
        <w:t xml:space="preserve">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r>
        <w:rPr>
          <w:bCs/>
          <w:color w:val="000000"/>
          <w:sz w:val="24"/>
          <w:szCs w:val="26"/>
        </w:rPr>
        <w:t>-6</w:t>
      </w:r>
    </w:p>
    <w:p>
      <w:pPr>
        <w:pStyle w:val="style0"/>
        <w:spacing w:after="0" w:lineRule="auto" w:line="480"/>
        <w:jc w:val="both"/>
        <w:rPr>
          <w:bCs/>
          <w:color w:val="000000"/>
          <w:sz w:val="24"/>
          <w:szCs w:val="26"/>
        </w:rPr>
      </w:pPr>
      <w:r>
        <w:rPr>
          <w:bCs/>
          <w:color w:val="000000"/>
          <w:sz w:val="24"/>
          <w:szCs w:val="26"/>
        </w:rPr>
        <w:t xml:space="preserve">1.2 </w:t>
      </w:r>
      <w:r>
        <w:rPr>
          <w:bCs/>
          <w:color w:val="000000"/>
          <w:sz w:val="24"/>
          <w:szCs w:val="26"/>
        </w:rPr>
        <w:t xml:space="preserve">   </w:t>
      </w:r>
      <w:r>
        <w:rPr>
          <w:bCs/>
          <w:color w:val="000000"/>
          <w:sz w:val="24"/>
          <w:szCs w:val="26"/>
        </w:rPr>
        <w:t>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6</w:t>
      </w:r>
      <w:r>
        <w:rPr>
          <w:bCs/>
          <w:color w:val="000000"/>
          <w:sz w:val="24"/>
          <w:szCs w:val="26"/>
        </w:rPr>
        <w:t>-7</w:t>
      </w:r>
    </w:p>
    <w:p>
      <w:pPr>
        <w:pStyle w:val="style94"/>
        <w:spacing w:after="0" w:afterAutospacing="false" w:lineRule="auto" w:line="480"/>
        <w:jc w:val="both"/>
        <w:rPr>
          <w:color w:val="000000"/>
          <w:szCs w:val="26"/>
        </w:rPr>
      </w:pPr>
      <w:r>
        <w:rPr>
          <w:color w:val="000000"/>
          <w:szCs w:val="26"/>
        </w:rPr>
        <w:t xml:space="preserve">1.2 </w:t>
      </w:r>
      <w:r>
        <w:rPr>
          <w:color w:val="000000"/>
          <w:szCs w:val="26"/>
        </w:rPr>
        <w:t xml:space="preserve">   </w:t>
      </w:r>
      <w:r>
        <w:rPr>
          <w:color w:val="000000"/>
          <w:szCs w:val="26"/>
        </w:rPr>
        <w:t>Justification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7</w:t>
      </w:r>
      <w:r>
        <w:rPr>
          <w:color w:val="000000"/>
          <w:szCs w:val="26"/>
        </w:rPr>
        <w:t>-8</w:t>
      </w:r>
    </w:p>
    <w:p>
      <w:pPr>
        <w:pStyle w:val="style0"/>
        <w:spacing w:after="0" w:lineRule="auto" w:line="480"/>
        <w:jc w:val="both"/>
        <w:rPr>
          <w:color w:val="000000"/>
          <w:sz w:val="24"/>
          <w:szCs w:val="26"/>
        </w:rPr>
      </w:pPr>
      <w:r>
        <w:rPr>
          <w:color w:val="000000"/>
          <w:sz w:val="24"/>
          <w:szCs w:val="26"/>
        </w:rPr>
        <w:t xml:space="preserve">1.3 </w:t>
      </w:r>
      <w:r>
        <w:rPr>
          <w:color w:val="000000"/>
          <w:sz w:val="24"/>
          <w:szCs w:val="26"/>
        </w:rPr>
        <w:t xml:space="preserve">   </w:t>
      </w:r>
      <w:r>
        <w:rPr>
          <w:color w:val="000000"/>
          <w:sz w:val="24"/>
          <w:szCs w:val="26"/>
        </w:rPr>
        <w:t>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8</w:t>
      </w:r>
      <w:r>
        <w:rPr>
          <w:color w:val="000000"/>
          <w:sz w:val="24"/>
          <w:szCs w:val="26"/>
        </w:rPr>
        <w:t>-9</w:t>
      </w:r>
    </w:p>
    <w:p>
      <w:pPr>
        <w:pStyle w:val="style0"/>
        <w:spacing w:lineRule="auto" w:line="480"/>
        <w:rPr>
          <w:b/>
          <w:sz w:val="24"/>
          <w:szCs w:val="26"/>
        </w:rPr>
      </w:pPr>
      <w:r>
        <w:rPr>
          <w:b/>
          <w:sz w:val="24"/>
          <w:szCs w:val="26"/>
        </w:rPr>
        <w:t>CHAPTER TWO</w:t>
      </w:r>
    </w:p>
    <w:p>
      <w:pPr>
        <w:pStyle w:val="style179"/>
        <w:numPr>
          <w:ilvl w:val="0"/>
          <w:numId w:val="1"/>
        </w:numPr>
        <w:spacing w:after="0" w:lineRule="auto" w:line="480"/>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10-11</w:t>
      </w:r>
    </w:p>
    <w:p>
      <w:pPr>
        <w:pStyle w:val="style0"/>
        <w:spacing w:after="0" w:lineRule="auto" w:line="480"/>
        <w:jc w:val="both"/>
        <w:rPr>
          <w:color w:val="000000"/>
          <w:sz w:val="24"/>
          <w:szCs w:val="26"/>
        </w:rPr>
      </w:pPr>
      <w:r>
        <w:rPr>
          <w:color w:val="000000"/>
          <w:sz w:val="24"/>
          <w:szCs w:val="26"/>
        </w:rPr>
        <w:t xml:space="preserve">2.1 </w:t>
      </w:r>
      <w:r>
        <w:rPr>
          <w:color w:val="000000"/>
          <w:sz w:val="24"/>
          <w:szCs w:val="26"/>
        </w:rPr>
        <w:t xml:space="preserve">   </w:t>
      </w:r>
      <w:r>
        <w:rPr>
          <w:color w:val="000000"/>
          <w:sz w:val="24"/>
          <w:szCs w:val="26"/>
        </w:rPr>
        <w:t>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w:t>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 </w:t>
      </w:r>
      <w:r>
        <w:rPr>
          <w:color w:val="000000"/>
          <w:sz w:val="24"/>
          <w:szCs w:val="26"/>
        </w:rPr>
        <w:t xml:space="preserve">   </w:t>
      </w:r>
      <w:r>
        <w:rPr>
          <w:color w:val="000000"/>
          <w:sz w:val="24"/>
          <w:szCs w:val="26"/>
        </w:rPr>
        <w:t>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2.2.1 </w:t>
      </w:r>
      <w:r>
        <w:rPr>
          <w:color w:val="000000"/>
          <w:sz w:val="24"/>
          <w:szCs w:val="26"/>
        </w:rPr>
        <w:t xml:space="preserve">  </w:t>
      </w:r>
      <w:r>
        <w:rPr>
          <w:color w:val="000000"/>
          <w:sz w:val="24"/>
          <w:szCs w:val="26"/>
        </w:rPr>
        <w:t>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12-14</w:t>
      </w:r>
    </w:p>
    <w:p>
      <w:pPr>
        <w:pStyle w:val="style0"/>
        <w:spacing w:after="0" w:lineRule="auto" w:line="480"/>
        <w:jc w:val="both"/>
        <w:rPr>
          <w:color w:val="000000"/>
          <w:sz w:val="24"/>
          <w:szCs w:val="26"/>
        </w:rPr>
      </w:pPr>
    </w:p>
    <w:p>
      <w:pPr>
        <w:pStyle w:val="style0"/>
        <w:spacing w:after="0" w:lineRule="auto" w:line="480"/>
        <w:jc w:val="both"/>
        <w:rPr>
          <w:color w:val="000000"/>
          <w:sz w:val="24"/>
          <w:szCs w:val="26"/>
        </w:rPr>
      </w:pPr>
      <w:r>
        <w:rPr>
          <w:color w:val="000000"/>
          <w:sz w:val="24"/>
          <w:szCs w:val="26"/>
        </w:rPr>
        <w:t xml:space="preserve">2.2.2 </w:t>
      </w:r>
      <w:r>
        <w:rPr>
          <w:color w:val="000000"/>
          <w:sz w:val="24"/>
          <w:szCs w:val="26"/>
        </w:rPr>
        <w:t xml:space="preserve">  </w:t>
      </w:r>
      <w:r>
        <w:rPr>
          <w:color w:val="000000"/>
          <w:sz w:val="24"/>
          <w:szCs w:val="26"/>
        </w:rPr>
        <w:t>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14-19</w:t>
      </w:r>
    </w:p>
    <w:p>
      <w:pPr>
        <w:pStyle w:val="style0"/>
        <w:spacing w:after="0" w:lineRule="auto" w:line="480"/>
        <w:jc w:val="both"/>
        <w:rPr>
          <w:color w:val="000000"/>
          <w:sz w:val="24"/>
          <w:szCs w:val="26"/>
        </w:rPr>
      </w:pPr>
      <w:r>
        <w:rPr>
          <w:color w:val="000000"/>
          <w:sz w:val="24"/>
          <w:szCs w:val="26"/>
        </w:rPr>
        <w:t xml:space="preserve">2.2.3 </w:t>
      </w:r>
      <w:r>
        <w:rPr>
          <w:color w:val="000000"/>
          <w:sz w:val="24"/>
          <w:szCs w:val="26"/>
        </w:rPr>
        <w:t xml:space="preserve">  </w:t>
      </w:r>
      <w:r>
        <w:rPr>
          <w:color w:val="000000"/>
          <w:sz w:val="24"/>
          <w:szCs w:val="26"/>
        </w:rPr>
        <w:t>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19-21</w:t>
      </w:r>
    </w:p>
    <w:p>
      <w:pPr>
        <w:pStyle w:val="style0"/>
        <w:spacing w:after="0" w:lineRule="auto" w:line="480"/>
        <w:jc w:val="both"/>
        <w:rPr>
          <w:color w:val="000000"/>
          <w:sz w:val="24"/>
          <w:szCs w:val="26"/>
        </w:rPr>
      </w:pPr>
      <w:r>
        <w:rPr>
          <w:color w:val="000000"/>
          <w:sz w:val="24"/>
          <w:szCs w:val="26"/>
        </w:rPr>
        <w:t xml:space="preserve">2.2.4 </w:t>
      </w:r>
      <w:r>
        <w:rPr>
          <w:color w:val="000000"/>
          <w:sz w:val="24"/>
          <w:szCs w:val="26"/>
        </w:rPr>
        <w:t xml:space="preserve">  </w:t>
      </w:r>
      <w:r>
        <w:rPr>
          <w:color w:val="000000"/>
          <w:sz w:val="24"/>
          <w:szCs w:val="26"/>
        </w:rPr>
        <w:t>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21-22</w:t>
      </w:r>
    </w:p>
    <w:p>
      <w:pPr>
        <w:pStyle w:val="style0"/>
        <w:spacing w:after="0" w:lineRule="auto" w:line="480"/>
        <w:jc w:val="both"/>
        <w:rPr>
          <w:color w:val="000000"/>
          <w:sz w:val="24"/>
          <w:szCs w:val="26"/>
        </w:rPr>
      </w:pPr>
      <w:r>
        <w:rPr>
          <w:color w:val="000000"/>
          <w:sz w:val="24"/>
          <w:szCs w:val="26"/>
        </w:rPr>
        <w:t xml:space="preserve">2.2.5 </w:t>
      </w:r>
      <w:r>
        <w:rPr>
          <w:color w:val="000000"/>
          <w:sz w:val="24"/>
          <w:szCs w:val="26"/>
        </w:rPr>
        <w:t xml:space="preserve">  </w:t>
      </w:r>
      <w:r>
        <w:rPr>
          <w:color w:val="000000"/>
          <w:sz w:val="24"/>
          <w:szCs w:val="26"/>
        </w:rPr>
        <w:t>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23-24</w:t>
      </w:r>
    </w:p>
    <w:p>
      <w:pPr>
        <w:pStyle w:val="style0"/>
        <w:spacing w:after="0" w:lineRule="auto" w:line="480"/>
        <w:jc w:val="both"/>
        <w:rPr>
          <w:color w:val="000000"/>
          <w:sz w:val="24"/>
          <w:szCs w:val="26"/>
        </w:rPr>
      </w:pPr>
      <w:r>
        <w:rPr>
          <w:color w:val="000000"/>
          <w:sz w:val="24"/>
          <w:szCs w:val="26"/>
        </w:rPr>
        <w:t xml:space="preserve">2.2.6 </w:t>
      </w:r>
      <w:r>
        <w:rPr>
          <w:color w:val="000000"/>
          <w:sz w:val="24"/>
          <w:szCs w:val="26"/>
        </w:rPr>
        <w:t xml:space="preserve">  </w:t>
      </w:r>
      <w:r>
        <w:rPr>
          <w:color w:val="000000"/>
          <w:sz w:val="24"/>
          <w:szCs w:val="26"/>
        </w:rPr>
        <w:t>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24-26</w:t>
      </w:r>
    </w:p>
    <w:p>
      <w:pPr>
        <w:pStyle w:val="style0"/>
        <w:spacing w:after="0" w:lineRule="auto" w:line="480"/>
        <w:jc w:val="both"/>
        <w:rPr>
          <w:bCs/>
          <w:color w:val="000000"/>
          <w:sz w:val="24"/>
          <w:szCs w:val="26"/>
        </w:rPr>
      </w:pPr>
      <w:r>
        <w:rPr>
          <w:bCs/>
          <w:color w:val="000000"/>
          <w:sz w:val="24"/>
          <w:szCs w:val="26"/>
        </w:rPr>
        <w:t xml:space="preserve">2.3 </w:t>
      </w:r>
      <w:r>
        <w:rPr>
          <w:bCs/>
          <w:color w:val="000000"/>
          <w:sz w:val="24"/>
          <w:szCs w:val="26"/>
        </w:rPr>
        <w:t xml:space="preserve">   </w:t>
      </w:r>
      <w:r>
        <w:rPr>
          <w:bCs/>
          <w:color w:val="000000"/>
          <w:sz w:val="24"/>
          <w:szCs w:val="26"/>
        </w:rPr>
        <w:t>Causes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w:t>
      </w:r>
    </w:p>
    <w:p>
      <w:pPr>
        <w:pStyle w:val="style0"/>
        <w:spacing w:after="0" w:lineRule="auto" w:line="480"/>
        <w:jc w:val="both"/>
        <w:rPr>
          <w:bCs/>
          <w:color w:val="000000"/>
          <w:sz w:val="24"/>
          <w:szCs w:val="26"/>
        </w:rPr>
      </w:pPr>
      <w:r>
        <w:rPr>
          <w:bCs/>
          <w:color w:val="000000"/>
          <w:sz w:val="24"/>
          <w:szCs w:val="26"/>
        </w:rPr>
        <w:t xml:space="preserve">2.3.1 </w:t>
      </w:r>
      <w:r>
        <w:rPr>
          <w:bCs/>
          <w:color w:val="000000"/>
          <w:sz w:val="24"/>
          <w:szCs w:val="26"/>
        </w:rPr>
        <w:t xml:space="preserve">  </w:t>
      </w:r>
      <w:r>
        <w:rPr>
          <w:bCs/>
          <w:color w:val="000000"/>
          <w:sz w:val="24"/>
          <w:szCs w:val="26"/>
        </w:rPr>
        <w:t>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27-28</w:t>
      </w:r>
    </w:p>
    <w:p>
      <w:pPr>
        <w:pStyle w:val="style0"/>
        <w:spacing w:after="0" w:lineRule="auto" w:line="480"/>
        <w:jc w:val="both"/>
        <w:rPr>
          <w:bCs/>
          <w:color w:val="000000"/>
          <w:sz w:val="24"/>
          <w:szCs w:val="26"/>
        </w:rPr>
      </w:pPr>
      <w:r>
        <w:rPr>
          <w:bCs/>
          <w:color w:val="000000"/>
          <w:sz w:val="24"/>
          <w:szCs w:val="26"/>
        </w:rPr>
        <w:t xml:space="preserve">2.3.2 </w:t>
      </w:r>
      <w:r>
        <w:rPr>
          <w:bCs/>
          <w:color w:val="000000"/>
          <w:sz w:val="24"/>
          <w:szCs w:val="26"/>
        </w:rPr>
        <w:t xml:space="preserve">  </w:t>
      </w:r>
      <w:r>
        <w:rPr>
          <w:bCs/>
          <w:color w:val="000000"/>
          <w:sz w:val="24"/>
          <w:szCs w:val="26"/>
        </w:rPr>
        <w:t>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28-32</w:t>
      </w:r>
    </w:p>
    <w:p>
      <w:pPr>
        <w:pStyle w:val="style0"/>
        <w:spacing w:after="0" w:lineRule="auto" w:line="480"/>
        <w:jc w:val="both"/>
        <w:rPr>
          <w:bCs/>
          <w:color w:val="000000"/>
          <w:sz w:val="24"/>
          <w:szCs w:val="26"/>
        </w:rPr>
      </w:pPr>
      <w:r>
        <w:rPr>
          <w:bCs/>
          <w:color w:val="000000"/>
          <w:sz w:val="24"/>
          <w:szCs w:val="26"/>
        </w:rPr>
        <w:t xml:space="preserve">2.3.3 </w:t>
      </w:r>
      <w:r>
        <w:rPr>
          <w:bCs/>
          <w:color w:val="000000"/>
          <w:sz w:val="24"/>
          <w:szCs w:val="26"/>
        </w:rPr>
        <w:t xml:space="preserve">  </w:t>
      </w:r>
      <w:r>
        <w:rPr>
          <w:bCs/>
          <w:color w:val="000000"/>
          <w:sz w:val="24"/>
          <w:szCs w:val="26"/>
        </w:rPr>
        <w:t>Dietary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32-34</w:t>
      </w:r>
    </w:p>
    <w:p>
      <w:pPr>
        <w:pStyle w:val="style0"/>
        <w:spacing w:after="0" w:lineRule="auto" w:line="480"/>
        <w:jc w:val="both"/>
        <w:rPr>
          <w:bCs/>
          <w:color w:val="000000"/>
          <w:sz w:val="24"/>
          <w:szCs w:val="26"/>
        </w:rPr>
      </w:pPr>
      <w:r>
        <w:rPr>
          <w:bCs/>
          <w:color w:val="000000"/>
          <w:sz w:val="24"/>
          <w:szCs w:val="26"/>
        </w:rPr>
        <w:t xml:space="preserve">2.4 </w:t>
      </w:r>
      <w:r>
        <w:rPr>
          <w:bCs/>
          <w:color w:val="000000"/>
          <w:sz w:val="24"/>
          <w:szCs w:val="26"/>
        </w:rPr>
        <w:t xml:space="preserve">     </w:t>
      </w:r>
      <w:r>
        <w:rPr>
          <w:bCs/>
          <w:color w:val="000000"/>
          <w:sz w:val="24"/>
          <w:szCs w:val="26"/>
        </w:rPr>
        <w:t>P</w:t>
      </w:r>
      <w:r>
        <w:rPr>
          <w:bCs/>
          <w:color w:val="000000"/>
          <w:sz w:val="24"/>
          <w:szCs w:val="26"/>
        </w:rPr>
        <w:t>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34-36</w:t>
      </w:r>
    </w:p>
    <w:p>
      <w:pPr>
        <w:pStyle w:val="style0"/>
        <w:spacing w:after="0" w:lineRule="auto" w:line="480"/>
        <w:jc w:val="both"/>
        <w:rPr>
          <w:sz w:val="24"/>
          <w:szCs w:val="26"/>
        </w:rPr>
      </w:pPr>
      <w:r>
        <w:rPr>
          <w:sz w:val="24"/>
          <w:szCs w:val="26"/>
        </w:rPr>
        <w:t xml:space="preserve">2.5 </w:t>
      </w:r>
      <w:r>
        <w:rPr>
          <w:sz w:val="24"/>
          <w:szCs w:val="26"/>
        </w:rPr>
        <w:t xml:space="preserve">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36-39</w:t>
      </w:r>
    </w:p>
    <w:p>
      <w:pPr>
        <w:pStyle w:val="style94"/>
        <w:spacing w:before="0" w:beforeAutospacing="false" w:after="0" w:afterAutospacing="false" w:lineRule="auto" w:line="480"/>
        <w:jc w:val="both"/>
        <w:rPr>
          <w:szCs w:val="26"/>
        </w:rPr>
      </w:pPr>
      <w:r>
        <w:rPr>
          <w:szCs w:val="26"/>
        </w:rPr>
        <w:t>2.5.1</w:t>
      </w:r>
      <w:r>
        <w:rPr>
          <w:szCs w:val="26"/>
        </w:rPr>
        <w:t xml:space="preserve">  </w:t>
      </w:r>
      <w:r>
        <w:rPr>
          <w:szCs w:val="26"/>
        </w:rPr>
        <w:t xml:space="preserve">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39-40</w:t>
      </w:r>
    </w:p>
    <w:p>
      <w:pPr>
        <w:pStyle w:val="style94"/>
        <w:spacing w:before="0" w:beforeAutospacing="false" w:after="0" w:afterAutospacing="false" w:lineRule="auto" w:line="480"/>
        <w:jc w:val="both"/>
        <w:rPr>
          <w:szCs w:val="26"/>
        </w:rPr>
      </w:pPr>
      <w:r>
        <w:rPr>
          <w:szCs w:val="26"/>
        </w:rPr>
        <w:t xml:space="preserve">2.5.2 </w:t>
      </w:r>
      <w:r>
        <w:rPr>
          <w:szCs w:val="26"/>
        </w:rPr>
        <w:t xml:space="preserve">  </w:t>
      </w:r>
      <w:r>
        <w:rPr>
          <w:szCs w:val="26"/>
        </w:rPr>
        <w:t>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40</w:t>
      </w:r>
    </w:p>
    <w:p>
      <w:pPr>
        <w:pStyle w:val="style0"/>
        <w:spacing w:after="0" w:lineRule="auto" w:line="480"/>
        <w:jc w:val="both"/>
        <w:rPr>
          <w:rFonts w:eastAsia="Times New Roman"/>
          <w:bCs/>
          <w:sz w:val="24"/>
          <w:szCs w:val="26"/>
        </w:rPr>
      </w:pPr>
      <w:r>
        <w:rPr>
          <w:rFonts w:eastAsia="Times New Roman"/>
          <w:bCs/>
          <w:sz w:val="24"/>
          <w:szCs w:val="26"/>
        </w:rPr>
        <w:t xml:space="preserve">2.5.3 </w:t>
      </w:r>
      <w:r>
        <w:rPr>
          <w:rFonts w:eastAsia="Times New Roman"/>
          <w:bCs/>
          <w:sz w:val="24"/>
          <w:szCs w:val="26"/>
        </w:rPr>
        <w:t xml:space="preserve">  </w:t>
      </w:r>
      <w:r>
        <w:rPr>
          <w:rFonts w:eastAsia="Times New Roman"/>
          <w:bCs/>
          <w:sz w:val="24"/>
          <w:szCs w:val="26"/>
        </w:rPr>
        <w:t>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41-42</w:t>
      </w:r>
    </w:p>
    <w:p>
      <w:pPr>
        <w:pStyle w:val="style0"/>
        <w:spacing w:lineRule="auto" w:line="480"/>
        <w:rPr>
          <w:rFonts w:eastAsia="Times New Roman"/>
          <w:bCs/>
          <w:sz w:val="24"/>
          <w:szCs w:val="26"/>
        </w:rPr>
      </w:pPr>
      <w:r>
        <w:rPr>
          <w:rFonts w:eastAsia="Times New Roman"/>
          <w:bCs/>
          <w:sz w:val="24"/>
          <w:szCs w:val="26"/>
        </w:rPr>
        <w:t xml:space="preserve">2.5.4 </w:t>
      </w:r>
      <w:r>
        <w:rPr>
          <w:rFonts w:eastAsia="Times New Roman"/>
          <w:bCs/>
          <w:sz w:val="24"/>
          <w:szCs w:val="26"/>
        </w:rPr>
        <w:t xml:space="preserve">  </w:t>
      </w:r>
      <w:r>
        <w:rPr>
          <w:rFonts w:eastAsia="Times New Roman"/>
          <w:bCs/>
          <w:sz w:val="24"/>
          <w:szCs w:val="26"/>
        </w:rPr>
        <w:t>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42-43</w:t>
      </w:r>
    </w:p>
    <w:p>
      <w:pPr>
        <w:pStyle w:val="style94"/>
        <w:spacing w:before="0" w:beforeAutospacing="false" w:after="0" w:afterAutospacing="false" w:lineRule="auto" w:line="480"/>
        <w:jc w:val="both"/>
        <w:rPr>
          <w:bCs/>
          <w:color w:val="000000"/>
          <w:szCs w:val="26"/>
        </w:rPr>
      </w:pPr>
      <w:r>
        <w:rPr>
          <w:bCs/>
          <w:color w:val="000000"/>
          <w:szCs w:val="26"/>
        </w:rPr>
        <w:t xml:space="preserve">2.6 </w:t>
      </w:r>
      <w:r>
        <w:rPr>
          <w:bCs/>
          <w:color w:val="000000"/>
          <w:szCs w:val="26"/>
        </w:rPr>
        <w:t xml:space="preserve">    </w:t>
      </w:r>
      <w:r>
        <w:rPr>
          <w:bCs/>
          <w:color w:val="000000"/>
          <w:szCs w:val="26"/>
        </w:rPr>
        <w:t xml:space="preserve">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2.6.1 </w:t>
      </w:r>
      <w:r>
        <w:rPr>
          <w:bCs/>
          <w:color w:val="000000"/>
          <w:szCs w:val="26"/>
        </w:rPr>
        <w:t xml:space="preserve">  </w:t>
      </w:r>
      <w:r>
        <w:rPr>
          <w:bCs/>
          <w:color w:val="000000"/>
          <w:szCs w:val="26"/>
        </w:rPr>
        <w:t xml:space="preserve">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2.6.2 </w:t>
      </w:r>
      <w:r>
        <w:rPr>
          <w:bCs/>
          <w:color w:val="000000"/>
          <w:szCs w:val="26"/>
        </w:rPr>
        <w:t xml:space="preserve">   </w:t>
      </w:r>
      <w:r>
        <w:rPr>
          <w:bCs/>
          <w:color w:val="000000"/>
          <w:szCs w:val="26"/>
        </w:rPr>
        <w:t xml:space="preserve">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44</w:t>
      </w:r>
    </w:p>
    <w:p>
      <w:pPr>
        <w:pStyle w:val="style0"/>
        <w:spacing w:lineRule="auto" w:line="480"/>
        <w:rPr>
          <w:bCs/>
          <w:color w:val="000000"/>
          <w:sz w:val="24"/>
          <w:szCs w:val="26"/>
        </w:rPr>
      </w:pPr>
      <w:r>
        <w:rPr>
          <w:bCs/>
          <w:color w:val="000000"/>
          <w:sz w:val="24"/>
          <w:szCs w:val="26"/>
        </w:rPr>
        <w:t xml:space="preserve">2.6.3 </w:t>
      </w:r>
      <w:r>
        <w:rPr>
          <w:bCs/>
          <w:color w:val="000000"/>
          <w:sz w:val="24"/>
          <w:szCs w:val="26"/>
        </w:rPr>
        <w:t xml:space="preserve">  </w:t>
      </w:r>
      <w:r>
        <w:rPr>
          <w:bCs/>
          <w:color w:val="000000"/>
          <w:sz w:val="24"/>
          <w:szCs w:val="26"/>
        </w:rPr>
        <w:t xml:space="preserve">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44-45</w:t>
      </w:r>
    </w:p>
    <w:p>
      <w:pPr>
        <w:pStyle w:val="style0"/>
        <w:spacing w:after="0" w:lineRule="auto" w:line="480"/>
        <w:jc w:val="both"/>
        <w:rPr>
          <w:bCs/>
          <w:color w:val="000000"/>
          <w:sz w:val="24"/>
          <w:szCs w:val="26"/>
        </w:rPr>
      </w:pPr>
      <w:r>
        <w:rPr>
          <w:bCs/>
          <w:color w:val="000000"/>
          <w:sz w:val="24"/>
          <w:szCs w:val="26"/>
        </w:rPr>
        <w:t xml:space="preserve">2.6.4 </w:t>
      </w:r>
      <w:r>
        <w:rPr>
          <w:bCs/>
          <w:color w:val="000000"/>
          <w:sz w:val="24"/>
          <w:szCs w:val="26"/>
        </w:rPr>
        <w:t xml:space="preserve">  </w:t>
      </w:r>
      <w:r>
        <w:rPr>
          <w:bCs/>
          <w:color w:val="000000"/>
          <w:sz w:val="24"/>
          <w:szCs w:val="26"/>
        </w:rPr>
        <w:t xml:space="preserve">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45-46</w:t>
      </w:r>
    </w:p>
    <w:p>
      <w:pPr>
        <w:pStyle w:val="style94"/>
        <w:spacing w:before="0" w:beforeAutospacing="false" w:after="0" w:afterAutospacing="false" w:lineRule="auto" w:line="480"/>
        <w:jc w:val="both"/>
        <w:rPr>
          <w:bCs/>
          <w:color w:val="000000"/>
          <w:szCs w:val="26"/>
        </w:rPr>
      </w:pPr>
      <w:r>
        <w:rPr>
          <w:bCs/>
          <w:color w:val="000000"/>
          <w:szCs w:val="26"/>
        </w:rPr>
        <w:t xml:space="preserve">2.6.5 </w:t>
      </w:r>
      <w:r>
        <w:rPr>
          <w:bCs/>
          <w:color w:val="000000"/>
          <w:szCs w:val="26"/>
        </w:rPr>
        <w:t xml:space="preserve">  </w:t>
      </w:r>
      <w:r>
        <w:rPr>
          <w:bCs/>
          <w:color w:val="000000"/>
          <w:szCs w:val="26"/>
        </w:rPr>
        <w:t xml:space="preserve">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2.6.6 </w:t>
      </w:r>
      <w:r>
        <w:rPr>
          <w:bCs/>
          <w:color w:val="000000"/>
          <w:szCs w:val="26"/>
        </w:rPr>
        <w:t xml:space="preserve">  </w:t>
      </w:r>
      <w:r>
        <w:rPr>
          <w:bCs/>
          <w:color w:val="000000"/>
          <w:szCs w:val="26"/>
        </w:rPr>
        <w:t xml:space="preserve">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2.7 </w:t>
      </w:r>
      <w:r>
        <w:rPr>
          <w:bCs/>
          <w:color w:val="000000"/>
          <w:szCs w:val="26"/>
        </w:rPr>
        <w:t xml:space="preserve">    </w:t>
      </w:r>
      <w:r>
        <w:rPr>
          <w:bCs/>
          <w:color w:val="000000"/>
          <w:szCs w:val="26"/>
        </w:rPr>
        <w:t xml:space="preserve">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47</w:t>
      </w:r>
    </w:p>
    <w:p>
      <w:pPr>
        <w:pStyle w:val="style94"/>
        <w:spacing w:before="0" w:beforeAutospacing="false" w:after="0" w:afterAutospacing="false" w:lineRule="auto" w:line="480"/>
        <w:jc w:val="both"/>
        <w:rPr>
          <w:bCs/>
          <w:color w:val="000000"/>
          <w:szCs w:val="26"/>
          <w:lang w:val="fr-FR"/>
        </w:rPr>
      </w:pPr>
      <w:r>
        <w:rPr>
          <w:color w:val="000000"/>
          <w:szCs w:val="26"/>
          <w:lang w:val="fr-FR"/>
        </w:rPr>
        <w:t>2</w:t>
      </w:r>
      <w:r>
        <w:rPr>
          <w:bCs/>
          <w:color w:val="000000"/>
          <w:szCs w:val="26"/>
          <w:lang w:val="fr-FR"/>
        </w:rPr>
        <w:t xml:space="preserve">.7.1 </w:t>
      </w:r>
      <w:r>
        <w:rPr>
          <w:bCs/>
          <w:color w:val="000000"/>
          <w:szCs w:val="26"/>
          <w:lang w:val="fr-FR"/>
        </w:rPr>
        <w:t xml:space="preserve">  </w:t>
      </w:r>
      <w:r>
        <w:rPr>
          <w:bCs/>
          <w:color w:val="000000"/>
          <w:szCs w:val="26"/>
          <w:lang w:val="fr-FR"/>
        </w:rPr>
        <w:t xml:space="preserve">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47-48</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2.7.2 </w:t>
      </w:r>
      <w:r>
        <w:rPr>
          <w:bCs/>
          <w:color w:val="000000"/>
          <w:szCs w:val="26"/>
          <w:lang w:val="fr-FR"/>
        </w:rPr>
        <w:t xml:space="preserve">  </w:t>
      </w:r>
      <w:r>
        <w:rPr>
          <w:bCs/>
          <w:color w:val="000000"/>
          <w:szCs w:val="26"/>
          <w:lang w:val="fr-FR"/>
        </w:rPr>
        <w:t xml:space="preserve">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48-49</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2.7.3 </w:t>
      </w:r>
      <w:r>
        <w:rPr>
          <w:bCs/>
          <w:color w:val="000000"/>
          <w:szCs w:val="26"/>
          <w:lang w:val="fr-FR"/>
        </w:rPr>
        <w:t xml:space="preserve">  </w:t>
      </w:r>
      <w:r>
        <w:rPr>
          <w:bCs/>
          <w:color w:val="000000"/>
          <w:szCs w:val="26"/>
          <w:lang w:val="fr-FR"/>
        </w:rPr>
        <w:t xml:space="preserve">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49</w:t>
      </w:r>
    </w:p>
    <w:p>
      <w:pPr>
        <w:pStyle w:val="style94"/>
        <w:spacing w:before="0" w:beforeAutospacing="false" w:after="0" w:afterAutospacing="false" w:lineRule="auto" w:line="480"/>
        <w:jc w:val="both"/>
        <w:rPr>
          <w:bCs/>
          <w:color w:val="000000"/>
          <w:szCs w:val="26"/>
        </w:rPr>
      </w:pPr>
      <w:r>
        <w:rPr>
          <w:bCs/>
          <w:color w:val="000000"/>
          <w:szCs w:val="26"/>
        </w:rPr>
        <w:t xml:space="preserve">2.7.4 </w:t>
      </w:r>
      <w:r>
        <w:rPr>
          <w:bCs/>
          <w:color w:val="000000"/>
          <w:szCs w:val="26"/>
        </w:rPr>
        <w:t xml:space="preserve">  </w:t>
      </w:r>
      <w:r>
        <w:rPr>
          <w:bCs/>
          <w:color w:val="000000"/>
          <w:szCs w:val="26"/>
        </w:rPr>
        <w:t xml:space="preserve">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50</w:t>
      </w:r>
    </w:p>
    <w:p>
      <w:pPr>
        <w:pStyle w:val="style0"/>
        <w:spacing w:after="0" w:lineRule="auto" w:line="480"/>
        <w:jc w:val="both"/>
        <w:rPr>
          <w:bCs/>
          <w:color w:val="000000"/>
          <w:sz w:val="24"/>
          <w:szCs w:val="26"/>
        </w:rPr>
      </w:pPr>
      <w:r>
        <w:rPr>
          <w:bCs/>
          <w:color w:val="000000"/>
          <w:sz w:val="24"/>
          <w:szCs w:val="26"/>
        </w:rPr>
        <w:t xml:space="preserve">2.7.5 </w:t>
      </w:r>
      <w:r>
        <w:rPr>
          <w:bCs/>
          <w:color w:val="000000"/>
          <w:sz w:val="24"/>
          <w:szCs w:val="26"/>
        </w:rPr>
        <w:t xml:space="preserve">  </w:t>
      </w:r>
      <w:r>
        <w:rPr>
          <w:bCs/>
          <w:color w:val="000000"/>
          <w:sz w:val="24"/>
          <w:szCs w:val="26"/>
        </w:rPr>
        <w:t xml:space="preserve">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51</w:t>
      </w:r>
    </w:p>
    <w:p>
      <w:pPr>
        <w:pStyle w:val="style94"/>
        <w:spacing w:before="0" w:beforeAutospacing="false" w:after="0" w:afterAutospacing="false" w:lineRule="auto" w:line="480"/>
        <w:jc w:val="both"/>
        <w:rPr>
          <w:bCs/>
          <w:color w:val="000000"/>
          <w:szCs w:val="26"/>
        </w:rPr>
      </w:pPr>
      <w:r>
        <w:rPr>
          <w:bCs/>
          <w:color w:val="000000"/>
          <w:szCs w:val="26"/>
        </w:rPr>
        <w:t xml:space="preserve">2.8 </w:t>
      </w:r>
      <w:r>
        <w:rPr>
          <w:bCs/>
          <w:color w:val="000000"/>
          <w:szCs w:val="26"/>
        </w:rPr>
        <w:t xml:space="preserve">    </w:t>
      </w:r>
      <w:r>
        <w:rPr>
          <w:bCs/>
          <w:color w:val="000000"/>
          <w:szCs w:val="26"/>
        </w:rPr>
        <w:t>Non</w:t>
      </w:r>
      <w:r>
        <w:rPr>
          <w:bCs/>
          <w:color w:val="000000"/>
          <w:szCs w:val="26"/>
        </w:rPr>
        <w:t xml:space="preserve">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2.8.1 </w:t>
      </w:r>
      <w:r>
        <w:rPr>
          <w:bCs/>
          <w:color w:val="000000"/>
          <w:szCs w:val="26"/>
        </w:rPr>
        <w:t xml:space="preserve">  </w:t>
      </w:r>
      <w:r>
        <w:rPr>
          <w:bCs/>
          <w:color w:val="000000"/>
          <w:szCs w:val="26"/>
        </w:rPr>
        <w:t xml:space="preserve">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2.8.2 </w:t>
      </w:r>
      <w:r>
        <w:rPr>
          <w:bCs/>
          <w:color w:val="000000"/>
          <w:szCs w:val="26"/>
        </w:rPr>
        <w:t xml:space="preserve">  </w:t>
      </w:r>
      <w:r>
        <w:rPr>
          <w:bCs/>
          <w:color w:val="000000"/>
          <w:szCs w:val="26"/>
        </w:rPr>
        <w:t>T</w:t>
      </w:r>
      <w:r>
        <w:rPr>
          <w:bCs/>
          <w:color w:val="000000"/>
          <w:szCs w:val="26"/>
        </w:rPr>
        <w:t xml:space="preserve">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52-53</w:t>
      </w:r>
    </w:p>
    <w:p>
      <w:pPr>
        <w:pStyle w:val="style94"/>
        <w:spacing w:before="0" w:beforeAutospacing="false" w:after="0" w:afterAutospacing="false" w:lineRule="auto" w:line="480"/>
        <w:jc w:val="both"/>
        <w:rPr>
          <w:bCs/>
          <w:color w:val="000000"/>
          <w:szCs w:val="26"/>
        </w:rPr>
      </w:pPr>
      <w:r>
        <w:rPr>
          <w:bCs/>
          <w:color w:val="000000"/>
          <w:szCs w:val="26"/>
        </w:rPr>
        <w:t xml:space="preserve">2.8.3 </w:t>
      </w:r>
      <w:r>
        <w:rPr>
          <w:bCs/>
          <w:color w:val="000000"/>
          <w:szCs w:val="26"/>
        </w:rPr>
        <w:t xml:space="preserve">  </w:t>
      </w:r>
      <w:r>
        <w:rPr>
          <w:bCs/>
          <w:color w:val="000000"/>
          <w:szCs w:val="26"/>
        </w:rPr>
        <w:t>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54-55</w:t>
      </w:r>
    </w:p>
    <w:p>
      <w:pPr>
        <w:pStyle w:val="style94"/>
        <w:spacing w:before="0" w:beforeAutospacing="false" w:after="0" w:afterAutospacing="false" w:lineRule="auto" w:line="480"/>
        <w:jc w:val="both"/>
        <w:rPr>
          <w:bCs/>
          <w:color w:val="000000"/>
          <w:szCs w:val="26"/>
        </w:rPr>
      </w:pPr>
      <w:r>
        <w:rPr>
          <w:bCs/>
          <w:color w:val="000000"/>
          <w:szCs w:val="26"/>
        </w:rPr>
        <w:t xml:space="preserve">2.8.4 </w:t>
      </w:r>
      <w:r>
        <w:rPr>
          <w:bCs/>
          <w:color w:val="000000"/>
          <w:szCs w:val="26"/>
        </w:rPr>
        <w:t xml:space="preserve">  </w:t>
      </w:r>
      <w:r>
        <w:rPr>
          <w:bCs/>
          <w:color w:val="000000"/>
          <w:szCs w:val="26"/>
        </w:rPr>
        <w:t>2</w:t>
      </w:r>
      <w:r>
        <w:rPr>
          <w:bCs/>
          <w:color w:val="000000"/>
          <w:szCs w:val="26"/>
        </w:rPr>
        <w:t>,2</w:t>
      </w:r>
      <w:r>
        <w:rPr>
          <w:bCs/>
          <w:color w:val="000000"/>
          <w:szCs w:val="26"/>
        </w:rPr>
        <w:t>-azino-bis C3 ethylbenzothia</w:t>
      </w:r>
      <w:r>
        <w:rPr>
          <w:bCs/>
          <w:color w:val="000000"/>
          <w:szCs w:val="26"/>
        </w:rPr>
        <w:t>zoline-b-sulphonic acid (ABTS)</w:t>
      </w:r>
      <w:r>
        <w:rPr>
          <w:bCs/>
          <w:color w:val="000000"/>
          <w:szCs w:val="26"/>
        </w:rPr>
        <w:tab/>
      </w:r>
      <w:r>
        <w:rPr>
          <w:bCs/>
          <w:color w:val="000000"/>
          <w:szCs w:val="26"/>
        </w:rPr>
        <w:tab/>
      </w:r>
      <w:r>
        <w:rPr>
          <w:bCs/>
          <w:color w:val="000000"/>
          <w:szCs w:val="26"/>
        </w:rPr>
        <w:t>55-56</w:t>
      </w:r>
    </w:p>
    <w:p>
      <w:pPr>
        <w:pStyle w:val="style94"/>
        <w:spacing w:before="0" w:beforeAutospacing="false" w:after="0" w:afterAutospacing="false" w:lineRule="auto" w:line="480"/>
        <w:jc w:val="both"/>
        <w:rPr>
          <w:bCs/>
          <w:color w:val="000000"/>
          <w:szCs w:val="26"/>
        </w:rPr>
      </w:pPr>
      <w:r>
        <w:rPr>
          <w:bCs/>
          <w:color w:val="000000"/>
          <w:szCs w:val="26"/>
        </w:rPr>
        <w:t xml:space="preserve">2.8.5 </w:t>
      </w:r>
      <w:r>
        <w:rPr>
          <w:bCs/>
          <w:color w:val="000000"/>
          <w:szCs w:val="26"/>
        </w:rPr>
        <w:t xml:space="preserve">  </w:t>
      </w:r>
      <w:r>
        <w:rPr>
          <w:bCs/>
          <w:color w:val="000000"/>
          <w:szCs w:val="26"/>
        </w:rPr>
        <w:t>2</w:t>
      </w:r>
      <w:r>
        <w:rPr>
          <w:bCs/>
          <w:color w:val="000000"/>
          <w:szCs w:val="26"/>
        </w:rPr>
        <w:t>,2</w:t>
      </w:r>
      <w:r>
        <w:rPr>
          <w:bCs/>
          <w:color w:val="000000"/>
          <w:szCs w:val="26"/>
        </w:rPr>
        <w:t>-dipheny</w:t>
      </w:r>
      <w:r>
        <w:rPr>
          <w:bCs/>
          <w:color w:val="000000"/>
          <w:szCs w:val="26"/>
        </w:rPr>
        <w:t>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56</w:t>
      </w:r>
    </w:p>
    <w:p>
      <w:pPr>
        <w:pStyle w:val="style94"/>
        <w:spacing w:before="0" w:beforeAutospacing="false" w:after="0" w:afterAutospacing="false" w:lineRule="auto" w:line="480"/>
        <w:jc w:val="both"/>
        <w:rPr>
          <w:bCs/>
          <w:color w:val="000000"/>
          <w:szCs w:val="26"/>
        </w:rPr>
      </w:pPr>
      <w:r>
        <w:rPr>
          <w:bCs/>
          <w:color w:val="000000"/>
          <w:szCs w:val="26"/>
        </w:rPr>
        <w:t xml:space="preserve">2.9 </w:t>
      </w:r>
      <w:r>
        <w:rPr>
          <w:bCs/>
          <w:color w:val="000000"/>
          <w:szCs w:val="26"/>
        </w:rPr>
        <w:t xml:space="preserve">   </w:t>
      </w:r>
      <w:r>
        <w:rPr>
          <w:bCs/>
          <w:color w:val="000000"/>
          <w:szCs w:val="26"/>
        </w:rPr>
        <w:t xml:space="preserve">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2.9.1 </w:t>
      </w:r>
      <w:r>
        <w:rPr>
          <w:bCs/>
          <w:color w:val="000000"/>
          <w:szCs w:val="26"/>
        </w:rPr>
        <w:t xml:space="preserve">  </w:t>
      </w:r>
      <w:r>
        <w:rPr>
          <w:bCs/>
          <w:color w:val="000000"/>
          <w:szCs w:val="26"/>
        </w:rPr>
        <w:t xml:space="preserve">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2.9.2 </w:t>
      </w:r>
      <w:r>
        <w:rPr>
          <w:bCs/>
          <w:color w:val="000000"/>
          <w:szCs w:val="26"/>
        </w:rPr>
        <w:t xml:space="preserve">  </w:t>
      </w:r>
      <w:r>
        <w:rPr>
          <w:bCs/>
          <w:color w:val="000000"/>
          <w:szCs w:val="26"/>
        </w:rPr>
        <w:t xml:space="preserve">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57-58</w:t>
      </w:r>
    </w:p>
    <w:p>
      <w:pPr>
        <w:pStyle w:val="style94"/>
        <w:spacing w:before="0" w:beforeAutospacing="false" w:after="0" w:afterAutospacing="false" w:lineRule="auto" w:line="480"/>
        <w:jc w:val="both"/>
        <w:rPr>
          <w:bCs/>
          <w:color w:val="000000"/>
          <w:szCs w:val="26"/>
        </w:rPr>
      </w:pPr>
      <w:r>
        <w:rPr>
          <w:bCs/>
          <w:color w:val="000000"/>
          <w:szCs w:val="26"/>
        </w:rPr>
        <w:t xml:space="preserve">2.9.3 </w:t>
      </w:r>
      <w:r>
        <w:rPr>
          <w:bCs/>
          <w:color w:val="000000"/>
          <w:szCs w:val="26"/>
        </w:rPr>
        <w:t xml:space="preserve">  </w:t>
      </w:r>
      <w:r>
        <w:rPr>
          <w:bCs/>
          <w:color w:val="000000"/>
          <w:szCs w:val="26"/>
        </w:rPr>
        <w:t xml:space="preserve">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w:t>
      </w:r>
    </w:p>
    <w:p>
      <w:pPr>
        <w:pStyle w:val="style94"/>
        <w:spacing w:before="0" w:beforeAutospacing="false" w:after="0" w:afterAutospacing="false" w:lineRule="auto" w:line="480"/>
        <w:jc w:val="both"/>
        <w:rPr>
          <w:bCs/>
          <w:color w:val="000000"/>
          <w:szCs w:val="26"/>
        </w:rPr>
      </w:pPr>
      <w:r>
        <w:rPr>
          <w:bCs/>
          <w:color w:val="000000"/>
          <w:szCs w:val="26"/>
        </w:rPr>
        <w:t xml:space="preserve">2.10 </w:t>
      </w:r>
      <w:r>
        <w:rPr>
          <w:bCs/>
          <w:color w:val="000000"/>
          <w:szCs w:val="26"/>
        </w:rPr>
        <w:t xml:space="preserve">  </w:t>
      </w:r>
      <w:r>
        <w:rPr>
          <w:bCs/>
          <w:color w:val="000000"/>
          <w:szCs w:val="26"/>
        </w:rPr>
        <w:t xml:space="preserve">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58-59</w:t>
      </w:r>
    </w:p>
    <w:p>
      <w:pPr>
        <w:pStyle w:val="style94"/>
        <w:spacing w:before="0" w:beforeAutospacing="false" w:after="0" w:afterAutospacing="false" w:lineRule="auto" w:line="480"/>
        <w:jc w:val="both"/>
        <w:rPr>
          <w:bCs/>
          <w:color w:val="000000"/>
          <w:szCs w:val="26"/>
        </w:rPr>
      </w:pPr>
      <w:r>
        <w:rPr>
          <w:bCs/>
          <w:color w:val="000000"/>
          <w:szCs w:val="26"/>
        </w:rPr>
        <w:t xml:space="preserve">2.10.1 </w:t>
      </w:r>
      <w:r>
        <w:rPr>
          <w:bCs/>
          <w:color w:val="000000"/>
          <w:szCs w:val="26"/>
        </w:rPr>
        <w:t xml:space="preserve">  </w:t>
      </w:r>
      <w:r>
        <w:rPr>
          <w:bCs/>
          <w:color w:val="000000"/>
          <w:szCs w:val="26"/>
        </w:rPr>
        <w:t xml:space="preserve">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59-60</w:t>
      </w:r>
    </w:p>
    <w:p>
      <w:pPr>
        <w:pStyle w:val="style94"/>
        <w:spacing w:before="0" w:beforeAutospacing="false" w:after="0" w:afterAutospacing="false" w:lineRule="auto" w:line="480"/>
        <w:jc w:val="both"/>
        <w:rPr>
          <w:bCs/>
          <w:color w:val="000000"/>
          <w:szCs w:val="26"/>
        </w:rPr>
      </w:pPr>
      <w:r>
        <w:rPr>
          <w:bCs/>
          <w:color w:val="000000"/>
          <w:szCs w:val="26"/>
        </w:rPr>
        <w:t xml:space="preserve">2.10.2 </w:t>
      </w:r>
      <w:r>
        <w:rPr>
          <w:bCs/>
          <w:color w:val="000000"/>
          <w:szCs w:val="26"/>
        </w:rPr>
        <w:t xml:space="preserve">  </w:t>
      </w:r>
      <w:r>
        <w:rPr>
          <w:bCs/>
          <w:color w:val="000000"/>
          <w:szCs w:val="26"/>
        </w:rPr>
        <w:t xml:space="preserve">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60-61</w:t>
      </w:r>
    </w:p>
    <w:p>
      <w:pPr>
        <w:pStyle w:val="style94"/>
        <w:spacing w:before="0" w:beforeAutospacing="false" w:after="0" w:afterAutospacing="false" w:lineRule="auto" w:line="480"/>
        <w:jc w:val="both"/>
        <w:rPr>
          <w:bCs/>
          <w:color w:val="000000"/>
          <w:szCs w:val="26"/>
        </w:rPr>
      </w:pPr>
      <w:r>
        <w:rPr>
          <w:bCs/>
          <w:color w:val="000000"/>
          <w:szCs w:val="26"/>
        </w:rPr>
        <w:t xml:space="preserve">2.10.3 </w:t>
      </w:r>
      <w:r>
        <w:rPr>
          <w:bCs/>
          <w:color w:val="000000"/>
          <w:szCs w:val="26"/>
        </w:rPr>
        <w:t xml:space="preserve">  </w:t>
      </w:r>
      <w:r>
        <w:rPr>
          <w:bCs/>
          <w:color w:val="000000"/>
          <w:szCs w:val="26"/>
        </w:rPr>
        <w:t xml:space="preserve">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61-62</w:t>
      </w:r>
    </w:p>
    <w:p>
      <w:pPr>
        <w:pStyle w:val="style94"/>
        <w:spacing w:before="0" w:beforeAutospacing="false" w:after="0" w:afterAutospacing="false" w:lineRule="auto" w:line="480"/>
        <w:jc w:val="both"/>
        <w:rPr>
          <w:bCs/>
          <w:color w:val="000000"/>
          <w:szCs w:val="26"/>
        </w:rPr>
      </w:pPr>
      <w:r>
        <w:rPr>
          <w:bCs/>
          <w:color w:val="000000"/>
          <w:szCs w:val="26"/>
        </w:rPr>
        <w:t xml:space="preserve">2.10.4 </w:t>
      </w:r>
      <w:r>
        <w:rPr>
          <w:bCs/>
          <w:color w:val="000000"/>
          <w:szCs w:val="26"/>
        </w:rPr>
        <w:t xml:space="preserve">  </w:t>
      </w:r>
      <w:r>
        <w:rPr>
          <w:bCs/>
          <w:color w:val="000000"/>
          <w:szCs w:val="26"/>
        </w:rPr>
        <w:t xml:space="preserve">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62-63</w:t>
      </w:r>
    </w:p>
    <w:p>
      <w:pPr>
        <w:pStyle w:val="style94"/>
        <w:spacing w:before="0" w:beforeAutospacing="false" w:after="0" w:afterAutospacing="false" w:lineRule="auto" w:line="480"/>
        <w:jc w:val="both"/>
        <w:rPr>
          <w:bCs/>
          <w:color w:val="000000"/>
          <w:szCs w:val="26"/>
        </w:rPr>
      </w:pPr>
      <w:r>
        <w:rPr>
          <w:bCs/>
          <w:color w:val="000000"/>
          <w:szCs w:val="26"/>
        </w:rPr>
        <w:t xml:space="preserve">2.10.5 </w:t>
      </w:r>
      <w:r>
        <w:rPr>
          <w:bCs/>
          <w:color w:val="000000"/>
          <w:szCs w:val="26"/>
        </w:rPr>
        <w:t xml:space="preserve">   </w:t>
      </w:r>
      <w:r>
        <w:rPr>
          <w:bCs/>
          <w:color w:val="000000"/>
          <w:szCs w:val="26"/>
        </w:rPr>
        <w:t xml:space="preserve">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w:t>
      </w:r>
    </w:p>
    <w:p>
      <w:pPr>
        <w:pStyle w:val="style94"/>
        <w:spacing w:before="0" w:beforeAutospacing="false" w:after="0" w:afterAutospacing="false" w:lineRule="auto" w:line="480"/>
        <w:jc w:val="both"/>
        <w:rPr>
          <w:bCs/>
          <w:color w:val="000000"/>
          <w:szCs w:val="26"/>
        </w:rPr>
      </w:pPr>
      <w:r>
        <w:rPr>
          <w:bCs/>
          <w:color w:val="000000"/>
          <w:szCs w:val="26"/>
        </w:rPr>
        <w:t xml:space="preserve">2.11 </w:t>
      </w:r>
      <w:r>
        <w:rPr>
          <w:bCs/>
          <w:color w:val="000000"/>
          <w:szCs w:val="26"/>
        </w:rPr>
        <w:t xml:space="preserve">    </w:t>
      </w:r>
      <w:r>
        <w:rPr>
          <w:bCs/>
          <w:color w:val="000000"/>
          <w:szCs w:val="26"/>
        </w:rPr>
        <w:t xml:space="preserve">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63-64</w:t>
      </w:r>
    </w:p>
    <w:p>
      <w:pPr>
        <w:pStyle w:val="style94"/>
        <w:spacing w:before="0" w:beforeAutospacing="false" w:after="0" w:afterAutospacing="false" w:lineRule="auto" w:line="480"/>
        <w:jc w:val="both"/>
        <w:rPr>
          <w:bCs/>
          <w:color w:val="000000"/>
          <w:szCs w:val="26"/>
        </w:rPr>
      </w:pPr>
      <w:r>
        <w:rPr>
          <w:bCs/>
          <w:color w:val="000000"/>
          <w:szCs w:val="26"/>
        </w:rPr>
        <w:t xml:space="preserve">2.11.1 </w:t>
      </w:r>
      <w:r>
        <w:rPr>
          <w:bCs/>
          <w:color w:val="000000"/>
          <w:szCs w:val="26"/>
        </w:rPr>
        <w:t xml:space="preserve">  </w:t>
      </w:r>
      <w:r>
        <w:rPr>
          <w:bCs/>
          <w:color w:val="000000"/>
          <w:szCs w:val="26"/>
        </w:rPr>
        <w:t xml:space="preserve">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64-65</w:t>
      </w:r>
    </w:p>
    <w:p>
      <w:pPr>
        <w:pStyle w:val="style94"/>
        <w:spacing w:before="0" w:beforeAutospacing="false" w:after="0" w:afterAutospacing="false" w:lineRule="auto" w:line="480"/>
        <w:jc w:val="both"/>
        <w:rPr>
          <w:bCs/>
          <w:color w:val="000000"/>
          <w:szCs w:val="26"/>
        </w:rPr>
      </w:pPr>
      <w:r>
        <w:rPr>
          <w:bCs/>
          <w:color w:val="000000"/>
          <w:szCs w:val="26"/>
        </w:rPr>
        <w:t xml:space="preserve">2.11.2 </w:t>
      </w:r>
      <w:r>
        <w:rPr>
          <w:bCs/>
          <w:color w:val="000000"/>
          <w:szCs w:val="26"/>
        </w:rPr>
        <w:t xml:space="preserve">  </w:t>
      </w:r>
      <w:r>
        <w:rPr>
          <w:bCs/>
          <w:color w:val="000000"/>
          <w:szCs w:val="26"/>
        </w:rPr>
        <w:t xml:space="preserve">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w:t>
      </w:r>
    </w:p>
    <w:p>
      <w:pPr>
        <w:pStyle w:val="style94"/>
        <w:spacing w:before="0" w:beforeAutospacing="false" w:after="0" w:afterAutospacing="false" w:lineRule="auto" w:line="480"/>
        <w:jc w:val="both"/>
        <w:rPr>
          <w:bCs/>
          <w:color w:val="000000"/>
          <w:szCs w:val="26"/>
        </w:rPr>
      </w:pPr>
      <w:r>
        <w:rPr>
          <w:bCs/>
          <w:color w:val="000000"/>
          <w:szCs w:val="26"/>
        </w:rPr>
        <w:t xml:space="preserve">2.11.3 </w:t>
      </w:r>
      <w:r>
        <w:rPr>
          <w:bCs/>
          <w:color w:val="000000"/>
          <w:szCs w:val="26"/>
        </w:rPr>
        <w:t xml:space="preserve">   </w:t>
      </w:r>
      <w:r>
        <w:rPr>
          <w:bCs/>
          <w:color w:val="000000"/>
          <w:szCs w:val="26"/>
        </w:rPr>
        <w:t xml:space="preserve">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65-66</w:t>
      </w:r>
    </w:p>
    <w:p>
      <w:pPr>
        <w:pStyle w:val="style94"/>
        <w:spacing w:before="0" w:beforeAutospacing="false" w:after="0" w:afterAutospacing="false" w:lineRule="auto" w:line="480"/>
        <w:jc w:val="both"/>
        <w:rPr>
          <w:bCs/>
          <w:color w:val="000000"/>
          <w:szCs w:val="26"/>
        </w:rPr>
      </w:pPr>
      <w:r>
        <w:rPr>
          <w:bCs/>
          <w:color w:val="000000"/>
          <w:szCs w:val="26"/>
        </w:rPr>
        <w:t xml:space="preserve">2.11.4 </w:t>
      </w:r>
      <w:r>
        <w:rPr>
          <w:bCs/>
          <w:color w:val="000000"/>
          <w:szCs w:val="26"/>
        </w:rPr>
        <w:t xml:space="preserve">   </w:t>
      </w:r>
      <w:r>
        <w:rPr>
          <w:bCs/>
          <w:color w:val="000000"/>
          <w:szCs w:val="26"/>
        </w:rPr>
        <w:t xml:space="preserve">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66-67</w:t>
      </w:r>
    </w:p>
    <w:p>
      <w:pPr>
        <w:pStyle w:val="style94"/>
        <w:spacing w:before="0" w:beforeAutospacing="false" w:after="0" w:afterAutospacing="false" w:lineRule="auto" w:line="480"/>
        <w:jc w:val="both"/>
        <w:rPr>
          <w:bCs/>
          <w:color w:val="000000"/>
          <w:szCs w:val="26"/>
        </w:rPr>
      </w:pPr>
      <w:r>
        <w:rPr>
          <w:bCs/>
          <w:color w:val="000000"/>
          <w:szCs w:val="26"/>
        </w:rPr>
        <w:t xml:space="preserve">2.11.5 </w:t>
      </w:r>
      <w:r>
        <w:rPr>
          <w:bCs/>
          <w:color w:val="000000"/>
          <w:szCs w:val="26"/>
        </w:rPr>
        <w:t xml:space="preserve">   </w:t>
      </w:r>
      <w:r>
        <w:rPr>
          <w:bCs/>
          <w:color w:val="000000"/>
          <w:szCs w:val="26"/>
        </w:rPr>
        <w:t xml:space="preserve">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67</w:t>
      </w:r>
    </w:p>
    <w:p>
      <w:pPr>
        <w:pStyle w:val="style94"/>
        <w:spacing w:before="0" w:beforeAutospacing="false" w:after="0" w:afterAutospacing="false" w:lineRule="auto" w:line="480"/>
        <w:jc w:val="both"/>
        <w:rPr>
          <w:bCs/>
          <w:color w:val="000000"/>
          <w:szCs w:val="26"/>
        </w:rPr>
      </w:pPr>
      <w:r>
        <w:rPr>
          <w:bCs/>
          <w:color w:val="000000"/>
          <w:szCs w:val="26"/>
        </w:rPr>
        <w:t xml:space="preserve">2.11.6 </w:t>
      </w:r>
      <w:r>
        <w:rPr>
          <w:bCs/>
          <w:color w:val="000000"/>
          <w:szCs w:val="26"/>
        </w:rPr>
        <w:t xml:space="preserve">  </w:t>
      </w:r>
      <w:r>
        <w:rPr>
          <w:bCs/>
          <w:color w:val="000000"/>
          <w:szCs w:val="26"/>
        </w:rPr>
        <w:t xml:space="preserve">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w:t>
      </w:r>
    </w:p>
    <w:p>
      <w:pPr>
        <w:pStyle w:val="style94"/>
        <w:spacing w:before="0" w:beforeAutospacing="false" w:after="0" w:afterAutospacing="false" w:lineRule="auto" w:line="480"/>
        <w:jc w:val="both"/>
        <w:rPr>
          <w:bCs/>
          <w:color w:val="000000"/>
          <w:szCs w:val="26"/>
        </w:rPr>
      </w:pPr>
      <w:r>
        <w:rPr>
          <w:bCs/>
          <w:color w:val="000000"/>
          <w:szCs w:val="26"/>
        </w:rPr>
        <w:t xml:space="preserve">2.12 </w:t>
      </w:r>
      <w:r>
        <w:rPr>
          <w:bCs/>
          <w:color w:val="000000"/>
          <w:szCs w:val="26"/>
        </w:rPr>
        <w:t xml:space="preserve">   </w:t>
      </w:r>
      <w:r>
        <w:rPr>
          <w:bCs/>
          <w:color w:val="000000"/>
          <w:szCs w:val="26"/>
        </w:rPr>
        <w:t>Antioxidant and lipi</w:t>
      </w:r>
      <w:r>
        <w:rPr>
          <w:bCs/>
          <w:color w:val="000000"/>
          <w:szCs w:val="26"/>
        </w:rPr>
        <w:t xml:space="preserve">d peroxidation parameters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68-69</w:t>
      </w:r>
    </w:p>
    <w:p>
      <w:pPr>
        <w:pStyle w:val="style94"/>
        <w:spacing w:before="0" w:beforeAutospacing="false" w:after="0" w:afterAutospacing="false" w:lineRule="auto" w:line="480"/>
        <w:jc w:val="both"/>
        <w:rPr>
          <w:bCs/>
          <w:color w:val="000000"/>
          <w:szCs w:val="26"/>
        </w:rPr>
      </w:pPr>
      <w:r>
        <w:rPr>
          <w:bCs/>
          <w:color w:val="000000"/>
          <w:szCs w:val="26"/>
        </w:rPr>
        <w:t xml:space="preserve">2.12.1 </w:t>
      </w:r>
      <w:r>
        <w:rPr>
          <w:bCs/>
          <w:color w:val="000000"/>
          <w:szCs w:val="26"/>
        </w:rPr>
        <w:t xml:space="preserve">  </w:t>
      </w:r>
      <w:r>
        <w:rPr>
          <w:bCs/>
          <w:color w:val="000000"/>
          <w:szCs w:val="26"/>
        </w:rPr>
        <w:t xml:space="preserve">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69</w:t>
      </w:r>
    </w:p>
    <w:p>
      <w:pPr>
        <w:pStyle w:val="style94"/>
        <w:spacing w:before="0" w:beforeAutospacing="false" w:after="0" w:afterAutospacing="false" w:lineRule="auto" w:line="480"/>
        <w:jc w:val="both"/>
        <w:rPr>
          <w:bCs/>
          <w:color w:val="000000"/>
          <w:szCs w:val="26"/>
        </w:rPr>
      </w:pPr>
      <w:r>
        <w:rPr>
          <w:bCs/>
          <w:color w:val="000000"/>
          <w:szCs w:val="26"/>
        </w:rPr>
        <w:t xml:space="preserve">2.12.2 </w:t>
      </w:r>
      <w:r>
        <w:rPr>
          <w:bCs/>
          <w:color w:val="000000"/>
          <w:szCs w:val="26"/>
        </w:rPr>
        <w:t xml:space="preserve">  </w:t>
      </w:r>
      <w:r>
        <w:rPr>
          <w:bCs/>
          <w:color w:val="000000"/>
          <w:szCs w:val="26"/>
        </w:rPr>
        <w:t xml:space="preserve">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2.12.3 </w:t>
      </w:r>
      <w:r>
        <w:rPr>
          <w:bCs/>
          <w:color w:val="000000"/>
          <w:szCs w:val="26"/>
        </w:rPr>
        <w:t xml:space="preserve">  </w:t>
      </w:r>
      <w:r>
        <w:rPr>
          <w:bCs/>
          <w:color w:val="000000"/>
          <w:szCs w:val="26"/>
        </w:rPr>
        <w:t>G</w:t>
      </w:r>
      <w:r>
        <w:rPr>
          <w:bCs/>
          <w:color w:val="000000"/>
          <w:szCs w:val="26"/>
        </w:rPr>
        <w:t xml:space="preserve">lutathione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2.12.4 </w:t>
      </w:r>
      <w:r>
        <w:rPr>
          <w:bCs/>
          <w:color w:val="000000"/>
          <w:szCs w:val="26"/>
        </w:rPr>
        <w:t xml:space="preserve">  </w:t>
      </w:r>
      <w:r>
        <w:rPr>
          <w:bCs/>
          <w:color w:val="000000"/>
          <w:szCs w:val="26"/>
        </w:rPr>
        <w:t>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71-72</w:t>
      </w:r>
    </w:p>
    <w:p>
      <w:pPr>
        <w:pStyle w:val="style94"/>
        <w:spacing w:before="0" w:beforeAutospacing="false" w:after="0" w:afterAutospacing="false" w:lineRule="auto" w:line="480"/>
        <w:jc w:val="both"/>
        <w:rPr>
          <w:bCs/>
          <w:color w:val="000000"/>
          <w:szCs w:val="26"/>
        </w:rPr>
      </w:pPr>
      <w:r>
        <w:rPr>
          <w:bCs/>
          <w:color w:val="000000"/>
          <w:szCs w:val="26"/>
        </w:rPr>
        <w:t xml:space="preserve">2.12.5 </w:t>
      </w:r>
      <w:r>
        <w:rPr>
          <w:bCs/>
          <w:color w:val="000000"/>
          <w:szCs w:val="26"/>
        </w:rPr>
        <w:t xml:space="preserve">  </w:t>
      </w:r>
      <w:r>
        <w:rPr>
          <w:bCs/>
          <w:color w:val="000000"/>
          <w:szCs w:val="26"/>
        </w:rPr>
        <w:t xml:space="preserve">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2.12.7 </w:t>
      </w:r>
      <w:r>
        <w:rPr>
          <w:bCs/>
          <w:color w:val="000000"/>
          <w:szCs w:val="26"/>
        </w:rPr>
        <w:t xml:space="preserve">  </w:t>
      </w:r>
      <w:r>
        <w:rPr>
          <w:bCs/>
          <w:color w:val="000000"/>
          <w:szCs w:val="26"/>
        </w:rPr>
        <w:t>Malondialdehy</w:t>
      </w:r>
      <w:r>
        <w:rPr>
          <w:bCs/>
          <w:color w:val="000000"/>
          <w:szCs w:val="26"/>
        </w:rPr>
        <w:t xml:space="preserve">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2.12.8 </w:t>
      </w:r>
      <w:r>
        <w:rPr>
          <w:bCs/>
          <w:color w:val="000000"/>
          <w:szCs w:val="26"/>
        </w:rPr>
        <w:t xml:space="preserve">  </w:t>
      </w:r>
      <w:r>
        <w:rPr>
          <w:bCs/>
          <w:color w:val="000000"/>
          <w:szCs w:val="26"/>
        </w:rPr>
        <w:t xml:space="preserve">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73</w:t>
      </w:r>
    </w:p>
    <w:p>
      <w:pPr>
        <w:pStyle w:val="style94"/>
        <w:spacing w:before="0" w:beforeAutospacing="false" w:after="0" w:afterAutospacing="false" w:lineRule="auto" w:line="360"/>
        <w:jc w:val="both"/>
        <w:rPr>
          <w:b/>
          <w:bCs/>
          <w:color w:val="000000"/>
          <w:szCs w:val="26"/>
        </w:rPr>
      </w:pPr>
      <w:r>
        <w:rPr>
          <w:b/>
          <w:bCs/>
          <w:color w:val="000000"/>
          <w:szCs w:val="26"/>
        </w:rPr>
        <w:t>CHAPTER THREE</w:t>
      </w:r>
    </w:p>
    <w:p>
      <w:pPr>
        <w:pStyle w:val="style94"/>
        <w:spacing w:after="0" w:lineRule="auto" w:line="360"/>
        <w:jc w:val="both"/>
        <w:rPr>
          <w:b/>
          <w:bCs/>
          <w:color w:val="000000"/>
          <w:szCs w:val="26"/>
        </w:rPr>
      </w:pPr>
      <w:r>
        <w:rPr>
          <w:b/>
          <w:bCs/>
          <w:color w:val="000000"/>
          <w:szCs w:val="26"/>
        </w:rPr>
        <w:t xml:space="preserve">3.0 </w:t>
      </w:r>
      <w:r>
        <w:rPr>
          <w:b/>
          <w:bCs/>
          <w:color w:val="000000"/>
          <w:szCs w:val="26"/>
        </w:rPr>
        <w:t xml:space="preserve">  MATERIALS AND METHOD</w:t>
      </w:r>
      <w:r>
        <w:rPr>
          <w:b/>
          <w:bCs/>
          <w:color w:val="000000"/>
          <w:szCs w:val="26"/>
        </w:rPr>
        <w:t>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 </w:t>
      </w:r>
      <w:r>
        <w:rPr>
          <w:bCs/>
          <w:color w:val="000000"/>
          <w:szCs w:val="26"/>
        </w:rPr>
        <w:t xml:space="preserve">  </w:t>
      </w:r>
      <w:r>
        <w:rPr>
          <w:bCs/>
          <w:color w:val="000000"/>
          <w:szCs w:val="26"/>
        </w:rPr>
        <w:t>Material</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3.1.1 </w:t>
      </w:r>
      <w:r>
        <w:rPr>
          <w:bCs/>
          <w:color w:val="000000"/>
          <w:szCs w:val="26"/>
        </w:rPr>
        <w:t xml:space="preserve">  </w:t>
      </w:r>
      <w:r>
        <w:rPr>
          <w:bCs/>
          <w:color w:val="000000"/>
          <w:szCs w:val="26"/>
        </w:rPr>
        <w:t>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3.1.2 </w:t>
      </w:r>
      <w:r>
        <w:rPr>
          <w:bCs/>
          <w:color w:val="000000"/>
          <w:szCs w:val="26"/>
        </w:rPr>
        <w:t xml:space="preserve">  </w:t>
      </w:r>
      <w:r>
        <w:rPr>
          <w:bCs/>
          <w:color w:val="000000"/>
          <w:szCs w:val="26"/>
        </w:rPr>
        <w:t>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3.1.3 </w:t>
      </w:r>
      <w:r>
        <w:rPr>
          <w:bCs/>
          <w:color w:val="000000"/>
          <w:szCs w:val="26"/>
        </w:rPr>
        <w:t xml:space="preserve">  </w:t>
      </w:r>
      <w:r>
        <w:rPr>
          <w:bCs/>
          <w:color w:val="000000"/>
          <w:szCs w:val="26"/>
        </w:rPr>
        <w:t xml:space="preserve">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75-76</w:t>
      </w:r>
    </w:p>
    <w:p>
      <w:pPr>
        <w:pStyle w:val="style94"/>
        <w:spacing w:after="0" w:lineRule="auto" w:line="360"/>
        <w:jc w:val="both"/>
        <w:rPr>
          <w:bCs/>
          <w:color w:val="000000"/>
          <w:szCs w:val="26"/>
        </w:rPr>
      </w:pPr>
      <w:r>
        <w:rPr>
          <w:bCs/>
          <w:color w:val="000000"/>
          <w:szCs w:val="26"/>
        </w:rPr>
        <w:t xml:space="preserve">3.2 </w:t>
      </w:r>
      <w:r>
        <w:rPr>
          <w:bCs/>
          <w:color w:val="000000"/>
          <w:szCs w:val="26"/>
        </w:rPr>
        <w:t xml:space="preserve">  </w:t>
      </w:r>
      <w:r>
        <w:rPr>
          <w:bCs/>
          <w:color w:val="000000"/>
          <w:szCs w:val="26"/>
        </w:rPr>
        <w:t>Method</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w:t>
      </w:r>
      <w:r>
        <w:rPr>
          <w:bCs/>
          <w:color w:val="000000"/>
          <w:szCs w:val="26"/>
        </w:rPr>
        <w:t>.</w:t>
      </w:r>
      <w:r>
        <w:rPr>
          <w:bCs/>
          <w:color w:val="000000"/>
          <w:szCs w:val="26"/>
        </w:rPr>
        <w:t xml:space="preserve">1 </w:t>
      </w:r>
      <w:r>
        <w:rPr>
          <w:bCs/>
          <w:color w:val="000000"/>
          <w:szCs w:val="26"/>
        </w:rPr>
        <w:t xml:space="preserve">  </w:t>
      </w:r>
      <w:r>
        <w:rPr>
          <w:bCs/>
          <w:color w:val="000000"/>
          <w:szCs w:val="26"/>
        </w:rPr>
        <w:t>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76-77</w:t>
      </w:r>
    </w:p>
    <w:p>
      <w:pPr>
        <w:pStyle w:val="style94"/>
        <w:spacing w:after="0" w:lineRule="auto" w:line="360"/>
        <w:jc w:val="both"/>
        <w:rPr>
          <w:bCs/>
          <w:color w:val="000000"/>
          <w:szCs w:val="26"/>
        </w:rPr>
      </w:pPr>
      <w:r>
        <w:rPr>
          <w:bCs/>
          <w:color w:val="000000"/>
          <w:szCs w:val="26"/>
        </w:rPr>
        <w:t>3.2.3</w:t>
      </w:r>
      <w:r>
        <w:rPr>
          <w:bCs/>
          <w:color w:val="000000"/>
          <w:szCs w:val="26"/>
        </w:rPr>
        <w:t xml:space="preserve"> </w:t>
      </w:r>
      <w:r>
        <w:rPr>
          <w:bCs/>
          <w:color w:val="000000"/>
          <w:szCs w:val="26"/>
        </w:rPr>
        <w:t xml:space="preserve">  </w:t>
      </w:r>
      <w:r>
        <w:rPr>
          <w:bCs/>
          <w:color w:val="000000"/>
          <w:szCs w:val="26"/>
        </w:rPr>
        <w:t>Qualitative and 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.1 </w:t>
      </w:r>
      <w:r>
        <w:rPr>
          <w:bCs/>
          <w:color w:val="000000"/>
          <w:szCs w:val="26"/>
        </w:rPr>
        <w:t xml:space="preserve">  </w:t>
      </w:r>
      <w:r>
        <w:rPr>
          <w:bCs/>
          <w:color w:val="000000"/>
          <w:szCs w:val="26"/>
        </w:rPr>
        <w:t>Determination of Sap</w:t>
      </w:r>
      <w:r>
        <w:rPr>
          <w:bCs/>
          <w:color w:val="000000"/>
          <w:szCs w:val="26"/>
        </w:rPr>
        <w:t>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13.2.3</w:t>
      </w:r>
      <w:r>
        <w:rPr>
          <w:bCs/>
          <w:color w:val="000000"/>
          <w:szCs w:val="26"/>
        </w:rPr>
        <w:t xml:space="preserve">.2 </w:t>
      </w:r>
      <w:r>
        <w:rPr>
          <w:bCs/>
          <w:color w:val="000000"/>
          <w:szCs w:val="26"/>
        </w:rPr>
        <w:t xml:space="preserve">  </w:t>
      </w:r>
      <w:r>
        <w:rPr>
          <w:bCs/>
          <w:color w:val="000000"/>
          <w:szCs w:val="26"/>
        </w:rPr>
        <w:t>Determination o</w:t>
      </w:r>
      <w:r>
        <w:rPr>
          <w:bCs/>
          <w:color w:val="000000"/>
          <w:szCs w:val="26"/>
        </w:rPr>
        <w:t>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.3 </w:t>
      </w:r>
      <w:r>
        <w:rPr>
          <w:bCs/>
          <w:color w:val="000000"/>
          <w:szCs w:val="26"/>
        </w:rPr>
        <w:t xml:space="preserve">  </w:t>
      </w:r>
      <w:r>
        <w:rPr>
          <w:bCs/>
          <w:color w:val="000000"/>
          <w:szCs w:val="26"/>
        </w:rPr>
        <w:t>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.4 </w:t>
      </w:r>
      <w:r>
        <w:rPr>
          <w:bCs/>
          <w:color w:val="000000"/>
          <w:szCs w:val="26"/>
        </w:rPr>
        <w:t xml:space="preserve">  </w:t>
      </w:r>
      <w:r>
        <w:rPr>
          <w:bCs/>
          <w:color w:val="000000"/>
          <w:szCs w:val="26"/>
        </w:rPr>
        <w:t>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.5 </w:t>
      </w:r>
      <w:r>
        <w:rPr>
          <w:bCs/>
          <w:color w:val="000000"/>
          <w:szCs w:val="26"/>
        </w:rPr>
        <w:t xml:space="preserve">  </w:t>
      </w:r>
      <w:r>
        <w:rPr>
          <w:bCs/>
          <w:color w:val="000000"/>
          <w:szCs w:val="26"/>
        </w:rPr>
        <w:t>Determination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 </w:t>
      </w:r>
      <w:r>
        <w:rPr>
          <w:bCs/>
          <w:color w:val="000000"/>
          <w:szCs w:val="26"/>
        </w:rPr>
        <w:t xml:space="preserve">    </w:t>
      </w:r>
      <w:r>
        <w:rPr>
          <w:bCs/>
          <w:color w:val="000000"/>
          <w:szCs w:val="26"/>
        </w:rPr>
        <w:t>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.1 </w:t>
      </w:r>
      <w:r>
        <w:rPr>
          <w:bCs/>
          <w:color w:val="000000"/>
          <w:szCs w:val="26"/>
        </w:rPr>
        <w:t xml:space="preserve">  </w:t>
      </w:r>
      <w:r>
        <w:rPr>
          <w:bCs/>
          <w:color w:val="000000"/>
          <w:szCs w:val="26"/>
        </w:rPr>
        <w:t>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78-79</w:t>
      </w:r>
    </w:p>
    <w:p>
      <w:pPr>
        <w:pStyle w:val="style94"/>
        <w:spacing w:after="0" w:lineRule="auto" w:line="360"/>
        <w:jc w:val="both"/>
        <w:rPr>
          <w:bCs/>
          <w:color w:val="000000"/>
          <w:szCs w:val="26"/>
        </w:rPr>
      </w:pPr>
      <w:r>
        <w:rPr>
          <w:bCs/>
          <w:color w:val="000000"/>
          <w:szCs w:val="26"/>
        </w:rPr>
        <w:t>3.2.4</w:t>
      </w:r>
      <w:r>
        <w:rPr>
          <w:bCs/>
          <w:color w:val="000000"/>
          <w:szCs w:val="26"/>
        </w:rPr>
        <w:t xml:space="preserve">.2 </w:t>
      </w:r>
      <w:r>
        <w:rPr>
          <w:bCs/>
          <w:color w:val="000000"/>
          <w:szCs w:val="26"/>
        </w:rPr>
        <w:t xml:space="preserve">  </w:t>
      </w:r>
      <w:r>
        <w:rPr>
          <w:bCs/>
          <w:color w:val="000000"/>
          <w:szCs w:val="26"/>
        </w:rPr>
        <w:t>Determination of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79</w:t>
      </w:r>
    </w:p>
    <w:p>
      <w:pPr>
        <w:pStyle w:val="style94"/>
        <w:spacing w:after="0" w:lineRule="auto" w:line="360"/>
        <w:jc w:val="both"/>
        <w:rPr>
          <w:bCs/>
          <w:color w:val="000000"/>
          <w:szCs w:val="26"/>
        </w:rPr>
      </w:pPr>
      <w:r>
        <w:rPr>
          <w:bCs/>
          <w:color w:val="000000"/>
          <w:szCs w:val="26"/>
        </w:rPr>
        <w:t>3.2.4</w:t>
      </w:r>
      <w:r>
        <w:rPr>
          <w:bCs/>
          <w:color w:val="000000"/>
          <w:szCs w:val="26"/>
        </w:rPr>
        <w:t xml:space="preserve">.3 </w:t>
      </w:r>
      <w:r>
        <w:rPr>
          <w:bCs/>
          <w:color w:val="000000"/>
          <w:szCs w:val="26"/>
        </w:rPr>
        <w:t xml:space="preserve">  </w:t>
      </w:r>
      <w:r>
        <w:rPr>
          <w:bCs/>
          <w:color w:val="000000"/>
          <w:szCs w:val="26"/>
        </w:rPr>
        <w:t>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80</w:t>
      </w:r>
    </w:p>
    <w:p>
      <w:pPr>
        <w:pStyle w:val="style94"/>
        <w:spacing w:after="0" w:lineRule="auto" w:line="360"/>
        <w:jc w:val="both"/>
        <w:rPr>
          <w:bCs/>
          <w:color w:val="000000"/>
          <w:szCs w:val="26"/>
        </w:rPr>
      </w:pPr>
      <w:r>
        <w:rPr>
          <w:bCs/>
          <w:color w:val="000000"/>
          <w:szCs w:val="26"/>
        </w:rPr>
        <w:t>3.2.4</w:t>
      </w:r>
      <w:r>
        <w:rPr>
          <w:bCs/>
          <w:color w:val="000000"/>
          <w:szCs w:val="26"/>
        </w:rPr>
        <w:t xml:space="preserve">.4 </w:t>
      </w:r>
      <w:r>
        <w:rPr>
          <w:bCs/>
          <w:color w:val="000000"/>
          <w:szCs w:val="26"/>
        </w:rPr>
        <w:t xml:space="preserve">  </w:t>
      </w:r>
      <w:r>
        <w:rPr>
          <w:bCs/>
          <w:color w:val="000000"/>
          <w:szCs w:val="26"/>
        </w:rPr>
        <w:t>Determination o</w:t>
      </w:r>
      <w:r>
        <w:rPr>
          <w:bCs/>
          <w:color w:val="000000"/>
          <w:szCs w:val="26"/>
        </w:rPr>
        <w:t>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w:t>
      </w:r>
    </w:p>
    <w:p>
      <w:pPr>
        <w:pStyle w:val="style94"/>
        <w:spacing w:after="0" w:lineRule="auto" w:line="360"/>
        <w:jc w:val="both"/>
        <w:rPr>
          <w:bCs/>
          <w:color w:val="000000"/>
          <w:szCs w:val="26"/>
        </w:rPr>
      </w:pPr>
      <w:r>
        <w:rPr>
          <w:bCs/>
          <w:color w:val="000000"/>
          <w:szCs w:val="26"/>
        </w:rPr>
        <w:t>3.2.</w:t>
      </w:r>
      <w:r>
        <w:rPr>
          <w:bCs/>
          <w:color w:val="000000"/>
          <w:szCs w:val="26"/>
        </w:rPr>
        <w:t>4</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81-82</w:t>
      </w:r>
    </w:p>
    <w:p>
      <w:pPr>
        <w:pStyle w:val="style94"/>
        <w:spacing w:after="0" w:lineRule="auto" w:line="360"/>
        <w:jc w:val="both"/>
        <w:rPr>
          <w:bCs/>
          <w:color w:val="000000"/>
          <w:szCs w:val="26"/>
        </w:rPr>
      </w:pPr>
      <w:r>
        <w:rPr>
          <w:bCs/>
          <w:color w:val="000000"/>
          <w:szCs w:val="26"/>
        </w:rPr>
        <w:t>3.2.5</w:t>
      </w:r>
      <w:r>
        <w:rPr>
          <w:bCs/>
          <w:color w:val="000000"/>
          <w:szCs w:val="26"/>
        </w:rPr>
        <w:t xml:space="preserve"> </w:t>
      </w:r>
      <w:r>
        <w:rPr>
          <w:bCs/>
          <w:color w:val="000000"/>
          <w:szCs w:val="26"/>
        </w:rPr>
        <w:t xml:space="preserve">   </w:t>
      </w:r>
      <w:r>
        <w:rPr>
          <w:bCs/>
          <w:color w:val="000000"/>
          <w:szCs w:val="26"/>
        </w:rPr>
        <w:t>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.1 </w:t>
      </w:r>
      <w:r>
        <w:rPr>
          <w:bCs/>
          <w:color w:val="000000"/>
          <w:szCs w:val="26"/>
        </w:rPr>
        <w:t xml:space="preserve">  </w:t>
      </w:r>
      <w:r>
        <w:rPr>
          <w:bCs/>
          <w:color w:val="000000"/>
          <w:szCs w:val="26"/>
        </w:rPr>
        <w:t>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.2 </w:t>
      </w:r>
      <w:r>
        <w:rPr>
          <w:bCs/>
          <w:color w:val="000000"/>
          <w:szCs w:val="26"/>
        </w:rPr>
        <w:t xml:space="preserve">  </w:t>
      </w:r>
      <w:r>
        <w:rPr>
          <w:bCs/>
          <w:color w:val="000000"/>
          <w:szCs w:val="26"/>
        </w:rPr>
        <w:t>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.3 </w:t>
      </w:r>
      <w:r>
        <w:rPr>
          <w:bCs/>
          <w:color w:val="000000"/>
          <w:szCs w:val="26"/>
        </w:rPr>
        <w:t xml:space="preserve">  </w:t>
      </w:r>
      <w:r>
        <w:rPr>
          <w:bCs/>
          <w:color w:val="000000"/>
          <w:szCs w:val="26"/>
        </w:rPr>
        <w:t>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.4 </w:t>
      </w:r>
      <w:r>
        <w:rPr>
          <w:bCs/>
          <w:color w:val="000000"/>
          <w:szCs w:val="26"/>
        </w:rPr>
        <w:t xml:space="preserve">  </w:t>
      </w:r>
      <w:r>
        <w:rPr>
          <w:bCs/>
          <w:color w:val="000000"/>
          <w:szCs w:val="26"/>
        </w:rPr>
        <w:t>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.5 </w:t>
      </w:r>
      <w:r>
        <w:rPr>
          <w:bCs/>
          <w:color w:val="000000"/>
          <w:szCs w:val="26"/>
        </w:rPr>
        <w:t xml:space="preserve">  </w:t>
      </w:r>
      <w:r>
        <w:rPr>
          <w:bCs/>
          <w:color w:val="000000"/>
          <w:szCs w:val="26"/>
        </w:rPr>
        <w:t>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.6 </w:t>
      </w:r>
      <w:r>
        <w:rPr>
          <w:bCs/>
          <w:color w:val="000000"/>
          <w:szCs w:val="26"/>
        </w:rPr>
        <w:t xml:space="preserve">  </w:t>
      </w:r>
      <w:r>
        <w:rPr>
          <w:bCs/>
          <w:color w:val="000000"/>
          <w:szCs w:val="26"/>
        </w:rPr>
        <w:t>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85</w:t>
      </w:r>
    </w:p>
    <w:p>
      <w:pPr>
        <w:pStyle w:val="style94"/>
        <w:spacing w:after="0" w:lineRule="auto" w:line="360"/>
        <w:jc w:val="both"/>
        <w:rPr>
          <w:bCs/>
          <w:color w:val="000000"/>
          <w:szCs w:val="26"/>
        </w:rPr>
      </w:pPr>
      <w:r>
        <w:rPr>
          <w:bCs/>
          <w:color w:val="000000"/>
          <w:szCs w:val="26"/>
        </w:rPr>
        <w:t>3.2.6</w:t>
      </w:r>
      <w:r>
        <w:rPr>
          <w:bCs/>
          <w:color w:val="000000"/>
          <w:szCs w:val="26"/>
        </w:rPr>
        <w:t xml:space="preserve"> </w:t>
      </w:r>
      <w:r>
        <w:rPr>
          <w:bCs/>
          <w:color w:val="000000"/>
          <w:szCs w:val="26"/>
        </w:rPr>
        <w:t xml:space="preserve">   </w:t>
      </w:r>
      <w:r>
        <w:rPr>
          <w:bCs/>
          <w:color w:val="000000"/>
          <w:szCs w:val="26"/>
        </w:rPr>
        <w:t>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.1 </w:t>
      </w:r>
      <w:r>
        <w:rPr>
          <w:bCs/>
          <w:color w:val="000000"/>
          <w:szCs w:val="26"/>
        </w:rPr>
        <w:t xml:space="preserve">  </w:t>
      </w:r>
      <w:r>
        <w:rPr>
          <w:bCs/>
          <w:color w:val="000000"/>
          <w:szCs w:val="26"/>
        </w:rPr>
        <w:t>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.2 </w:t>
      </w:r>
      <w:r>
        <w:rPr>
          <w:bCs/>
          <w:color w:val="000000"/>
          <w:szCs w:val="26"/>
        </w:rPr>
        <w:t xml:space="preserve">  </w:t>
      </w:r>
      <w:r>
        <w:rPr>
          <w:bCs/>
          <w:color w:val="000000"/>
          <w:szCs w:val="26"/>
        </w:rPr>
        <w:t>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.3 </w:t>
      </w:r>
      <w:r>
        <w:rPr>
          <w:bCs/>
          <w:color w:val="000000"/>
          <w:szCs w:val="26"/>
        </w:rPr>
        <w:t xml:space="preserve">  </w:t>
      </w:r>
      <w:r>
        <w:rPr>
          <w:bCs/>
          <w:color w:val="000000"/>
          <w:szCs w:val="26"/>
        </w:rPr>
        <w:t>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87</w:t>
      </w:r>
    </w:p>
    <w:p>
      <w:pPr>
        <w:pStyle w:val="style94"/>
        <w:spacing w:after="0" w:lineRule="auto" w:line="360"/>
        <w:jc w:val="both"/>
        <w:rPr>
          <w:bCs/>
          <w:color w:val="000000"/>
          <w:szCs w:val="26"/>
        </w:rPr>
      </w:pPr>
      <w:r>
        <w:rPr>
          <w:bCs/>
          <w:color w:val="000000"/>
          <w:szCs w:val="26"/>
        </w:rPr>
        <w:t>3.2.6</w:t>
      </w:r>
      <w:r>
        <w:rPr>
          <w:bCs/>
          <w:color w:val="000000"/>
          <w:szCs w:val="26"/>
        </w:rPr>
        <w:t xml:space="preserve">.4 </w:t>
      </w:r>
      <w:r>
        <w:rPr>
          <w:bCs/>
          <w:color w:val="000000"/>
          <w:szCs w:val="26"/>
        </w:rPr>
        <w:t xml:space="preserve">  </w:t>
      </w:r>
      <w:r>
        <w:rPr>
          <w:bCs/>
          <w:color w:val="000000"/>
          <w:szCs w:val="26"/>
        </w:rPr>
        <w:t>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w:t>
      </w:r>
    </w:p>
    <w:p>
      <w:pPr>
        <w:pStyle w:val="style94"/>
        <w:spacing w:after="0" w:lineRule="auto" w:line="360"/>
        <w:jc w:val="both"/>
        <w:rPr>
          <w:bCs/>
          <w:color w:val="000000"/>
          <w:szCs w:val="26"/>
        </w:rPr>
      </w:pPr>
      <w:r>
        <w:rPr>
          <w:bCs/>
          <w:color w:val="000000"/>
          <w:szCs w:val="26"/>
        </w:rPr>
        <w:t>3.2.6</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88-89</w:t>
      </w:r>
    </w:p>
    <w:p>
      <w:pPr>
        <w:pStyle w:val="style94"/>
        <w:spacing w:after="0" w:lineRule="auto" w:line="360"/>
        <w:jc w:val="both"/>
        <w:rPr>
          <w:bCs/>
          <w:color w:val="000000"/>
          <w:szCs w:val="26"/>
        </w:rPr>
      </w:pPr>
      <w:r>
        <w:rPr>
          <w:bCs/>
          <w:color w:val="000000"/>
          <w:szCs w:val="26"/>
        </w:rPr>
        <w:t xml:space="preserve">3.3 </w:t>
      </w:r>
      <w:r>
        <w:rPr>
          <w:bCs/>
          <w:color w:val="000000"/>
          <w:szCs w:val="26"/>
        </w:rPr>
        <w:t xml:space="preserve">      </w:t>
      </w:r>
      <w:r>
        <w:rPr>
          <w:bCs/>
          <w:color w:val="000000"/>
          <w:szCs w:val="26"/>
        </w:rPr>
        <w:t>Experi</w:t>
      </w:r>
      <w:r>
        <w:rPr>
          <w:bCs/>
          <w:color w:val="000000"/>
          <w:szCs w:val="26"/>
        </w:rPr>
        <w:t>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89</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90-91</w:t>
      </w:r>
    </w:p>
    <w:p>
      <w:pPr>
        <w:pStyle w:val="style0"/>
        <w:spacing w:lineRule="auto" w:line="480"/>
        <w:jc w:val="both"/>
        <w:rPr>
          <w:sz w:val="24"/>
          <w:szCs w:val="26"/>
        </w:rPr>
      </w:pPr>
      <w:r>
        <w:rPr>
          <w:sz w:val="24"/>
          <w:szCs w:val="26"/>
        </w:rPr>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91</w:t>
      </w:r>
    </w:p>
    <w:p>
      <w:pPr>
        <w:pStyle w:val="style94"/>
        <w:spacing w:after="0" w:lineRule="auto" w:line="360"/>
        <w:jc w:val="both"/>
        <w:rPr>
          <w:b/>
          <w:bCs/>
          <w:color w:val="000000"/>
          <w:szCs w:val="26"/>
        </w:rPr>
      </w:pPr>
      <w:r>
        <w:rPr>
          <w:b/>
          <w:bCs/>
          <w:color w:val="000000"/>
          <w:szCs w:val="26"/>
        </w:rPr>
        <w:t>CHAPTER FOUR</w:t>
      </w:r>
    </w:p>
    <w:p>
      <w:pPr>
        <w:pStyle w:val="style94"/>
        <w:spacing w:after="0" w:lineRule="auto" w:line="360"/>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pPr>
        <w:pStyle w:val="style94"/>
        <w:spacing w:after="0" w:lineRule="auto" w:line="360"/>
        <w:jc w:val="both"/>
        <w:rPr>
          <w:bCs/>
          <w:szCs w:val="26"/>
        </w:rPr>
      </w:pPr>
      <w:r>
        <w:rPr>
          <w:bCs/>
          <w:color w:val="000000"/>
          <w:szCs w:val="26"/>
        </w:rPr>
        <w:t xml:space="preserve">4.1 </w:t>
      </w:r>
      <w:r>
        <w:rPr>
          <w:bCs/>
          <w:color w:val="000000"/>
          <w:szCs w:val="26"/>
        </w:rPr>
        <w:t xml:space="preserve">  </w:t>
      </w:r>
      <w:r>
        <w:rPr>
          <w:bCs/>
          <w:szCs w:val="26"/>
        </w:rPr>
        <w:t>Body Weight Gain in Experimental Animals</w:t>
      </w:r>
      <w:r>
        <w:rPr>
          <w:bCs/>
          <w:szCs w:val="26"/>
        </w:rPr>
        <w:tab/>
      </w:r>
      <w:r>
        <w:rPr>
          <w:bCs/>
          <w:szCs w:val="26"/>
        </w:rPr>
        <w:tab/>
      </w:r>
      <w:r>
        <w:rPr>
          <w:bCs/>
          <w:szCs w:val="26"/>
        </w:rPr>
        <w:tab/>
      </w:r>
      <w:r>
        <w:rPr>
          <w:bCs/>
          <w:szCs w:val="26"/>
        </w:rPr>
        <w:tab/>
      </w:r>
      <w:r>
        <w:rPr>
          <w:bCs/>
          <w:szCs w:val="26"/>
        </w:rPr>
        <w:tab/>
      </w:r>
      <w:r>
        <w:rPr>
          <w:bCs/>
          <w:szCs w:val="26"/>
        </w:rPr>
        <w:t>92</w:t>
      </w:r>
    </w:p>
    <w:p>
      <w:pPr>
        <w:pStyle w:val="style94"/>
        <w:spacing w:after="0" w:lineRule="auto" w:line="360"/>
        <w:jc w:val="both"/>
        <w:rPr>
          <w:bCs/>
          <w:color w:val="000000"/>
          <w:sz w:val="22"/>
        </w:rPr>
      </w:pPr>
      <w:r>
        <w:rPr>
          <w:bCs/>
          <w:szCs w:val="26"/>
        </w:rPr>
        <w:t xml:space="preserve">4.2 </w:t>
      </w:r>
      <w:r>
        <w:rPr>
          <w:bCs/>
          <w:szCs w:val="26"/>
        </w:rPr>
        <w:t xml:space="preserve">   </w:t>
      </w:r>
      <w:r>
        <w:rPr>
          <w:bCs/>
          <w:szCs w:val="26"/>
        </w:rPr>
        <w:t xml:space="preserve">Phytochemical Present in the Sample </w:t>
      </w:r>
      <w:r>
        <w:rPr>
          <w:bCs/>
          <w:szCs w:val="26"/>
        </w:rPr>
        <w:tab/>
      </w:r>
      <w:r>
        <w:rPr>
          <w:bCs/>
          <w:szCs w:val="26"/>
        </w:rPr>
        <w:tab/>
      </w:r>
      <w:r>
        <w:rPr>
          <w:bCs/>
          <w:szCs w:val="26"/>
        </w:rPr>
        <w:tab/>
      </w:r>
      <w:r>
        <w:rPr>
          <w:bCs/>
          <w:szCs w:val="26"/>
        </w:rPr>
        <w:tab/>
      </w:r>
      <w:r>
        <w:rPr>
          <w:bCs/>
          <w:szCs w:val="26"/>
        </w:rPr>
        <w:tab/>
      </w:r>
      <w:r>
        <w:rPr>
          <w:bCs/>
          <w:szCs w:val="26"/>
        </w:rPr>
        <w:tab/>
      </w:r>
      <w:r>
        <w:rPr>
          <w:bCs/>
          <w:szCs w:val="26"/>
        </w:rPr>
        <w:t>93-94</w:t>
      </w:r>
    </w:p>
    <w:p>
      <w:pPr>
        <w:pStyle w:val="style0"/>
        <w:spacing w:before="100" w:beforeAutospacing="true" w:after="0" w:lineRule="auto" w:line="360"/>
        <w:jc w:val="both"/>
        <w:rPr>
          <w:rFonts w:eastAsia="Times New Roman"/>
          <w:bCs/>
          <w:sz w:val="24"/>
          <w:szCs w:val="26"/>
        </w:rPr>
      </w:pPr>
      <w:r>
        <w:rPr>
          <w:rFonts w:eastAsia="Times New Roman"/>
          <w:bCs/>
          <w:sz w:val="24"/>
          <w:szCs w:val="26"/>
        </w:rPr>
        <w:t xml:space="preserve">4.3 </w:t>
      </w:r>
      <w:r>
        <w:rPr>
          <w:rFonts w:eastAsia="Times New Roman"/>
          <w:bCs/>
          <w:sz w:val="24"/>
          <w:szCs w:val="26"/>
        </w:rPr>
        <w:t xml:space="preserve">   </w:t>
      </w:r>
      <w:r>
        <w:rPr>
          <w:rFonts w:eastAsia="Times New Roman"/>
          <w:bCs/>
          <w:sz w:val="24"/>
          <w:szCs w:val="26"/>
        </w:rPr>
        <w:t xml:space="preserve">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pPr>
        <w:pStyle w:val="style0"/>
        <w:spacing w:lineRule="auto" w:line="360"/>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pPr>
        <w:pStyle w:val="style0"/>
        <w:spacing w:after="0" w:lineRule="auto" w:line="360"/>
        <w:jc w:val="both"/>
        <w:rPr>
          <w:rFonts w:eastAsia="Times New Roman"/>
          <w:bCs/>
          <w:color w:val="000000"/>
          <w:sz w:val="24"/>
          <w:szCs w:val="26"/>
        </w:rPr>
      </w:pPr>
      <w:r>
        <w:rPr>
          <w:rFonts w:eastAsia="Times New Roman"/>
          <w:bCs/>
          <w:color w:val="000000"/>
          <w:sz w:val="24"/>
          <w:szCs w:val="26"/>
        </w:rPr>
        <w:t>4.6</w:t>
      </w:r>
      <w:r>
        <w:rPr>
          <w:rFonts w:eastAsia="Times New Roman"/>
          <w:bCs/>
          <w:color w:val="000000"/>
          <w:sz w:val="24"/>
          <w:szCs w:val="26"/>
        </w:rPr>
        <w:t xml:space="preserve">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99-115</w:t>
      </w:r>
    </w:p>
    <w:p>
      <w:pPr>
        <w:pStyle w:val="style0"/>
        <w:spacing w:before="100" w:beforeAutospacing="true" w:after="0" w:lineRule="auto" w:line="360"/>
        <w:jc w:val="both"/>
        <w:rPr>
          <w:rFonts w:eastAsia="Times New Roman"/>
          <w:bCs/>
          <w:sz w:val="24"/>
          <w:szCs w:val="26"/>
        </w:rPr>
      </w:pPr>
      <w:r>
        <w:rPr>
          <w:bCs/>
          <w:sz w:val="24"/>
          <w:szCs w:val="26"/>
        </w:rPr>
        <w:t>4.7</w:t>
      </w:r>
      <w:r>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 xml:space="preserve">        115-117</w:t>
      </w:r>
    </w:p>
    <w:p>
      <w:pPr>
        <w:pStyle w:val="style0"/>
        <w:spacing w:before="100" w:beforeAutospacing="true" w:after="0" w:lineRule="auto" w:line="360"/>
        <w:jc w:val="both"/>
        <w:rPr>
          <w:rFonts w:eastAsia="Times New Roman"/>
          <w:bCs/>
          <w:sz w:val="24"/>
          <w:szCs w:val="26"/>
        </w:rPr>
      </w:pPr>
      <w:r>
        <w:rPr>
          <w:rFonts w:eastAsia="Times New Roman"/>
          <w:bCs/>
          <w:sz w:val="24"/>
          <w:szCs w:val="26"/>
        </w:rPr>
        <w:t>4.8</w:t>
      </w:r>
      <w:r>
        <w:rPr>
          <w:rFonts w:eastAsia="Times New Roman"/>
          <w:bCs/>
          <w:sz w:val="24"/>
          <w:szCs w:val="26"/>
        </w:rPr>
        <w:t xml:space="preserve"> </w:t>
      </w:r>
      <w:r>
        <w:rPr>
          <w:rFonts w:eastAsia="Times New Roman"/>
          <w:bCs/>
          <w:sz w:val="24"/>
          <w:szCs w:val="26"/>
        </w:rPr>
        <w:t xml:space="preserve">  </w:t>
      </w:r>
      <w:r>
        <w:rPr>
          <w:rFonts w:eastAsia="Times New Roman"/>
          <w:bCs/>
          <w:sz w:val="24"/>
          <w:szCs w:val="26"/>
        </w:rPr>
        <w:t>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117-119</w:t>
      </w:r>
      <w:r>
        <w:rPr>
          <w:rFonts w:eastAsia="Times New Roman"/>
          <w:bCs/>
          <w:sz w:val="24"/>
          <w:szCs w:val="26"/>
        </w:rPr>
        <w:tab/>
      </w:r>
    </w:p>
    <w:p>
      <w:pPr>
        <w:pStyle w:val="style94"/>
        <w:spacing w:lineRule="auto" w:line="360"/>
        <w:rPr>
          <w:b/>
          <w:szCs w:val="26"/>
        </w:rPr>
      </w:pPr>
      <w:r>
        <w:rPr>
          <w:b/>
          <w:szCs w:val="26"/>
        </w:rPr>
        <w:t>CHAPTER FIVE</w:t>
      </w:r>
    </w:p>
    <w:p>
      <w:pPr>
        <w:pStyle w:val="style94"/>
        <w:spacing w:lineRule="auto" w:line="360"/>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 xml:space="preserve">       </w:t>
      </w:r>
      <w:r>
        <w:rPr>
          <w:szCs w:val="26"/>
        </w:rPr>
        <w:t>120</w:t>
      </w:r>
    </w:p>
    <w:p>
      <w:pPr>
        <w:pStyle w:val="style94"/>
        <w:rPr>
          <w:szCs w:val="26"/>
        </w:rPr>
      </w:pPr>
      <w:r>
        <w:rPr>
          <w:szCs w:val="26"/>
        </w:rPr>
        <w:t xml:space="preserve">5.1 </w:t>
      </w:r>
      <w:r>
        <w:rPr>
          <w:szCs w:val="26"/>
        </w:rPr>
        <w:t xml:space="preserve">  </w:t>
      </w:r>
      <w:r>
        <w:rPr>
          <w:szCs w:val="26"/>
        </w:rPr>
        <w:t>Body Weight Gain in Experimental Animals</w:t>
      </w:r>
      <w:r>
        <w:rPr>
          <w:szCs w:val="26"/>
        </w:rPr>
        <w:tab/>
      </w:r>
      <w:r>
        <w:rPr>
          <w:szCs w:val="26"/>
        </w:rPr>
        <w:tab/>
      </w:r>
      <w:r>
        <w:rPr>
          <w:szCs w:val="26"/>
        </w:rPr>
        <w:tab/>
      </w:r>
      <w:r>
        <w:rPr>
          <w:szCs w:val="26"/>
        </w:rPr>
        <w:tab/>
      </w:r>
      <w:r>
        <w:rPr>
          <w:szCs w:val="26"/>
        </w:rPr>
        <w:t xml:space="preserve">       120-121</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5.2 </w:t>
      </w:r>
      <w:r>
        <w:rPr>
          <w:rFonts w:eastAsia="Times New Roman"/>
          <w:bCs/>
          <w:sz w:val="24"/>
          <w:szCs w:val="26"/>
        </w:rPr>
        <w:t xml:space="preserve">  </w:t>
      </w:r>
      <w:r>
        <w:rPr>
          <w:rFonts w:eastAsia="Times New Roman"/>
          <w:bCs/>
          <w:sz w:val="24"/>
          <w:szCs w:val="26"/>
        </w:rPr>
        <w:t xml:space="preserve">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121-122</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5.3 </w:t>
      </w:r>
      <w:r>
        <w:rPr>
          <w:rFonts w:eastAsia="Times New Roman"/>
          <w:sz w:val="24"/>
          <w:szCs w:val="26"/>
        </w:rPr>
        <w:t xml:space="preserve">  </w:t>
      </w:r>
      <w:r>
        <w:rPr>
          <w:rFonts w:eastAsia="Times New Roman"/>
          <w:sz w:val="24"/>
          <w:szCs w:val="26"/>
        </w:rPr>
        <w:t>Proximate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123-124</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5.4 </w:t>
      </w:r>
      <w:r>
        <w:rPr>
          <w:rFonts w:eastAsia="Times New Roman"/>
          <w:bCs/>
          <w:sz w:val="24"/>
          <w:szCs w:val="26"/>
        </w:rPr>
        <w:t xml:space="preserve">  </w:t>
      </w:r>
      <w:r>
        <w:rPr>
          <w:rFonts w:eastAsia="Times New Roman"/>
          <w:bCs/>
          <w:sz w:val="24"/>
          <w:szCs w:val="26"/>
        </w:rPr>
        <w:t>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125-126</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5.5 </w:t>
      </w:r>
      <w:r>
        <w:rPr>
          <w:rFonts w:eastAsia="Times New Roman"/>
          <w:sz w:val="24"/>
          <w:szCs w:val="26"/>
        </w:rPr>
        <w:t xml:space="preserve">  </w:t>
      </w:r>
      <w:r>
        <w:rPr>
          <w:rFonts w:eastAsia="Times New Roman"/>
          <w:sz w:val="24"/>
          <w:szCs w:val="26"/>
        </w:rPr>
        <w:t>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126</w:t>
      </w:r>
    </w:p>
    <w:p>
      <w:pPr>
        <w:pStyle w:val="style94"/>
        <w:rPr>
          <w:rStyle w:val="style87"/>
          <w:b w:val="false"/>
          <w:szCs w:val="26"/>
        </w:rPr>
      </w:pPr>
      <w:r>
        <w:rPr>
          <w:szCs w:val="26"/>
        </w:rPr>
        <w:t>5.6</w:t>
      </w:r>
      <w:r>
        <w:rPr>
          <w:b/>
          <w:szCs w:val="26"/>
        </w:rPr>
        <w:t xml:space="preserve"> </w:t>
      </w:r>
      <w:r>
        <w:rPr>
          <w:b/>
          <w:szCs w:val="26"/>
        </w:rPr>
        <w:t xml:space="preserve">  </w:t>
      </w:r>
      <w:r>
        <w:rPr>
          <w:rStyle w:val="style87"/>
          <w:b w:val="false"/>
          <w:szCs w:val="26"/>
        </w:rPr>
        <w:t>Ulcerated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 xml:space="preserve">          126-127</w:t>
      </w:r>
    </w:p>
    <w:p>
      <w:pPr>
        <w:pStyle w:val="style94"/>
        <w:rPr>
          <w:rStyle w:val="style87"/>
          <w:b w:val="false"/>
          <w:szCs w:val="26"/>
        </w:rPr>
      </w:pPr>
      <w:r>
        <w:rPr>
          <w:rStyle w:val="style87"/>
          <w:b w:val="false"/>
          <w:szCs w:val="26"/>
        </w:rPr>
        <w:t xml:space="preserve">5.7 </w:t>
      </w:r>
      <w:r>
        <w:rPr>
          <w:rStyle w:val="style87"/>
          <w:b w:val="false"/>
          <w:szCs w:val="26"/>
        </w:rPr>
        <w:t xml:space="preserve">  </w:t>
      </w:r>
      <w:r>
        <w:rPr>
          <w:rStyle w:val="style87"/>
          <w:b w:val="false"/>
          <w:szCs w:val="26"/>
        </w:rPr>
        <w:t>Stomach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127</w:t>
      </w:r>
    </w:p>
    <w:p>
      <w:pPr>
        <w:pStyle w:val="style94"/>
        <w:rPr>
          <w:rStyle w:val="style87"/>
          <w:b w:val="false"/>
          <w:szCs w:val="26"/>
        </w:rPr>
      </w:pPr>
      <w:r>
        <w:rPr>
          <w:rStyle w:val="style87"/>
          <w:b w:val="false"/>
          <w:szCs w:val="26"/>
        </w:rPr>
        <w:t xml:space="preserve">5.8 </w:t>
      </w:r>
      <w:r>
        <w:rPr>
          <w:rStyle w:val="style87"/>
          <w:b w:val="false"/>
          <w:szCs w:val="26"/>
        </w:rPr>
        <w:t xml:space="preserve">  </w:t>
      </w:r>
      <w:r>
        <w:rPr>
          <w:rStyle w:val="style87"/>
          <w:b w:val="false"/>
          <w:szCs w:val="26"/>
        </w:rPr>
        <w:t>Total Tannin Content</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128</w:t>
      </w:r>
    </w:p>
    <w:p>
      <w:pPr>
        <w:pStyle w:val="style94"/>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129</w:t>
      </w:r>
    </w:p>
    <w:p>
      <w:pPr>
        <w:pStyle w:val="style94"/>
        <w:jc w:val="both"/>
        <w:rPr>
          <w:szCs w:val="26"/>
        </w:rPr>
      </w:pPr>
      <w:r>
        <w:rPr>
          <w:szCs w:val="26"/>
        </w:rPr>
        <w:t xml:space="preserve">RECOMMENDATION </w:t>
      </w:r>
      <w:r>
        <w:rPr>
          <w:rStyle w:val="style87"/>
          <w:b w:val="false"/>
          <w:bCs w:val="false"/>
          <w:sz w:val="22"/>
        </w:rPr>
        <w:t>FUTURE RESEARCHERS</w:t>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 xml:space="preserve">          130-131</w:t>
      </w:r>
    </w:p>
    <w:p>
      <w:pPr>
        <w:pStyle w:val="style94"/>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 xml:space="preserve">          132-149</w:t>
      </w:r>
    </w:p>
    <w:p>
      <w:pPr>
        <w:pStyle w:val="style94"/>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 xml:space="preserve">            150-153</w:t>
      </w:r>
    </w:p>
    <w:p>
      <w:pPr>
        <w:pStyle w:val="style0"/>
        <w:spacing w:after="0" w:lineRule="auto" w:line="480"/>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 xml:space="preserve">          </w:t>
      </w:r>
      <w:r>
        <w:rPr>
          <w:bCs/>
          <w:color w:val="000000"/>
          <w:sz w:val="24"/>
          <w:szCs w:val="26"/>
        </w:rPr>
        <w:t>154-161</w:t>
      </w: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r>
        <w:rPr>
          <w:b/>
          <w:bCs/>
          <w:color w:val="000000"/>
          <w:sz w:val="24"/>
          <w:szCs w:val="26"/>
        </w:rPr>
        <w:t>ABSTRACT</w:t>
      </w:r>
    </w:p>
    <w:p>
      <w:pPr>
        <w:pStyle w:val="style0"/>
        <w:spacing w:before="100" w:beforeAutospacing="true" w:after="100" w:afterAutospacing="true" w:lineRule="auto" w:line="360"/>
        <w:jc w:val="both"/>
        <w:rPr>
          <w:rFonts w:eastAsia="Times New Roman"/>
          <w:i/>
          <w:sz w:val="24"/>
          <w:szCs w:val="24"/>
        </w:rPr>
      </w:pPr>
      <w:r>
        <w:rPr>
          <w:rFonts w:eastAsia="Times New Roman"/>
          <w:i/>
          <w:sz w:val="24"/>
          <w:szCs w:val="24"/>
        </w:rPr>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Pr>
          <w:rFonts w:eastAsia="Times New Roman"/>
          <w:i/>
          <w:iCs/>
          <w:sz w:val="24"/>
          <w:szCs w:val="24"/>
        </w:rPr>
        <w:t>Sida acuta</w:t>
      </w:r>
      <w:r>
        <w:rPr>
          <w:rFonts w:eastAsia="Times New Roman"/>
          <w:i/>
          <w:sz w:val="24"/>
          <w:szCs w:val="24"/>
        </w:rPr>
        <w:t xml:space="preserve"> and underscore its nutritional and pharmacological significance in treating gastrointestinal disorders.</w:t>
      </w:r>
    </w:p>
    <w:p>
      <w:pPr>
        <w:pStyle w:val="style0"/>
        <w:spacing w:after="0" w:lineRule="auto" w:line="480"/>
        <w:rPr>
          <w:b/>
          <w:bCs/>
          <w:color w:val="000000"/>
          <w:sz w:val="26"/>
          <w:szCs w:val="26"/>
        </w:rPr>
      </w:pPr>
    </w:p>
    <w:p>
      <w:pPr>
        <w:pStyle w:val="style0"/>
        <w:spacing w:after="0" w:lineRule="auto" w:line="480"/>
        <w:jc w:val="center"/>
        <w:rPr>
          <w:b/>
          <w:bCs/>
          <w:color w:val="000000"/>
          <w:sz w:val="26"/>
          <w:szCs w:val="26"/>
        </w:rPr>
        <w:sectPr>
          <w:footerReference w:type="default" r:id="rId3"/>
          <w:pgSz w:w="11520" w:h="14400" w:orient="portrait"/>
          <w:pgMar w:top="1440" w:right="1440" w:bottom="1440" w:left="1440" w:header="720" w:footer="720" w:gutter="0"/>
          <w:pgNumType w:fmt="lowerRoman"/>
          <w:cols w:space="720"/>
          <w:titlePg/>
          <w:docGrid w:linePitch="381"/>
        </w:sectPr>
      </w:pPr>
    </w:p>
    <w:p>
      <w:pPr>
        <w:pStyle w:val="style0"/>
        <w:spacing w:after="0" w:lineRule="auto" w:line="480"/>
        <w:jc w:val="center"/>
        <w:rPr>
          <w:b/>
          <w:bCs/>
          <w:color w:val="000000"/>
          <w:sz w:val="24"/>
          <w:szCs w:val="26"/>
        </w:rPr>
      </w:pPr>
      <w:r>
        <w:rPr>
          <w:b/>
          <w:bCs/>
          <w:color w:val="000000"/>
          <w:sz w:val="24"/>
          <w:szCs w:val="26"/>
        </w:rPr>
        <w:t>CHAPTER ONE</w:t>
      </w:r>
    </w:p>
    <w:p>
      <w:pPr>
        <w:pStyle w:val="style0"/>
        <w:spacing w:after="0" w:lineRule="auto" w:line="480"/>
        <w:rPr>
          <w:b/>
          <w:bCs/>
          <w:color w:val="000000"/>
          <w:sz w:val="24"/>
          <w:szCs w:val="26"/>
        </w:rPr>
      </w:pPr>
      <w:r>
        <w:rPr>
          <w:b/>
          <w:bCs/>
          <w:color w:val="000000"/>
          <w:sz w:val="24"/>
          <w:szCs w:val="26"/>
        </w:rPr>
        <w:t xml:space="preserve">1.0 </w:t>
      </w:r>
      <w:r>
        <w:rPr>
          <w:b/>
          <w:bCs/>
          <w:color w:val="000000"/>
          <w:sz w:val="24"/>
          <w:szCs w:val="26"/>
        </w:rPr>
        <w:t xml:space="preserve">INTRODUCTION </w:t>
      </w:r>
    </w:p>
    <w:p>
      <w:pPr>
        <w:pStyle w:val="style0"/>
        <w:spacing w:after="0" w:lineRule="auto" w:line="480"/>
        <w:jc w:val="both"/>
        <w:rPr>
          <w:b/>
          <w:bCs/>
          <w:color w:val="000000"/>
          <w:sz w:val="24"/>
          <w:szCs w:val="26"/>
        </w:rPr>
      </w:pPr>
      <w:r>
        <w:rPr>
          <w:b/>
          <w:bCs/>
          <w:color w:val="000000"/>
          <w:sz w:val="24"/>
          <w:szCs w:val="26"/>
        </w:rPr>
        <w:t xml:space="preserve">1.1 </w:t>
      </w:r>
      <w:r>
        <w:rPr>
          <w:b/>
          <w:bCs/>
          <w:color w:val="000000"/>
          <w:sz w:val="24"/>
          <w:szCs w:val="26"/>
        </w:rPr>
        <w:t xml:space="preserve">  </w:t>
      </w:r>
      <w:r>
        <w:rPr>
          <w:b/>
          <w:bCs/>
          <w:color w:val="000000"/>
          <w:sz w:val="24"/>
          <w:szCs w:val="26"/>
        </w:rPr>
        <w:t>Background of the Study</w:t>
      </w:r>
    </w:p>
    <w:p>
      <w:pPr>
        <w:pStyle w:val="style0"/>
        <w:spacing w:after="0" w:lineRule="auto" w:line="480"/>
        <w:ind w:firstLine="720"/>
        <w:jc w:val="both"/>
        <w:rPr>
          <w:color w:val="000000"/>
          <w:sz w:val="24"/>
          <w:szCs w:val="26"/>
        </w:rPr>
      </w:pPr>
      <w:r>
        <w:rPr>
          <w:color w:val="000000"/>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xml:space="preserve">. For thousands of years, plants and herbs have been a tremendous source of food and medicine.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affections, azoospermia, oligospermia and spermatorrhea, leucorrhoea, wounds, sciatica, </w:t>
      </w:r>
      <w:r>
        <w:rPr>
          <w:color w:val="000000"/>
          <w:sz w:val="24"/>
          <w:szCs w:val="26"/>
        </w:rPr>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pPr>
        <w:pStyle w:val="style0"/>
        <w:spacing w:after="0" w:lineRule="auto" w:line="480"/>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The plant is widely distributed in the subtropical regions and has many traditional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Sida acuta</w:t>
      </w:r>
      <w:r>
        <w:rPr>
          <w:color w:val="000000"/>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Pr>
          <w:color w:val="000000"/>
          <w:sz w:val="24"/>
          <w:szCs w:val="26"/>
        </w:rPr>
        <w:t>haemorrhage (</w:t>
      </w:r>
      <w:r>
        <w:rPr>
          <w:color w:val="000000"/>
          <w:sz w:val="24"/>
          <w:szCs w:val="26"/>
          <w:shd w:val="clear" w:color="auto" w:fill="ffffff"/>
        </w:rPr>
        <w:t xml:space="preserve">Kayode,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 constituents.</w:t>
      </w:r>
    </w:p>
    <w:p>
      <w:pPr>
        <w:pStyle w:val="style0"/>
        <w:spacing w:after="0" w:lineRule="auto" w:line="480"/>
        <w:jc w:val="both"/>
        <w:rPr>
          <w:color w:val="000000"/>
          <w:sz w:val="24"/>
          <w:szCs w:val="26"/>
        </w:rPr>
      </w:pPr>
      <w:r>
        <w:rPr>
          <w:noProof/>
          <w:color w:val="000000"/>
          <w:sz w:val="24"/>
          <w:szCs w:val="26"/>
        </w:rPr>
        <w:drawing>
          <wp:inline distL="0" distT="0" distB="0" distR="0">
            <wp:extent cx="4648200" cy="3343275"/>
            <wp:effectExtent l="0" t="0" r="0" b="9525"/>
            <wp:docPr id="1027" name="Picture 2" descr="IMG-20250614-WA00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4648200" cy="33432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shd w:val="clear" w:color="auto" w:fill="ffffff"/>
        </w:rPr>
        <w:t>Srinivasan and Murali, (2022)</w:t>
      </w:r>
      <w:r>
        <w:rPr>
          <w:color w:val="000000"/>
          <w:sz w:val="24"/>
          <w:szCs w:val="26"/>
          <w:shd w:val="clear" w:color="auto" w:fill="ffffff"/>
        </w:rPr>
        <w:t>.</w:t>
      </w:r>
    </w:p>
    <w:p>
      <w:pPr>
        <w:pStyle w:val="style0"/>
        <w:spacing w:after="0" w:lineRule="auto" w:line="480"/>
        <w:ind w:firstLine="720"/>
        <w:jc w:val="both"/>
        <w:rPr>
          <w:color w:val="000000"/>
          <w:sz w:val="24"/>
          <w:szCs w:val="26"/>
        </w:rPr>
      </w:pPr>
      <w:r>
        <w:rPr>
          <w:color w:val="000000"/>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Pr>
          <w:color w:val="000000"/>
          <w:sz w:val="24"/>
          <w:szCs w:val="26"/>
        </w:rPr>
        <w:t xml:space="preserve">their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of alkaloids,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phosphorus, sodium, and magnesium (Raimi </w:t>
      </w:r>
      <w:r>
        <w:rPr>
          <w:i/>
          <w:iCs/>
          <w:color w:val="000000"/>
          <w:sz w:val="24"/>
          <w:szCs w:val="26"/>
        </w:rPr>
        <w:t>et al</w:t>
      </w:r>
      <w:r>
        <w:rPr>
          <w:color w:val="000000"/>
          <w:sz w:val="24"/>
          <w:szCs w:val="26"/>
        </w:rPr>
        <w:t xml:space="preserve">., 2014). </w:t>
      </w:r>
    </w:p>
    <w:p>
      <w:pPr>
        <w:pStyle w:val="style94"/>
        <w:spacing w:after="0" w:afterAutospacing="false" w:lineRule="auto" w:line="480"/>
        <w:ind w:firstLine="420"/>
        <w:jc w:val="both"/>
        <w:rPr>
          <w:color w:val="000000"/>
          <w:szCs w:val="26"/>
        </w:rPr>
      </w:pPr>
      <w:r>
        <w:rPr>
          <w:color w:val="000000"/>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pPr>
        <w:pStyle w:val="style94"/>
        <w:spacing w:after="0" w:afterAutospacing="false" w:lineRule="auto" w:line="480"/>
        <w:ind w:firstLine="420"/>
        <w:jc w:val="both"/>
        <w:rPr>
          <w:color w:val="000000"/>
          <w:szCs w:val="26"/>
        </w:rPr>
      </w:pPr>
      <w:r>
        <w:rPr>
          <w:color w:val="000000"/>
          <w:szCs w:val="26"/>
        </w:rPr>
        <w:t xml:space="preserve">As a result, there is growing interest in exploring alternative and complementary medicines, particularly plant-based remedies, which have been traditionally used for ulcer </w:t>
      </w:r>
      <w:r>
        <w:rPr>
          <w:color w:val="000000"/>
          <w:szCs w:val="26"/>
        </w:rPr>
        <w:t xml:space="preserve">treatment with minimal side effects. </w:t>
      </w:r>
      <w:r>
        <w:rPr>
          <w:i/>
          <w:color w:val="000000"/>
          <w:szCs w:val="26"/>
        </w:rPr>
        <w:t>Sida acuta</w:t>
      </w:r>
      <w:r>
        <w:rPr>
          <w:color w:val="000000"/>
          <w:szCs w:val="26"/>
        </w:rPr>
        <w:t xml:space="preserve"> (Malvaceae) is a widely distributed medicinal plant recognized for its pharmacological properties,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style88"/>
          <w:color w:val="000000"/>
          <w:szCs w:val="26"/>
        </w:rPr>
        <w:t>Sida acuta</w:t>
      </w:r>
      <w:r>
        <w:rPr>
          <w:color w:val="000000"/>
          <w:szCs w:val="26"/>
        </w:rPr>
        <w:t xml:space="preserve"> for treating various ailments, including ulcers, fever, malaria, wounds, and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style88"/>
          <w:color w:val="000000"/>
          <w:szCs w:val="26"/>
        </w:rPr>
        <w:t>Sida acuta</w:t>
      </w:r>
      <w:r>
        <w:rPr>
          <w:color w:val="000000"/>
          <w:szCs w:val="26"/>
        </w:rPr>
        <w:t xml:space="preserve"> exhibits promising bioactivities that could be beneficial in ulcer treatment (Adeniyi </w:t>
      </w:r>
      <w:r>
        <w:rPr>
          <w:i/>
          <w:iCs/>
          <w:color w:val="000000"/>
          <w:szCs w:val="26"/>
        </w:rPr>
        <w:t>et al</w:t>
      </w:r>
      <w:r>
        <w:rPr>
          <w:color w:val="000000"/>
          <w:szCs w:val="26"/>
        </w:rPr>
        <w:t xml:space="preserve">., 2010). </w:t>
      </w:r>
    </w:p>
    <w:p>
      <w:pPr>
        <w:pStyle w:val="style94"/>
        <w:spacing w:after="0" w:afterAutospacing="false" w:lineRule="auto" w:line="480"/>
        <w:ind w:firstLine="720"/>
        <w:jc w:val="both"/>
        <w:rPr>
          <w:color w:val="000000"/>
          <w:szCs w:val="26"/>
        </w:rPr>
      </w:pPr>
      <w:r>
        <w:rPr>
          <w:color w:val="000000"/>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Pr>
          <w:i/>
          <w:iCs/>
          <w:color w:val="000000"/>
          <w:szCs w:val="26"/>
        </w:rPr>
        <w:t>et al</w:t>
      </w:r>
      <w:r>
        <w:rPr>
          <w:color w:val="000000"/>
          <w:szCs w:val="26"/>
        </w:rPr>
        <w:t xml:space="preserve">., 2017). </w:t>
      </w:r>
    </w:p>
    <w:p>
      <w:pPr>
        <w:pStyle w:val="style94"/>
        <w:spacing w:after="0" w:afterAutospacing="false" w:lineRule="auto" w:line="480"/>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Pr>
          <w:color w:val="000000"/>
          <w:szCs w:val="26"/>
        </w:rPr>
        <w:t xml:space="preserve">acid secretion, promoting mucus production, and improving gastric tissue repair (Jaiswal </w:t>
      </w:r>
      <w:r>
        <w:rPr>
          <w:i/>
          <w:iCs/>
          <w:color w:val="000000"/>
          <w:szCs w:val="26"/>
        </w:rPr>
        <w:t>et al</w:t>
      </w:r>
      <w:r>
        <w:rPr>
          <w:color w:val="000000"/>
          <w:szCs w:val="26"/>
        </w:rPr>
        <w:t xml:space="preserve">., 2016). </w:t>
      </w:r>
    </w:p>
    <w:p>
      <w:pPr>
        <w:pStyle w:val="style94"/>
        <w:spacing w:after="0" w:afterAutospacing="false" w:lineRule="auto" w:line="480"/>
        <w:ind w:firstLine="720"/>
        <w:jc w:val="both"/>
        <w:rPr>
          <w:color w:val="000000"/>
          <w:szCs w:val="26"/>
        </w:rPr>
      </w:pPr>
      <w:r>
        <w:rPr>
          <w:rStyle w:val="style88"/>
          <w:color w:val="000000"/>
          <w:szCs w:val="26"/>
        </w:rPr>
        <w:t>Sida acuta</w:t>
      </w:r>
      <w:r>
        <w:rPr>
          <w:color w:val="000000"/>
          <w:szCs w:val="26"/>
        </w:rPr>
        <w:t xml:space="preserve"> has been reported to possess multiple pharmacological activities, including antimicrobial, anti-inflammatory, hepatoprotective, 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style88"/>
          <w:color w:val="000000"/>
          <w:szCs w:val="26"/>
        </w:rPr>
        <w:t>Sida acuta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style88"/>
          <w:color w:val="000000"/>
          <w:szCs w:val="26"/>
        </w:rPr>
        <w:t>Sida acuta</w:t>
      </w:r>
      <w:r>
        <w:rPr>
          <w:color w:val="000000"/>
          <w:szCs w:val="26"/>
        </w:rPr>
        <w:t xml:space="preserve"> reveals the presence of alkaloids, flavonoids, steroids, tannins, terpenoids,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 al</w:t>
      </w:r>
      <w:r>
        <w:rPr>
          <w:color w:val="000000"/>
          <w:szCs w:val="26"/>
        </w:rPr>
        <w:t xml:space="preserve">., 2014). Moreover, </w:t>
      </w:r>
      <w:r>
        <w:rPr>
          <w:rStyle w:val="style88"/>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pPr>
        <w:pStyle w:val="style0"/>
        <w:spacing w:after="0" w:lineRule="auto" w:line="240"/>
        <w:jc w:val="both"/>
        <w:rPr>
          <w:b/>
          <w:bCs/>
          <w:color w:val="000000"/>
          <w:sz w:val="24"/>
          <w:szCs w:val="26"/>
        </w:rPr>
      </w:pPr>
      <w:r>
        <w:rPr>
          <w:b/>
          <w:bCs/>
          <w:color w:val="000000"/>
          <w:sz w:val="24"/>
          <w:szCs w:val="26"/>
        </w:rPr>
        <w:t>1.2 Statement of the research problem</w:t>
      </w:r>
    </w:p>
    <w:p>
      <w:pPr>
        <w:pStyle w:val="style94"/>
        <w:spacing w:after="0" w:afterAutospacing="false" w:lineRule="auto" w:line="480"/>
        <w:ind w:firstLine="720"/>
        <w:jc w:val="both"/>
        <w:rPr>
          <w:color w:val="000000"/>
          <w:szCs w:val="26"/>
        </w:rPr>
      </w:pPr>
      <w:r>
        <w:rPr>
          <w:color w:val="000000"/>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Pr>
          <w:color w:val="000000"/>
          <w:szCs w:val="26"/>
        </w:rPr>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pPr>
        <w:pStyle w:val="style94"/>
        <w:spacing w:after="0" w:afterAutospacing="false" w:lineRule="auto" w:line="480"/>
        <w:ind w:firstLine="720"/>
        <w:jc w:val="both"/>
        <w:rPr>
          <w:color w:val="000000"/>
          <w:szCs w:val="26"/>
        </w:rPr>
      </w:pPr>
      <w:r>
        <w:rPr>
          <w:color w:val="000000"/>
          <w:szCs w:val="26"/>
        </w:rPr>
        <w:t xml:space="preserve">However, its potential role 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pPr>
        <w:pStyle w:val="style94"/>
        <w:spacing w:after="0" w:afterAutospacing="false"/>
        <w:jc w:val="both"/>
        <w:rPr>
          <w:b/>
          <w:color w:val="000000"/>
          <w:szCs w:val="26"/>
        </w:rPr>
      </w:pPr>
      <w:r>
        <w:rPr>
          <w:b/>
          <w:color w:val="000000"/>
          <w:szCs w:val="26"/>
        </w:rPr>
        <w:t>1.2 Justification for the Study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Pr>
          <w:rFonts w:eastAsia="Times New Roman"/>
          <w:color w:val="000000"/>
          <w:sz w:val="24"/>
          <w:szCs w:val="26"/>
        </w:rPr>
        <w:t xml:space="preserve">toxicity, and drug resistance (Lanas and Chan, 2017). Moreover, the over-reliance on synthetic drugs has raised concerns about their long-term 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pPr>
        <w:pStyle w:val="style0"/>
        <w:spacing w:before="100" w:beforeAutospacing="true" w:after="100" w:afterAutospacing="true" w:lineRule="auto" w:line="48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2015), will contribute to the understanding of its pharmacological potential and support the exploration of plant-based alternatives to conventional antiulcer treatments.</w:t>
      </w:r>
    </w:p>
    <w:p>
      <w:pPr>
        <w:pStyle w:val="style0"/>
        <w:spacing w:after="0"/>
        <w:jc w:val="both"/>
        <w:rPr>
          <w:b/>
          <w:color w:val="000000"/>
          <w:sz w:val="24"/>
          <w:szCs w:val="26"/>
        </w:rPr>
      </w:pPr>
      <w:r>
        <w:rPr>
          <w:b/>
          <w:color w:val="000000"/>
          <w:sz w:val="24"/>
          <w:szCs w:val="26"/>
        </w:rPr>
        <w:t>1.3 Aim and objectives of the study</w:t>
      </w:r>
    </w:p>
    <w:p>
      <w:pPr>
        <w:pStyle w:val="style94"/>
        <w:spacing w:after="0" w:afterAutospacing="false" w:lineRule="auto" w:line="480"/>
        <w:ind w:firstLine="720"/>
        <w:jc w:val="both"/>
        <w:rPr>
          <w:color w:val="000000"/>
          <w:szCs w:val="26"/>
        </w:rPr>
      </w:pPr>
      <w:r>
        <w:rPr>
          <w:color w:val="000000"/>
          <w:szCs w:val="26"/>
        </w:rPr>
        <w:t xml:space="preserve">The primary aim of this study is to evaluate the in vivo antiulcerogenic activity of </w:t>
      </w:r>
      <w:r>
        <w:rPr>
          <w:rStyle w:val="style88"/>
          <w:color w:val="000000"/>
          <w:szCs w:val="26"/>
        </w:rPr>
        <w:t>Sida acuta</w:t>
      </w:r>
      <w:r>
        <w:rPr>
          <w:color w:val="000000"/>
          <w:szCs w:val="26"/>
        </w:rPr>
        <w:t xml:space="preserve"> in a rat model of induced ulcers, with a focus on assessing its ulcer-healing potential and possible mechanisms of action.</w:t>
      </w:r>
    </w:p>
    <w:p>
      <w:pPr>
        <w:pStyle w:val="style94"/>
        <w:spacing w:after="0" w:afterAutospacing="false" w:lineRule="auto" w:line="480"/>
        <w:jc w:val="both"/>
        <w:rPr>
          <w:rStyle w:val="style87"/>
          <w:color w:val="000000"/>
          <w:szCs w:val="26"/>
        </w:rPr>
      </w:pPr>
      <w:r>
        <w:rPr>
          <w:rStyle w:val="style87"/>
          <w:color w:val="000000"/>
          <w:szCs w:val="26"/>
        </w:rPr>
        <w:t>Objectives of the Study</w:t>
      </w:r>
    </w:p>
    <w:p>
      <w:pPr>
        <w:pStyle w:val="style94"/>
        <w:spacing w:after="0" w:afterAutospacing="false" w:lineRule="auto" w:line="480"/>
        <w:ind w:firstLine="360"/>
        <w:jc w:val="both"/>
        <w:rPr>
          <w:rStyle w:val="style87"/>
          <w:b w:val="false"/>
          <w:color w:val="000000"/>
          <w:szCs w:val="26"/>
        </w:rPr>
      </w:pPr>
      <w:r>
        <w:rPr>
          <w:rStyle w:val="style87"/>
          <w:color w:val="000000"/>
          <w:szCs w:val="26"/>
        </w:rPr>
        <w:t>The specific objectives were:</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extract </w:t>
      </w:r>
      <w:r>
        <w:rPr>
          <w:rStyle w:val="style87"/>
          <w:b w:val="false"/>
          <w:i/>
          <w:color w:val="000000"/>
          <w:szCs w:val="26"/>
        </w:rPr>
        <w:t xml:space="preserve">Sida acuta </w:t>
      </w:r>
      <w:r>
        <w:rPr>
          <w:rStyle w:val="style87"/>
          <w:b w:val="false"/>
          <w:color w:val="000000"/>
          <w:szCs w:val="26"/>
        </w:rPr>
        <w:t>plant using ethanol</w:t>
      </w:r>
    </w:p>
    <w:p>
      <w:pPr>
        <w:pStyle w:val="style94"/>
        <w:numPr>
          <w:ilvl w:val="0"/>
          <w:numId w:val="8"/>
        </w:numPr>
        <w:spacing w:after="0" w:afterAutospacing="false" w:lineRule="auto" w:line="480"/>
        <w:jc w:val="both"/>
        <w:rPr>
          <w:rStyle w:val="style87"/>
          <w:bCs w:val="false"/>
          <w:color w:val="000000"/>
          <w:szCs w:val="26"/>
        </w:rPr>
      </w:pPr>
      <w:r>
        <w:rPr>
          <w:rStyle w:val="style87"/>
          <w:b w:val="false"/>
          <w:color w:val="000000"/>
          <w:szCs w:val="26"/>
        </w:rPr>
        <w:t xml:space="preserve">To determine phytochemicals present in </w:t>
      </w:r>
      <w:r>
        <w:rPr>
          <w:rStyle w:val="style88"/>
          <w:color w:val="000000"/>
          <w:szCs w:val="26"/>
        </w:rPr>
        <w:t>Sida acuta</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assess the effect of </w:t>
      </w:r>
      <w:r>
        <w:rPr>
          <w:rStyle w:val="style88"/>
          <w:color w:val="000000"/>
          <w:szCs w:val="26"/>
        </w:rPr>
        <w:t>Sida acuta</w:t>
      </w:r>
      <w:r>
        <w:rPr>
          <w:rStyle w:val="style87"/>
          <w:b w:val="false"/>
          <w:color w:val="000000"/>
          <w:szCs w:val="26"/>
        </w:rPr>
        <w:t xml:space="preserve"> on ulcer formation</w:t>
      </w:r>
      <w:r>
        <w:rPr>
          <w:color w:val="000000"/>
          <w:szCs w:val="26"/>
        </w:rPr>
        <w:t xml:space="preserve"> in rats induced with gastric ulcers by using a</w:t>
      </w:r>
      <w:r>
        <w:rPr>
          <w:color w:val="000000"/>
          <w:szCs w:val="26"/>
        </w:rPr>
        <w:t>n</w:t>
      </w:r>
      <w:r>
        <w:rPr>
          <w:color w:val="000000"/>
          <w:szCs w:val="26"/>
        </w:rPr>
        <w:t xml:space="preserve"> indomethacin.</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evaluate the healing properties of </w:t>
      </w:r>
      <w:r>
        <w:rPr>
          <w:rStyle w:val="style88"/>
          <w:color w:val="000000"/>
          <w:szCs w:val="26"/>
        </w:rPr>
        <w:t>Sida acuta</w:t>
      </w:r>
      <w:r>
        <w:rPr>
          <w:rStyle w:val="style87"/>
          <w:b w:val="false"/>
          <w:color w:val="000000"/>
          <w:szCs w:val="26"/>
        </w:rPr>
        <w:t xml:space="preserve"> on gastric mucosal damage</w:t>
      </w:r>
      <w:r>
        <w:rPr>
          <w:color w:val="000000"/>
          <w:szCs w:val="26"/>
        </w:rPr>
        <w:t>, measuring parameters such as ulcer index, gastric pH, and histopathological changes in the gastric tissues.</w:t>
      </w:r>
    </w:p>
    <w:p>
      <w:pPr>
        <w:pStyle w:val="style94"/>
        <w:numPr>
          <w:ilvl w:val="0"/>
          <w:numId w:val="8"/>
        </w:numPr>
        <w:spacing w:after="0" w:afterAutospacing="false" w:lineRule="auto" w:line="480"/>
        <w:jc w:val="both"/>
        <w:rPr>
          <w:color w:val="000000"/>
          <w:szCs w:val="26"/>
        </w:rPr>
      </w:pPr>
      <w:r>
        <w:rPr>
          <w:rStyle w:val="style87"/>
          <w:b w:val="false"/>
          <w:color w:val="000000"/>
          <w:szCs w:val="26"/>
        </w:rPr>
        <w:t>To determine the proximate composition of</w:t>
      </w:r>
      <w:r>
        <w:rPr>
          <w:rStyle w:val="style87"/>
          <w:color w:val="000000"/>
          <w:szCs w:val="26"/>
        </w:rPr>
        <w:t xml:space="preserve"> </w:t>
      </w:r>
      <w:r>
        <w:rPr>
          <w:rStyle w:val="style88"/>
          <w:color w:val="000000"/>
          <w:szCs w:val="26"/>
        </w:rPr>
        <w:t>Sida acuta extract</w:t>
      </w:r>
    </w:p>
    <w:p>
      <w:pPr>
        <w:pStyle w:val="style94"/>
        <w:numPr>
          <w:ilvl w:val="0"/>
          <w:numId w:val="8"/>
        </w:numPr>
        <w:spacing w:after="0" w:afterAutospacing="false" w:lineRule="auto" w:line="480"/>
        <w:jc w:val="both"/>
        <w:rPr>
          <w:b/>
          <w:color w:val="000000"/>
          <w:szCs w:val="26"/>
        </w:rPr>
      </w:pPr>
      <w:r>
        <w:rPr>
          <w:rStyle w:val="style87"/>
          <w:b w:val="false"/>
          <w:color w:val="000000"/>
          <w:szCs w:val="26"/>
        </w:rPr>
        <w:t xml:space="preserve">To investigate the antioxidant potential of </w:t>
      </w:r>
      <w:r>
        <w:rPr>
          <w:rStyle w:val="style88"/>
          <w:color w:val="000000"/>
          <w:szCs w:val="26"/>
        </w:rPr>
        <w:t>Sida acuta</w:t>
      </w:r>
      <w:r>
        <w:rPr>
          <w:rStyle w:val="style87"/>
          <w:b w:val="false"/>
          <w:color w:val="000000"/>
          <w:szCs w:val="26"/>
        </w:rPr>
        <w:t xml:space="preserve"> by evaluating oxidative stress markers</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compare the effectiveness of </w:t>
      </w:r>
      <w:r>
        <w:rPr>
          <w:rStyle w:val="style88"/>
          <w:color w:val="000000"/>
          <w:szCs w:val="26"/>
        </w:rPr>
        <w:t>Sida acuta</w:t>
      </w:r>
      <w:r>
        <w:rPr>
          <w:rStyle w:val="style87"/>
          <w:b w:val="false"/>
          <w:color w:val="000000"/>
          <w:szCs w:val="26"/>
        </w:rPr>
        <w:t xml:space="preserve"> to conventional antiulcer medications</w:t>
      </w: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0"/>
        <w:spacing w:after="0" w:lineRule="auto" w:line="480"/>
        <w:rPr>
          <w:rStyle w:val="style87"/>
          <w:rFonts w:eastAsia="Times New Roman"/>
          <w:b w:val="false"/>
          <w:bCs w:val="false"/>
          <w:color w:val="000000"/>
          <w:sz w:val="24"/>
          <w:szCs w:val="26"/>
        </w:rPr>
      </w:pPr>
    </w:p>
    <w:p>
      <w:pPr>
        <w:pStyle w:val="style0"/>
        <w:spacing w:after="0" w:lineRule="auto" w:line="480"/>
        <w:jc w:val="center"/>
        <w:rPr>
          <w:b/>
          <w:color w:val="000000"/>
          <w:sz w:val="24"/>
          <w:szCs w:val="26"/>
        </w:rPr>
      </w:pPr>
      <w:r>
        <w:rPr>
          <w:b/>
          <w:color w:val="000000"/>
          <w:sz w:val="24"/>
          <w:szCs w:val="26"/>
        </w:rPr>
        <w:t>CHAPTER TWO</w:t>
      </w:r>
    </w:p>
    <w:p>
      <w:pPr>
        <w:pStyle w:val="style0"/>
        <w:spacing w:after="0" w:lineRule="auto" w:line="480"/>
        <w:jc w:val="both"/>
        <w:rPr>
          <w:b/>
          <w:color w:val="000000"/>
          <w:sz w:val="24"/>
          <w:szCs w:val="26"/>
        </w:rPr>
      </w:pPr>
      <w:r>
        <w:rPr>
          <w:b/>
          <w:color w:val="000000"/>
          <w:sz w:val="24"/>
          <w:szCs w:val="26"/>
        </w:rPr>
        <w:t>2.0</w:t>
      </w:r>
      <w:r>
        <w:rPr>
          <w:b/>
          <w:color w:val="000000"/>
          <w:sz w:val="24"/>
          <w:szCs w:val="26"/>
        </w:rPr>
        <w:tab/>
      </w:r>
      <w:r>
        <w:rPr>
          <w:b/>
          <w:color w:val="000000"/>
          <w:sz w:val="24"/>
          <w:szCs w:val="26"/>
        </w:rPr>
        <w:t xml:space="preserve">LITERATURE REVIEW </w:t>
      </w:r>
    </w:p>
    <w:p>
      <w:pPr>
        <w:pStyle w:val="style0"/>
        <w:spacing w:after="0" w:lineRule="auto" w:line="480"/>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habits has also been explored in ulcer pathogenesis, although their direct causation remains debated (Lanas and Chan, 2017).</w:t>
      </w:r>
    </w:p>
    <w:p>
      <w:pPr>
        <w:pStyle w:val="style0"/>
        <w:spacing w:after="0" w:lineRule="auto" w:line="480"/>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Histamine Type 2 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t xml:space="preserve">focused on the role of the gut microbiome in ulcer pathophysiology, suggesting that microbial composition influences disease progression and healing (Lanas and Chan, 2017). </w:t>
      </w:r>
      <w:r>
        <w:rPr>
          <w:color w:val="000000"/>
          <w:sz w:val="24"/>
          <w:szCs w:val="26"/>
        </w:rPr>
        <w:t>may</w:t>
      </w:r>
      <w:r>
        <w:rPr>
          <w:color w:val="000000"/>
          <w:sz w:val="24"/>
          <w:szCs w:val="26"/>
        </w:rPr>
        <w:t xml:space="preserve"> offer complementary therapeutic benefits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Despite advancements in treatment, ulcers remain a global health concern, particularly in developing countries where </w:t>
      </w:r>
      <w:r>
        <w:rPr>
          <w:color w:val="000000"/>
          <w:sz w:val="24"/>
          <w:szCs w:val="26"/>
        </w:rPr>
        <w:t xml:space="preserve">access to healthcare and eradication programs for </w:t>
      </w:r>
      <w:r>
        <w:rPr>
          <w:i/>
          <w:color w:val="000000"/>
          <w:sz w:val="24"/>
          <w:szCs w:val="26"/>
        </w:rPr>
        <w:t>H. pylori</w:t>
      </w:r>
      <w:r>
        <w:rPr>
          <w:color w:val="000000"/>
          <w:sz w:val="24"/>
          <w:szCs w:val="26"/>
        </w:rPr>
        <w:t xml:space="preserve"> are</w:t>
      </w:r>
      <w:r>
        <w:rPr>
          <w:color w:val="000000"/>
          <w:sz w:val="24"/>
          <w:szCs w:val="26"/>
        </w:rPr>
        <w:t xml:space="preserve"> limited. Further research is needed to address these disparities and develop more effective, accessible treatment options (Sung </w:t>
      </w:r>
      <w:r>
        <w:rPr>
          <w:i/>
          <w:iCs/>
          <w:color w:val="000000"/>
          <w:sz w:val="24"/>
          <w:szCs w:val="26"/>
        </w:rPr>
        <w:t>et al</w:t>
      </w:r>
      <w:r>
        <w:rPr>
          <w:color w:val="000000"/>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has also been explored in ulcer pathogenesis, although their direct causation remains debated (Lanas and Chan, 2017).</w:t>
      </w:r>
    </w:p>
    <w:p>
      <w:pPr>
        <w:pStyle w:val="style0"/>
        <w:spacing w:after="0" w:lineRule="auto" w:line="480"/>
        <w:jc w:val="both"/>
        <w:rPr>
          <w:b/>
          <w:color w:val="000000"/>
          <w:sz w:val="24"/>
          <w:szCs w:val="26"/>
        </w:rPr>
      </w:pPr>
      <w:r>
        <w:rPr>
          <w:b/>
          <w:color w:val="000000"/>
          <w:sz w:val="24"/>
          <w:szCs w:val="26"/>
        </w:rPr>
        <w:t>2.1 Ulcer</w:t>
      </w:r>
    </w:p>
    <w:p>
      <w:pPr>
        <w:pStyle w:val="style0"/>
        <w:spacing w:after="0" w:lineRule="auto" w:line="480"/>
        <w:ind w:firstLine="720"/>
        <w:jc w:val="both"/>
        <w:rPr>
          <w:color w:val="000000"/>
          <w:sz w:val="24"/>
          <w:szCs w:val="26"/>
        </w:rPr>
      </w:pPr>
      <w:r>
        <w:rPr>
          <w:color w:val="000000"/>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Pr>
          <w:color w:val="000000"/>
          <w:sz w:val="24"/>
          <w:szCs w:val="26"/>
        </w:rPr>
        <w:t xml:space="preserve">impact on global health (Sung </w:t>
      </w:r>
      <w:r>
        <w:rPr>
          <w:i/>
          <w:iCs/>
          <w:color w:val="000000"/>
          <w:sz w:val="24"/>
          <w:szCs w:val="26"/>
        </w:rPr>
        <w:t>et al</w:t>
      </w:r>
      <w:r>
        <w:rPr>
          <w:color w:val="000000"/>
          <w:sz w:val="24"/>
          <w:szCs w:val="26"/>
        </w:rPr>
        <w:t xml:space="preserve">., 2020). The prevalence of ulcers varies globally, influenced by dietary habits, healthcare accessibility, and infection rates of </w:t>
      </w:r>
      <w:r>
        <w:rPr>
          <w:i/>
          <w:color w:val="000000"/>
          <w:sz w:val="24"/>
          <w:szCs w:val="26"/>
        </w:rPr>
        <w:t>H. pylori</w:t>
      </w:r>
      <w:r>
        <w:rPr>
          <w:color w:val="000000"/>
          <w:sz w:val="24"/>
          <w:szCs w:val="26"/>
        </w:rPr>
        <w:t xml:space="preserve">. Developing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pPr>
        <w:pStyle w:val="style0"/>
        <w:spacing w:after="0" w:lineRule="auto" w:line="480"/>
        <w:ind w:firstLine="720"/>
        <w:jc w:val="both"/>
        <w:rPr>
          <w:color w:val="000000"/>
          <w:sz w:val="24"/>
          <w:szCs w:val="26"/>
        </w:rPr>
      </w:pPr>
      <w:r>
        <w:rPr>
          <w:color w:val="000000"/>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Pr>
          <w:i/>
          <w:iCs/>
          <w:color w:val="000000"/>
          <w:sz w:val="24"/>
          <w:szCs w:val="26"/>
        </w:rPr>
        <w:t>et al</w:t>
      </w:r>
      <w:r>
        <w:rPr>
          <w:color w:val="000000"/>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w:t>
      </w:r>
    </w:p>
    <w:p>
      <w:pPr>
        <w:pStyle w:val="style0"/>
        <w:spacing w:after="0" w:lineRule="auto" w:line="480"/>
        <w:jc w:val="both"/>
        <w:rPr>
          <w:b/>
          <w:color w:val="000000"/>
          <w:sz w:val="24"/>
          <w:szCs w:val="26"/>
        </w:rPr>
      </w:pPr>
      <w:r>
        <w:rPr>
          <w:b/>
          <w:color w:val="000000"/>
          <w:sz w:val="24"/>
          <w:szCs w:val="26"/>
        </w:rPr>
        <w:t>2.2 Types of Ulcer</w:t>
      </w:r>
    </w:p>
    <w:p>
      <w:pPr>
        <w:pStyle w:val="style0"/>
        <w:spacing w:after="0" w:lineRule="auto" w:line="480"/>
        <w:jc w:val="both"/>
        <w:rPr>
          <w:b/>
          <w:color w:val="000000"/>
          <w:sz w:val="24"/>
          <w:szCs w:val="26"/>
        </w:rPr>
      </w:pPr>
      <w:r>
        <w:rPr>
          <w:b/>
          <w:color w:val="000000"/>
          <w:sz w:val="24"/>
          <w:szCs w:val="26"/>
        </w:rPr>
        <w:t>2.2.1 Peptic Ulcer</w:t>
      </w:r>
    </w:p>
    <w:p>
      <w:pPr>
        <w:pStyle w:val="style0"/>
        <w:spacing w:after="0" w:lineRule="auto" w:line="480"/>
        <w:ind w:firstLine="720"/>
        <w:jc w:val="both"/>
        <w:rPr>
          <w:color w:val="000000"/>
          <w:sz w:val="24"/>
          <w:szCs w:val="26"/>
        </w:rPr>
      </w:pPr>
      <w:r>
        <w:rPr>
          <w:color w:val="000000"/>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Pr>
          <w:color w:val="000000"/>
          <w:sz w:val="24"/>
          <w:szCs w:val="26"/>
        </w:rPr>
        <w:t xml:space="preserve">mucosa (e.g., in Meckel’s diverticulum) (Kalyanakrishnan </w:t>
      </w:r>
      <w:r>
        <w:rPr>
          <w:i/>
          <w:iCs/>
          <w:color w:val="000000"/>
          <w:sz w:val="24"/>
          <w:szCs w:val="26"/>
        </w:rPr>
        <w:t>et al</w:t>
      </w:r>
      <w:r>
        <w:rPr>
          <w:color w:val="000000"/>
          <w:sz w:val="24"/>
          <w:szCs w:val="26"/>
        </w:rPr>
        <w:t xml:space="preserve">., 2007). Peptic ulcer disease affects 1-2 per 1000 people annually as per a systematic review with data from the USA, UK, and Europe (Sung </w:t>
      </w:r>
      <w:r>
        <w:rPr>
          <w:i/>
          <w:color w:val="000000"/>
          <w:sz w:val="24"/>
          <w:szCs w:val="26"/>
        </w:rPr>
        <w:t>et al</w:t>
      </w:r>
      <w:r>
        <w:rPr>
          <w:i/>
          <w:color w:val="000000"/>
          <w:sz w:val="24"/>
          <w:szCs w:val="26"/>
        </w:rPr>
        <w:t>.,</w:t>
      </w:r>
      <w:r>
        <w:rPr>
          <w:color w:val="000000"/>
          <w:sz w:val="24"/>
          <w:szCs w:val="26"/>
        </w:rPr>
        <w:t xml:space="preserve"> 2009). The incidence is declining, possibly due to decreasing prevalence of </w:t>
      </w:r>
      <w:r>
        <w:rPr>
          <w:i/>
          <w:color w:val="000000"/>
          <w:sz w:val="24"/>
          <w:szCs w:val="26"/>
        </w:rPr>
        <w:t xml:space="preserve">Helicobacter pylori </w:t>
      </w:r>
      <w:r>
        <w:rPr>
          <w:color w:val="000000"/>
          <w:sz w:val="24"/>
          <w:szCs w:val="26"/>
        </w:rPr>
        <w:t xml:space="preserve">infection (Agréus </w:t>
      </w:r>
      <w:r>
        <w:rPr>
          <w:i/>
          <w:iCs/>
          <w:color w:val="000000"/>
          <w:sz w:val="24"/>
          <w:szCs w:val="26"/>
        </w:rPr>
        <w:t>et al</w:t>
      </w:r>
      <w:r>
        <w:rPr>
          <w:color w:val="000000"/>
          <w:sz w:val="24"/>
          <w:szCs w:val="26"/>
        </w:rPr>
        <w:t xml:space="preserve">., 2016). </w:t>
      </w:r>
    </w:p>
    <w:p>
      <w:pPr>
        <w:pStyle w:val="style0"/>
        <w:spacing w:after="0" w:lineRule="auto" w:line="480"/>
        <w:ind w:firstLine="720"/>
        <w:jc w:val="both"/>
        <w:rPr>
          <w:color w:val="000000"/>
          <w:sz w:val="24"/>
          <w:szCs w:val="26"/>
        </w:rPr>
      </w:pPr>
      <w:r>
        <w:rPr>
          <w:color w:val="000000"/>
          <w:sz w:val="24"/>
          <w:szCs w:val="26"/>
        </w:rPr>
        <w:t xml:space="preserve">Previous studies suggest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 xml:space="preserve">is also an important risk factor for gastric cancer, which further emphasises the importance of its eradication (Ford </w:t>
      </w:r>
      <w:r>
        <w:rPr>
          <w:i/>
          <w:iCs/>
          <w:color w:val="000000"/>
          <w:sz w:val="24"/>
          <w:szCs w:val="26"/>
        </w:rPr>
        <w:t>et al</w:t>
      </w:r>
      <w:r>
        <w:rPr>
          <w:color w:val="000000"/>
          <w:sz w:val="24"/>
          <w:szCs w:val="26"/>
        </w:rPr>
        <w:t>., 2017).</w:t>
      </w:r>
    </w:p>
    <w:p>
      <w:pPr>
        <w:pStyle w:val="style0"/>
        <w:spacing w:after="0" w:lineRule="auto" w:line="480"/>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 xml:space="preserve">Helicobacter </w:t>
      </w:r>
      <w:r>
        <w:rPr>
          <w:i/>
          <w:color w:val="000000"/>
          <w:sz w:val="24"/>
          <w:szCs w:val="26"/>
        </w:rPr>
        <w:t>pylori</w:t>
      </w:r>
      <w:r>
        <w:rPr>
          <w:color w:val="000000"/>
          <w:sz w:val="24"/>
          <w:szCs w:val="26"/>
        </w:rPr>
        <w:t xml:space="preserve"> is</w:t>
      </w:r>
      <w:r>
        <w:rPr>
          <w:color w:val="000000"/>
          <w:sz w:val="24"/>
          <w:szCs w:val="26"/>
        </w:rPr>
        <w:t xml:space="preserve"> present in the gastroduodenal mucosa in most patients with duodenal ulcers,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pPr>
        <w:pStyle w:val="style0"/>
        <w:spacing w:after="0" w:lineRule="auto" w:line="480"/>
        <w:jc w:val="both"/>
        <w:rPr>
          <w:color w:val="000000"/>
          <w:sz w:val="24"/>
          <w:szCs w:val="26"/>
        </w:rPr>
      </w:pPr>
    </w:p>
    <w:p>
      <w:pPr>
        <w:pStyle w:val="style0"/>
        <w:spacing w:after="0" w:lineRule="auto" w:line="480"/>
        <w:jc w:val="both"/>
        <w:rPr>
          <w:b/>
          <w:color w:val="000000"/>
          <w:sz w:val="24"/>
          <w:szCs w:val="26"/>
        </w:rPr>
      </w:pPr>
      <w:r>
        <w:rPr>
          <w:b/>
          <w:noProof/>
          <w:color w:val="000000"/>
          <w:sz w:val="24"/>
          <w:szCs w:val="26"/>
        </w:rPr>
        <w:drawing>
          <wp:inline distL="0" distT="0" distB="0" distR="0">
            <wp:extent cx="5341882" cy="2809875"/>
            <wp:effectExtent l="0" t="0" r="0" b="0"/>
            <wp:docPr id="1028"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5" cstate="print"/>
                    <a:srcRect l="0" t="0" r="0" b="0"/>
                    <a:stretch/>
                  </pic:blipFill>
                  <pic:spPr>
                    <a:xfrm rot="0">
                      <a:off x="0" y="0"/>
                      <a:ext cx="5341882" cy="280987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2: Peptic Ulcer infection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Lauret (2015)</w:t>
      </w:r>
      <w:r>
        <w:rPr>
          <w:color w:val="000000"/>
          <w:sz w:val="24"/>
          <w:szCs w:val="26"/>
        </w:rPr>
        <w:t>.</w:t>
      </w:r>
    </w:p>
    <w:p>
      <w:pPr>
        <w:pStyle w:val="style0"/>
        <w:spacing w:after="0" w:lineRule="auto" w:line="480"/>
        <w:jc w:val="both"/>
        <w:rPr>
          <w:b/>
          <w:color w:val="000000"/>
          <w:sz w:val="24"/>
          <w:szCs w:val="26"/>
        </w:rPr>
      </w:pPr>
      <w:r>
        <w:rPr>
          <w:b/>
          <w:color w:val="000000"/>
          <w:sz w:val="24"/>
          <w:szCs w:val="26"/>
        </w:rPr>
        <w:t>2.2.2 Skin Ulcer</w:t>
      </w:r>
    </w:p>
    <w:p>
      <w:pPr>
        <w:pStyle w:val="style0"/>
        <w:spacing w:after="0" w:lineRule="auto" w:line="480"/>
        <w:ind w:firstLine="720"/>
        <w:jc w:val="both"/>
        <w:rPr>
          <w:color w:val="000000"/>
          <w:sz w:val="24"/>
          <w:szCs w:val="26"/>
        </w:rPr>
      </w:pPr>
      <w:r>
        <w:rPr>
          <w:color w:val="000000"/>
          <w:sz w:val="24"/>
          <w:szCs w:val="26"/>
        </w:rPr>
        <w:t xml:space="preserve">A skin ulcer is a localized defect or excavation of the skin surface that results from the progressive disintegration and necrosis of epidermal and dermal tissues, often extending into the subcutaneous layers (Gupta </w:t>
      </w:r>
      <w:r>
        <w:rPr>
          <w:i/>
          <w:iCs/>
          <w:color w:val="000000"/>
          <w:sz w:val="24"/>
          <w:szCs w:val="26"/>
        </w:rPr>
        <w:t>et al</w:t>
      </w:r>
      <w:r>
        <w:rPr>
          <w:color w:val="000000"/>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Pr>
          <w:i/>
          <w:iCs/>
          <w:color w:val="000000"/>
          <w:sz w:val="24"/>
          <w:szCs w:val="26"/>
        </w:rPr>
        <w:t>et al</w:t>
      </w:r>
      <w:r>
        <w:rPr>
          <w:color w:val="000000"/>
          <w:sz w:val="24"/>
          <w:szCs w:val="26"/>
        </w:rPr>
        <w:t xml:space="preserve">., 2018). </w:t>
      </w:r>
    </w:p>
    <w:p>
      <w:pPr>
        <w:pStyle w:val="style0"/>
        <w:spacing w:after="0" w:lineRule="auto" w:line="480"/>
        <w:ind w:firstLine="720"/>
        <w:jc w:val="both"/>
        <w:rPr>
          <w:color w:val="000000"/>
          <w:sz w:val="24"/>
          <w:szCs w:val="26"/>
        </w:rPr>
      </w:pPr>
      <w:r>
        <w:rPr>
          <w:color w:val="000000"/>
          <w:sz w:val="24"/>
          <w:szCs w:val="26"/>
        </w:rPr>
        <w:t xml:space="preserve">Skin ulcers are a significant health concern globally, affecting individuals across various age groups and socioeconomic backgrounds. These chronic wounds result from </w:t>
      </w:r>
      <w:r>
        <w:rPr>
          <w:color w:val="000000"/>
          <w:sz w:val="24"/>
          <w:szCs w:val="26"/>
        </w:rPr>
        <w:t xml:space="preserve">multiple underlying conditions, including vascular insufficiency, prolonged pressure, infection, and systemic diseases (Sen </w:t>
      </w:r>
      <w:r>
        <w:rPr>
          <w:i/>
          <w:iCs/>
          <w:color w:val="000000"/>
          <w:sz w:val="24"/>
          <w:szCs w:val="26"/>
        </w:rPr>
        <w:t>et al</w:t>
      </w:r>
      <w:r>
        <w:rPr>
          <w:color w:val="000000"/>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Pr>
          <w:i/>
          <w:iCs/>
          <w:color w:val="000000"/>
          <w:sz w:val="24"/>
          <w:szCs w:val="26"/>
        </w:rPr>
        <w:t>et al</w:t>
      </w:r>
      <w:r>
        <w:rPr>
          <w:color w:val="000000"/>
          <w:sz w:val="24"/>
          <w:szCs w:val="26"/>
        </w:rPr>
        <w:t xml:space="preserve">., 2018). Studies have shown that factors such as persistent inflammation, excessive protease activity, and reduced cellular migration contribute to the delayed healing seen in ulcerative conditions (Eming </w:t>
      </w:r>
      <w:r>
        <w:rPr>
          <w:i/>
          <w:iCs/>
          <w:color w:val="000000"/>
          <w:sz w:val="24"/>
          <w:szCs w:val="26"/>
        </w:rPr>
        <w:t>et al</w:t>
      </w:r>
      <w:r>
        <w:rPr>
          <w:color w:val="000000"/>
          <w:sz w:val="24"/>
          <w:szCs w:val="26"/>
        </w:rPr>
        <w:t xml:space="preserve">., 2014). </w:t>
      </w:r>
    </w:p>
    <w:p>
      <w:pPr>
        <w:pStyle w:val="style0"/>
        <w:spacing w:after="0" w:lineRule="auto" w:line="480"/>
        <w:jc w:val="both"/>
        <w:rPr>
          <w:b/>
          <w:color w:val="000000"/>
          <w:sz w:val="24"/>
          <w:szCs w:val="26"/>
        </w:rPr>
      </w:pPr>
      <w:r>
        <w:rPr>
          <w:b/>
          <w:noProof/>
          <w:color w:val="000000"/>
          <w:sz w:val="24"/>
          <w:szCs w:val="26"/>
        </w:rPr>
        <w:drawing>
          <wp:inline distL="0" distT="0" distB="0" distR="0">
            <wp:extent cx="2474405" cy="2371725"/>
            <wp:effectExtent l="0" t="0" r="2540" b="0"/>
            <wp:docPr id="102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6" cstate="print"/>
                    <a:srcRect l="0" t="0" r="0" b="17828"/>
                    <a:stretch/>
                  </pic:blipFill>
                  <pic:spPr>
                    <a:xfrm rot="0">
                      <a:off x="0" y="0"/>
                      <a:ext cx="2474405" cy="2371725"/>
                    </a:xfrm>
                    <a:prstGeom prst="rect"/>
                    <a:ln>
                      <a:noFill/>
                    </a:ln>
                  </pic:spPr>
                </pic:pic>
              </a:graphicData>
            </a:graphic>
          </wp:inline>
        </w:drawing>
      </w:r>
      <w:r>
        <w:rPr>
          <w:b/>
          <w:color w:val="000000"/>
          <w:sz w:val="24"/>
          <w:szCs w:val="26"/>
        </w:rPr>
        <w:t xml:space="preserve"> </w:t>
      </w:r>
      <w:r>
        <w:rPr>
          <w:b/>
          <w:noProof/>
          <w:color w:val="000000"/>
          <w:sz w:val="24"/>
          <w:szCs w:val="26"/>
        </w:rPr>
        <w:drawing>
          <wp:inline distL="0" distT="0" distB="0" distR="0">
            <wp:extent cx="2537649" cy="2428875"/>
            <wp:effectExtent l="0" t="0" r="0" b="0"/>
            <wp:docPr id="103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12734" r="0" b="20834"/>
                    <a:stretch/>
                  </pic:blipFill>
                  <pic:spPr>
                    <a:xfrm rot="0">
                      <a:off x="0" y="0"/>
                      <a:ext cx="2537649" cy="24288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Skin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Skin ulcers are also associated with substantial economic burdens, as their treatment often involves prolonged hospitalization, use of advanced wound care products, and surgical interventions (Sen </w:t>
      </w:r>
      <w:r>
        <w:rPr>
          <w:i/>
          <w:iCs/>
          <w:color w:val="000000"/>
          <w:sz w:val="24"/>
          <w:szCs w:val="26"/>
        </w:rPr>
        <w:t>et al</w:t>
      </w:r>
      <w:r>
        <w:rPr>
          <w:color w:val="000000"/>
          <w:sz w:val="24"/>
          <w:szCs w:val="26"/>
        </w:rPr>
        <w:t xml:space="preserve">., 2009). A study by Guest </w:t>
      </w:r>
      <w:r>
        <w:rPr>
          <w:i/>
          <w:iCs/>
          <w:color w:val="000000"/>
          <w:sz w:val="24"/>
          <w:szCs w:val="26"/>
        </w:rPr>
        <w:t>et al</w:t>
      </w:r>
      <w:r>
        <w:rPr>
          <w:color w:val="000000"/>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Pr>
          <w:i/>
          <w:iCs/>
          <w:color w:val="000000"/>
          <w:sz w:val="24"/>
          <w:szCs w:val="26"/>
        </w:rPr>
        <w:t>et al</w:t>
      </w:r>
      <w:r>
        <w:rPr>
          <w:color w:val="000000"/>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Pr>
          <w:i/>
          <w:iCs/>
          <w:color w:val="000000"/>
          <w:sz w:val="24"/>
          <w:szCs w:val="26"/>
        </w:rPr>
        <w:t>et al</w:t>
      </w:r>
      <w:r>
        <w:rPr>
          <w:color w:val="000000"/>
          <w:sz w:val="24"/>
          <w:szCs w:val="26"/>
        </w:rPr>
        <w:t>., 2018).</w:t>
      </w:r>
    </w:p>
    <w:p>
      <w:pPr>
        <w:pStyle w:val="style0"/>
        <w:spacing w:after="0" w:lineRule="auto" w:line="480"/>
        <w:jc w:val="both"/>
        <w:rPr>
          <w:color w:val="000000"/>
          <w:sz w:val="24"/>
          <w:szCs w:val="26"/>
        </w:rPr>
      </w:pPr>
      <w:r>
        <w:rPr>
          <w:noProof/>
          <w:color w:val="000000"/>
          <w:sz w:val="24"/>
          <w:szCs w:val="26"/>
        </w:rPr>
        <w:drawing>
          <wp:inline distL="0" distT="0" distB="0" distR="0">
            <wp:extent cx="3705225" cy="2495550"/>
            <wp:effectExtent l="0" t="0" r="0" b="0"/>
            <wp:docPr id="103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705225" cy="2495550"/>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Pressure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xml:space="preserve">., 2019). These ulcers are usually found around the medial malleolus, Figure 4 below shows </w:t>
      </w:r>
      <w:r>
        <w:rPr>
          <w:color w:val="000000"/>
          <w:sz w:val="24"/>
          <w:szCs w:val="26"/>
        </w:rPr>
        <w:t>Venous</w:t>
      </w:r>
      <w:r>
        <w:rPr>
          <w:color w:val="000000"/>
          <w:sz w:val="24"/>
          <w:szCs w:val="26"/>
        </w:rPr>
        <w:t xml:space="preserve">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975704" cy="2028825"/>
            <wp:effectExtent l="0" t="0" r="0" b="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 cstate="print"/>
                    <a:srcRect l="0" t="0" r="0" b="0"/>
                    <a:stretch/>
                  </pic:blipFill>
                  <pic:spPr>
                    <a:xfrm rot="0">
                      <a:off x="0" y="0"/>
                      <a:ext cx="2975704" cy="20288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4: Venus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xml:space="preserve">., 2020). These ulcers are usually located on the toes, feet, (see figure 5) or lateral malleolus and have a punched-out appearance with a pale wound bed and minimal exudate (Conte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p>
    <w:p>
      <w:pPr>
        <w:pStyle w:val="style0"/>
        <w:spacing w:after="0" w:lineRule="auto" w:line="480"/>
        <w:jc w:val="both"/>
        <w:rPr>
          <w:color w:val="000000"/>
          <w:sz w:val="24"/>
          <w:szCs w:val="26"/>
        </w:rPr>
      </w:pPr>
      <w:r>
        <w:rPr>
          <w:noProof/>
          <w:color w:val="000000"/>
          <w:sz w:val="24"/>
          <w:szCs w:val="26"/>
        </w:rPr>
        <w:drawing>
          <wp:inline distL="0" distT="0" distB="0" distR="0">
            <wp:extent cx="2581275" cy="1762125"/>
            <wp:effectExtent l="0" t="0" r="9525" b="9525"/>
            <wp:docPr id="103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0" cstate="print"/>
                    <a:srcRect l="0" t="0" r="0" b="0"/>
                    <a:stretch/>
                  </pic:blipFill>
                  <pic:spPr>
                    <a:xfrm rot="0">
                      <a:off x="0" y="0"/>
                      <a:ext cx="2581275" cy="17621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5: Arterial ulcers </w:t>
      </w:r>
    </w:p>
    <w:p>
      <w:pPr>
        <w:pStyle w:val="style0"/>
        <w:spacing w:after="0" w:lineRule="auto" w:line="480"/>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Neuropathic ulcers are common in diabetic patients and result from peripheral neuropathy, leading to loss of sensation and repeated trauma (Armstrong </w:t>
      </w:r>
      <w:r>
        <w:rPr>
          <w:i/>
          <w:iCs/>
          <w:color w:val="000000"/>
          <w:sz w:val="24"/>
          <w:szCs w:val="26"/>
        </w:rPr>
        <w:t>et al</w:t>
      </w:r>
      <w:r>
        <w:rPr>
          <w:color w:val="000000"/>
          <w:sz w:val="24"/>
          <w:szCs w:val="26"/>
        </w:rPr>
        <w:t xml:space="preserve">., 2021). These ulcers are typically found on weight-bearing areas of the feet (figure 6), and are often associated with osteomyelitis and poor healing (Lazzarini </w:t>
      </w:r>
      <w:r>
        <w:rPr>
          <w:i/>
          <w:iCs/>
          <w:color w:val="000000"/>
          <w:sz w:val="24"/>
          <w:szCs w:val="26"/>
        </w:rPr>
        <w:t>et al</w:t>
      </w:r>
      <w:r>
        <w:rPr>
          <w:color w:val="000000"/>
          <w:sz w:val="24"/>
          <w:szCs w:val="26"/>
        </w:rPr>
        <w:t xml:space="preserve">., 2019). Skin ulcers can also arise due to bacterial, viral, or fungal infections. Examples include </w:t>
      </w:r>
      <w:r>
        <w:rPr>
          <w:color w:val="000000"/>
          <w:sz w:val="24"/>
          <w:szCs w:val="26"/>
        </w:rPr>
        <w:t xml:space="preserve">Mycobacterium ulcerans infections (Buruli ulcer), Treponema pallidum (syphilitic ulcers), and Leishmania species (cutaneous leishmaniasis) (Sadeghian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695575" cy="1243485"/>
            <wp:effectExtent l="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0" t="0" r="0" b="0"/>
                    <a:stretch/>
                  </pic:blipFill>
                  <pic:spPr>
                    <a:xfrm rot="0">
                      <a:off x="0" y="0"/>
                      <a:ext cx="2695575" cy="124348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Figure 6: Arterial ulcers</w:t>
      </w:r>
    </w:p>
    <w:p>
      <w:pPr>
        <w:pStyle w:val="style0"/>
        <w:spacing w:after="0" w:lineRule="auto" w:line="480"/>
        <w:jc w:val="both"/>
        <w:rPr>
          <w:b/>
          <w:color w:val="000000"/>
          <w:sz w:val="24"/>
          <w:szCs w:val="26"/>
        </w:rPr>
      </w:pPr>
      <w:r>
        <w:rPr>
          <w:b/>
          <w:color w:val="000000"/>
          <w:sz w:val="24"/>
          <w:szCs w:val="26"/>
        </w:rPr>
        <w:t>2.2.3 Mouth Ulcer</w:t>
      </w:r>
    </w:p>
    <w:p>
      <w:pPr>
        <w:pStyle w:val="style0"/>
        <w:spacing w:after="0" w:lineRule="auto" w:line="480"/>
        <w:ind w:firstLine="720"/>
        <w:jc w:val="both"/>
        <w:rPr>
          <w:color w:val="000000"/>
          <w:sz w:val="24"/>
          <w:szCs w:val="26"/>
        </w:rPr>
      </w:pPr>
      <w:r>
        <w:rPr>
          <w:color w:val="000000"/>
          <w:sz w:val="24"/>
          <w:szCs w:val="26"/>
        </w:rPr>
        <w:t>The oral cavity is lined by epithelia, extending from the inner aspect of the lips to the oropharynx. Keratinized mucosa includes the dorsal tongue, ging</w:t>
      </w:r>
      <w:r>
        <w:rPr>
          <w:color w:val="000000"/>
          <w:sz w:val="24"/>
          <w:szCs w:val="26"/>
        </w:rPr>
        <w:t xml:space="preserve">ivae and hard palate, while non </w:t>
      </w:r>
      <w:r>
        <w:rPr>
          <w:color w:val="000000"/>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Pr>
          <w:rFonts w:eastAsia="Times New Roman"/>
          <w:color w:val="000000"/>
          <w:sz w:val="24"/>
          <w:szCs w:val="26"/>
        </w:rPr>
        <w:t xml:space="preserve">Yogarajah and Setterfield, 2021). </w:t>
      </w:r>
      <w:r>
        <w:rPr>
          <w:color w:val="000000"/>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Pr>
          <w:color w:val="000000"/>
          <w:sz w:val="24"/>
          <w:szCs w:val="26"/>
        </w:rPr>
        <w:t>immune related, traumatic, or neoplastic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pPr>
        <w:pStyle w:val="style0"/>
        <w:spacing w:after="0" w:lineRule="auto" w:line="480"/>
        <w:jc w:val="both"/>
        <w:rPr>
          <w:b/>
          <w:color w:val="000000"/>
          <w:sz w:val="24"/>
          <w:szCs w:val="26"/>
        </w:rPr>
      </w:pPr>
      <w:r>
        <w:rPr>
          <w:b/>
          <w:noProof/>
          <w:color w:val="000000"/>
          <w:sz w:val="24"/>
          <w:szCs w:val="26"/>
        </w:rPr>
        <w:drawing>
          <wp:inline distL="0" distT="0" distB="0" distR="0">
            <wp:extent cx="2424412" cy="2358292"/>
            <wp:effectExtent l="0" t="0" r="0" b="4445"/>
            <wp:docPr id="103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2" cstate="print"/>
                    <a:srcRect l="0" t="0" r="0" b="0"/>
                    <a:stretch/>
                  </pic:blipFill>
                  <pic:spPr>
                    <a:xfrm rot="0">
                      <a:off x="0" y="0"/>
                      <a:ext cx="2424412" cy="2358292"/>
                    </a:xfrm>
                    <a:prstGeom prst="rect"/>
                  </pic:spPr>
                </pic:pic>
              </a:graphicData>
            </a:graphic>
          </wp:inline>
        </w:drawing>
      </w:r>
      <w:r>
        <w:rPr>
          <w:b/>
          <w:noProof/>
          <w:color w:val="000000"/>
          <w:sz w:val="24"/>
          <w:szCs w:val="26"/>
        </w:rPr>
        <w:drawing>
          <wp:inline distL="0" distT="0" distB="0" distR="0">
            <wp:extent cx="2846070" cy="2319316"/>
            <wp:effectExtent l="0" t="0" r="0" b="5080"/>
            <wp:docPr id="1036"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13" cstate="print"/>
                    <a:srcRect l="0" t="0" r="0" b="0"/>
                    <a:stretch/>
                  </pic:blipFill>
                  <pic:spPr>
                    <a:xfrm rot="0">
                      <a:off x="0" y="0"/>
                      <a:ext cx="2846070" cy="2319316"/>
                    </a:xfrm>
                    <a:prstGeom prst="rect"/>
                  </pic:spPr>
                </pic:pic>
              </a:graphicData>
            </a:graphic>
          </wp:inline>
        </w:drawing>
      </w:r>
      <w:r>
        <w:rPr>
          <w:b/>
          <w:color w:val="000000"/>
          <w:sz w:val="24"/>
          <w:szCs w:val="26"/>
        </w:rPr>
        <w:t xml:space="preserve">       </w:t>
      </w:r>
    </w:p>
    <w:p>
      <w:pPr>
        <w:pStyle w:val="style179"/>
        <w:numPr>
          <w:ilvl w:val="0"/>
          <w:numId w:val="10"/>
        </w:numPr>
        <w:spacing w:after="0" w:lineRule="auto" w:line="480"/>
        <w:jc w:val="both"/>
        <w:rPr>
          <w:b/>
          <w:color w:val="000000"/>
          <w:sz w:val="24"/>
          <w:szCs w:val="26"/>
        </w:rPr>
      </w:pPr>
      <w:r>
        <w:rPr>
          <w:b/>
          <w:color w:val="000000"/>
          <w:sz w:val="24"/>
          <w:szCs w:val="26"/>
        </w:rPr>
        <w:t xml:space="preserve">                                                      (b)</w:t>
      </w:r>
    </w:p>
    <w:p>
      <w:pPr>
        <w:pStyle w:val="style0"/>
        <w:spacing w:after="0" w:lineRule="auto" w:line="480"/>
        <w:jc w:val="both"/>
        <w:rPr>
          <w:b/>
          <w:color w:val="000000"/>
          <w:sz w:val="24"/>
          <w:szCs w:val="26"/>
        </w:rPr>
      </w:pPr>
      <w:r>
        <w:rPr>
          <w:b/>
          <w:color w:val="000000"/>
          <w:sz w:val="24"/>
          <w:szCs w:val="26"/>
        </w:rPr>
        <w:t>Figure 7: (a) Aphthous Ulcerations           (b)</w:t>
      </w:r>
      <w:r>
        <w:rPr>
          <w:color w:val="000000"/>
          <w:sz w:val="24"/>
          <w:szCs w:val="26"/>
        </w:rPr>
        <w:t xml:space="preserve"> </w:t>
      </w:r>
      <w:r>
        <w:rPr>
          <w:b/>
          <w:color w:val="000000"/>
          <w:sz w:val="24"/>
          <w:szCs w:val="26"/>
        </w:rPr>
        <w:t>Herpetiform ulceration</w:t>
      </w:r>
    </w:p>
    <w:p>
      <w:pPr>
        <w:pStyle w:val="style0"/>
        <w:spacing w:after="0" w:lineRule="auto" w:line="480"/>
        <w:jc w:val="both"/>
        <w:rPr>
          <w:color w:val="000000"/>
          <w:sz w:val="24"/>
          <w:szCs w:val="26"/>
        </w:rPr>
      </w:pPr>
      <w:r>
        <w:rPr>
          <w:b/>
          <w:color w:val="000000"/>
          <w:sz w:val="24"/>
          <w:szCs w:val="26"/>
        </w:rPr>
        <w:t>Source:</w:t>
      </w:r>
      <w:r>
        <w:rPr>
          <w:color w:val="000000"/>
          <w:sz w:val="24"/>
          <w:szCs w:val="26"/>
        </w:rPr>
        <w:t xml:space="preserve"> Crispian and Rosemary (2000)</w:t>
      </w:r>
      <w:r>
        <w:rPr>
          <w:color w:val="000000"/>
          <w:sz w:val="24"/>
          <w:szCs w:val="26"/>
        </w:rPr>
        <w:t>.</w:t>
      </w:r>
    </w:p>
    <w:p>
      <w:pPr>
        <w:pStyle w:val="style0"/>
        <w:spacing w:after="0" w:lineRule="auto" w:line="480"/>
        <w:jc w:val="both"/>
        <w:rPr>
          <w:b/>
          <w:color w:val="000000"/>
          <w:sz w:val="24"/>
          <w:szCs w:val="26"/>
        </w:rPr>
      </w:pPr>
      <w:r>
        <w:rPr>
          <w:b/>
          <w:color w:val="000000"/>
          <w:sz w:val="24"/>
          <w:szCs w:val="26"/>
        </w:rPr>
        <w:t>2.2.4 Corneal Ulcer</w:t>
      </w:r>
    </w:p>
    <w:p>
      <w:pPr>
        <w:pStyle w:val="style0"/>
        <w:spacing w:after="0" w:lineRule="auto" w:line="480"/>
        <w:ind w:firstLine="720"/>
        <w:jc w:val="both"/>
        <w:rPr>
          <w:b/>
          <w:color w:val="000000"/>
          <w:sz w:val="24"/>
          <w:szCs w:val="26"/>
        </w:rPr>
      </w:pPr>
      <w:r>
        <w:rPr>
          <w:color w:val="000000"/>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Pr>
          <w:color w:val="000000"/>
          <w:sz w:val="24"/>
          <w:szCs w:val="26"/>
        </w:rPr>
        <w:t xml:space="preserve">compromise the corneal surface, such as dry eye or previous eye surgery (Johnson, 2023). </w:t>
      </w:r>
      <w:r>
        <w:rPr>
          <w:rFonts w:eastAsia="Times New Roman"/>
          <w:color w:val="000000"/>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2375819" cy="1750950"/>
            <wp:effectExtent l="0" t="0" r="5715" b="1905"/>
            <wp:docPr id="103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4" cstate="print"/>
                    <a:srcRect l="0" t="0" r="0" b="0"/>
                    <a:stretch/>
                  </pic:blipFill>
                  <pic:spPr>
                    <a:xfrm rot="0">
                      <a:off x="0" y="0"/>
                      <a:ext cx="2375819" cy="1750950"/>
                    </a:xfrm>
                    <a:prstGeom prst="rect"/>
                  </pic:spPr>
                </pic:pic>
              </a:graphicData>
            </a:graphic>
          </wp:inline>
        </w:drawing>
      </w:r>
    </w:p>
    <w:p>
      <w:pPr>
        <w:pStyle w:val="style0"/>
        <w:spacing w:after="0" w:lineRule="auto" w:line="480"/>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pPr>
        <w:pStyle w:val="style0"/>
        <w:spacing w:after="0" w:lineRule="auto" w:line="480"/>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pPr>
        <w:pStyle w:val="style0"/>
        <w:spacing w:after="0" w:lineRule="auto" w:line="480"/>
        <w:jc w:val="both"/>
        <w:rPr>
          <w:b/>
          <w:color w:val="000000"/>
          <w:sz w:val="24"/>
          <w:szCs w:val="26"/>
        </w:rPr>
      </w:pPr>
      <w:r>
        <w:rPr>
          <w:b/>
          <w:color w:val="000000"/>
          <w:sz w:val="24"/>
          <w:szCs w:val="26"/>
        </w:rPr>
        <w:t>2.2.5 Diabetic Ulcer</w:t>
      </w:r>
    </w:p>
    <w:p>
      <w:pPr>
        <w:pStyle w:val="style0"/>
        <w:spacing w:after="0" w:lineRule="auto" w:line="480"/>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xml:space="preserve">., 2023). Diabetic ulcer (DU) is a debilitating and severe manifestation of uncontrolled and prolonged diabetes that presents as </w:t>
      </w:r>
      <w:r>
        <w:rPr>
          <w:color w:val="000000"/>
          <w:sz w:val="24"/>
          <w:szCs w:val="26"/>
        </w:rPr>
        <w:t>an ulceration</w:t>
      </w:r>
      <w:r>
        <w:rPr>
          <w:color w:val="000000"/>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Pr>
          <w:i/>
          <w:iCs/>
          <w:color w:val="000000"/>
          <w:sz w:val="24"/>
          <w:szCs w:val="26"/>
        </w:rPr>
        <w:t>et al</w:t>
      </w:r>
      <w:r>
        <w:rPr>
          <w:color w:val="000000"/>
          <w:sz w:val="24"/>
          <w:szCs w:val="26"/>
        </w:rPr>
        <w:t>., 2023).</w:t>
      </w:r>
    </w:p>
    <w:p>
      <w:pPr>
        <w:pStyle w:val="style0"/>
        <w:spacing w:after="0" w:lineRule="auto" w:line="480"/>
        <w:ind w:firstLine="720"/>
        <w:jc w:val="both"/>
        <w:rPr>
          <w:color w:val="000000"/>
          <w:sz w:val="24"/>
          <w:szCs w:val="26"/>
        </w:rPr>
      </w:pPr>
      <w:r>
        <w:rPr>
          <w:color w:val="000000"/>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5800534" cy="3438525"/>
            <wp:effectExtent l="0" t="0" r="0" b="0"/>
            <wp:docPr id="103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5" cstate="print"/>
                    <a:srcRect l="0" t="0" r="0" b="5957"/>
                    <a:stretch/>
                  </pic:blipFill>
                  <pic:spPr>
                    <a:xfrm rot="0">
                      <a:off x="0" y="0"/>
                      <a:ext cx="5800534" cy="343852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9: The pathophysiology of Diabetic Ulcer  </w:t>
      </w:r>
    </w:p>
    <w:p>
      <w:pPr>
        <w:pStyle w:val="style0"/>
        <w:spacing w:after="0" w:lineRule="auto" w:line="480"/>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pPr>
        <w:pStyle w:val="style0"/>
        <w:spacing w:after="0" w:lineRule="auto" w:line="480"/>
        <w:jc w:val="both"/>
        <w:rPr>
          <w:b/>
          <w:color w:val="000000"/>
          <w:sz w:val="24"/>
          <w:szCs w:val="26"/>
        </w:rPr>
      </w:pPr>
      <w:r>
        <w:rPr>
          <w:b/>
          <w:color w:val="000000"/>
          <w:sz w:val="24"/>
          <w:szCs w:val="26"/>
        </w:rPr>
        <w:t>2.2.6 Stomach Ulcer</w:t>
      </w:r>
    </w:p>
    <w:p>
      <w:pPr>
        <w:pStyle w:val="style94"/>
        <w:spacing w:after="0" w:afterAutospacing="false" w:lineRule="auto" w:line="480"/>
        <w:ind w:firstLine="720"/>
        <w:jc w:val="both"/>
        <w:rPr>
          <w:color w:val="000000"/>
          <w:szCs w:val="26"/>
        </w:rPr>
      </w:pPr>
      <w:r>
        <w:rPr>
          <w:color w:val="000000"/>
          <w:szCs w:val="26"/>
        </w:rPr>
        <w:t xml:space="preserve">Digestion and the role of the stomach in maintaining health have interested man since early times (Modlin, 1995). Stomach ulcers are a significant gastrointestinal disorder that affects millions of people worldwide. They </w:t>
      </w:r>
      <w:r>
        <w:rPr>
          <w:color w:val="000000"/>
          <w:szCs w:val="26"/>
        </w:rPr>
        <w:t>occur</w:t>
      </w:r>
      <w:r>
        <w:rPr>
          <w:color w:val="000000"/>
          <w:szCs w:val="26"/>
        </w:rPr>
        <w:t xml:space="preserve"> when the mucosal lining of the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xml:space="preserve">., 2020). The primary cause of stomach ulcers is </w:t>
      </w:r>
      <w:r>
        <w:rPr>
          <w:i/>
          <w:iCs/>
          <w:color w:val="000000"/>
          <w:szCs w:val="26"/>
        </w:rPr>
        <w:t>H. pylori</w:t>
      </w:r>
      <w:r>
        <w:rPr>
          <w:color w:val="000000"/>
          <w:szCs w:val="26"/>
        </w:rPr>
        <w:t xml:space="preserve"> infection, which induces inflammation and disrupts the mucosal barrier, making it more susceptible </w:t>
      </w:r>
      <w:r>
        <w:rPr>
          <w:color w:val="000000"/>
          <w:szCs w:val="26"/>
        </w:rPr>
        <w:t xml:space="preserve">to acid damage (Malfertheiner </w:t>
      </w:r>
      <w:r>
        <w:rPr>
          <w:i/>
          <w:iCs/>
          <w:color w:val="000000"/>
          <w:szCs w:val="26"/>
        </w:rPr>
        <w:t>et al</w:t>
      </w:r>
      <w:r>
        <w:rPr>
          <w:color w:val="000000"/>
          <w:szCs w:val="26"/>
        </w:rPr>
        <w:t xml:space="preserve">., 2017). NSAIDs also contribute to ulcer formation by inhibiting cyclooxygenase (COX) enzymes, reducing the production of protective prostaglandins, and increasing gastric acidity (Lanas and Chan, 2017). </w:t>
      </w:r>
    </w:p>
    <w:p>
      <w:pPr>
        <w:pStyle w:val="style94"/>
        <w:spacing w:after="0" w:afterAutospacing="false" w:lineRule="auto" w:line="480"/>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 xml:space="preserve">Helicobacter </w:t>
      </w:r>
      <w:r>
        <w:rPr>
          <w:i/>
          <w:iCs/>
          <w:color w:val="000000"/>
          <w:szCs w:val="26"/>
        </w:rPr>
        <w:t>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xml:space="preserve">., 2017). The bacterium produces virulence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pPr>
        <w:pStyle w:val="style0"/>
        <w:spacing w:before="100" w:beforeAutospacing="true" w:after="0" w:lineRule="auto" w:line="480"/>
        <w:ind w:firstLine="720"/>
        <w:jc w:val="both"/>
        <w:rPr>
          <w:color w:val="000000"/>
          <w:sz w:val="24"/>
          <w:szCs w:val="26"/>
        </w:rPr>
      </w:pPr>
      <w:r>
        <w:rPr>
          <w:noProof/>
          <w:color w:val="000000"/>
          <w:sz w:val="24"/>
          <w:szCs w:val="26"/>
        </w:rPr>
        <w:t xml:space="preserve">   </w:t>
      </w:r>
      <w:r>
        <w:rPr>
          <w:noProof/>
          <w:color w:val="000000"/>
          <w:sz w:val="24"/>
          <w:szCs w:val="26"/>
        </w:rPr>
        <w:drawing>
          <wp:inline distL="0" distT="0" distB="0" distR="0">
            <wp:extent cx="2342278" cy="2327564"/>
            <wp:effectExtent l="0" t="0" r="1270" b="0"/>
            <wp:docPr id="1039"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342278" cy="2327564"/>
                    </a:xfrm>
                    <a:prstGeom prst="rect"/>
                    <a:ln>
                      <a:noFill/>
                    </a:ln>
                  </pic:spPr>
                </pic:pic>
              </a:graphicData>
            </a:graphic>
          </wp:inline>
        </w:drawing>
      </w:r>
      <w:r>
        <w:rPr>
          <w:noProof/>
          <w:color w:val="000000"/>
          <w:sz w:val="24"/>
          <w:szCs w:val="26"/>
        </w:rPr>
        <w:drawing>
          <wp:inline distL="0" distT="0" distB="0" distR="0">
            <wp:extent cx="2281927" cy="2327564"/>
            <wp:effectExtent l="0" t="0" r="4445" b="0"/>
            <wp:docPr id="1040" name="Picture 18" descr="undefin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281927" cy="2327564"/>
                    </a:xfrm>
                    <a:prstGeom prst="rect"/>
                    <a:ln>
                      <a:noFill/>
                    </a:ln>
                  </pic:spPr>
                </pic:pic>
              </a:graphicData>
            </a:graphic>
          </wp:inline>
        </w:drawing>
      </w:r>
      <w:r>
        <w:rPr>
          <w:color w:val="000000"/>
          <w:sz w:val="24"/>
          <w:szCs w:val="26"/>
        </w:rPr>
        <w:t xml:space="preserve">      </w:t>
      </w:r>
    </w:p>
    <w:p>
      <w:pPr>
        <w:pStyle w:val="style0"/>
        <w:spacing w:before="100" w:beforeAutospacing="true" w:after="0" w:lineRule="auto" w:line="240"/>
        <w:jc w:val="both"/>
        <w:rPr>
          <w:b/>
          <w:bCs/>
          <w:color w:val="000000"/>
          <w:sz w:val="24"/>
          <w:szCs w:val="26"/>
        </w:rPr>
      </w:pPr>
      <w:r>
        <w:rPr>
          <w:b/>
          <w:bCs/>
          <w:color w:val="000000"/>
          <w:sz w:val="24"/>
          <w:szCs w:val="26"/>
        </w:rPr>
        <w:t xml:space="preserve">Figure 10: Stomach Ulcer    </w:t>
      </w:r>
    </w:p>
    <w:p>
      <w:pPr>
        <w:pStyle w:val="style0"/>
        <w:spacing w:before="100" w:beforeAutospacing="true" w:after="0" w:lineRule="auto" w:line="240"/>
        <w:jc w:val="both"/>
        <w:rPr>
          <w:color w:val="000000"/>
          <w:sz w:val="24"/>
          <w:szCs w:val="26"/>
        </w:rPr>
      </w:pPr>
      <w:r>
        <w:rPr>
          <w:b/>
          <w:bCs/>
          <w:color w:val="000000"/>
          <w:sz w:val="24"/>
          <w:szCs w:val="26"/>
        </w:rPr>
        <w:t xml:space="preserve">Source: </w:t>
      </w:r>
      <w:r>
        <w:rPr>
          <w:color w:val="000000"/>
          <w:sz w:val="24"/>
          <w:szCs w:val="26"/>
          <w:shd w:val="clear" w:color="auto" w:fill="ffffff"/>
        </w:rPr>
        <w:t>Najm, (2011)</w:t>
      </w:r>
      <w:r>
        <w:rPr>
          <w:color w:val="000000"/>
          <w:sz w:val="24"/>
          <w:szCs w:val="26"/>
          <w:shd w:val="clear" w:color="auto" w:fill="ffffff"/>
        </w:rPr>
        <w:t>.</w:t>
      </w:r>
    </w:p>
    <w:p>
      <w:pPr>
        <w:pStyle w:val="style0"/>
        <w:spacing w:before="100" w:beforeAutospacing="true" w:after="0" w:lineRule="auto" w:line="480"/>
        <w:ind w:firstLine="720"/>
        <w:jc w:val="both"/>
        <w:rPr>
          <w:color w:val="000000"/>
          <w:sz w:val="24"/>
          <w:szCs w:val="26"/>
        </w:rPr>
      </w:pPr>
      <w:r>
        <w:rPr>
          <w:color w:val="000000"/>
          <w:sz w:val="24"/>
          <w:szCs w:val="26"/>
        </w:rPr>
        <w:t xml:space="preserve">Gastric cancer is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Pr>
          <w:i/>
          <w:iCs/>
          <w:color w:val="000000"/>
          <w:sz w:val="24"/>
          <w:szCs w:val="26"/>
        </w:rPr>
        <w:t>et al</w:t>
      </w:r>
      <w:r>
        <w:rPr>
          <w:color w:val="000000"/>
          <w:sz w:val="24"/>
          <w:szCs w:val="26"/>
        </w:rPr>
        <w:t>., 2011).</w:t>
      </w:r>
    </w:p>
    <w:p>
      <w:pPr>
        <w:pStyle w:val="style0"/>
        <w:spacing w:after="0"/>
        <w:jc w:val="both"/>
        <w:rPr>
          <w:bCs/>
          <w:color w:val="000000"/>
          <w:sz w:val="24"/>
          <w:szCs w:val="26"/>
        </w:rPr>
      </w:pPr>
      <w:r>
        <w:rPr>
          <w:bCs/>
          <w:noProof/>
          <w:color w:val="000000"/>
          <w:sz w:val="24"/>
          <w:szCs w:val="26"/>
        </w:rPr>
        <w:drawing>
          <wp:inline distL="0" distT="0" distB="0" distR="0">
            <wp:extent cx="5943600" cy="4036695"/>
            <wp:effectExtent l="0" t="0" r="0" b="1905"/>
            <wp:docPr id="104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18" cstate="print"/>
                    <a:srcRect l="0" t="0" r="0" b="0"/>
                    <a:stretch/>
                  </pic:blipFill>
                  <pic:spPr>
                    <a:xfrm rot="0">
                      <a:off x="0" y="0"/>
                      <a:ext cx="5943600" cy="4036695"/>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Figure 11: Key functions of the stomach and common harmful and noxious agents that affect gastric mucosal, secretory and motor functions</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r>
        <w:rPr>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2.3 Causes of Ulcer</w:t>
      </w:r>
    </w:p>
    <w:p>
      <w:pPr>
        <w:pStyle w:val="style0"/>
        <w:spacing w:after="0" w:lineRule="auto" w:line="480"/>
        <w:jc w:val="both"/>
        <w:rPr>
          <w:b/>
          <w:bCs/>
          <w:color w:val="000000"/>
          <w:sz w:val="24"/>
          <w:szCs w:val="26"/>
        </w:rPr>
      </w:pPr>
      <w:r>
        <w:rPr>
          <w:b/>
          <w:bCs/>
          <w:color w:val="000000"/>
          <w:sz w:val="24"/>
          <w:szCs w:val="26"/>
        </w:rPr>
        <w:t>2.3.1 Psychological Causes</w:t>
      </w:r>
    </w:p>
    <w:p>
      <w:pPr>
        <w:pStyle w:val="style0"/>
        <w:spacing w:after="0" w:lineRule="auto" w:line="480"/>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pPr>
        <w:pStyle w:val="style0"/>
        <w:spacing w:after="0" w:lineRule="auto" w:line="480"/>
        <w:ind w:firstLine="720"/>
        <w:jc w:val="both"/>
        <w:rPr>
          <w:color w:val="000000"/>
          <w:sz w:val="24"/>
          <w:szCs w:val="26"/>
        </w:rPr>
      </w:pPr>
      <w:r>
        <w:rPr>
          <w:color w:val="000000"/>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r>
        <w:rPr>
          <w:color w:val="000000"/>
          <w:sz w:val="24"/>
          <w:szCs w:val="26"/>
        </w:rPr>
        <w:t>have</w:t>
      </w:r>
      <w:r>
        <w:rPr>
          <w:color w:val="000000"/>
          <w:sz w:val="24"/>
          <w:szCs w:val="26"/>
        </w:rPr>
        <w:t xml:space="preserve"> normal levels. </w:t>
      </w:r>
      <w:r>
        <w:rPr>
          <w:color w:val="000000"/>
          <w:sz w:val="24"/>
          <w:szCs w:val="26"/>
        </w:rPr>
        <w:t>Elevated serum levels have been found in peptic ulcer disease patients with increased psychopathology, especially poor coping ability, hostility, and hypersensitivity.</w:t>
      </w:r>
      <w:r>
        <w:rPr>
          <w:color w:val="000000"/>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Pr>
          <w:i/>
          <w:iCs/>
          <w:color w:val="000000"/>
          <w:sz w:val="24"/>
          <w:szCs w:val="26"/>
        </w:rPr>
        <w:t>et al</w:t>
      </w:r>
      <w:r>
        <w:rPr>
          <w:color w:val="000000"/>
          <w:sz w:val="24"/>
          <w:szCs w:val="26"/>
        </w:rPr>
        <w:t>., 1987).</w:t>
      </w:r>
    </w:p>
    <w:p>
      <w:pPr>
        <w:pStyle w:val="style0"/>
        <w:spacing w:after="0" w:lineRule="auto" w:line="480"/>
        <w:ind w:firstLine="720"/>
        <w:jc w:val="both"/>
        <w:rPr>
          <w:color w:val="000000"/>
          <w:sz w:val="24"/>
          <w:szCs w:val="26"/>
        </w:rPr>
      </w:pPr>
      <w:r>
        <w:rPr>
          <w:color w:val="000000"/>
          <w:sz w:val="24"/>
          <w:szCs w:val="26"/>
        </w:rPr>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pPr>
        <w:pStyle w:val="style0"/>
        <w:spacing w:after="0" w:lineRule="auto" w:line="480"/>
        <w:ind w:firstLine="720"/>
        <w:jc w:val="both"/>
        <w:rPr>
          <w:color w:val="000000"/>
          <w:sz w:val="24"/>
          <w:szCs w:val="26"/>
        </w:rPr>
      </w:pPr>
      <w:r>
        <w:rPr>
          <w:color w:val="000000"/>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Pr>
          <w:i/>
          <w:iCs/>
          <w:color w:val="000000"/>
          <w:sz w:val="24"/>
          <w:szCs w:val="26"/>
        </w:rPr>
        <w:t>et al</w:t>
      </w:r>
      <w:r>
        <w:rPr>
          <w:color w:val="000000"/>
          <w:sz w:val="24"/>
          <w:szCs w:val="26"/>
        </w:rPr>
        <w:t>., 1991).</w:t>
      </w:r>
    </w:p>
    <w:p>
      <w:pPr>
        <w:pStyle w:val="style0"/>
        <w:spacing w:after="0" w:lineRule="auto" w:line="480"/>
        <w:jc w:val="both"/>
        <w:rPr>
          <w:b/>
          <w:bCs/>
          <w:color w:val="000000"/>
          <w:sz w:val="24"/>
          <w:szCs w:val="26"/>
        </w:rPr>
      </w:pPr>
      <w:r>
        <w:rPr>
          <w:b/>
          <w:bCs/>
          <w:color w:val="000000"/>
          <w:sz w:val="24"/>
          <w:szCs w:val="26"/>
        </w:rPr>
        <w:t>2.3.2 Medication</w:t>
      </w:r>
    </w:p>
    <w:p>
      <w:pPr>
        <w:pStyle w:val="style0"/>
        <w:spacing w:after="0" w:lineRule="auto" w:line="480"/>
        <w:ind w:firstLine="720"/>
        <w:jc w:val="both"/>
        <w:rPr>
          <w:color w:val="000000"/>
          <w:sz w:val="24"/>
          <w:szCs w:val="26"/>
        </w:rPr>
      </w:pPr>
      <w:r>
        <w:rPr>
          <w:color w:val="000000"/>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Pr>
          <w:color w:val="000000"/>
          <w:sz w:val="24"/>
          <w:szCs w:val="26"/>
        </w:rPr>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r>
        <w:rPr>
          <w:color w:val="000000"/>
          <w:sz w:val="24"/>
          <w:szCs w:val="26"/>
        </w:rPr>
        <w:t>ulceration,</w:t>
      </w:r>
      <w:r>
        <w:rPr>
          <w:color w:val="000000"/>
          <w:sz w:val="24"/>
          <w:szCs w:val="26"/>
        </w:rPr>
        <w:t xml:space="preserve"> with a flat surface showing slightly white appear ance (Ozkaya, 2013).</w:t>
      </w:r>
    </w:p>
    <w:p>
      <w:pPr>
        <w:pStyle w:val="style0"/>
        <w:spacing w:after="0" w:lineRule="auto" w:line="480"/>
        <w:ind w:firstLine="720"/>
        <w:jc w:val="both"/>
        <w:rPr>
          <w:color w:val="000000"/>
          <w:sz w:val="24"/>
          <w:szCs w:val="26"/>
        </w:rPr>
      </w:pPr>
      <w:r>
        <w:rPr>
          <w:color w:val="000000"/>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pPr>
        <w:pStyle w:val="style0"/>
        <w:spacing w:after="0" w:lineRule="auto" w:line="480"/>
        <w:ind w:firstLine="720"/>
        <w:jc w:val="both"/>
        <w:rPr>
          <w:color w:val="000000"/>
          <w:sz w:val="24"/>
          <w:szCs w:val="26"/>
        </w:rPr>
      </w:pPr>
      <w:r>
        <w:rPr>
          <w:color w:val="000000"/>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Table 1: Drugs inducing oral ulceration.</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 xml:space="preserve">Antibiotics </w:t>
            </w:r>
          </w:p>
        </w:tc>
        <w:tc>
          <w:tcPr>
            <w:tcW w:w="3419" w:type="dxa"/>
            <w:tcBorders/>
          </w:tcPr>
          <w:p>
            <w:pPr>
              <w:pStyle w:val="style0"/>
              <w:spacing w:lineRule="auto" w:line="480"/>
              <w:jc w:val="both"/>
              <w:rPr>
                <w:b/>
                <w:bCs/>
                <w:color w:val="000000"/>
                <w:sz w:val="22"/>
                <w:szCs w:val="24"/>
              </w:rPr>
            </w:pPr>
            <w:r>
              <w:rPr>
                <w:color w:val="000000"/>
                <w:sz w:val="22"/>
                <w:szCs w:val="24"/>
              </w:rPr>
              <w:t>Gastric ulcer treatments</w:t>
            </w:r>
          </w:p>
        </w:tc>
      </w:tr>
      <w:tr>
        <w:tblPrEx/>
        <w:trPr>
          <w:trHeight w:val="429" w:hRule="atLeast"/>
        </w:trPr>
        <w:tc>
          <w:tcPr>
            <w:tcW w:w="3419" w:type="dxa"/>
            <w:tcBorders/>
          </w:tcPr>
          <w:p>
            <w:pPr>
              <w:pStyle w:val="style0"/>
              <w:spacing w:lineRule="auto" w:line="480"/>
              <w:jc w:val="both"/>
              <w:rPr>
                <w:b/>
                <w:bCs/>
                <w:color w:val="000000"/>
                <w:sz w:val="22"/>
                <w:szCs w:val="24"/>
              </w:rPr>
            </w:pPr>
            <w:r>
              <w:rPr>
                <w:color w:val="000000"/>
                <w:sz w:val="22"/>
                <w:szCs w:val="24"/>
              </w:rPr>
              <w:t>Anticholinergic bronchodilators</w:t>
            </w:r>
          </w:p>
        </w:tc>
        <w:tc>
          <w:tcPr>
            <w:tcW w:w="3419" w:type="dxa"/>
            <w:tcBorders/>
          </w:tcPr>
          <w:p>
            <w:pPr>
              <w:pStyle w:val="style0"/>
              <w:spacing w:lineRule="auto" w:line="480"/>
              <w:jc w:val="both"/>
              <w:rPr>
                <w:b/>
                <w:bCs/>
                <w:color w:val="000000"/>
                <w:sz w:val="22"/>
                <w:szCs w:val="24"/>
              </w:rPr>
            </w:pPr>
            <w:r>
              <w:rPr>
                <w:color w:val="000000"/>
                <w:sz w:val="22"/>
                <w:szCs w:val="24"/>
              </w:rPr>
              <w:t>Hypoglycemic agents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Anti-hypertensives</w:t>
            </w:r>
          </w:p>
        </w:tc>
        <w:tc>
          <w:tcPr>
            <w:tcW w:w="3419" w:type="dxa"/>
            <w:tcBorders/>
          </w:tcPr>
          <w:p>
            <w:pPr>
              <w:pStyle w:val="style0"/>
              <w:spacing w:lineRule="auto" w:line="480"/>
              <w:jc w:val="both"/>
              <w:rPr>
                <w:b/>
                <w:bCs/>
                <w:color w:val="000000"/>
                <w:sz w:val="22"/>
                <w:szCs w:val="24"/>
              </w:rPr>
            </w:pPr>
            <w:r>
              <w:rPr>
                <w:color w:val="000000"/>
                <w:sz w:val="22"/>
                <w:szCs w:val="24"/>
              </w:rPr>
              <w:t>Immunosuppressants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Antiretrovirals</w:t>
            </w:r>
          </w:p>
        </w:tc>
        <w:tc>
          <w:tcPr>
            <w:tcW w:w="3419" w:type="dxa"/>
            <w:tcBorders/>
          </w:tcPr>
          <w:p>
            <w:pPr>
              <w:pStyle w:val="style0"/>
              <w:spacing w:lineRule="auto" w:line="480"/>
              <w:jc w:val="both"/>
              <w:rPr>
                <w:b/>
                <w:bCs/>
                <w:color w:val="000000"/>
                <w:sz w:val="22"/>
                <w:szCs w:val="24"/>
              </w:rPr>
            </w:pPr>
            <w:r>
              <w:rPr>
                <w:color w:val="000000"/>
                <w:sz w:val="22"/>
                <w:szCs w:val="24"/>
              </w:rPr>
              <w:t>Interferons</w:t>
            </w:r>
          </w:p>
        </w:tc>
      </w:tr>
      <w:tr>
        <w:tblPrEx/>
        <w:trPr>
          <w:trHeight w:val="882" w:hRule="atLeast"/>
        </w:trPr>
        <w:tc>
          <w:tcPr>
            <w:tcW w:w="3419" w:type="dxa"/>
            <w:tcBorders/>
          </w:tcPr>
          <w:p>
            <w:pPr>
              <w:pStyle w:val="style0"/>
              <w:spacing w:lineRule="auto" w:line="480"/>
              <w:jc w:val="both"/>
              <w:rPr>
                <w:b/>
                <w:bCs/>
                <w:color w:val="000000"/>
                <w:sz w:val="22"/>
                <w:szCs w:val="24"/>
              </w:rPr>
            </w:pPr>
            <w:r>
              <w:rPr>
                <w:color w:val="000000"/>
                <w:sz w:val="22"/>
                <w:szCs w:val="24"/>
              </w:rPr>
              <w:t>Anti-rheumatic drug</w:t>
            </w:r>
          </w:p>
        </w:tc>
        <w:tc>
          <w:tcPr>
            <w:tcW w:w="3419" w:type="dxa"/>
            <w:tcBorders/>
          </w:tcPr>
          <w:p>
            <w:pPr>
              <w:pStyle w:val="style0"/>
              <w:spacing w:lineRule="auto" w:line="480"/>
              <w:jc w:val="both"/>
              <w:rPr>
                <w:b/>
                <w:bCs/>
                <w:color w:val="000000"/>
                <w:sz w:val="22"/>
                <w:szCs w:val="24"/>
              </w:rPr>
            </w:pPr>
            <w:r>
              <w:rPr>
                <w:color w:val="000000"/>
                <w:sz w:val="22"/>
                <w:szCs w:val="24"/>
              </w:rPr>
              <w:t>Non-steroidal anti-inflammatory drugs (NSAIDs)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Anti-septics</w:t>
            </w:r>
          </w:p>
        </w:tc>
        <w:tc>
          <w:tcPr>
            <w:tcW w:w="3419" w:type="dxa"/>
            <w:tcBorders/>
          </w:tcPr>
          <w:p>
            <w:pPr>
              <w:pStyle w:val="style0"/>
              <w:spacing w:lineRule="auto" w:line="480"/>
              <w:jc w:val="both"/>
              <w:rPr>
                <w:b/>
                <w:bCs/>
                <w:color w:val="000000"/>
                <w:sz w:val="22"/>
                <w:szCs w:val="24"/>
              </w:rPr>
            </w:pPr>
            <w:r>
              <w:rPr>
                <w:color w:val="000000"/>
                <w:sz w:val="22"/>
                <w:szCs w:val="24"/>
              </w:rPr>
              <w:t>Platelet aggregation inhibitors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Bisphosphonate</w:t>
            </w:r>
          </w:p>
        </w:tc>
        <w:tc>
          <w:tcPr>
            <w:tcW w:w="3419" w:type="dxa"/>
            <w:tcBorders/>
          </w:tcPr>
          <w:p>
            <w:pPr>
              <w:pStyle w:val="style0"/>
              <w:spacing w:lineRule="auto" w:line="480"/>
              <w:jc w:val="both"/>
              <w:rPr>
                <w:b/>
                <w:bCs/>
                <w:color w:val="000000"/>
                <w:sz w:val="22"/>
                <w:szCs w:val="24"/>
              </w:rPr>
            </w:pPr>
            <w:r>
              <w:rPr>
                <w:color w:val="000000"/>
                <w:sz w:val="22"/>
                <w:szCs w:val="24"/>
              </w:rPr>
              <w:t>Potassium-channel activators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b-Blockers</w:t>
            </w:r>
          </w:p>
        </w:tc>
        <w:tc>
          <w:tcPr>
            <w:tcW w:w="3419" w:type="dxa"/>
            <w:tcBorders/>
          </w:tcPr>
          <w:p>
            <w:pPr>
              <w:pStyle w:val="style0"/>
              <w:spacing w:lineRule="auto" w:line="480"/>
              <w:jc w:val="both"/>
              <w:rPr>
                <w:color w:val="000000"/>
                <w:sz w:val="22"/>
                <w:szCs w:val="24"/>
              </w:rPr>
            </w:pPr>
            <w:r>
              <w:rPr>
                <w:color w:val="000000"/>
                <w:sz w:val="22"/>
                <w:szCs w:val="24"/>
              </w:rPr>
              <w:t>Protease inhibitors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Corticosteroids</w:t>
            </w:r>
          </w:p>
        </w:tc>
        <w:tc>
          <w:tcPr>
            <w:tcW w:w="3419" w:type="dxa"/>
            <w:tcBorders/>
          </w:tcPr>
          <w:p>
            <w:pPr>
              <w:pStyle w:val="style0"/>
              <w:spacing w:lineRule="auto" w:line="480"/>
              <w:jc w:val="both"/>
              <w:rPr>
                <w:color w:val="000000"/>
                <w:sz w:val="22"/>
                <w:szCs w:val="24"/>
              </w:rPr>
            </w:pPr>
            <w:r>
              <w:rPr>
                <w:color w:val="000000"/>
                <w:sz w:val="22"/>
                <w:szCs w:val="24"/>
              </w:rPr>
              <w:t>Vasodilators</w:t>
            </w:r>
          </w:p>
        </w:tc>
      </w:tr>
    </w:tbl>
    <w:p>
      <w:pPr>
        <w:pStyle w:val="style0"/>
        <w:spacing w:after="0" w:lineRule="auto" w:line="480"/>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pPr>
        <w:pStyle w:val="style0"/>
        <w:spacing w:after="0" w:lineRule="auto" w:line="480"/>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Pr>
          <w:color w:val="000000"/>
          <w:sz w:val="24"/>
          <w:szCs w:val="26"/>
          <w:shd w:val="clear" w:color="auto" w:fill="ffffff"/>
        </w:rPr>
        <w:t>Jinbu and Demitsu, (2014).</w:t>
      </w:r>
    </w:p>
    <w:p>
      <w:pPr>
        <w:pStyle w:val="style0"/>
        <w:spacing w:after="0" w:lineRule="auto" w:line="480"/>
        <w:jc w:val="both"/>
        <w:rPr>
          <w:b/>
          <w:bCs/>
          <w:color w:val="000000"/>
          <w:sz w:val="24"/>
          <w:szCs w:val="26"/>
        </w:rPr>
      </w:pPr>
      <w:r>
        <w:rPr>
          <w:b/>
          <w:bCs/>
          <w:noProof/>
          <w:color w:val="000000"/>
          <w:sz w:val="24"/>
          <w:szCs w:val="26"/>
        </w:rPr>
        <w:drawing>
          <wp:inline distL="0" distT="0" distB="0" distR="0">
            <wp:extent cx="2586892" cy="1914707"/>
            <wp:effectExtent l="0" t="0" r="4445" b="0"/>
            <wp:docPr id="1042"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19" cstate="print"/>
                    <a:srcRect l="0" t="0" r="0" b="0"/>
                    <a:stretch/>
                  </pic:blipFill>
                  <pic:spPr>
                    <a:xfrm rot="0">
                      <a:off x="0" y="0"/>
                      <a:ext cx="2586892" cy="191470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12: Indomethacin-induced oral ulceration. </w:t>
      </w:r>
      <w:r>
        <w:rPr>
          <w:b/>
          <w:bCs/>
          <w:color w:val="000000"/>
          <w:sz w:val="24"/>
          <w:szCs w:val="26"/>
        </w:rPr>
        <w:t>Ulceration on the left tongue margin with no induration.</w:t>
      </w:r>
      <w:r>
        <w:rPr>
          <w:b/>
          <w:bCs/>
          <w:color w:val="000000"/>
          <w:sz w:val="24"/>
          <w:szCs w:val="26"/>
        </w:rPr>
        <w:t xml:space="preserve"> Line shows the biopsy site.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pPr>
        <w:pStyle w:val="style0"/>
        <w:spacing w:after="0" w:lineRule="auto" w:line="480"/>
        <w:jc w:val="both"/>
        <w:rPr>
          <w:color w:val="000000"/>
          <w:sz w:val="24"/>
          <w:szCs w:val="26"/>
        </w:rPr>
      </w:pPr>
      <w:r>
        <w:rPr>
          <w:noProof/>
          <w:color w:val="000000"/>
          <w:sz w:val="24"/>
          <w:szCs w:val="26"/>
        </w:rPr>
        <w:drawing>
          <wp:inline distL="0" distT="0" distB="0" distR="0">
            <wp:extent cx="2610338" cy="1970857"/>
            <wp:effectExtent l="0" t="0" r="0" b="0"/>
            <wp:docPr id="104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0" cstate="print"/>
                    <a:srcRect l="0" t="0" r="0" b="0"/>
                    <a:stretch/>
                  </pic:blipFill>
                  <pic:spPr>
                    <a:xfrm rot="0">
                      <a:off x="0" y="0"/>
                      <a:ext cx="2610338" cy="197085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13: Oral ulcerations due to nicorandil. </w:t>
      </w:r>
      <w:r>
        <w:rPr>
          <w:b/>
          <w:bCs/>
          <w:color w:val="000000"/>
          <w:sz w:val="24"/>
          <w:szCs w:val="26"/>
        </w:rPr>
        <w:t>Multiple ulcers on bilateral buccal mucosa and bilateral tongue margins.</w:t>
      </w:r>
    </w:p>
    <w:p>
      <w:pPr>
        <w:pStyle w:val="style0"/>
        <w:spacing w:after="0" w:lineRule="auto" w:line="480"/>
        <w:jc w:val="both"/>
        <w:rPr>
          <w:color w:val="000000"/>
          <w:sz w:val="24"/>
          <w:szCs w:val="26"/>
          <w:shd w:val="clear" w:color="auto" w:fill="ffffff"/>
        </w:rPr>
      </w:pPr>
      <w:r>
        <w:rPr>
          <w:color w:val="000000"/>
          <w:sz w:val="24"/>
          <w:szCs w:val="26"/>
          <w:shd w:val="clear" w:color="auto" w:fill="ffffff"/>
        </w:rPr>
        <w:t>Jinbu and Demitsu, (2014).</w:t>
      </w:r>
    </w:p>
    <w:p>
      <w:pPr>
        <w:pStyle w:val="style0"/>
        <w:spacing w:after="0" w:lineRule="auto" w:line="480"/>
        <w:ind w:firstLine="720"/>
        <w:jc w:val="both"/>
        <w:rPr>
          <w:color w:val="000000"/>
          <w:sz w:val="24"/>
          <w:szCs w:val="26"/>
        </w:rPr>
      </w:pPr>
      <w:r>
        <w:rPr>
          <w:color w:val="000000"/>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Pr>
          <w:color w:val="000000"/>
          <w:sz w:val="24"/>
          <w:szCs w:val="26"/>
        </w:rPr>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 xml:space="preserve">Arai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pPr>
        <w:pStyle w:val="style0"/>
        <w:spacing w:after="0"/>
        <w:jc w:val="both"/>
        <w:rPr>
          <w:b/>
          <w:bCs/>
          <w:color w:val="000000"/>
          <w:sz w:val="24"/>
          <w:szCs w:val="26"/>
        </w:rPr>
      </w:pPr>
      <w:r>
        <w:rPr>
          <w:b/>
          <w:bCs/>
          <w:color w:val="000000"/>
          <w:sz w:val="24"/>
          <w:szCs w:val="26"/>
        </w:rPr>
        <w:t>2.3.3 Dietary Factors</w:t>
      </w:r>
    </w:p>
    <w:p>
      <w:pPr>
        <w:pStyle w:val="style94"/>
        <w:spacing w:after="0" w:afterAutospacing="false" w:lineRule="auto" w:line="480"/>
        <w:ind w:firstLine="720"/>
        <w:jc w:val="both"/>
        <w:rPr>
          <w:color w:val="000000"/>
          <w:szCs w:val="26"/>
        </w:rPr>
      </w:pPr>
      <w:r>
        <w:rPr>
          <w:color w:val="000000"/>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xml:space="preserve">., 2019). However, other research indicates that capsaicin may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pPr>
        <w:pStyle w:val="style94"/>
        <w:spacing w:after="0" w:afterAutospacing="false" w:lineRule="auto" w:line="480"/>
        <w:ind w:firstLine="720"/>
        <w:jc w:val="both"/>
        <w:rPr>
          <w:color w:val="000000"/>
          <w:szCs w:val="26"/>
        </w:rPr>
      </w:pPr>
      <w:r>
        <w:rPr>
          <w:color w:val="000000"/>
          <w:szCs w:val="26"/>
        </w:rPr>
        <w:t xml:space="preserve">A diet high in sodium has been implicated in gastric mucosal damage and increased susceptibility to H. pylori infection, which is a major risk factor for ulcers (Huang </w:t>
      </w:r>
      <w:r>
        <w:rPr>
          <w:i/>
          <w:iCs/>
          <w:color w:val="000000"/>
          <w:szCs w:val="26"/>
        </w:rPr>
        <w:t>et al</w:t>
      </w:r>
      <w:r>
        <w:rPr>
          <w:color w:val="000000"/>
          <w:szCs w:val="26"/>
        </w:rPr>
        <w:t xml:space="preserve">., 2017). High salt intake may alter gastric mucus composition and impair its protective functions, thereby making the stomach lining more vulnerable to acid-induced </w:t>
      </w:r>
      <w:r>
        <w:rPr>
          <w:color w:val="000000"/>
          <w:szCs w:val="26"/>
        </w:rPr>
        <w:t xml:space="preserve">injury (Gaddy </w:t>
      </w:r>
      <w:r>
        <w:rPr>
          <w:i/>
          <w:iCs/>
          <w:color w:val="000000"/>
          <w:szCs w:val="26"/>
        </w:rPr>
        <w:t>et al</w:t>
      </w:r>
      <w:r>
        <w:rPr>
          <w:color w:val="000000"/>
          <w:szCs w:val="26"/>
        </w:rPr>
        <w:t xml:space="preserve">., 2019). Excessive alcohol consumption has been shown to contribute to ulcer formation by weakening the gastric mucosal barrier and increasing acid production (Jiang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pPr>
        <w:pStyle w:val="style94"/>
        <w:spacing w:after="0" w:afterAutospacing="false" w:lineRule="auto" w:line="480"/>
        <w:ind w:firstLine="720"/>
        <w:jc w:val="both"/>
        <w:rPr>
          <w:color w:val="000000"/>
          <w:szCs w:val="26"/>
        </w:rPr>
      </w:pPr>
      <w:r>
        <w:rPr>
          <w:color w:val="000000"/>
          <w:szCs w:val="26"/>
        </w:rPr>
        <w:t xml:space="preserve">Diets rich in processed foods containing artificial additives, preservatives, and high levels of unhealthy fats have been associated with increased ulcer risk (Zhang </w:t>
      </w:r>
      <w:r>
        <w:rPr>
          <w:i/>
          <w:iCs/>
          <w:color w:val="000000"/>
          <w:szCs w:val="26"/>
        </w:rPr>
        <w:t>et al</w:t>
      </w:r>
      <w:r>
        <w:rPr>
          <w:color w:val="000000"/>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pPr>
        <w:pStyle w:val="style0"/>
        <w:spacing w:before="100" w:beforeAutospacing="true" w:after="0" w:lineRule="auto" w:line="480"/>
        <w:jc w:val="both"/>
        <w:rPr>
          <w:rFonts w:eastAsia="Times New Roman"/>
          <w:noProof/>
          <w:color w:val="000000"/>
          <w:sz w:val="24"/>
          <w:szCs w:val="26"/>
        </w:rPr>
      </w:pPr>
      <w:r>
        <w:rPr>
          <w:rFonts w:eastAsia="Times New Roman"/>
          <w:noProof/>
          <w:color w:val="000000"/>
          <w:sz w:val="24"/>
          <w:szCs w:val="26"/>
        </w:rPr>
        <w:drawing>
          <wp:inline distL="0" distT="0" distB="0" distR="0">
            <wp:extent cx="3800475" cy="2809875"/>
            <wp:effectExtent l="0" t="0" r="9525" b="9525"/>
            <wp:docPr id="1044"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1" cstate="print"/>
                    <a:srcRect l="3954" t="11172" r="4382" b="6436"/>
                    <a:stretch/>
                  </pic:blipFill>
                  <pic:spPr>
                    <a:xfrm rot="0">
                      <a:off x="0" y="0"/>
                      <a:ext cx="3800475" cy="2809875"/>
                    </a:xfrm>
                    <a:prstGeom prst="rect"/>
                    <a:ln>
                      <a:noFill/>
                    </a:ln>
                  </pic:spPr>
                </pic:pic>
              </a:graphicData>
            </a:graphic>
          </wp:inline>
        </w:drawing>
      </w:r>
    </w:p>
    <w:p>
      <w:pPr>
        <w:pStyle w:val="style0"/>
        <w:spacing w:before="100" w:beforeAutospacing="true" w:after="0"/>
        <w:jc w:val="both"/>
        <w:rPr>
          <w:rFonts w:eastAsia="Times New Roman"/>
          <w:b/>
          <w:bCs/>
          <w:color w:val="000000"/>
          <w:sz w:val="24"/>
          <w:szCs w:val="26"/>
        </w:rPr>
      </w:pPr>
      <w:r>
        <w:rPr>
          <w:rFonts w:eastAsia="Times New Roman"/>
          <w:b/>
          <w:bCs/>
          <w:color w:val="000000"/>
          <w:sz w:val="24"/>
          <w:szCs w:val="26"/>
        </w:rPr>
        <w:t xml:space="preserve">Figure 14: Stomach ulcer Diet </w:t>
      </w:r>
    </w:p>
    <w:p>
      <w:pPr>
        <w:pStyle w:val="style0"/>
        <w:spacing w:before="100" w:beforeAutospacing="true"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r>
        <w:rPr/>
        <w:fldChar w:fldCharType="begin"/>
      </w:r>
      <w:r>
        <w:instrText xml:space="preserve"> HYPERLINK "http://www.sprintmedical.in" </w:instrText>
      </w:r>
      <w:r>
        <w:rPr/>
        <w:fldChar w:fldCharType="separate"/>
      </w:r>
      <w:r>
        <w:rPr>
          <w:rStyle w:val="style85"/>
          <w:rFonts w:eastAsia="Times New Roman"/>
          <w:color w:val="000000"/>
          <w:sz w:val="24"/>
          <w:szCs w:val="26"/>
        </w:rPr>
        <w:t>www.sprintmedical.in</w:t>
      </w:r>
      <w:r>
        <w:rPr/>
        <w:fldChar w:fldCharType="end"/>
      </w:r>
    </w:p>
    <w:p>
      <w:pPr>
        <w:pStyle w:val="style0"/>
        <w:spacing w:before="100" w:beforeAutospacing="true" w:after="0"/>
        <w:jc w:val="both"/>
        <w:rPr>
          <w:rFonts w:eastAsia="Times New Roman"/>
          <w:color w:val="000000"/>
          <w:sz w:val="24"/>
          <w:szCs w:val="26"/>
        </w:rPr>
      </w:pPr>
    </w:p>
    <w:p>
      <w:pPr>
        <w:pStyle w:val="style0"/>
        <w:spacing w:after="0" w:lineRule="auto" w:line="480"/>
        <w:jc w:val="both"/>
        <w:rPr>
          <w:b/>
          <w:bCs/>
          <w:color w:val="000000"/>
          <w:sz w:val="24"/>
          <w:szCs w:val="26"/>
        </w:rPr>
      </w:pPr>
      <w:r>
        <w:rPr>
          <w:b/>
          <w:bCs/>
          <w:color w:val="000000"/>
          <w:sz w:val="24"/>
          <w:szCs w:val="26"/>
        </w:rPr>
        <w:t>2.4 Pathophysiology of Ulcer</w:t>
      </w:r>
    </w:p>
    <w:p>
      <w:pPr>
        <w:pStyle w:val="style0"/>
        <w:spacing w:after="0" w:lineRule="auto" w:line="480"/>
        <w:ind w:firstLine="720"/>
        <w:jc w:val="both"/>
        <w:rPr>
          <w:color w:val="000000"/>
          <w:sz w:val="24"/>
          <w:szCs w:val="26"/>
        </w:rPr>
      </w:pPr>
      <w:r>
        <w:rPr>
          <w:color w:val="000000"/>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t xml:space="preserve">Zollinger-Ellison syndrome (Sundaram and Sitaraman, 2018). Pepsin, a proteolytic enzyme, further degrades the mucosal proteins, worsening ulceration (Wang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Pr>
          <w:i/>
          <w:iCs/>
          <w:color w:val="000000"/>
          <w:sz w:val="24"/>
          <w:szCs w:val="26"/>
        </w:rPr>
        <w:t>et al</w:t>
      </w:r>
      <w:r>
        <w:rPr>
          <w:color w:val="000000"/>
          <w:sz w:val="24"/>
          <w:szCs w:val="26"/>
        </w:rPr>
        <w:t xml:space="preserve">., 2017). Additionally, H. </w:t>
      </w:r>
      <w:r>
        <w:rPr>
          <w:color w:val="000000"/>
          <w:sz w:val="24"/>
          <w:szCs w:val="26"/>
        </w:rPr>
        <w:t>pylori releases</w:t>
      </w:r>
      <w:r>
        <w:rPr>
          <w:color w:val="000000"/>
          <w:sz w:val="24"/>
          <w:szCs w:val="26"/>
        </w:rPr>
        <w:t xml:space="preserve"> cytotoxins such as CagA (cytotoxin-associated gene A) and VacA (vacuolating cytotoxin A), leading to epithelial cell damage, inflammation, and disruption of gastric mucosal integrity (Chey and Leontiadis, 2018).</w:t>
      </w:r>
    </w:p>
    <w:p>
      <w:pPr>
        <w:pStyle w:val="style0"/>
        <w:spacing w:after="0" w:lineRule="auto" w:line="480"/>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r>
        <w:rPr>
          <w:color w:val="000000"/>
          <w:sz w:val="24"/>
          <w:szCs w:val="26"/>
        </w:rPr>
        <w:t>pylori is</w:t>
      </w:r>
      <w:r>
        <w:rPr>
          <w:color w:val="000000"/>
          <w:sz w:val="24"/>
          <w:szCs w:val="26"/>
        </w:rPr>
        <w:t xml:space="preserve"> not the only organism that is believed to cause active chronie gastritis in man. Other infections with spiral organisms have been described (Israel and Peek, 2006).</w:t>
      </w:r>
    </w:p>
    <w:p>
      <w:pPr>
        <w:pStyle w:val="style0"/>
        <w:spacing w:after="0" w:lineRule="auto" w:line="480"/>
        <w:ind w:firstLine="720"/>
        <w:jc w:val="both"/>
        <w:rPr>
          <w:color w:val="000000"/>
          <w:sz w:val="24"/>
          <w:szCs w:val="26"/>
        </w:rPr>
      </w:pPr>
      <w:r>
        <w:rPr>
          <w:color w:val="000000"/>
          <w:sz w:val="24"/>
          <w:szCs w:val="26"/>
        </w:rPr>
        <w:t xml:space="preserve">The bacillus is sensitive to penicillin, erythromycin, cephalosporins, gentamycin, </w:t>
      </w:r>
      <w:r>
        <w:rPr>
          <w:color w:val="000000"/>
          <w:sz w:val="24"/>
          <w:szCs w:val="26"/>
        </w:rPr>
        <w:t>tetracycline</w:t>
      </w:r>
      <w:r>
        <w:rPr>
          <w:color w:val="000000"/>
          <w:sz w:val="24"/>
          <w:szCs w:val="26"/>
        </w:rPr>
        <w:t xml:space="preserve"> and bismuth citrate. Ranitidine has been combined with bismuth citrate </w:t>
      </w:r>
      <w:r>
        <w:rPr>
          <w:color w:val="000000"/>
          <w:sz w:val="24"/>
          <w:szCs w:val="26"/>
        </w:rPr>
        <w:t xml:space="preserve">(RBC), clarithromycin or amoxycillin. In 70% of patients the peptic ulcer healed within 4 weeks, but only 41-48% of the Helicobacter </w:t>
      </w:r>
      <w:r>
        <w:rPr>
          <w:color w:val="000000"/>
          <w:sz w:val="24"/>
          <w:szCs w:val="26"/>
        </w:rPr>
        <w:t>organism were</w:t>
      </w:r>
      <w:r>
        <w:rPr>
          <w:color w:val="000000"/>
          <w:sz w:val="24"/>
          <w:szCs w:val="26"/>
        </w:rPr>
        <w:t xml:space="preserve"> eradicated. In a randomized study of 900 patients with peptic complaints </w:t>
      </w:r>
      <w:r>
        <w:rPr>
          <w:color w:val="000000"/>
          <w:sz w:val="24"/>
          <w:szCs w:val="26"/>
        </w:rPr>
        <w:t>an</w:t>
      </w:r>
      <w:r>
        <w:rPr>
          <w:color w:val="000000"/>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pPr>
        <w:pStyle w:val="style0"/>
        <w:spacing w:after="0" w:lineRule="auto" w:line="480"/>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pPr>
        <w:pStyle w:val="style0"/>
        <w:spacing w:after="0" w:lineRule="auto" w:line="480"/>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 branched and perennial shrub with a woody tap root, hairy branded up to 1 m high and is reproduced from their seeds. The </w:t>
      </w:r>
      <w:r>
        <w:rPr>
          <w:color w:val="000000"/>
          <w:sz w:val="24"/>
          <w:szCs w:val="26"/>
        </w:rPr>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pPr>
        <w:pStyle w:val="style0"/>
        <w:spacing w:after="0" w:lineRule="auto" w:line="480"/>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stomachic, 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 moderate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pPr>
        <w:pStyle w:val="style0"/>
        <w:spacing w:after="0" w:lineRule="auto" w:line="480"/>
        <w:jc w:val="both"/>
        <w:rPr>
          <w:color w:val="000000"/>
          <w:sz w:val="24"/>
          <w:szCs w:val="26"/>
        </w:rPr>
      </w:pPr>
      <w:r>
        <w:rPr>
          <w:noProof/>
          <w:color w:val="000000"/>
          <w:sz w:val="24"/>
          <w:szCs w:val="26"/>
        </w:rPr>
        <w:drawing>
          <wp:inline distL="0" distT="0" distB="0" distR="0">
            <wp:extent cx="3276600" cy="2483761"/>
            <wp:effectExtent l="0" t="0" r="0" b="0"/>
            <wp:docPr id="1045"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22" cstate="print"/>
                    <a:srcRect l="2298" t="1918" r="8239" b="13190"/>
                    <a:stretch/>
                  </pic:blipFill>
                  <pic:spPr>
                    <a:xfrm rot="0">
                      <a:off x="0" y="0"/>
                      <a:ext cx="3276600" cy="2483761"/>
                    </a:xfrm>
                    <a:prstGeom prst="rect"/>
                    <a:ln>
                      <a:noFill/>
                    </a:ln>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20: </w:t>
      </w:r>
      <w:r>
        <w:rPr>
          <w:b/>
          <w:bCs/>
          <w:i/>
          <w:color w:val="000000"/>
          <w:sz w:val="24"/>
          <w:szCs w:val="26"/>
        </w:rPr>
        <w:t>Sida acuta</w:t>
      </w:r>
      <w:r>
        <w:rPr>
          <w:b/>
          <w:bCs/>
          <w:color w:val="000000"/>
          <w:sz w:val="24"/>
          <w:szCs w:val="26"/>
        </w:rPr>
        <w:t xml:space="preserve"> Plant with arrow indicating different parts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pPr>
        <w:pStyle w:val="style0"/>
        <w:spacing w:after="0" w:lineRule="auto" w:line="480"/>
        <w:jc w:val="both"/>
        <w:rPr>
          <w:b/>
          <w:color w:val="000000"/>
          <w:sz w:val="24"/>
          <w:szCs w:val="26"/>
        </w:rPr>
      </w:pPr>
      <w:r>
        <w:rPr>
          <w:b/>
          <w:color w:val="000000"/>
          <w:sz w:val="24"/>
          <w:szCs w:val="26"/>
        </w:rPr>
        <w:t>Table 2: Taxonomical Hierarchy</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49"/>
      </w:tblGrid>
      <w:tr>
        <w:trPr/>
        <w:tc>
          <w:tcPr>
            <w:tcW w:w="4675" w:type="dxa"/>
            <w:tcBorders/>
          </w:tcPr>
          <w:p>
            <w:pPr>
              <w:pStyle w:val="style0"/>
              <w:spacing w:lineRule="auto" w:line="480"/>
              <w:jc w:val="both"/>
              <w:rPr>
                <w:color w:val="000000"/>
                <w:sz w:val="24"/>
                <w:szCs w:val="26"/>
              </w:rPr>
            </w:pPr>
            <w:r>
              <w:rPr>
                <w:color w:val="000000"/>
                <w:sz w:val="24"/>
                <w:szCs w:val="26"/>
              </w:rPr>
              <w:t>Kingdom</w:t>
            </w:r>
          </w:p>
        </w:tc>
        <w:tc>
          <w:tcPr>
            <w:tcW w:w="4675" w:type="dxa"/>
            <w:tcBorders/>
          </w:tcPr>
          <w:p>
            <w:pPr>
              <w:pStyle w:val="style0"/>
              <w:spacing w:lineRule="auto" w:line="480"/>
              <w:jc w:val="both"/>
              <w:rPr>
                <w:color w:val="000000"/>
                <w:sz w:val="24"/>
                <w:szCs w:val="26"/>
              </w:rPr>
            </w:pPr>
            <w:r>
              <w:rPr>
                <w:color w:val="000000"/>
                <w:sz w:val="24"/>
                <w:szCs w:val="26"/>
              </w:rPr>
              <w:t>Plantae</w:t>
            </w:r>
          </w:p>
        </w:tc>
      </w:tr>
      <w:tr>
        <w:tblPrEx/>
        <w:trPr/>
        <w:tc>
          <w:tcPr>
            <w:tcW w:w="4675" w:type="dxa"/>
            <w:tcBorders/>
          </w:tcPr>
          <w:p>
            <w:pPr>
              <w:pStyle w:val="style0"/>
              <w:spacing w:lineRule="auto" w:line="480"/>
              <w:jc w:val="both"/>
              <w:rPr>
                <w:color w:val="000000"/>
                <w:sz w:val="24"/>
                <w:szCs w:val="26"/>
              </w:rPr>
            </w:pPr>
            <w:r>
              <w:rPr>
                <w:color w:val="000000"/>
                <w:sz w:val="24"/>
                <w:szCs w:val="26"/>
              </w:rPr>
              <w:t>Phylum</w:t>
            </w:r>
          </w:p>
        </w:tc>
        <w:tc>
          <w:tcPr>
            <w:tcW w:w="4675" w:type="dxa"/>
            <w:tcBorders/>
          </w:tcPr>
          <w:p>
            <w:pPr>
              <w:pStyle w:val="style0"/>
              <w:spacing w:lineRule="auto" w:line="480"/>
              <w:jc w:val="both"/>
              <w:rPr>
                <w:color w:val="000000"/>
                <w:sz w:val="24"/>
                <w:szCs w:val="26"/>
              </w:rPr>
            </w:pPr>
            <w:r>
              <w:rPr>
                <w:color w:val="000000"/>
                <w:sz w:val="24"/>
                <w:szCs w:val="26"/>
              </w:rPr>
              <w:t>Anthophyta</w:t>
            </w:r>
          </w:p>
        </w:tc>
      </w:tr>
      <w:tr>
        <w:tblPrEx/>
        <w:trPr/>
        <w:tc>
          <w:tcPr>
            <w:tcW w:w="4675" w:type="dxa"/>
            <w:tcBorders/>
          </w:tcPr>
          <w:p>
            <w:pPr>
              <w:pStyle w:val="style0"/>
              <w:spacing w:lineRule="auto" w:line="480"/>
              <w:jc w:val="both"/>
              <w:rPr>
                <w:color w:val="000000"/>
                <w:sz w:val="24"/>
                <w:szCs w:val="26"/>
              </w:rPr>
            </w:pPr>
            <w:r>
              <w:rPr>
                <w:color w:val="000000"/>
                <w:sz w:val="24"/>
                <w:szCs w:val="26"/>
              </w:rPr>
              <w:t>Class</w:t>
            </w:r>
          </w:p>
        </w:tc>
        <w:tc>
          <w:tcPr>
            <w:tcW w:w="4675" w:type="dxa"/>
            <w:tcBorders/>
          </w:tcPr>
          <w:p>
            <w:pPr>
              <w:pStyle w:val="style0"/>
              <w:spacing w:lineRule="auto" w:line="480"/>
              <w:jc w:val="both"/>
              <w:rPr>
                <w:color w:val="000000"/>
                <w:sz w:val="24"/>
                <w:szCs w:val="26"/>
              </w:rPr>
            </w:pPr>
            <w:r>
              <w:rPr>
                <w:color w:val="000000"/>
                <w:sz w:val="24"/>
                <w:szCs w:val="26"/>
              </w:rPr>
              <w:t>Dicotyledonae</w:t>
            </w:r>
          </w:p>
        </w:tc>
      </w:tr>
      <w:tr>
        <w:tblPrEx/>
        <w:trPr/>
        <w:tc>
          <w:tcPr>
            <w:tcW w:w="4675" w:type="dxa"/>
            <w:tcBorders/>
          </w:tcPr>
          <w:p>
            <w:pPr>
              <w:pStyle w:val="style0"/>
              <w:spacing w:lineRule="auto" w:line="480"/>
              <w:jc w:val="both"/>
              <w:rPr>
                <w:color w:val="000000"/>
                <w:sz w:val="24"/>
                <w:szCs w:val="26"/>
              </w:rPr>
            </w:pPr>
            <w:r>
              <w:rPr>
                <w:color w:val="000000"/>
                <w:sz w:val="24"/>
                <w:szCs w:val="26"/>
              </w:rPr>
              <w:t>Order</w:t>
            </w:r>
          </w:p>
        </w:tc>
        <w:tc>
          <w:tcPr>
            <w:tcW w:w="4675" w:type="dxa"/>
            <w:tcBorders/>
          </w:tcPr>
          <w:p>
            <w:pPr>
              <w:pStyle w:val="style0"/>
              <w:spacing w:lineRule="auto" w:line="480"/>
              <w:jc w:val="both"/>
              <w:rPr>
                <w:color w:val="000000"/>
                <w:sz w:val="24"/>
                <w:szCs w:val="26"/>
              </w:rPr>
            </w:pPr>
            <w:r>
              <w:rPr>
                <w:color w:val="000000"/>
                <w:sz w:val="24"/>
                <w:szCs w:val="26"/>
              </w:rPr>
              <w:t>Malvales</w:t>
            </w:r>
          </w:p>
        </w:tc>
      </w:tr>
      <w:tr>
        <w:tblPrEx/>
        <w:trPr/>
        <w:tc>
          <w:tcPr>
            <w:tcW w:w="4675" w:type="dxa"/>
            <w:tcBorders/>
          </w:tcPr>
          <w:p>
            <w:pPr>
              <w:pStyle w:val="style0"/>
              <w:spacing w:lineRule="auto" w:line="480"/>
              <w:jc w:val="both"/>
              <w:rPr>
                <w:color w:val="000000"/>
                <w:sz w:val="24"/>
                <w:szCs w:val="26"/>
              </w:rPr>
            </w:pPr>
            <w:r>
              <w:rPr>
                <w:color w:val="000000"/>
                <w:sz w:val="24"/>
                <w:szCs w:val="26"/>
              </w:rPr>
              <w:t>Family</w:t>
            </w:r>
          </w:p>
        </w:tc>
        <w:tc>
          <w:tcPr>
            <w:tcW w:w="4675" w:type="dxa"/>
            <w:tcBorders/>
          </w:tcPr>
          <w:p>
            <w:pPr>
              <w:pStyle w:val="style0"/>
              <w:spacing w:lineRule="auto" w:line="480"/>
              <w:jc w:val="both"/>
              <w:rPr>
                <w:color w:val="000000"/>
                <w:sz w:val="24"/>
                <w:szCs w:val="26"/>
              </w:rPr>
            </w:pPr>
            <w:r>
              <w:rPr>
                <w:color w:val="000000"/>
                <w:sz w:val="24"/>
                <w:szCs w:val="26"/>
              </w:rPr>
              <w:t>Malvaceae</w:t>
            </w:r>
          </w:p>
        </w:tc>
      </w:tr>
      <w:tr>
        <w:tblPrEx/>
        <w:trPr/>
        <w:tc>
          <w:tcPr>
            <w:tcW w:w="4675" w:type="dxa"/>
            <w:tcBorders/>
          </w:tcPr>
          <w:p>
            <w:pPr>
              <w:pStyle w:val="style0"/>
              <w:spacing w:lineRule="auto" w:line="480"/>
              <w:jc w:val="both"/>
              <w:rPr>
                <w:color w:val="000000"/>
                <w:sz w:val="24"/>
                <w:szCs w:val="26"/>
              </w:rPr>
            </w:pPr>
            <w:r>
              <w:rPr>
                <w:color w:val="000000"/>
                <w:sz w:val="24"/>
                <w:szCs w:val="26"/>
              </w:rPr>
              <w:t>Genius</w:t>
            </w:r>
          </w:p>
        </w:tc>
        <w:tc>
          <w:tcPr>
            <w:tcW w:w="4675" w:type="dxa"/>
            <w:tcBorders/>
          </w:tcPr>
          <w:p>
            <w:pPr>
              <w:pStyle w:val="style0"/>
              <w:spacing w:lineRule="auto" w:line="480"/>
              <w:jc w:val="both"/>
              <w:rPr>
                <w:i/>
                <w:color w:val="000000"/>
                <w:sz w:val="24"/>
                <w:szCs w:val="26"/>
              </w:rPr>
            </w:pPr>
            <w:r>
              <w:rPr>
                <w:i/>
                <w:color w:val="000000"/>
                <w:sz w:val="24"/>
                <w:szCs w:val="26"/>
              </w:rPr>
              <w:t>Sida</w:t>
            </w:r>
          </w:p>
        </w:tc>
      </w:tr>
      <w:tr>
        <w:tblPrEx/>
        <w:trPr/>
        <w:tc>
          <w:tcPr>
            <w:tcW w:w="4675" w:type="dxa"/>
            <w:tcBorders/>
          </w:tcPr>
          <w:p>
            <w:pPr>
              <w:pStyle w:val="style0"/>
              <w:spacing w:lineRule="auto" w:line="480"/>
              <w:jc w:val="both"/>
              <w:rPr>
                <w:color w:val="000000"/>
                <w:sz w:val="24"/>
                <w:szCs w:val="26"/>
              </w:rPr>
            </w:pPr>
            <w:r>
              <w:rPr>
                <w:color w:val="000000"/>
                <w:sz w:val="24"/>
                <w:szCs w:val="26"/>
              </w:rPr>
              <w:t>Species</w:t>
            </w:r>
          </w:p>
        </w:tc>
        <w:tc>
          <w:tcPr>
            <w:tcW w:w="4675" w:type="dxa"/>
            <w:tcBorders/>
          </w:tcPr>
          <w:p>
            <w:pPr>
              <w:pStyle w:val="style0"/>
              <w:spacing w:lineRule="auto" w:line="480"/>
              <w:jc w:val="both"/>
              <w:rPr>
                <w:i/>
                <w:color w:val="000000"/>
                <w:sz w:val="24"/>
                <w:szCs w:val="26"/>
              </w:rPr>
            </w:pPr>
            <w:r>
              <w:rPr>
                <w:i/>
                <w:color w:val="000000"/>
                <w:sz w:val="24"/>
                <w:szCs w:val="26"/>
              </w:rPr>
              <w:t>Sida acuta</w:t>
            </w:r>
          </w:p>
        </w:tc>
      </w:tr>
      <w:tr>
        <w:tblPrEx/>
        <w:trPr/>
        <w:tc>
          <w:tcPr>
            <w:tcW w:w="4675" w:type="dxa"/>
            <w:tcBorders/>
          </w:tcPr>
          <w:p>
            <w:pPr>
              <w:pStyle w:val="style0"/>
              <w:spacing w:lineRule="auto" w:line="480"/>
              <w:jc w:val="both"/>
              <w:rPr>
                <w:color w:val="000000"/>
                <w:sz w:val="24"/>
                <w:szCs w:val="26"/>
              </w:rPr>
            </w:pPr>
            <w:r>
              <w:rPr>
                <w:color w:val="000000"/>
                <w:sz w:val="24"/>
                <w:szCs w:val="26"/>
              </w:rPr>
              <w:t>Scientific Name</w:t>
            </w:r>
          </w:p>
        </w:tc>
        <w:tc>
          <w:tcPr>
            <w:tcW w:w="4675" w:type="dxa"/>
            <w:tcBorders/>
          </w:tcPr>
          <w:p>
            <w:pPr>
              <w:pStyle w:val="style0"/>
              <w:spacing w:lineRule="auto" w:line="480"/>
              <w:jc w:val="both"/>
              <w:rPr>
                <w:i/>
                <w:color w:val="000000"/>
                <w:sz w:val="24"/>
                <w:szCs w:val="26"/>
              </w:rPr>
            </w:pPr>
            <w:r>
              <w:rPr>
                <w:i/>
                <w:color w:val="000000"/>
                <w:sz w:val="24"/>
                <w:szCs w:val="26"/>
              </w:rPr>
              <w:t>Sida acuta Burm f.</w:t>
            </w:r>
          </w:p>
        </w:tc>
      </w:tr>
    </w:tbl>
    <w:p>
      <w:pPr>
        <w:pStyle w:val="style0"/>
        <w:spacing w:after="0" w:lineRule="auto" w:line="480"/>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r>
        <w:rPr>
          <w:color w:val="000000"/>
          <w:sz w:val="24"/>
          <w:szCs w:val="26"/>
        </w:rPr>
        <w:t>.</w:t>
      </w:r>
    </w:p>
    <w:p>
      <w:pPr>
        <w:pStyle w:val="style94"/>
        <w:spacing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Burm.</w:t>
      </w:r>
      <w:r>
        <w:rPr>
          <w:color w:val="000000"/>
          <w:szCs w:val="26"/>
        </w:rPr>
        <w:t xml:space="preserve"> f. (</w:t>
      </w:r>
      <w:r>
        <w:rPr>
          <w:i/>
          <w:color w:val="000000"/>
          <w:szCs w:val="26"/>
        </w:rPr>
        <w:t>Malvaceae</w:t>
      </w:r>
      <w:r>
        <w:rPr>
          <w:color w:val="000000"/>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Pr>
          <w:i/>
          <w:iCs/>
          <w:color w:val="000000"/>
          <w:szCs w:val="26"/>
        </w:rPr>
        <w:t>et al</w:t>
      </w:r>
      <w:r>
        <w:rPr>
          <w:color w:val="000000"/>
          <w:szCs w:val="26"/>
        </w:rPr>
        <w:t xml:space="preserve">., 2018). Studies have identified a variety of bioactive compounds in </w:t>
      </w:r>
      <w:r>
        <w:rPr>
          <w:rStyle w:val="style88"/>
          <w:rFonts w:eastAsia="宋体"/>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xml:space="preserve">., 2019). These secondary metabolites are responsible for its medicinal properties. The presence of flavonoids and </w:t>
      </w:r>
      <w:r>
        <w:rPr>
          <w:color w:val="000000"/>
          <w:szCs w:val="26"/>
        </w:rPr>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pPr>
        <w:pStyle w:val="style94"/>
        <w:spacing w:after="0" w:afterAutospacing="false" w:lineRule="auto" w:line="480"/>
        <w:ind w:firstLine="720"/>
        <w:jc w:val="both"/>
        <w:rPr>
          <w:color w:val="000000"/>
          <w:szCs w:val="26"/>
        </w:rPr>
      </w:pPr>
      <w:r>
        <w:rPr>
          <w:color w:val="000000"/>
          <w:szCs w:val="26"/>
        </w:rPr>
        <w:t xml:space="preserve">The antimicrobial efficacy of </w:t>
      </w:r>
      <w:r>
        <w:rPr>
          <w:rStyle w:val="style88"/>
          <w:rFonts w:eastAsia="宋体"/>
          <w:color w:val="000000"/>
          <w:szCs w:val="26"/>
        </w:rPr>
        <w:t>Sida acuta</w:t>
      </w:r>
      <w:r>
        <w:rPr>
          <w:color w:val="000000"/>
          <w:szCs w:val="26"/>
        </w:rPr>
        <w:t xml:space="preserve"> has been widely reported. Studies indicate that extracts from the plant exhibit strong antibacterial properties against Gram-positive and Gram-negative bacteria, including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Pseudomonas aeruginosa</w:t>
      </w:r>
      <w:r>
        <w:rPr>
          <w:color w:val="000000"/>
          <w:szCs w:val="26"/>
        </w:rPr>
        <w:t xml:space="preserve"> (Adegboye </w:t>
      </w:r>
      <w:r>
        <w:rPr>
          <w:i/>
          <w:iCs/>
          <w:color w:val="000000"/>
          <w:szCs w:val="26"/>
        </w:rPr>
        <w:t>et al</w:t>
      </w:r>
      <w:r>
        <w:rPr>
          <w:color w:val="000000"/>
          <w:szCs w:val="26"/>
        </w:rPr>
        <w:t xml:space="preserve">., 2021). Oxidative stress is a major contributor to various diseases, including cancer and cardiovascular disorders. Extracts of </w:t>
      </w:r>
      <w:r>
        <w:rPr>
          <w:rStyle w:val="style88"/>
          <w:rFonts w:eastAsia="宋体"/>
          <w:color w:val="000000"/>
          <w:szCs w:val="26"/>
        </w:rPr>
        <w:t>Sida acuta</w:t>
      </w:r>
      <w:r>
        <w:rPr>
          <w:color w:val="000000"/>
          <w:szCs w:val="26"/>
        </w:rPr>
        <w:t xml:space="preserve"> have been shown to possess potent antioxidant properties, which help in reducing oxidative damage and protecting cells from lipid peroxidation (Uche </w:t>
      </w:r>
      <w:r>
        <w:rPr>
          <w:i/>
          <w:iCs/>
          <w:color w:val="000000"/>
          <w:szCs w:val="26"/>
        </w:rPr>
        <w:t>et al</w:t>
      </w:r>
      <w:r>
        <w:rPr>
          <w:color w:val="000000"/>
          <w:szCs w:val="26"/>
        </w:rPr>
        <w:t xml:space="preserve">., 2020). Animal studies have demonstrated that </w:t>
      </w:r>
      <w:r>
        <w:rPr>
          <w:rStyle w:val="style88"/>
          <w:rFonts w:eastAsia="宋体"/>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xml:space="preserve">., 2021). These effects make it a promising candidate for ulcer management. Despite its numerous pharmacological benefits, toxicological assessments are necessary to determine the safety of </w:t>
      </w:r>
      <w:r>
        <w:rPr>
          <w:rStyle w:val="style88"/>
          <w:rFonts w:eastAsia="宋体"/>
          <w:color w:val="000000"/>
          <w:szCs w:val="26"/>
        </w:rPr>
        <w:t>Sida acuta</w:t>
      </w:r>
      <w:r>
        <w:rPr>
          <w:color w:val="000000"/>
          <w:szCs w:val="26"/>
        </w:rPr>
        <w:t xml:space="preserve"> (Ajayi </w:t>
      </w:r>
      <w:r>
        <w:rPr>
          <w:i/>
          <w:iCs/>
          <w:color w:val="000000"/>
          <w:szCs w:val="26"/>
        </w:rPr>
        <w:t>et al</w:t>
      </w:r>
      <w:r>
        <w:rPr>
          <w:color w:val="000000"/>
          <w:szCs w:val="26"/>
        </w:rPr>
        <w:t>., 2022).</w:t>
      </w:r>
    </w:p>
    <w:p>
      <w:pPr>
        <w:pStyle w:val="style94"/>
        <w:spacing w:before="0" w:beforeAutospacing="false" w:after="0" w:afterAutospacing="false" w:lineRule="auto" w:line="480"/>
        <w:jc w:val="both"/>
        <w:rPr>
          <w:b/>
          <w:color w:val="000000"/>
          <w:szCs w:val="26"/>
        </w:rPr>
      </w:pPr>
      <w:r>
        <w:rPr>
          <w:b/>
          <w:color w:val="000000"/>
          <w:szCs w:val="26"/>
        </w:rPr>
        <w:t>2.5.1 Saponin</w:t>
      </w:r>
    </w:p>
    <w:p>
      <w:pPr>
        <w:pStyle w:val="style94"/>
        <w:spacing w:before="0" w:beforeAutospacing="false" w:after="0" w:afterAutospacing="false" w:lineRule="auto" w:line="480"/>
        <w:ind w:firstLine="720"/>
        <w:jc w:val="both"/>
        <w:rPr>
          <w:color w:val="000000"/>
          <w:szCs w:val="26"/>
        </w:rPr>
      </w:pPr>
      <w:r>
        <w:rPr>
          <w:color w:val="000000"/>
          <w:szCs w:val="26"/>
        </w:rPr>
        <w:t xml:space="preserve">Saponins are bioactive glycosides with a characteristic foaming property, widely studied for their medicinal benefits (Ogunyemi </w:t>
      </w:r>
      <w:r>
        <w:rPr>
          <w:i/>
          <w:iCs/>
          <w:color w:val="000000"/>
          <w:szCs w:val="26"/>
        </w:rPr>
        <w:t>et al</w:t>
      </w:r>
      <w:r>
        <w:rPr>
          <w:color w:val="000000"/>
          <w:szCs w:val="26"/>
        </w:rPr>
        <w:t xml:space="preserve">., 2019). </w:t>
      </w:r>
      <w:r>
        <w:rPr>
          <w:color w:val="000000"/>
          <w:szCs w:val="26"/>
        </w:rPr>
        <w:t>Saponin</w:t>
      </w:r>
      <w:r>
        <w:rPr>
          <w:color w:val="000000"/>
          <w:szCs w:val="26"/>
        </w:rPr>
        <w:t xml:space="preserve"> in </w:t>
      </w:r>
      <w:r>
        <w:rPr>
          <w:rStyle w:val="style88"/>
          <w:rFonts w:eastAsia="宋体"/>
          <w:color w:val="000000"/>
          <w:szCs w:val="26"/>
        </w:rPr>
        <w:t>Sida acuta</w:t>
      </w:r>
      <w:r>
        <w:rPr>
          <w:color w:val="000000"/>
          <w:szCs w:val="26"/>
        </w:rPr>
        <w:t xml:space="preserve"> are</w:t>
      </w:r>
      <w:r>
        <w:rPr>
          <w:color w:val="000000"/>
          <w:szCs w:val="26"/>
        </w:rPr>
        <w:t xml:space="preserve"> a class of triterpenoid or steroidal glycosides known for their amphiphilic nature (Edeoga </w:t>
      </w:r>
      <w:r>
        <w:rPr>
          <w:i/>
          <w:iCs/>
          <w:color w:val="000000"/>
          <w:szCs w:val="26"/>
        </w:rPr>
        <w:t>et al</w:t>
      </w:r>
      <w:r>
        <w:rPr>
          <w:color w:val="000000"/>
          <w:szCs w:val="26"/>
        </w:rPr>
        <w:t xml:space="preserve">., 2020). Phytochemical screening has confirmed the presence of these compounds in various parts of the plant, including leaves, stems, and roots (Adegboye </w:t>
      </w:r>
      <w:r>
        <w:rPr>
          <w:i/>
          <w:iCs/>
          <w:color w:val="000000"/>
          <w:szCs w:val="26"/>
        </w:rPr>
        <w:t>et al</w:t>
      </w:r>
      <w:r>
        <w:rPr>
          <w:color w:val="000000"/>
          <w:szCs w:val="26"/>
        </w:rPr>
        <w:t xml:space="preserve">., 2021). </w:t>
      </w:r>
      <w:r>
        <w:rPr>
          <w:color w:val="000000"/>
          <w:szCs w:val="26"/>
        </w:rPr>
        <w:t xml:space="preserve">Their structural diversity contributes to various biological activities, including antimicrobial, anti-inflammatory, and antioxidant effects (Olajide </w:t>
      </w:r>
      <w:r>
        <w:rPr>
          <w:i/>
          <w:iCs/>
          <w:color w:val="000000"/>
          <w:szCs w:val="26"/>
        </w:rPr>
        <w:t>et al</w:t>
      </w:r>
      <w:r>
        <w:rPr>
          <w:color w:val="000000"/>
          <w:szCs w:val="26"/>
        </w:rPr>
        <w:t xml:space="preserve">., 2019). The extraction of saponins from </w:t>
      </w:r>
      <w:r>
        <w:rPr>
          <w:rStyle w:val="style88"/>
          <w:rFonts w:eastAsia="宋体"/>
          <w:color w:val="000000"/>
          <w:szCs w:val="26"/>
        </w:rPr>
        <w:t>Sida acuta</w:t>
      </w:r>
      <w:r>
        <w:rPr>
          <w:color w:val="000000"/>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Pr>
          <w:i/>
          <w:iCs/>
          <w:color w:val="000000"/>
          <w:szCs w:val="26"/>
        </w:rPr>
        <w:t>et al</w:t>
      </w:r>
      <w:r>
        <w:rPr>
          <w:color w:val="000000"/>
          <w:szCs w:val="26"/>
        </w:rPr>
        <w:t xml:space="preserve">., 2020). </w:t>
      </w:r>
    </w:p>
    <w:p>
      <w:pPr>
        <w:pStyle w:val="style94"/>
        <w:spacing w:before="0" w:beforeAutospacing="false" w:after="0" w:afterAutospacing="false" w:lineRule="auto" w:line="480"/>
        <w:jc w:val="both"/>
        <w:rPr>
          <w:color w:val="000000"/>
          <w:szCs w:val="26"/>
        </w:rPr>
      </w:pPr>
      <w:r>
        <w:rPr>
          <w:b/>
          <w:color w:val="000000"/>
          <w:szCs w:val="26"/>
        </w:rPr>
        <w:t>2.5.2 Tannins</w:t>
      </w:r>
    </w:p>
    <w:p>
      <w:pPr>
        <w:pStyle w:val="style94"/>
        <w:spacing w:before="0" w:beforeAutospacing="false" w:after="0" w:afterAutospacing="false" w:lineRule="auto" w:line="480"/>
        <w:ind w:firstLine="720"/>
        <w:jc w:val="both"/>
        <w:rPr>
          <w:color w:val="000000"/>
          <w:szCs w:val="26"/>
        </w:rPr>
      </w:pPr>
      <w:r>
        <w:rPr>
          <w:color w:val="000000"/>
          <w:szCs w:val="26"/>
        </w:rPr>
        <w:t xml:space="preserve">Tannins are a class of polyphenolic compounds widely distributed in plants, and </w:t>
      </w:r>
      <w:r>
        <w:rPr>
          <w:i/>
          <w:color w:val="000000"/>
          <w:szCs w:val="26"/>
        </w:rPr>
        <w:t>Sida acuta</w:t>
      </w:r>
      <w:r>
        <w:rPr>
          <w:color w:val="000000"/>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Pr>
          <w:i/>
          <w:color w:val="000000"/>
          <w:szCs w:val="26"/>
        </w:rPr>
        <w:t>Sida acuta</w:t>
      </w:r>
      <w:r>
        <w:rPr>
          <w:color w:val="000000"/>
          <w:szCs w:val="26"/>
        </w:rPr>
        <w:t xml:space="preserve"> contribute significantly to its antioxidant properties. These compounds can scavenge free radicals and chelate metal ions, thereby preventing oxidative damage to cells (Hagerman and Butler, 2020). The antioxidant potential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xml:space="preserve">., 2020). Tannins play a crucial role in the gastroprotective activity of </w:t>
      </w:r>
      <w:r>
        <w:rPr>
          <w:i/>
          <w:color w:val="000000"/>
          <w:szCs w:val="26"/>
        </w:rPr>
        <w:t>Sida acuta</w:t>
      </w:r>
      <w:r>
        <w:rPr>
          <w:color w:val="000000"/>
          <w:szCs w:val="26"/>
        </w:rPr>
        <w:t xml:space="preserve">. They enhance mucus secretion, reduce gastric acid production, and strengthen the mucosal barrier, thereby preventing ulcer formation (Ezekwesili </w:t>
      </w:r>
      <w:r>
        <w:rPr>
          <w:i/>
          <w:iCs/>
          <w:color w:val="000000"/>
          <w:szCs w:val="26"/>
        </w:rPr>
        <w:t>et al</w:t>
      </w:r>
      <w:r>
        <w:rPr>
          <w:color w:val="000000"/>
          <w:szCs w:val="26"/>
        </w:rPr>
        <w:t xml:space="preserve">., 2018). </w:t>
      </w:r>
    </w:p>
    <w:p>
      <w:pPr>
        <w:pStyle w:val="style0"/>
        <w:spacing w:after="0" w:lineRule="auto" w:line="480"/>
        <w:jc w:val="both"/>
        <w:rPr>
          <w:rFonts w:eastAsia="Times New Roman"/>
          <w:b/>
          <w:bCs/>
          <w:color w:val="000000"/>
          <w:sz w:val="24"/>
          <w:szCs w:val="26"/>
        </w:rPr>
      </w:pPr>
    </w:p>
    <w:p>
      <w:pPr>
        <w:pStyle w:val="style0"/>
        <w:spacing w:after="0" w:lineRule="auto" w:line="480"/>
        <w:jc w:val="both"/>
        <w:rPr>
          <w:rFonts w:eastAsia="Times New Roman"/>
          <w:color w:val="000000"/>
          <w:sz w:val="24"/>
          <w:szCs w:val="26"/>
        </w:rPr>
      </w:pPr>
      <w:r>
        <w:rPr>
          <w:rFonts w:eastAsia="Times New Roman"/>
          <w:b/>
          <w:bCs/>
          <w:color w:val="000000"/>
          <w:sz w:val="24"/>
          <w:szCs w:val="26"/>
        </w:rPr>
        <w:t>2.5.3 Flavonoids</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xml:space="preserve">, exhibiting antioxidant, antimicrobial, anti-inflammatory, and other health benefits (Ogunyemi </w:t>
      </w:r>
      <w:r>
        <w:rPr>
          <w:rFonts w:eastAsia="Times New Roman"/>
          <w:i/>
          <w:iCs/>
          <w:color w:val="000000"/>
          <w:sz w:val="24"/>
          <w:szCs w:val="26"/>
        </w:rPr>
        <w:t>et al</w:t>
      </w:r>
      <w:r>
        <w:rPr>
          <w:rFonts w:eastAsia="Times New Roman"/>
          <w:color w:val="000000"/>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Pr>
          <w:rFonts w:eastAsia="Times New Roman"/>
          <w:i/>
          <w:iCs/>
          <w:color w:val="000000"/>
          <w:sz w:val="24"/>
          <w:szCs w:val="26"/>
        </w:rPr>
        <w:t>et al</w:t>
      </w:r>
      <w:r>
        <w:rPr>
          <w:rFonts w:eastAsia="Times New Roman"/>
          <w:color w:val="000000"/>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 their efficacy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xml:space="preserve">., 2021). The antimicrobial mechanism involves disruption of microbial cell membranes, inhibition of bacterial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anti-inflammatory properties (Mbagwu and Okoro,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involved in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160" w:lineRule="auto" w:line="480"/>
        <w:jc w:val="both"/>
        <w:rPr>
          <w:rFonts w:eastAsia="Times New Roman"/>
          <w:b/>
          <w:bCs/>
          <w:color w:val="000000"/>
          <w:sz w:val="24"/>
          <w:szCs w:val="26"/>
        </w:rPr>
      </w:pPr>
      <w:r>
        <w:rPr>
          <w:rFonts w:eastAsia="Times New Roman"/>
          <w:b/>
          <w:bCs/>
          <w:color w:val="000000"/>
          <w:sz w:val="24"/>
          <w:szCs w:val="26"/>
        </w:rPr>
        <w:t>2.5.4 Phenols</w:t>
      </w:r>
    </w:p>
    <w:p>
      <w:pPr>
        <w:pStyle w:val="style94"/>
        <w:spacing w:before="0" w:beforeAutospacing="false"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phenols play a crucial role in neutralizing free radicals and reducing oxidative stress, which is linked to chronic diseases such as cancer, cardiovascular disorders, and neurodegenerative conditions (Edeoga </w:t>
      </w:r>
      <w:r>
        <w:rPr>
          <w:i/>
          <w:iCs/>
          <w:color w:val="000000"/>
          <w:szCs w:val="26"/>
        </w:rPr>
        <w:t>et al</w:t>
      </w:r>
      <w:r>
        <w:rPr>
          <w:color w:val="000000"/>
          <w:szCs w:val="26"/>
        </w:rPr>
        <w:t xml:space="preserve">., 2020). Phenolic compounds exhibit strong radical-scavenging abilities by donating hydrogen atoms to reactive oxygen species (ROS), thereby preventing cellular damage and enhancing the body’s defense mechanisms (Uche </w:t>
      </w:r>
      <w:r>
        <w:rPr>
          <w:i/>
          <w:iCs/>
          <w:color w:val="000000"/>
          <w:szCs w:val="26"/>
        </w:rPr>
        <w:t>et al</w:t>
      </w:r>
      <w:r>
        <w:rPr>
          <w:color w:val="000000"/>
          <w:szCs w:val="26"/>
        </w:rPr>
        <w:t xml:space="preserve">., 2020). Phenols display significant antimicrobial activity against various bacterial and fungal pathogens. Studies have shown that these compounds inhibit the growth of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xml:space="preserve">., 2021). The antimicrobial mechanism involves disrupting microbial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style88"/>
          <w:rFonts w:eastAsia="宋体"/>
          <w:color w:val="000000"/>
          <w:szCs w:val="26"/>
        </w:rPr>
        <w:t>Sida acuta</w:t>
      </w:r>
      <w:r>
        <w:rPr>
          <w:color w:val="000000"/>
          <w:szCs w:val="26"/>
        </w:rPr>
        <w:t xml:space="preserve"> as a natural source for developing antimicrobial drugs.</w:t>
      </w:r>
    </w:p>
    <w:p>
      <w:pPr>
        <w:pStyle w:val="style94"/>
        <w:spacing w:before="0" w:beforeAutospacing="false" w:after="0" w:afterAutospacing="false" w:lineRule="auto" w:line="480"/>
        <w:ind w:firstLine="720"/>
        <w:jc w:val="both"/>
        <w:rPr>
          <w:color w:val="000000"/>
          <w:szCs w:val="26"/>
        </w:rPr>
      </w:pPr>
      <w:r>
        <w:rPr>
          <w:color w:val="000000"/>
          <w:szCs w:val="26"/>
        </w:rPr>
        <w:t xml:space="preserve">The phenolic content of </w:t>
      </w:r>
      <w:r>
        <w:rPr>
          <w:rStyle w:val="style88"/>
          <w:rFonts w:eastAsia="宋体"/>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t xml:space="preserve">establish the full molecular mechanisms and therapeutic potential of these bioactive molecules. Phenols contribute to gastroprotection by reducing gastric acid secretion, enhancing mucosal defense, and promoting ulcer healing (Ezekwesili </w:t>
      </w:r>
      <w:r>
        <w:rPr>
          <w:i/>
          <w:iCs/>
          <w:color w:val="000000"/>
          <w:szCs w:val="26"/>
        </w:rPr>
        <w:t>et al</w:t>
      </w:r>
      <w:r>
        <w:rPr>
          <w:color w:val="000000"/>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2.6 Mineral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The diverse mineral profile of </w:t>
      </w:r>
      <w:r>
        <w:rPr>
          <w:rStyle w:val="style88"/>
          <w:rFonts w:eastAsia="宋体"/>
          <w:color w:val="000000"/>
          <w:szCs w:val="26"/>
        </w:rPr>
        <w:t>Sida acuta</w:t>
      </w:r>
      <w:r>
        <w:rPr>
          <w:color w:val="000000"/>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Pr>
          <w:rStyle w:val="style88"/>
          <w:rFonts w:eastAsia="宋体"/>
          <w:color w:val="000000"/>
          <w:szCs w:val="26"/>
        </w:rPr>
        <w:t>Sida acuta</w:t>
      </w:r>
      <w:r>
        <w:rPr>
          <w:color w:val="000000"/>
          <w:szCs w:val="26"/>
        </w:rPr>
        <w:t xml:space="preserve"> as a nutraceutical or functional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style88"/>
          <w:rFonts w:eastAsia="宋体"/>
          <w:color w:val="000000"/>
          <w:szCs w:val="26"/>
        </w:rPr>
        <w:t>Sida acuta</w:t>
      </w:r>
      <w:r>
        <w:rPr>
          <w:color w:val="000000"/>
          <w:szCs w:val="26"/>
        </w:rPr>
        <w:t xml:space="preserve"> and are essential for various biological processes. Iron is crucial for hemoglobin formation and oxygen transport, making </w:t>
      </w:r>
      <w:r>
        <w:rPr>
          <w:rStyle w:val="style88"/>
          <w:rFonts w:eastAsia="宋体"/>
          <w:color w:val="000000"/>
          <w:szCs w:val="26"/>
        </w:rPr>
        <w:t>Sida acuta</w:t>
      </w:r>
      <w:r>
        <w:rPr>
          <w:color w:val="000000"/>
          <w:szCs w:val="26"/>
        </w:rPr>
        <w:t xml:space="preserve"> beneficial in addressing iron deficiency anemia (Mbagwu and Okoro, 2017). </w:t>
      </w:r>
    </w:p>
    <w:p>
      <w:pPr>
        <w:pStyle w:val="style94"/>
        <w:spacing w:before="0" w:beforeAutospacing="false" w:after="0" w:afterAutospacing="false" w:lineRule="auto" w:line="480"/>
        <w:jc w:val="both"/>
        <w:rPr>
          <w:b/>
          <w:bCs/>
          <w:color w:val="000000"/>
          <w:szCs w:val="26"/>
        </w:rPr>
      </w:pPr>
      <w:r>
        <w:rPr>
          <w:b/>
          <w:bCs/>
          <w:color w:val="000000"/>
          <w:szCs w:val="26"/>
        </w:rPr>
        <w:t xml:space="preserve">2.6.1 Calcium </w:t>
      </w:r>
    </w:p>
    <w:p>
      <w:pPr>
        <w:pStyle w:val="style94"/>
        <w:spacing w:before="0" w:beforeAutospacing="false" w:after="0" w:afterAutospacing="false" w:lineRule="auto" w:line="480"/>
        <w:ind w:firstLine="720"/>
        <w:jc w:val="both"/>
        <w:rPr>
          <w:color w:val="000000"/>
          <w:szCs w:val="26"/>
        </w:rPr>
      </w:pPr>
      <w:r>
        <w:rPr>
          <w:color w:val="000000"/>
          <w:szCs w:val="26"/>
        </w:rPr>
        <w:t xml:space="preserve">Among the macrominerals found in </w:t>
      </w:r>
      <w:r>
        <w:rPr>
          <w:rStyle w:val="style88"/>
          <w:rFonts w:eastAsia="宋体"/>
          <w:color w:val="000000"/>
          <w:szCs w:val="26"/>
        </w:rPr>
        <w:t>Sida acuta</w:t>
      </w:r>
      <w:r>
        <w:rPr>
          <w:color w:val="000000"/>
          <w:szCs w:val="26"/>
        </w:rPr>
        <w:t xml:space="preserve">, calcium (Ca) is one of the most abundant. Calcium is essential for bone health, nerve transmission, and muscle function. The presence of calcium in </w:t>
      </w:r>
      <w:r>
        <w:rPr>
          <w:rStyle w:val="style88"/>
          <w:rFonts w:eastAsia="宋体"/>
          <w:color w:val="000000"/>
          <w:szCs w:val="26"/>
        </w:rPr>
        <w:t>Sida acuta</w:t>
      </w:r>
      <w:r>
        <w:rPr>
          <w:color w:val="000000"/>
          <w:szCs w:val="26"/>
        </w:rPr>
        <w:t xml:space="preserve"> suggests its potential role in preventing osteoporosis and maintaining skeletal integrity (Edeoga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t>vegetables and highlights the plant’s potential to support calcium requirements, especially in plant-based or low-income diets. Shittu and Alagbe (2020) similarly observed a significant calcium presence in their analysis of the plant’s mineral profile, further support</w:t>
      </w:r>
      <w:r>
        <w:rPr>
          <w:color w:val="000000"/>
          <w:szCs w:val="26"/>
        </w:rPr>
        <w:t xml:space="preserve">ing its nutritional relevance. </w:t>
      </w:r>
    </w:p>
    <w:p>
      <w:pPr>
        <w:pStyle w:val="style94"/>
        <w:spacing w:before="0" w:beforeAutospacing="false" w:after="0" w:afterAutospacing="false" w:lineRule="auto" w:line="480"/>
        <w:jc w:val="both"/>
        <w:rPr>
          <w:b/>
          <w:bCs/>
          <w:color w:val="000000"/>
          <w:szCs w:val="26"/>
        </w:rPr>
      </w:pPr>
      <w:r>
        <w:rPr>
          <w:b/>
          <w:bCs/>
          <w:color w:val="000000"/>
          <w:szCs w:val="26"/>
        </w:rPr>
        <w:t xml:space="preserve">2.6.2 Potassium </w:t>
      </w:r>
    </w:p>
    <w:p>
      <w:pPr>
        <w:pStyle w:val="style94"/>
        <w:spacing w:before="0" w:beforeAutospacing="false" w:after="0" w:afterAutospacing="false" w:lineRule="auto" w:line="480"/>
        <w:ind w:firstLine="720"/>
        <w:jc w:val="both"/>
        <w:rPr>
          <w:color w:val="000000"/>
          <w:szCs w:val="26"/>
        </w:rPr>
      </w:pPr>
      <w:r>
        <w:rPr>
          <w:color w:val="000000"/>
          <w:szCs w:val="26"/>
        </w:rPr>
        <w:t xml:space="preserve">Potassium (K) is another vital mineral present in </w:t>
      </w:r>
      <w:r>
        <w:rPr>
          <w:rStyle w:val="style88"/>
          <w:rFonts w:eastAsia="宋体"/>
          <w:color w:val="000000"/>
          <w:szCs w:val="26"/>
        </w:rPr>
        <w:t>Sida acuta</w:t>
      </w:r>
      <w:r>
        <w:rPr>
          <w:color w:val="000000"/>
          <w:szCs w:val="26"/>
        </w:rPr>
        <w:t xml:space="preserve">, playing an essential role in maintaining electrolyte balance, nerve signaling, and cardiovascular function. A potassium-rich diet has been linked to reduced blood pressure and a lower risk of stroke (Adegboye </w:t>
      </w:r>
      <w:r>
        <w:rPr>
          <w:i/>
          <w:iCs/>
          <w:color w:val="000000"/>
          <w:szCs w:val="26"/>
        </w:rPr>
        <w:t>et al</w:t>
      </w:r>
      <w:r>
        <w:rPr>
          <w:color w:val="000000"/>
          <w:szCs w:val="26"/>
        </w:rPr>
        <w:t xml:space="preserve">., 2021). The presence of potassium in </w:t>
      </w:r>
      <w:r>
        <w:rPr>
          <w:rStyle w:val="style88"/>
          <w:rFonts w:eastAsia="宋体"/>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 and nerve function without contributing to hypertension (Olajide </w:t>
      </w:r>
      <w:r>
        <w:rPr>
          <w:i/>
          <w:iCs/>
          <w:color w:val="000000"/>
          <w:szCs w:val="26"/>
        </w:rPr>
        <w:t>et al</w:t>
      </w:r>
      <w:r>
        <w:rPr>
          <w:color w:val="000000"/>
          <w:szCs w:val="26"/>
        </w:rPr>
        <w:t>., 2019).</w:t>
      </w:r>
    </w:p>
    <w:p>
      <w:pPr>
        <w:pStyle w:val="style0"/>
        <w:spacing w:after="160" w:lineRule="auto" w:line="480"/>
        <w:jc w:val="both"/>
        <w:rPr>
          <w:b/>
          <w:bCs/>
          <w:color w:val="000000"/>
          <w:sz w:val="24"/>
          <w:szCs w:val="26"/>
        </w:rPr>
      </w:pPr>
      <w:r>
        <w:rPr>
          <w:b/>
          <w:bCs/>
          <w:color w:val="000000"/>
          <w:sz w:val="24"/>
          <w:szCs w:val="26"/>
        </w:rPr>
        <w:t xml:space="preserve">2.6.3 Sodium </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pPr>
        <w:pStyle w:val="style0"/>
        <w:spacing w:after="0" w:lineRule="auto" w:line="480"/>
        <w:jc w:val="both"/>
        <w:rPr>
          <w:b/>
          <w:bCs/>
          <w:color w:val="000000"/>
          <w:sz w:val="24"/>
          <w:szCs w:val="26"/>
        </w:rPr>
      </w:pPr>
      <w:r>
        <w:rPr>
          <w:b/>
          <w:bCs/>
          <w:color w:val="000000"/>
          <w:sz w:val="24"/>
          <w:szCs w:val="26"/>
        </w:rPr>
        <w:t xml:space="preserve">2.6.4 Phosphorus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 especially in regions where plant-based diets are predominant.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pPr>
        <w:pStyle w:val="style94"/>
        <w:spacing w:before="0" w:beforeAutospacing="false" w:after="0" w:afterAutospacing="false" w:lineRule="auto" w:line="480"/>
        <w:jc w:val="both"/>
        <w:rPr>
          <w:b/>
          <w:bCs/>
          <w:color w:val="000000"/>
          <w:szCs w:val="26"/>
        </w:rPr>
      </w:pPr>
      <w:r>
        <w:rPr>
          <w:b/>
          <w:bCs/>
          <w:color w:val="000000"/>
          <w:szCs w:val="26"/>
        </w:rPr>
        <w:t xml:space="preserve">2.6.5 Iron and copper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Iron is crucial for the formation of hemoglobin, the protein responsible for transporting oxygen in the blood, and plays a role in cellular respiration and immune </w:t>
      </w:r>
      <w:r>
        <w:rPr>
          <w:rFonts w:eastAsia="Times New Roman"/>
          <w:color w:val="000000"/>
          <w:sz w:val="24"/>
          <w:szCs w:val="26"/>
        </w:rPr>
        <w:t xml:space="preserve">function. Copper, on the other hand, assists in iron metabolism, supports antioxidant activity, and is necessary for the development of connective tissue and the nervous system. When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dietary supplement, especially in areas where iron-deficiency anemia is common.</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pPr>
        <w:pStyle w:val="style94"/>
        <w:spacing w:before="0" w:beforeAutospacing="false" w:after="0" w:afterAutospacing="false" w:lineRule="auto" w:line="480"/>
        <w:jc w:val="both"/>
        <w:rPr>
          <w:b/>
          <w:bCs/>
          <w:color w:val="000000"/>
          <w:szCs w:val="26"/>
        </w:rPr>
      </w:pPr>
      <w:r>
        <w:rPr>
          <w:b/>
          <w:bCs/>
          <w:color w:val="000000"/>
          <w:szCs w:val="26"/>
        </w:rPr>
        <w:t xml:space="preserve">2.6.6 Aluminum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xml:space="preserve">, known for its medicinal versatility, has been examined for its elemental composition, including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pPr>
        <w:pStyle w:val="style94"/>
        <w:spacing w:before="0" w:beforeAutospacing="false" w:after="0" w:afterAutospacing="false" w:lineRule="auto" w:line="480"/>
        <w:jc w:val="both"/>
        <w:rPr>
          <w:b/>
          <w:bCs/>
          <w:color w:val="000000"/>
          <w:szCs w:val="26"/>
        </w:rPr>
      </w:pPr>
      <w:r>
        <w:rPr>
          <w:b/>
          <w:bCs/>
          <w:color w:val="000000"/>
          <w:szCs w:val="26"/>
        </w:rPr>
        <w:t xml:space="preserve">2.7 Proximate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r>
        <w:rPr>
          <w:color w:val="000000"/>
          <w:szCs w:val="26"/>
        </w:rPr>
        <w:t>contribute</w:t>
      </w:r>
      <w:r>
        <w:rPr>
          <w:color w:val="000000"/>
          <w:szCs w:val="26"/>
        </w:rPr>
        <w:t xml:space="preserve"> to the total energy content of an organism, while water and ash only contribute mass (</w:t>
      </w:r>
      <w:r>
        <w:rPr>
          <w:color w:val="000000"/>
          <w:szCs w:val="26"/>
          <w:shd w:val="clear" w:color="auto" w:fill="ffffff"/>
        </w:rPr>
        <w:t>Parimelazhagan and Thangaraj, 2016).</w:t>
      </w:r>
    </w:p>
    <w:p>
      <w:pPr>
        <w:pStyle w:val="style94"/>
        <w:spacing w:before="0" w:beforeAutospacing="false" w:after="0" w:afterAutospacing="false" w:lineRule="auto" w:line="480"/>
        <w:jc w:val="both"/>
        <w:rPr>
          <w:b/>
          <w:bCs/>
          <w:color w:val="000000"/>
          <w:szCs w:val="26"/>
          <w:lang w:val="fr-FR"/>
        </w:rPr>
      </w:pPr>
      <w:r>
        <w:rPr>
          <w:b/>
          <w:color w:val="000000"/>
          <w:szCs w:val="26"/>
          <w:lang w:val="fr-FR"/>
        </w:rPr>
        <w:t>2</w:t>
      </w:r>
      <w:r>
        <w:rPr>
          <w:b/>
          <w:bCs/>
          <w:color w:val="000000"/>
          <w:szCs w:val="26"/>
          <w:lang w:val="fr-FR"/>
        </w:rPr>
        <w:t xml:space="preserve">.7.1 Moisture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 be relatively </w:t>
      </w:r>
      <w:r>
        <w:rPr>
          <w:rFonts w:eastAsia="Times New Roman"/>
          <w:color w:val="000000"/>
          <w:sz w:val="24"/>
          <w:szCs w:val="26"/>
        </w:rPr>
        <w:t>high,</w:t>
      </w:r>
      <w:r>
        <w:rPr>
          <w:rFonts w:eastAsia="Times New Roman"/>
          <w:color w:val="000000"/>
          <w:sz w:val="24"/>
          <w:szCs w:val="26"/>
        </w:rPr>
        <w:t xml:space="preserve">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2.7.2 Crude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source, especially in regions where animal protein is scarce or expensive. Although the protein </w:t>
      </w:r>
      <w:r>
        <w:rPr>
          <w:rFonts w:eastAsia="Times New Roman"/>
          <w:color w:val="000000"/>
          <w:sz w:val="24"/>
          <w:szCs w:val="26"/>
        </w:rPr>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2.7.3 Crude ash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xml:space="preserve">. (2018) reported that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w:t>
      </w:r>
      <w:r>
        <w:rPr>
          <w:rFonts w:eastAsia="Times New Roman"/>
          <w:color w:val="000000"/>
          <w:sz w:val="24"/>
          <w:szCs w:val="26"/>
        </w:rPr>
        <w:t>a relatively</w:t>
      </w:r>
      <w:r>
        <w:rPr>
          <w:rFonts w:eastAsia="Times New Roman"/>
          <w:color w:val="000000"/>
          <w:sz w:val="24"/>
          <w:szCs w:val="26"/>
        </w:rPr>
        <w:t xml:space="preserve">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individuals seeking to supplement their mineral intake through plant-based foods. </w:t>
      </w:r>
      <w:r>
        <w:rPr>
          <w:rFonts w:eastAsia="Times New Roman"/>
          <w:color w:val="000000"/>
          <w:sz w:val="24"/>
          <w:szCs w:val="26"/>
        </w:rPr>
        <w:t xml:space="preserve">(Singh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2.7.4 Lipid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pPr>
        <w:pStyle w:val="style0"/>
        <w:spacing w:after="0" w:lineRule="auto" w:line="480"/>
        <w:jc w:val="both"/>
        <w:rPr>
          <w:b/>
          <w:bCs/>
          <w:color w:val="000000"/>
          <w:sz w:val="24"/>
          <w:szCs w:val="26"/>
        </w:rPr>
      </w:pPr>
      <w:r>
        <w:rPr>
          <w:rFonts w:eastAsia="Times New Roman"/>
          <w:color w:val="000000"/>
          <w:sz w:val="24"/>
          <w:szCs w:val="26"/>
        </w:rPr>
        <w:tab/>
      </w:r>
      <w:r>
        <w:rPr>
          <w:color w:val="000000"/>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 xml:space="preserve">2.7.5 Crude fibre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of </w:t>
      </w:r>
      <w:r>
        <w:rPr>
          <w:rFonts w:eastAsia="Times New Roman"/>
          <w:i/>
          <w:iCs/>
          <w:color w:val="000000"/>
          <w:sz w:val="24"/>
          <w:szCs w:val="26"/>
        </w:rPr>
        <w:t>Sida acuta</w:t>
      </w:r>
      <w:r>
        <w:rPr>
          <w:rFonts w:eastAsia="Times New Roman"/>
          <w:color w:val="000000"/>
          <w:sz w:val="24"/>
          <w:szCs w:val="26"/>
        </w:rPr>
        <w:t xml:space="preserve"> was found to be approximately 14.4% on a 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Pr>
          <w:rFonts w:eastAsia="Times New Roman"/>
          <w:i/>
          <w:iCs/>
          <w:color w:val="000000"/>
          <w:sz w:val="24"/>
          <w:szCs w:val="26"/>
        </w:rPr>
        <w:t>Sida acuta</w:t>
      </w:r>
      <w:r>
        <w:rPr>
          <w:rFonts w:eastAsia="Times New Roman"/>
          <w:color w:val="000000"/>
          <w:sz w:val="24"/>
          <w:szCs w:val="26"/>
        </w:rPr>
        <w:t xml:space="preserve"> are also thought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2.8 Non enzymatic antioxidant </w:t>
      </w:r>
    </w:p>
    <w:p>
      <w:pPr>
        <w:pStyle w:val="style94"/>
        <w:spacing w:before="0" w:beforeAutospacing="false" w:after="0" w:afterAutospacing="false" w:lineRule="auto" w:line="480"/>
        <w:jc w:val="both"/>
        <w:rPr>
          <w:b/>
          <w:bCs/>
          <w:color w:val="000000"/>
          <w:szCs w:val="26"/>
        </w:rPr>
      </w:pPr>
      <w:r>
        <w:rPr>
          <w:b/>
          <w:bCs/>
          <w:color w:val="000000"/>
          <w:szCs w:val="26"/>
        </w:rPr>
        <w:t xml:space="preserve">2.8.1 Total phenolic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2.8.2 Total flavonoid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contains </w:t>
      </w:r>
      <w:r>
        <w:rPr>
          <w:rFonts w:eastAsia="Times New Roman"/>
          <w:color w:val="000000"/>
          <w:sz w:val="24"/>
          <w:szCs w:val="26"/>
        </w:rPr>
        <w:t>a high</w:t>
      </w:r>
      <w:r>
        <w:rPr>
          <w:rFonts w:eastAsia="Times New Roman"/>
          <w:color w:val="000000"/>
          <w:sz w:val="24"/>
          <w:szCs w:val="26"/>
        </w:rPr>
        <w:t xml:space="preserve">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Pr>
          <w:rFonts w:eastAsia="Times New Roman"/>
          <w:color w:val="000000"/>
          <w:sz w:val="24"/>
          <w:szCs w:val="26"/>
        </w:rPr>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2.8.3 Ferric reducing antioxidant power (FRAP)</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Ferric Reducing Antioxidant Power (FRAP) assay is a well-established analytical method used to evaluate the antioxidant potential of plant extracts. It measures the ability of a sample to reduce ferric ions (Fe³</w:t>
      </w:r>
      <w:r>
        <w:rPr>
          <w:rFonts w:ascii="Cambria Math" w:cs="Cambria Math" w:eastAsia="Times New Roman" w:hAnsi="Cambria Math"/>
          <w:color w:val="000000"/>
          <w:sz w:val="24"/>
          <w:szCs w:val="26"/>
        </w:rPr>
        <w:t>⁺</w:t>
      </w:r>
      <w:r>
        <w:rPr>
          <w:rFonts w:eastAsia="Times New Roman"/>
          <w:color w:val="000000"/>
          <w:sz w:val="24"/>
          <w:szCs w:val="26"/>
        </w:rPr>
        <w:t>) to ferrous ions (Fe²</w:t>
      </w:r>
      <w:r>
        <w:rPr>
          <w:rFonts w:ascii="Cambria Math" w:cs="Cambria Math" w:eastAsia="Times New Roman" w:hAnsi="Cambria Math"/>
          <w:color w:val="000000"/>
          <w:sz w:val="24"/>
          <w:szCs w:val="26"/>
        </w:rPr>
        <w:t>⁺</w:t>
      </w:r>
      <w:r>
        <w:rPr>
          <w:rFonts w:eastAsia="Times New Roman"/>
          <w:color w:val="000000"/>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Pr>
          <w:rFonts w:eastAsia="Times New Roman"/>
          <w:i/>
          <w:iCs/>
          <w:color w:val="000000"/>
          <w:sz w:val="24"/>
          <w:szCs w:val="26"/>
        </w:rPr>
        <w:t>et al</w:t>
      </w:r>
      <w:r>
        <w:rPr>
          <w:rFonts w:eastAsia="Times New Roman"/>
          <w:color w:val="000000"/>
          <w:sz w:val="24"/>
          <w:szCs w:val="26"/>
        </w:rPr>
        <w:t xml:space="preserve">., 2022). Oxidative stress plays a central role in ulcerogenesis, contributing to mucosal erosion through the generation of free radicals that damage cell membranes, proteins, and DNA. Substances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xml:space="preserve">, these include flavonoids, tannins, and saponins, which may act synergistically to neutralise free radicals and reduce </w:t>
      </w:r>
      <w:r>
        <w:rPr>
          <w:rFonts w:eastAsia="Times New Roman"/>
          <w:color w:val="000000"/>
          <w:sz w:val="24"/>
          <w:szCs w:val="26"/>
        </w:rPr>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2.8.4 2</w:t>
      </w:r>
      <w:r>
        <w:rPr>
          <w:b/>
          <w:bCs/>
          <w:color w:val="000000"/>
          <w:szCs w:val="26"/>
        </w:rPr>
        <w:t>,2</w:t>
      </w:r>
      <w:r>
        <w:rPr>
          <w:b/>
          <w:bCs/>
          <w:color w:val="000000"/>
          <w:szCs w:val="26"/>
        </w:rPr>
        <w:t>-azino-bis C3 ethylbenzothiazoline-b-sulphonic acid (ABTS)</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ABTS [2</w:t>
      </w:r>
      <w:r>
        <w:rPr>
          <w:rFonts w:eastAsia="Times New Roman"/>
          <w:color w:val="000000"/>
          <w:sz w:val="24"/>
          <w:szCs w:val="26"/>
        </w:rPr>
        <w:t>,2</w:t>
      </w:r>
      <w:r>
        <w:rPr>
          <w:rFonts w:eastAsia="Times New Roman"/>
          <w:color w:val="000000"/>
          <w:sz w:val="24"/>
          <w:szCs w:val="26"/>
        </w:rPr>
        <w:t>′-azino-bis(3-ethylbenzothiazoline-6-sulphonic acid)] assay is a reliable method for determining the antioxidant capacity of natural compounds and plant extracts. It evaluates the ability of antioxidants to quench the ABTS</w:t>
      </w:r>
      <w:r>
        <w:rPr>
          <w:rFonts w:ascii="Cambria Math" w:cs="Cambria Math" w:eastAsia="Times New Roman" w:hAnsi="Cambria Math"/>
          <w:color w:val="000000"/>
          <w:sz w:val="24"/>
          <w:szCs w:val="26"/>
        </w:rPr>
        <w:t>⁺</w:t>
      </w:r>
      <w:r>
        <w:rPr>
          <w:rFonts w:eastAsia="Times New Roman"/>
          <w:color w:val="000000"/>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activity is directly linked to the presence of flavonoids, tannins, and polyphenolic compounds, which are known to donate hydrogen atoms or electrons to stabilise free radicals and prevent cellular damage.</w:t>
      </w:r>
    </w:p>
    <w:p>
      <w:pPr>
        <w:pStyle w:val="style0"/>
        <w:spacing w:after="0" w:lineRule="auto" w:line="480"/>
        <w:ind w:firstLine="720"/>
        <w:jc w:val="both"/>
        <w:rPr>
          <w:rFonts w:eastAsia="Times New Roman"/>
          <w:b/>
          <w:bCs/>
          <w:color w:val="000000"/>
          <w:sz w:val="24"/>
          <w:szCs w:val="26"/>
        </w:rPr>
      </w:pPr>
      <w:r>
        <w:rPr>
          <w:rFonts w:eastAsia="Times New Roman"/>
          <w:color w:val="000000"/>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pPr>
        <w:pStyle w:val="style94"/>
        <w:spacing w:before="0" w:beforeAutospacing="false" w:after="0" w:afterAutospacing="false" w:lineRule="auto" w:line="480"/>
        <w:jc w:val="both"/>
        <w:rPr>
          <w:b/>
          <w:bCs/>
          <w:color w:val="000000"/>
          <w:szCs w:val="26"/>
        </w:rPr>
      </w:pPr>
      <w:r>
        <w:rPr>
          <w:b/>
          <w:bCs/>
          <w:color w:val="000000"/>
          <w:szCs w:val="26"/>
        </w:rPr>
        <w:t>2.8.5 2</w:t>
      </w:r>
      <w:r>
        <w:rPr>
          <w:b/>
          <w:bCs/>
          <w:color w:val="000000"/>
          <w:szCs w:val="26"/>
        </w:rPr>
        <w:t>,2</w:t>
      </w:r>
      <w:r>
        <w:rPr>
          <w:b/>
          <w:bCs/>
          <w:color w:val="000000"/>
          <w:szCs w:val="26"/>
        </w:rPr>
        <w:t>-diphenyl-1-pycrylhydraxyl (DPPH)</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2</w:t>
      </w:r>
      <w:r>
        <w:rPr>
          <w:rFonts w:eastAsia="Times New Roman"/>
          <w:color w:val="000000"/>
          <w:sz w:val="24"/>
          <w:szCs w:val="26"/>
        </w:rPr>
        <w:t>,2</w:t>
      </w:r>
      <w:r>
        <w:rPr>
          <w:rFonts w:eastAsia="Times New Roman"/>
          <w:color w:val="000000"/>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Pr>
          <w:rFonts w:eastAsia="Times New Roman"/>
          <w:i/>
          <w:iCs/>
          <w:color w:val="000000"/>
          <w:sz w:val="24"/>
          <w:szCs w:val="26"/>
        </w:rPr>
        <w:t>et al</w:t>
      </w:r>
      <w:r>
        <w:rPr>
          <w:rFonts w:eastAsia="Times New Roman"/>
          <w:color w:val="000000"/>
          <w:sz w:val="24"/>
          <w:szCs w:val="26"/>
        </w:rPr>
        <w:t>., 2022).</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xml:space="preserve">. Antioxidants that effectively quench radicals like DPPH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2.9 Organ studied </w:t>
      </w:r>
    </w:p>
    <w:p>
      <w:pPr>
        <w:pStyle w:val="style94"/>
        <w:spacing w:before="0" w:beforeAutospacing="false" w:after="0" w:afterAutospacing="false" w:lineRule="auto" w:line="480"/>
        <w:jc w:val="both"/>
        <w:rPr>
          <w:b/>
          <w:bCs/>
          <w:color w:val="000000"/>
          <w:szCs w:val="26"/>
        </w:rPr>
      </w:pPr>
      <w:r>
        <w:rPr>
          <w:b/>
          <w:bCs/>
          <w:color w:val="000000"/>
          <w:szCs w:val="26"/>
        </w:rPr>
        <w:t xml:space="preserve">2.9.1 Stomach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xml:space="preserve">, are known to offer protection by neutralising free radicals and enhancing the gastric mucosal defense mechanisms. Several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mucus secretion and help maintain mucosal integrity (Ezekwesili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with gastric ulcers. Furthermore, antioxidants from </w:t>
      </w:r>
      <w:r>
        <w:rPr>
          <w:rFonts w:eastAsia="Times New Roman"/>
          <w:i/>
          <w:iCs/>
          <w:color w:val="000000"/>
          <w:sz w:val="24"/>
          <w:szCs w:val="26"/>
        </w:rPr>
        <w:t>Sida acuta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2.9.2 Liver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Pr>
          <w:rFonts w:eastAsia="Times New Roman"/>
          <w:color w:val="000000"/>
          <w:sz w:val="24"/>
          <w:szCs w:val="26"/>
        </w:rPr>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its antioxidant properties, which help reduce liver damage 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pPr>
        <w:pStyle w:val="style94"/>
        <w:spacing w:before="0" w:beforeAutospacing="false" w:after="0" w:afterAutospacing="false" w:lineRule="auto" w:line="480"/>
        <w:jc w:val="both"/>
        <w:rPr>
          <w:b/>
          <w:bCs/>
          <w:color w:val="000000"/>
          <w:szCs w:val="26"/>
        </w:rPr>
      </w:pPr>
      <w:r>
        <w:rPr>
          <w:b/>
          <w:bCs/>
          <w:color w:val="000000"/>
          <w:szCs w:val="26"/>
        </w:rPr>
        <w:t xml:space="preserve">2.9.3 Duodenum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Pr>
          <w:rFonts w:eastAsia="Times New Roman"/>
          <w:i/>
          <w:iCs/>
          <w:color w:val="000000"/>
          <w:sz w:val="24"/>
          <w:szCs w:val="26"/>
        </w:rPr>
        <w:t>Sida acuta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pPr>
        <w:pStyle w:val="style94"/>
        <w:spacing w:before="0" w:beforeAutospacing="false" w:after="0" w:afterAutospacing="false" w:lineRule="auto" w:line="480"/>
        <w:jc w:val="both"/>
        <w:rPr>
          <w:b/>
          <w:bCs/>
          <w:color w:val="000000"/>
          <w:szCs w:val="26"/>
        </w:rPr>
      </w:pPr>
      <w:r>
        <w:rPr>
          <w:b/>
          <w:bCs/>
          <w:color w:val="000000"/>
          <w:szCs w:val="26"/>
        </w:rPr>
        <w:t xml:space="preserve">2.10 Hematological indices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Pr>
          <w:rFonts w:eastAsia="Times New Roman"/>
          <w:color w:val="000000"/>
          <w:sz w:val="24"/>
          <w:szCs w:val="26"/>
        </w:rPr>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2.10.1 Red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formation but can also cause gastric </w:t>
      </w:r>
      <w:r>
        <w:rPr>
          <w:rFonts w:eastAsia="Times New Roman"/>
          <w:color w:val="000000"/>
          <w:sz w:val="24"/>
          <w:szCs w:val="26"/>
        </w:rPr>
        <w:t>bleeding,</w:t>
      </w:r>
      <w:r>
        <w:rPr>
          <w:rFonts w:eastAsia="Times New Roman"/>
          <w:color w:val="000000"/>
          <w:sz w:val="24"/>
          <w:szCs w:val="26"/>
        </w:rPr>
        <w:t xml:space="preserve"> further depleting the body’s RBC reserves (Zhao </w:t>
      </w:r>
      <w:r>
        <w:rPr>
          <w:rFonts w:eastAsia="Times New Roman"/>
          <w:i/>
          <w:iCs/>
          <w:color w:val="000000"/>
          <w:sz w:val="24"/>
          <w:szCs w:val="26"/>
        </w:rPr>
        <w:t>et al</w:t>
      </w:r>
      <w:r>
        <w:rPr>
          <w:rFonts w:eastAsia="Times New Roman"/>
          <w:color w:val="000000"/>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r>
        <w:rPr>
          <w:rFonts w:eastAsia="Times New Roman"/>
          <w:color w:val="000000"/>
          <w:sz w:val="24"/>
          <w:szCs w:val="26"/>
        </w:rPr>
        <w:t xml:space="preserve">(Siddiqui </w:t>
      </w:r>
      <w:r>
        <w:rPr>
          <w:rFonts w:eastAsia="Times New Roman"/>
          <w:i/>
          <w:iCs/>
          <w:color w:val="000000"/>
          <w:sz w:val="24"/>
          <w:szCs w:val="26"/>
        </w:rPr>
        <w:t>et al</w:t>
      </w:r>
      <w:r>
        <w:rPr>
          <w:rFonts w:eastAsia="Times New Roman"/>
          <w:color w:val="000000"/>
          <w:sz w:val="24"/>
          <w:szCs w:val="26"/>
        </w:rPr>
        <w:t>.,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pPr>
        <w:pStyle w:val="style94"/>
        <w:spacing w:before="0" w:beforeAutospacing="false" w:after="0" w:afterAutospacing="false" w:lineRule="auto" w:line="480"/>
        <w:jc w:val="both"/>
        <w:rPr>
          <w:b/>
          <w:bCs/>
          <w:color w:val="000000"/>
          <w:szCs w:val="26"/>
        </w:rPr>
      </w:pPr>
      <w:r>
        <w:rPr>
          <w:b/>
          <w:bCs/>
          <w:color w:val="000000"/>
          <w:szCs w:val="26"/>
        </w:rPr>
        <w:t xml:space="preserve">2.10.2 Hemoglobin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Pr>
          <w:rFonts w:eastAsia="Times New Roman"/>
          <w:color w:val="000000"/>
          <w:sz w:val="24"/>
          <w:szCs w:val="26"/>
        </w:rPr>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 to small but persistent blood loss over time. This chronic loss of blood reduces the body's supply of red blood cells,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2.10.3 Hematocrit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Pr>
          <w:rFonts w:eastAsia="Times New Roman"/>
          <w:color w:val="000000"/>
          <w:sz w:val="24"/>
          <w:szCs w:val="26"/>
        </w:rPr>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2.10.4 White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t>pylori</w:t>
      </w:r>
      <w:r>
        <w:rPr>
          <w:rFonts w:eastAsia="Times New Roman"/>
          <w:color w:val="000000"/>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2.10.5 Platelet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pPr>
        <w:pStyle w:val="style94"/>
        <w:spacing w:before="0" w:beforeAutospacing="false" w:after="0" w:afterAutospacing="false" w:lineRule="auto" w:line="480"/>
        <w:jc w:val="both"/>
        <w:rPr>
          <w:b/>
          <w:bCs/>
          <w:color w:val="000000"/>
          <w:szCs w:val="26"/>
        </w:rPr>
      </w:pPr>
      <w:r>
        <w:rPr>
          <w:b/>
          <w:bCs/>
          <w:color w:val="000000"/>
          <w:szCs w:val="26"/>
        </w:rPr>
        <w:t xml:space="preserve">2.11 Total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Total protein refers to the combined levels of all proteins found in blood plasma, which are vital for cellular structure, enzyme activity, and immune function. In the </w:t>
      </w:r>
      <w:r>
        <w:rPr>
          <w:rFonts w:eastAsia="Times New Roman"/>
          <w:color w:val="000000"/>
          <w:sz w:val="24"/>
          <w:szCs w:val="26"/>
        </w:rPr>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2.11.1 Liver function indices </w:t>
      </w:r>
    </w:p>
    <w:p>
      <w:pPr>
        <w:pStyle w:val="style0"/>
        <w:spacing w:after="0" w:lineRule="auto" w:line="480"/>
        <w:ind w:firstLine="360"/>
        <w:jc w:val="both"/>
        <w:rPr>
          <w:rFonts w:eastAsia="Times New Roman"/>
          <w:color w:val="000000"/>
          <w:sz w:val="24"/>
          <w:szCs w:val="26"/>
        </w:rPr>
      </w:pPr>
      <w:r>
        <w:rPr>
          <w:rFonts w:eastAsia="Times New Roman"/>
          <w:color w:val="000000"/>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Alanine aminotransferase (ALT): An enzyme primarily found in the liver. Elevated ALT levels often indicate liver cell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Aspartate aminotransferase (AST): Another enzyme found in the liver, elevated levels suggest liver injury or muscle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Alkaline phosphatase (ALP): An enzyme related to bile ducts and liver. Increased levels may point to cholestasis or liver disease.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Total Bilirubin: The liver processes bilirubin, a breakdown product of red blood cells. Elevated bilirubin levels can indicate liver dysfunction or bile duct obstruction.</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Albumin: A protein produced by the liver, often used as a marker of liver function. Low albumin levels may indicate chronic liver disease.</w:t>
      </w:r>
    </w:p>
    <w:p>
      <w:pPr>
        <w:pStyle w:val="style94"/>
        <w:spacing w:before="0" w:beforeAutospacing="false" w:after="0" w:afterAutospacing="false" w:lineRule="auto" w:line="480"/>
        <w:jc w:val="both"/>
        <w:rPr>
          <w:b/>
          <w:bCs/>
          <w:color w:val="000000"/>
          <w:szCs w:val="26"/>
        </w:rPr>
      </w:pPr>
      <w:r>
        <w:rPr>
          <w:b/>
          <w:bCs/>
          <w:color w:val="000000"/>
          <w:szCs w:val="26"/>
        </w:rPr>
        <w:t xml:space="preserve">2.11.2 Alanine amino transferase </w:t>
      </w:r>
    </w:p>
    <w:p>
      <w:pPr>
        <w:pStyle w:val="style94"/>
        <w:spacing w:before="0" w:beforeAutospacing="false" w:after="0" w:afterAutospacing="false" w:lineRule="auto" w:line="480"/>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pPr>
        <w:pStyle w:val="style0"/>
        <w:shd w:val="clear" w:color="auto" w:fill="ffffff"/>
        <w:spacing w:after="0" w:lineRule="auto" w:line="480"/>
        <w:ind w:firstLine="480"/>
        <w:jc w:val="both"/>
        <w:rPr>
          <w:b/>
          <w:bCs/>
          <w:color w:val="000000"/>
          <w:sz w:val="24"/>
          <w:szCs w:val="26"/>
        </w:rPr>
      </w:pPr>
      <w:r>
        <w:rPr>
          <w:color w:val="000000"/>
          <w:sz w:val="24"/>
          <w:szCs w:val="26"/>
        </w:rPr>
        <w:t>Aspartate aminotransferase (AST, EC 2.6.1.1) and alanine aminotransferase (ALT, EC 2.6.1.2) are enzymes found mainly in the liver, but also found in red blood cells, heart cells, muscle tissue and other organs, such as the pancreas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2.11.3 Aspartate amino transferase </w:t>
      </w:r>
    </w:p>
    <w:p>
      <w:pPr>
        <w:pStyle w:val="style94"/>
        <w:spacing w:before="0" w:beforeAutospacing="false" w:after="0" w:afterAutospacing="false" w:lineRule="auto" w:line="480"/>
        <w:ind w:firstLine="720"/>
        <w:jc w:val="both"/>
        <w:rPr>
          <w:b/>
          <w:bCs/>
          <w:color w:val="000000"/>
          <w:szCs w:val="26"/>
        </w:rPr>
      </w:pPr>
      <w:r>
        <w:rPr>
          <w:color w:val="000000"/>
          <w:szCs w:val="26"/>
          <w:shd w:val="clear" w:color="auto" w:fill="ffffff"/>
        </w:rPr>
        <w:t xml:space="preserve">In humans, AST exists as two genetically and immunologically distinct isoenzymes: cytoplasmic AST (cAST or GOT1) and mitochondrial AST (mAST or </w:t>
      </w:r>
      <w:r>
        <w:rPr>
          <w:color w:val="000000"/>
          <w:szCs w:val="26"/>
          <w:shd w:val="clear" w:color="auto" w:fill="ffffff"/>
        </w:rPr>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r>
        <w:rPr>
          <w:color w:val="000000"/>
          <w:szCs w:val="26"/>
          <w:shd w:val="clear" w:color="auto" w:fill="ffffff"/>
        </w:rPr>
        <w:t>kD</w:t>
      </w:r>
      <w:r>
        <w:rPr>
          <w:color w:val="000000"/>
          <w:szCs w:val="26"/>
          <w:shd w:val="clear" w:color="auto" w:fill="ffffff"/>
        </w:rPr>
        <w:t>. Each dimer has an identical binding site for pyridoxal-5'-phosphate which is located in the dimer interface. Pyridoxal-5'-phosphate is stabilized by a number of surrounding amino acid residues (Ndrepepa, 2021).</w:t>
      </w:r>
    </w:p>
    <w:p>
      <w:pPr>
        <w:pStyle w:val="style94"/>
        <w:spacing w:before="0" w:beforeAutospacing="false" w:after="0" w:afterAutospacing="false" w:lineRule="auto" w:line="480"/>
        <w:jc w:val="both"/>
        <w:rPr>
          <w:b/>
          <w:bCs/>
          <w:color w:val="000000"/>
          <w:szCs w:val="26"/>
        </w:rPr>
      </w:pPr>
      <w:r>
        <w:rPr>
          <w:b/>
          <w:bCs/>
          <w:color w:val="000000"/>
          <w:szCs w:val="26"/>
        </w:rPr>
        <w:t xml:space="preserve">2.11.4 Alkaline phosphatase </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phosphatases [ALP; orthophosphoric monoester phosphohydrolase (alkaline optimum) EC 3.1.3.1] are plasma membrane-bound glycoproteins (Tsai </w:t>
      </w:r>
      <w:r>
        <w:rPr>
          <w:i/>
          <w:iCs/>
          <w:color w:val="000000"/>
          <w:szCs w:val="26"/>
        </w:rPr>
        <w:t>et al</w:t>
      </w:r>
      <w:r>
        <w:rPr>
          <w:color w:val="000000"/>
          <w:szCs w:val="26"/>
        </w:rPr>
        <w:t xml:space="preserve">., 2000). These enzymes are widely distributed in nature, including prokaryotes and higher eukaryotes (Sadeghirishi </w:t>
      </w:r>
      <w:r>
        <w:rPr>
          <w:i/>
          <w:iCs/>
          <w:color w:val="000000"/>
          <w:szCs w:val="26"/>
        </w:rPr>
        <w:t>et al</w:t>
      </w:r>
      <w:r>
        <w:rPr>
          <w:color w:val="000000"/>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Pr>
          <w:i/>
          <w:iCs/>
          <w:color w:val="000000"/>
          <w:szCs w:val="26"/>
        </w:rPr>
        <w:t>et al</w:t>
      </w:r>
      <w:r>
        <w:rPr>
          <w:color w:val="000000"/>
          <w:szCs w:val="26"/>
        </w:rPr>
        <w:t xml:space="preserve">., 2001). Mammalian alkaline phosphatases (ALPs) are zinccontaining metalloenzymes encoded by a multigene family and function as dimeric molecules (Sharma </w:t>
      </w:r>
      <w:r>
        <w:rPr>
          <w:i/>
          <w:iCs/>
          <w:color w:val="000000"/>
          <w:szCs w:val="26"/>
        </w:rPr>
        <w:t>et al</w:t>
      </w:r>
      <w:r>
        <w:rPr>
          <w:color w:val="000000"/>
          <w:szCs w:val="26"/>
        </w:rPr>
        <w:t>., 2012).</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 (ALP) is </w:t>
      </w:r>
      <w:r>
        <w:rPr>
          <w:color w:val="000000"/>
          <w:szCs w:val="26"/>
        </w:rPr>
        <w:t>an</w:t>
      </w:r>
      <w:r>
        <w:rPr>
          <w:color w:val="000000"/>
          <w:szCs w:val="26"/>
        </w:rPr>
        <w:t xml:space="preserve"> ubiquitous membrane-bound glycoprotein that catalyzes the hydrolysis of phosphate monoesters at basic pH values. Alkaline </w:t>
      </w:r>
      <w:r>
        <w:rPr>
          <w:color w:val="000000"/>
          <w:szCs w:val="26"/>
        </w:rPr>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2.11.5 Albumin </w:t>
      </w:r>
    </w:p>
    <w:p>
      <w:pPr>
        <w:pStyle w:val="style94"/>
        <w:spacing w:before="0" w:beforeAutospacing="false" w:after="0" w:afterAutospacing="false" w:lineRule="auto" w:line="480"/>
        <w:ind w:firstLine="720"/>
        <w:jc w:val="both"/>
        <w:rPr>
          <w:color w:val="000000"/>
          <w:szCs w:val="26"/>
        </w:rPr>
      </w:pPr>
      <w:r>
        <w:rPr>
          <w:color w:val="000000"/>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xml:space="preserve">). Human ALB is composed of 585 amino acids. It shows affinity to bind many types of molecules and ions. Free ferrous and cupric ions are catalyst in the Fenton reaction, in which hydroxyl radicals are generated (Plantier </w:t>
      </w:r>
      <w:r>
        <w:rPr>
          <w:i/>
          <w:iCs/>
          <w:color w:val="000000"/>
          <w:szCs w:val="26"/>
        </w:rPr>
        <w:t>et al</w:t>
      </w:r>
      <w:r>
        <w:rPr>
          <w:color w:val="000000"/>
          <w:szCs w:val="26"/>
        </w:rPr>
        <w:t xml:space="preserve">., 2016). </w:t>
      </w:r>
    </w:p>
    <w:p>
      <w:pPr>
        <w:pStyle w:val="style94"/>
        <w:spacing w:before="0" w:beforeAutospacing="false" w:after="0" w:afterAutospacing="false" w:lineRule="auto" w:line="480"/>
        <w:ind w:firstLine="720"/>
        <w:jc w:val="both"/>
        <w:rPr>
          <w:color w:val="000000"/>
          <w:szCs w:val="26"/>
        </w:rPr>
      </w:pPr>
      <w:r>
        <w:rPr>
          <w:color w:val="000000"/>
          <w:szCs w:val="26"/>
        </w:rPr>
        <w:t xml:space="preserve">The antioxidant properties of albumin derive also from its indirect effect, associated with binding of bilirubin and unsaturated fatty acids, which prevents oxidation of these compounds (Roche </w:t>
      </w:r>
      <w:r>
        <w:rPr>
          <w:i/>
          <w:iCs/>
          <w:color w:val="000000"/>
          <w:szCs w:val="26"/>
        </w:rPr>
        <w:t>et al</w:t>
      </w:r>
      <w:r>
        <w:rPr>
          <w:color w:val="000000"/>
          <w:szCs w:val="26"/>
        </w:rPr>
        <w:t>., 2008). The antioxidative function of albumin results from its free radical-trapping capacities and various 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2.11.6 Bilirubin </w:t>
      </w:r>
    </w:p>
    <w:p>
      <w:pPr>
        <w:pStyle w:val="style94"/>
        <w:spacing w:before="0" w:beforeAutospacing="false" w:after="0" w:afterAutospacing="false" w:lineRule="auto" w:line="480"/>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r>
        <w:rPr>
          <w:color w:val="000000"/>
          <w:szCs w:val="26"/>
        </w:rPr>
        <w:t>form,</w:t>
      </w:r>
      <w:r>
        <w:rPr>
          <w:color w:val="000000"/>
          <w:szCs w:val="26"/>
        </w:rPr>
        <w:t xml:space="preserve"> it is excreted in bile into the intestine. In some diseases of the liver, the excretion of bile is obstructed and the level of bilirubin in the blood increases (Bhutani </w:t>
      </w:r>
      <w:r>
        <w:rPr>
          <w:i/>
          <w:iCs/>
          <w:color w:val="000000"/>
          <w:szCs w:val="26"/>
        </w:rPr>
        <w:t>et al</w:t>
      </w:r>
      <w:r>
        <w:rPr>
          <w:color w:val="000000"/>
          <w:szCs w:val="26"/>
        </w:rPr>
        <w:t xml:space="preserve">., 2016), </w:t>
      </w:r>
    </w:p>
    <w:p>
      <w:pPr>
        <w:pStyle w:val="style94"/>
        <w:spacing w:before="0" w:beforeAutospacing="false" w:after="0" w:afterAutospacing="false" w:lineRule="auto" w:line="480"/>
        <w:jc w:val="both"/>
        <w:rPr>
          <w:b/>
          <w:bCs/>
          <w:color w:val="000000"/>
          <w:szCs w:val="26"/>
        </w:rPr>
      </w:pPr>
      <w:r>
        <w:rPr>
          <w:b/>
          <w:bCs/>
          <w:color w:val="000000"/>
          <w:szCs w:val="26"/>
        </w:rPr>
        <w:t>2.1</w:t>
      </w:r>
      <w:r>
        <w:rPr>
          <w:b/>
          <w:bCs/>
          <w:color w:val="000000"/>
          <w:szCs w:val="26"/>
        </w:rPr>
        <w:t>2</w:t>
      </w:r>
      <w:r>
        <w:rPr>
          <w:b/>
          <w:bCs/>
          <w:color w:val="000000"/>
          <w:szCs w:val="26"/>
        </w:rPr>
        <w:t xml:space="preserve"> Antioxidant and lipid peroxidation parameters </w:t>
      </w:r>
    </w:p>
    <w:p>
      <w:pPr>
        <w:pStyle w:val="style0"/>
        <w:autoSpaceDE w:val="false"/>
        <w:autoSpaceDN w:val="false"/>
        <w:adjustRightInd w:val="false"/>
        <w:spacing w:after="0" w:lineRule="auto" w:line="480"/>
        <w:ind w:firstLine="720"/>
        <w:jc w:val="both"/>
        <w:rPr>
          <w:color w:val="000000"/>
          <w:sz w:val="24"/>
          <w:szCs w:val="26"/>
        </w:rPr>
      </w:pPr>
      <w:r>
        <w:rPr>
          <w:color w:val="000000"/>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Pr>
          <w:color w:val="000000"/>
          <w:sz w:val="24"/>
          <w:szCs w:val="26"/>
        </w:rPr>
        <w:t>terpenoids from essential oils, which act by favoring the radical-chain termination without actually impairing propagation (Amorati and Valgimigli, 2018).</w:t>
      </w:r>
    </w:p>
    <w:p>
      <w:pPr>
        <w:pStyle w:val="style94"/>
        <w:spacing w:before="0" w:beforeAutospacing="false" w:after="0" w:afterAutospacing="false" w:lineRule="auto" w:line="480"/>
        <w:jc w:val="both"/>
        <w:rPr>
          <w:b/>
          <w:bCs/>
          <w:color w:val="000000"/>
          <w:szCs w:val="26"/>
        </w:rPr>
      </w:pPr>
      <w:r>
        <w:rPr>
          <w:b/>
          <w:bCs/>
          <w:color w:val="000000"/>
          <w:szCs w:val="26"/>
        </w:rPr>
        <w:t xml:space="preserve">2.12.1 Superoxide dismutase </w:t>
      </w:r>
    </w:p>
    <w:p>
      <w:pPr>
        <w:pStyle w:val="style94"/>
        <w:spacing w:before="0" w:beforeAutospacing="false" w:after="0" w:afterAutospacing="false" w:lineRule="auto" w:line="480"/>
        <w:ind w:firstLine="720"/>
        <w:jc w:val="both"/>
        <w:rPr>
          <w:color w:val="000000"/>
          <w:szCs w:val="26"/>
        </w:rPr>
      </w:pPr>
      <w:r>
        <w:rPr>
          <w:color w:val="000000"/>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pPr>
        <w:pStyle w:val="style94"/>
        <w:spacing w:before="0" w:beforeAutospacing="false" w:after="0" w:afterAutospacing="false" w:lineRule="auto" w:line="480"/>
        <w:ind w:firstLine="720"/>
        <w:jc w:val="both"/>
        <w:rPr>
          <w:color w:val="000000"/>
          <w:szCs w:val="26"/>
        </w:rPr>
      </w:pPr>
      <w:r>
        <w:rPr>
          <w:color w:val="000000"/>
          <w:szCs w:val="26"/>
        </w:rPr>
        <w:t>SOD is ubiquitous to all forms of life. Four different types of metal centers have been detected in SOD, dividing this family into Cu</w:t>
      </w:r>
      <w:r>
        <w:rPr>
          <w:color w:val="000000"/>
          <w:szCs w:val="26"/>
        </w:rPr>
        <w:t>,Zn</w:t>
      </w:r>
      <w:r>
        <w:rPr>
          <w:color w:val="000000"/>
          <w:szCs w:val="26"/>
        </w:rPr>
        <w:t>-, Fe-, Mn- and Ni-SODs. The evolution of SOD and other antioxidant enzymes was probably triggered by production of O2 by photosynthetic organisms about 2 billion years ago. Two major kinds of SOD appeared independently in prokaryotes at that time, Cu</w:t>
      </w:r>
      <w:r>
        <w:rPr>
          <w:color w:val="000000"/>
          <w:szCs w:val="26"/>
        </w:rPr>
        <w:t>,Zn</w:t>
      </w:r>
      <w:r>
        <w:rPr>
          <w:color w:val="000000"/>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Pr>
          <w:i/>
          <w:iCs/>
          <w:color w:val="000000"/>
          <w:szCs w:val="26"/>
        </w:rPr>
        <w:t>et al</w:t>
      </w:r>
      <w:r>
        <w:rPr>
          <w:color w:val="000000"/>
          <w:szCs w:val="26"/>
        </w:rPr>
        <w:t>., 2009).</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2.12.2 Catalase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against oxidative stress. Its primary function is to decompose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rPr>
      </w:pPr>
      <w:r>
        <w:rPr>
          <w:b/>
          <w:bCs/>
          <w:color w:val="000000"/>
          <w:szCs w:val="26"/>
        </w:rPr>
        <w:t xml:space="preserve">2.12.3 Glutathione transferase </w:t>
      </w:r>
    </w:p>
    <w:p>
      <w:pPr>
        <w:pStyle w:val="style94"/>
        <w:spacing w:before="0" w:beforeAutospacing="false" w:after="0" w:afterAutospacing="false" w:lineRule="auto" w:line="480"/>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w:t>
      </w:r>
      <w:r>
        <w:rPr>
          <w:color w:val="000000"/>
          <w:szCs w:val="26"/>
        </w:rPr>
        <w:t xml:space="preserve"> </w:t>
      </w:r>
      <w:r>
        <w:rPr>
          <w:color w:val="000000"/>
          <w:szCs w:val="26"/>
        </w:rPr>
        <w:t xml:space="preserve">2009), but the most intense GSH synthesis occurs in hepatocytes (Lu, 2013). </w:t>
      </w:r>
      <w:r>
        <w:rPr>
          <w:color w:val="000000"/>
          <w:szCs w:val="26"/>
        </w:rPr>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Pr>
          <w:i/>
          <w:iCs/>
          <w:color w:val="000000"/>
          <w:szCs w:val="26"/>
        </w:rPr>
        <w:t>et al</w:t>
      </w:r>
      <w:r>
        <w:rPr>
          <w:color w:val="000000"/>
          <w:szCs w:val="26"/>
        </w:rPr>
        <w:t xml:space="preserve">., 2012).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2.12.4 Glutathione peroxidase</w:t>
      </w:r>
    </w:p>
    <w:p>
      <w:pPr>
        <w:pStyle w:val="style0"/>
        <w:spacing w:after="0" w:lineRule="auto" w:line="480"/>
        <w:jc w:val="both"/>
        <w:rPr>
          <w:rFonts w:eastAsia="Times New Roman"/>
          <w:color w:val="000000"/>
          <w:sz w:val="24"/>
          <w:szCs w:val="26"/>
        </w:rPr>
      </w:pPr>
      <w:r>
        <w:rPr>
          <w:rFonts w:eastAsia="Times New Roman"/>
          <w:b/>
          <w:bCs/>
          <w:color w:val="000000"/>
          <w:sz w:val="24"/>
          <w:szCs w:val="26"/>
        </w:rPr>
        <w:t>Glutathione Peroxidase and Its Role in Antioxidant Defense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 These enzymes catalyze the reduction of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Pr>
          <w:rStyle w:val="style4103"/>
          <w:color w:val="000000"/>
          <w:sz w:val="24"/>
          <w:szCs w:val="26"/>
        </w:rPr>
        <w:t>2GSH</w:t>
      </w:r>
      <w:r>
        <w:rPr>
          <w:rStyle w:val="style4106"/>
          <w:color w:val="000000"/>
          <w:sz w:val="24"/>
          <w:szCs w:val="26"/>
        </w:rPr>
        <w:t>+</w:t>
      </w:r>
      <w:r>
        <w:rPr>
          <w:rStyle w:val="style4103"/>
          <w:color w:val="000000"/>
          <w:sz w:val="24"/>
          <w:szCs w:val="26"/>
        </w:rPr>
        <w:t>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r>
        <w:rPr>
          <w:rStyle w:val="style4103"/>
          <w:color w:val="000000"/>
          <w:sz w:val="24"/>
          <w:szCs w:val="26"/>
          <w:vertAlign w:val="subscript"/>
        </w:rPr>
        <w:t>2</w:t>
      </w:r>
      <w:r>
        <w:rPr>
          <w:rStyle w:val="style4104"/>
          <w:color w:val="000000"/>
          <w:sz w:val="24"/>
          <w:szCs w:val="26"/>
        </w:rPr>
        <w:t>​</w:t>
      </w:r>
      <w:r>
        <w:rPr>
          <w:rStyle w:val="style4105"/>
          <w:color w:val="000000"/>
          <w:sz w:val="24"/>
          <w:szCs w:val="26"/>
        </w:rPr>
        <w:t>→</w:t>
      </w:r>
      <w:r>
        <w:rPr>
          <w:rStyle w:val="style4103"/>
          <w:color w:val="000000"/>
          <w:sz w:val="24"/>
          <w:szCs w:val="26"/>
        </w:rPr>
        <w:t>GSSG</w:t>
      </w:r>
      <w:r>
        <w:rPr>
          <w:rStyle w:val="style4106"/>
          <w:color w:val="000000"/>
          <w:sz w:val="24"/>
          <w:szCs w:val="26"/>
        </w:rPr>
        <w:t>+</w:t>
      </w:r>
      <w:r>
        <w:rPr>
          <w:rStyle w:val="style4103"/>
          <w:color w:val="000000"/>
          <w:sz w:val="24"/>
          <w:szCs w:val="26"/>
        </w:rPr>
        <w:t>2H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pPr>
        <w:pStyle w:val="style94"/>
        <w:spacing w:before="0" w:beforeAutospacing="false" w:after="0" w:afterAutospacing="false" w:lineRule="auto" w:line="480"/>
        <w:jc w:val="both"/>
        <w:rPr>
          <w:b/>
          <w:bCs/>
          <w:color w:val="000000"/>
          <w:szCs w:val="26"/>
        </w:rPr>
      </w:pPr>
      <w:r>
        <w:rPr>
          <w:b/>
          <w:bCs/>
          <w:color w:val="000000"/>
          <w:szCs w:val="26"/>
        </w:rPr>
        <w:t xml:space="preserve">2.12.5 Glutathione reductase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Pr>
          <w:rFonts w:eastAsia="Times New Roman"/>
          <w:color w:val="000000"/>
          <w:sz w:val="24"/>
          <w:szCs w:val="26"/>
        </w:rPr>
        <w:t>and Cidlowski, 2012).</w:t>
      </w:r>
    </w:p>
    <w:p>
      <w:pPr>
        <w:pStyle w:val="style94"/>
        <w:spacing w:before="0" w:beforeAutospacing="false" w:after="0" w:afterAutospacing="false" w:lineRule="auto" w:line="480"/>
        <w:jc w:val="both"/>
        <w:rPr>
          <w:b/>
          <w:bCs/>
          <w:color w:val="000000"/>
          <w:szCs w:val="26"/>
        </w:rPr>
      </w:pPr>
      <w:r>
        <w:rPr>
          <w:b/>
          <w:bCs/>
          <w:color w:val="000000"/>
          <w:szCs w:val="26"/>
        </w:rPr>
        <w:t xml:space="preserve">2.12.6 Reduced glutathione </w:t>
      </w:r>
    </w:p>
    <w:p>
      <w:pPr>
        <w:pStyle w:val="style94"/>
        <w:spacing w:before="0" w:beforeAutospacing="false" w:after="0" w:afterAutospacing="false" w:lineRule="auto" w:line="480"/>
        <w:ind w:firstLine="720"/>
        <w:jc w:val="both"/>
        <w:rPr>
          <w:color w:val="000000"/>
          <w:szCs w:val="26"/>
        </w:rPr>
      </w:pPr>
      <w:r>
        <w:rPr>
          <w:color w:val="000000"/>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 xml:space="preserve">2.12.7 Malondialdehyde </w:t>
      </w:r>
    </w:p>
    <w:p>
      <w:pPr>
        <w:pStyle w:val="style94"/>
        <w:spacing w:before="0" w:beforeAutospacing="false" w:after="0" w:afterAutospacing="false" w:lineRule="auto" w:line="480"/>
        <w:ind w:firstLine="720"/>
        <w:jc w:val="both"/>
        <w:rPr>
          <w:color w:val="000000"/>
          <w:szCs w:val="26"/>
        </w:rPr>
      </w:pPr>
      <w:r>
        <w:rPr>
          <w:rStyle w:val="style4107"/>
          <w:color w:val="000000"/>
          <w:sz w:val="24"/>
          <w:szCs w:val="26"/>
        </w:rPr>
        <w:t>Lipid peroxidation is one of known indices of oxidative stress and contributing factor in degenerative diseases,</w:t>
      </w:r>
      <w:r>
        <w:rPr>
          <w:rStyle w:val="style4108"/>
          <w:color w:val="000000"/>
          <w:sz w:val="24"/>
          <w:szCs w:val="26"/>
        </w:rPr>
        <w:t xml:space="preserve"> </w:t>
      </w:r>
      <w:r>
        <w:rPr>
          <w:rStyle w:val="style4107"/>
          <w:color w:val="000000"/>
          <w:sz w:val="24"/>
          <w:szCs w:val="26"/>
        </w:rPr>
        <w:t>cardiovascular disease, Parkinson’s disease, Alzheimer’s disease,</w:t>
      </w:r>
      <w:r>
        <w:rPr>
          <w:rStyle w:val="style4108"/>
          <w:color w:val="000000"/>
          <w:sz w:val="24"/>
          <w:szCs w:val="26"/>
        </w:rPr>
        <w:t xml:space="preserve">4 </w:t>
      </w:r>
      <w:r>
        <w:rPr>
          <w:rStyle w:val="style4107"/>
          <w:color w:val="000000"/>
          <w:sz w:val="24"/>
          <w:szCs w:val="26"/>
        </w:rPr>
        <w:t>and psychiatric disorders, including schizophrenia.</w:t>
      </w:r>
      <w:r>
        <w:rPr>
          <w:rStyle w:val="style4108"/>
          <w:color w:val="000000"/>
          <w:sz w:val="24"/>
          <w:szCs w:val="26"/>
        </w:rPr>
        <w:t xml:space="preserve"> </w:t>
      </w:r>
      <w:r>
        <w:rPr>
          <w:rStyle w:val="style4107"/>
          <w:color w:val="000000"/>
          <w:sz w:val="24"/>
          <w:szCs w:val="26"/>
        </w:rPr>
        <w:t xml:space="preserve">Assesment of primary lipid </w:t>
      </w:r>
      <w:r>
        <w:rPr>
          <w:rStyle w:val="style4107"/>
          <w:color w:val="000000"/>
          <w:sz w:val="24"/>
          <w:szCs w:val="26"/>
        </w:rPr>
        <w:t>peroxidation products (hydroperoxides) is usually unstable due to its reactive nature.</w:t>
      </w:r>
      <w:r>
        <w:rPr>
          <w:rStyle w:val="style4108"/>
          <w:color w:val="000000"/>
          <w:sz w:val="24"/>
          <w:szCs w:val="26"/>
        </w:rPr>
        <w:t xml:space="preserve">6 </w:t>
      </w:r>
      <w:r>
        <w:rPr>
          <w:rStyle w:val="style4107"/>
          <w:color w:val="000000"/>
          <w:sz w:val="24"/>
          <w:szCs w:val="26"/>
        </w:rPr>
        <w:t>Therefore,</w:t>
      </w:r>
      <w:r>
        <w:rPr>
          <w:rStyle w:val="style4107"/>
          <w:color w:val="000000"/>
          <w:sz w:val="24"/>
          <w:szCs w:val="26"/>
        </w:rPr>
        <w:t xml:space="preserv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pPr>
        <w:pStyle w:val="style94"/>
        <w:spacing w:before="0" w:beforeAutospacing="false" w:after="0" w:afterAutospacing="false" w:lineRule="auto" w:line="480"/>
        <w:ind w:firstLine="720"/>
        <w:jc w:val="both"/>
        <w:rPr>
          <w:b/>
          <w:bCs/>
          <w:color w:val="000000"/>
          <w:szCs w:val="26"/>
        </w:rPr>
      </w:pPr>
      <w:r>
        <w:rPr>
          <w:color w:val="000000"/>
          <w:szCs w:val="26"/>
        </w:rPr>
        <w:t>Malondialdehyde (MDA)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 al</w:t>
      </w:r>
      <w:r>
        <w:rPr>
          <w:color w:val="000000"/>
          <w:szCs w:val="26"/>
          <w:shd w:val="clear" w:color="auto" w:fill="ffffff"/>
        </w:rPr>
        <w:t>., 2018</w:t>
      </w:r>
      <w:r>
        <w:rPr>
          <w:color w:val="000000"/>
          <w:szCs w:val="26"/>
        </w:rPr>
        <w:t xml:space="preserve">). The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pPr>
        <w:pStyle w:val="style94"/>
        <w:spacing w:before="0" w:beforeAutospacing="false" w:after="0" w:afterAutospacing="false" w:lineRule="auto" w:line="480"/>
        <w:jc w:val="both"/>
        <w:rPr>
          <w:b/>
          <w:bCs/>
          <w:color w:val="000000"/>
          <w:szCs w:val="26"/>
        </w:rPr>
      </w:pPr>
      <w:r>
        <w:rPr>
          <w:b/>
          <w:bCs/>
          <w:color w:val="000000"/>
          <w:szCs w:val="26"/>
        </w:rPr>
        <w:t xml:space="preserve">2.12.8 Mycloperoxidase </w:t>
      </w:r>
    </w:p>
    <w:p>
      <w:pPr>
        <w:pStyle w:val="style0"/>
        <w:spacing w:after="0" w:lineRule="auto" w:line="480"/>
        <w:ind w:firstLine="720"/>
        <w:jc w:val="both"/>
        <w:rPr>
          <w:rFonts w:eastAsia="Times New Roman"/>
          <w:color w:val="000000"/>
          <w:sz w:val="22"/>
          <w:szCs w:val="26"/>
        </w:rPr>
      </w:pPr>
      <w:r>
        <w:rPr>
          <w:rFonts w:eastAsia="Times New Roman"/>
          <w:color w:val="000000"/>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Pr>
          <w:rFonts w:ascii="Cambria Math" w:cs="Cambria Math" w:eastAsia="Times New Roman" w:hAnsi="Cambria Math"/>
          <w:color w:val="000000"/>
          <w:sz w:val="22"/>
          <w:szCs w:val="26"/>
        </w:rPr>
        <w:t>₂</w:t>
      </w:r>
      <w:r>
        <w:rPr>
          <w:rFonts w:eastAsia="Times New Roman"/>
          <w:color w:val="000000"/>
          <w:sz w:val="22"/>
          <w:szCs w:val="26"/>
        </w:rPr>
        <w:t>O</w:t>
      </w:r>
      <w:r>
        <w:rPr>
          <w:rFonts w:ascii="Cambria Math" w:cs="Cambria Math" w:eastAsia="Times New Roman" w:hAnsi="Cambria Math"/>
          <w:color w:val="000000"/>
          <w:sz w:val="22"/>
          <w:szCs w:val="26"/>
        </w:rPr>
        <w:t>₂</w:t>
      </w:r>
      <w:r>
        <w:rPr>
          <w:rFonts w:eastAsia="Times New Roman"/>
          <w:color w:val="000000"/>
          <w:sz w:val="22"/>
          <w:szCs w:val="26"/>
        </w:rPr>
        <w:t>) and chloride ions (Cl</w:t>
      </w:r>
      <w:r>
        <w:rPr>
          <w:rFonts w:ascii="Cambria Math" w:cs="Cambria Math" w:eastAsia="Times New Roman" w:hAnsi="Cambria Math"/>
          <w:color w:val="000000"/>
          <w:sz w:val="22"/>
          <w:szCs w:val="26"/>
        </w:rPr>
        <w:t>⁻</w:t>
      </w:r>
      <w:r>
        <w:rPr>
          <w:rFonts w:eastAsia="Times New Roman"/>
          <w:color w:val="000000"/>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pPr>
        <w:pStyle w:val="style0"/>
        <w:spacing w:after="0" w:lineRule="auto" w:line="480"/>
        <w:ind w:firstLine="720"/>
        <w:jc w:val="both"/>
        <w:rPr>
          <w:rFonts w:eastAsia="Times New Roman"/>
          <w:color w:val="000000"/>
          <w:sz w:val="22"/>
          <w:szCs w:val="26"/>
        </w:rPr>
      </w:pPr>
    </w:p>
    <w:p>
      <w:pPr>
        <w:pStyle w:val="style0"/>
        <w:spacing w:after="0" w:lineRule="auto" w:line="480"/>
        <w:ind w:firstLine="720"/>
        <w:jc w:val="both"/>
        <w:rPr>
          <w:rFonts w:eastAsia="Times New Roman"/>
          <w:color w:val="000000"/>
          <w:sz w:val="22"/>
          <w:szCs w:val="26"/>
        </w:rPr>
      </w:pPr>
    </w:p>
    <w:p>
      <w:pPr>
        <w:pStyle w:val="style0"/>
        <w:spacing w:after="0" w:lineRule="auto" w:line="480"/>
        <w:jc w:val="both"/>
        <w:rPr>
          <w:rFonts w:eastAsia="Times New Roman"/>
          <w:color w:val="000000"/>
          <w:sz w:val="22"/>
          <w:szCs w:val="26"/>
        </w:rPr>
      </w:pPr>
    </w:p>
    <w:p>
      <w:pPr>
        <w:pStyle w:val="style0"/>
        <w:spacing w:after="0" w:lineRule="auto" w:line="480"/>
        <w:jc w:val="center"/>
        <w:rPr>
          <w:b/>
          <w:bCs/>
          <w:color w:val="000000"/>
          <w:sz w:val="24"/>
          <w:szCs w:val="26"/>
        </w:rPr>
      </w:pPr>
      <w:r>
        <w:rPr>
          <w:b/>
          <w:bCs/>
          <w:color w:val="000000"/>
          <w:sz w:val="24"/>
          <w:szCs w:val="26"/>
        </w:rPr>
        <w:t>CHAPTER THREE</w:t>
      </w:r>
    </w:p>
    <w:p>
      <w:pPr>
        <w:pStyle w:val="style0"/>
        <w:spacing w:after="0" w:lineRule="auto" w:line="480"/>
        <w:jc w:val="both"/>
        <w:rPr>
          <w:color w:val="000000"/>
          <w:sz w:val="24"/>
          <w:szCs w:val="26"/>
        </w:rPr>
      </w:pPr>
      <w:r>
        <w:rPr>
          <w:b/>
          <w:bCs/>
          <w:color w:val="000000"/>
          <w:sz w:val="24"/>
          <w:szCs w:val="26"/>
        </w:rPr>
        <w:t xml:space="preserve">3.0 </w:t>
      </w:r>
      <w:r>
        <w:rPr>
          <w:b/>
          <w:bCs/>
          <w:color w:val="000000"/>
          <w:sz w:val="24"/>
          <w:szCs w:val="26"/>
        </w:rPr>
        <w:t xml:space="preserve">                                </w:t>
      </w:r>
      <w:r>
        <w:rPr>
          <w:b/>
          <w:bCs/>
          <w:color w:val="000000"/>
          <w:sz w:val="24"/>
          <w:szCs w:val="26"/>
        </w:rPr>
        <w:t>MATERIALS AND METHODS</w:t>
      </w:r>
      <w:r>
        <w:rPr>
          <w:color w:val="000000"/>
          <w:sz w:val="24"/>
          <w:szCs w:val="26"/>
        </w:rPr>
        <w:t xml:space="preserve"> </w:t>
      </w:r>
    </w:p>
    <w:p>
      <w:pPr>
        <w:pStyle w:val="style0"/>
        <w:spacing w:after="0" w:lineRule="auto" w:line="480"/>
        <w:jc w:val="both"/>
        <w:rPr>
          <w:b/>
          <w:bCs/>
          <w:color w:val="000000"/>
          <w:sz w:val="24"/>
          <w:szCs w:val="26"/>
        </w:rPr>
      </w:pPr>
      <w:r>
        <w:rPr>
          <w:b/>
          <w:color w:val="000000"/>
          <w:sz w:val="24"/>
          <w:szCs w:val="26"/>
        </w:rPr>
        <w:t xml:space="preserve">3.1 </w:t>
      </w:r>
      <w:r>
        <w:rPr>
          <w:b/>
          <w:bCs/>
          <w:color w:val="000000"/>
          <w:sz w:val="24"/>
          <w:szCs w:val="26"/>
        </w:rPr>
        <w:t>Plant Material</w:t>
      </w:r>
      <w:r>
        <w:rPr>
          <w:b/>
          <w:bCs/>
          <w:color w:val="000000"/>
          <w:sz w:val="24"/>
          <w:szCs w:val="26"/>
        </w:rPr>
        <w:t>s</w:t>
      </w:r>
    </w:p>
    <w:p>
      <w:pPr>
        <w:pStyle w:val="style0"/>
        <w:spacing w:after="0" w:lineRule="auto" w:line="480"/>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w:t>
      </w:r>
      <w:r>
        <w:rPr>
          <w:iCs/>
          <w:color w:val="000000"/>
          <w:sz w:val="24"/>
          <w:szCs w:val="26"/>
        </w:rPr>
        <w:t xml:space="preserve"> main</w:t>
      </w:r>
      <w:r>
        <w:rPr>
          <w:iCs/>
          <w:color w:val="000000"/>
          <w:sz w:val="24"/>
          <w:szCs w:val="26"/>
        </w:rPr>
        <w:t xml:space="preserve"> campus around the lecture</w:t>
      </w:r>
      <w:r>
        <w:rPr>
          <w:iCs/>
          <w:color w:val="000000"/>
          <w:sz w:val="24"/>
          <w:szCs w:val="26"/>
        </w:rPr>
        <w:t xml:space="preserve"> rooms</w:t>
      </w:r>
      <w:r>
        <w:rPr>
          <w:iCs/>
          <w:color w:val="000000"/>
          <w:sz w:val="24"/>
          <w:szCs w:val="26"/>
        </w:rPr>
        <w:t xml:space="preserve"> that led to Akuo Village on 12</w:t>
      </w:r>
      <w:r>
        <w:rPr>
          <w:iCs/>
          <w:color w:val="000000"/>
          <w:sz w:val="24"/>
          <w:szCs w:val="26"/>
          <w:vertAlign w:val="superscript"/>
        </w:rPr>
        <w:t>th</w:t>
      </w:r>
      <w:r>
        <w:rPr>
          <w:iCs/>
          <w:color w:val="000000"/>
          <w:sz w:val="24"/>
          <w:szCs w:val="26"/>
        </w:rPr>
        <w:t xml:space="preserve"> of March 2025.</w:t>
      </w:r>
    </w:p>
    <w:p>
      <w:pPr>
        <w:pStyle w:val="style0"/>
        <w:spacing w:after="0" w:lineRule="auto" w:line="480"/>
        <w:jc w:val="both"/>
        <w:rPr>
          <w:b/>
          <w:bCs/>
          <w:color w:val="000000"/>
          <w:sz w:val="24"/>
          <w:szCs w:val="26"/>
        </w:rPr>
      </w:pPr>
      <w:r>
        <w:rPr>
          <w:b/>
          <w:bCs/>
          <w:color w:val="000000"/>
          <w:sz w:val="24"/>
          <w:szCs w:val="26"/>
        </w:rPr>
        <w:t xml:space="preserve">3.1.2 Animal Materials </w:t>
      </w:r>
    </w:p>
    <w:p>
      <w:pPr>
        <w:pStyle w:val="style0"/>
        <w:spacing w:after="0" w:lineRule="auto" w:line="480"/>
        <w:ind w:firstLine="720"/>
        <w:jc w:val="both"/>
        <w:rPr>
          <w:color w:val="000000"/>
          <w:sz w:val="24"/>
          <w:szCs w:val="26"/>
        </w:rPr>
      </w:pPr>
      <w:r>
        <w:rPr>
          <w:color w:val="000000"/>
          <w:sz w:val="24"/>
          <w:szCs w:val="26"/>
        </w:rPr>
        <w:t xml:space="preserve">52 Wistar </w:t>
      </w:r>
      <w:r>
        <w:rPr>
          <w:iCs/>
          <w:color w:val="000000"/>
          <w:sz w:val="24"/>
          <w:szCs w:val="26"/>
        </w:rPr>
        <w:t>Albino rats (</w:t>
      </w:r>
      <w:r>
        <w:rPr>
          <w:i/>
          <w:iCs/>
          <w:color w:val="000000"/>
          <w:sz w:val="24"/>
          <w:szCs w:val="26"/>
        </w:rPr>
        <w:t>Rattus norvegicus</w:t>
      </w:r>
      <w:r>
        <w:rPr>
          <w:iCs/>
          <w:color w:val="000000"/>
          <w:sz w:val="24"/>
          <w:szCs w:val="26"/>
        </w:rPr>
        <w:t xml:space="preserve">) obtained from the Animal Laboratory House, Kwara State Polytechnic, </w:t>
      </w:r>
      <w:r>
        <w:rPr>
          <w:iCs/>
          <w:color w:val="000000"/>
          <w:sz w:val="24"/>
          <w:szCs w:val="26"/>
        </w:rPr>
        <w:t>Ilorin</w:t>
      </w:r>
      <w:r>
        <w:rPr>
          <w:iCs/>
          <w:color w:val="000000"/>
          <w:sz w:val="24"/>
          <w:szCs w:val="26"/>
        </w:rPr>
        <w:t xml:space="preserve"> Kwara State, Nigeria.</w:t>
      </w:r>
      <w:r>
        <w:rPr>
          <w:color w:val="000000"/>
          <w:sz w:val="24"/>
          <w:szCs w:val="26"/>
        </w:rPr>
        <w:t xml:space="preserve"> </w:t>
      </w:r>
    </w:p>
    <w:p>
      <w:pPr>
        <w:pStyle w:val="style0"/>
        <w:spacing w:after="0" w:lineRule="auto" w:line="480"/>
        <w:jc w:val="both"/>
        <w:rPr>
          <w:b/>
          <w:bCs/>
          <w:color w:val="000000"/>
          <w:sz w:val="24"/>
          <w:szCs w:val="26"/>
        </w:rPr>
      </w:pPr>
      <w:r>
        <w:rPr>
          <w:b/>
          <w:bCs/>
          <w:color w:val="000000"/>
          <w:sz w:val="24"/>
          <w:szCs w:val="26"/>
        </w:rPr>
        <w:t>3.1.3 Chemicals and Reagents</w:t>
      </w:r>
      <w:r>
        <w:rPr>
          <w:b/>
          <w:bCs/>
          <w:color w:val="000000"/>
          <w:sz w:val="24"/>
          <w:szCs w:val="26"/>
        </w:rPr>
        <w:t xml:space="preserve">     </w:t>
      </w:r>
    </w:p>
    <w:p>
      <w:pPr>
        <w:pStyle w:val="style0"/>
        <w:spacing w:after="0" w:lineRule="auto" w:line="480"/>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pPr>
        <w:pStyle w:val="style0"/>
        <w:spacing w:after="0" w:lineRule="auto" w:line="480"/>
        <w:jc w:val="both"/>
        <w:rPr>
          <w:color w:val="000000"/>
          <w:sz w:val="24"/>
          <w:szCs w:val="26"/>
        </w:rPr>
      </w:pPr>
      <w:r>
        <w:rPr>
          <w:color w:val="000000"/>
          <w:sz w:val="24"/>
          <w:szCs w:val="26"/>
        </w:rPr>
        <w:t>DMSO</w:t>
      </w:r>
      <w:r>
        <w:rPr>
          <w:color w:val="000000"/>
          <w:sz w:val="24"/>
          <w:szCs w:val="26"/>
        </w:rPr>
        <w:t xml:space="preserve"> </w:t>
      </w:r>
      <w:r>
        <w:rPr>
          <w:color w:val="000000"/>
          <w:sz w:val="24"/>
          <w:szCs w:val="26"/>
        </w:rPr>
        <w:t>(Dimethyl sulfoxide</w:t>
      </w:r>
      <w:r>
        <w:rPr>
          <w:color w:val="000000"/>
          <w:sz w:val="24"/>
          <w:szCs w:val="26"/>
        </w:rPr>
        <w:t>)</w:t>
      </w:r>
      <w:r>
        <w:rPr>
          <w:color w:val="000000"/>
          <w:sz w:val="24"/>
          <w:szCs w:val="26"/>
        </w:rPr>
        <w:t xml:space="preserve"> by Thermo Fisher Scientific</w:t>
      </w:r>
      <w:r>
        <w:rPr>
          <w:color w:val="000000"/>
          <w:sz w:val="24"/>
          <w:szCs w:val="26"/>
        </w:rPr>
        <w:t>,</w:t>
      </w:r>
      <w:r>
        <w:rPr>
          <w:color w:val="000000"/>
          <w:sz w:val="24"/>
          <w:szCs w:val="26"/>
        </w:rPr>
        <w:t xml:space="preserve"> </w:t>
      </w:r>
      <w:r>
        <w:rPr>
          <w:color w:val="000000"/>
          <w:sz w:val="24"/>
          <w:szCs w:val="26"/>
        </w:rPr>
        <w:t xml:space="preserve">Indomethacin by </w:t>
      </w:r>
      <w:r>
        <w:rPr>
          <w:color w:val="000000"/>
          <w:sz w:val="24"/>
          <w:szCs w:val="26"/>
        </w:rPr>
        <w:t xml:space="preserve"> </w:t>
      </w:r>
      <w:r>
        <w:rPr>
          <w:color w:val="000000"/>
          <w:sz w:val="24"/>
          <w:szCs w:val="26"/>
        </w:rPr>
        <w:t xml:space="preserve">Thermo Fisher Scientific, </w:t>
      </w:r>
      <w:r>
        <w:rPr>
          <w:color w:val="000000"/>
          <w:sz w:val="24"/>
          <w:szCs w:val="26"/>
        </w:rPr>
        <w:t xml:space="preserve">Omeprazole  </w:t>
      </w:r>
      <w:r>
        <w:rPr>
          <w:color w:val="000000"/>
          <w:sz w:val="24"/>
          <w:szCs w:val="26"/>
        </w:rPr>
        <w:t xml:space="preserve">by Sigma-Aldrich, </w:t>
      </w:r>
      <w:r>
        <w:rPr>
          <w:rFonts w:eastAsia="Times New Roman"/>
          <w:color w:val="000000"/>
          <w:sz w:val="24"/>
          <w:szCs w:val="26"/>
        </w:rPr>
        <w:t>Acetate buffer (300 mM, pH 3.6)</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TPTZ solution (10 mM in 40 mM HCl)</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FeCl</w:t>
      </w:r>
      <w:r>
        <w:rPr>
          <w:rFonts w:ascii="Cambria Math" w:cs="Cambria Math" w:eastAsia="Times New Roman" w:hAnsi="Cambria Math"/>
          <w:color w:val="000000"/>
          <w:sz w:val="24"/>
          <w:szCs w:val="26"/>
        </w:rPr>
        <w:t>₃</w:t>
      </w:r>
      <w:r>
        <w:rPr>
          <w:rFonts w:eastAsia="Times New Roman"/>
          <w:color w:val="000000"/>
          <w:sz w:val="24"/>
          <w:szCs w:val="26"/>
        </w:rPr>
        <w:t>·6H</w:t>
      </w:r>
      <w:r>
        <w:rPr>
          <w:rFonts w:ascii="Cambria Math" w:cs="Cambria Math" w:eastAsia="Times New Roman" w:hAnsi="Cambria Math"/>
          <w:color w:val="000000"/>
          <w:sz w:val="24"/>
          <w:szCs w:val="26"/>
        </w:rPr>
        <w:t>₂</w:t>
      </w:r>
      <w:r>
        <w:rPr>
          <w:rFonts w:eastAsia="Times New Roman"/>
          <w:color w:val="000000"/>
          <w:sz w:val="24"/>
          <w:szCs w:val="26"/>
        </w:rPr>
        <w:t>O (20 mM)</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FRAP reagent (prepared by mixing acetate buffer, TPTZ, and FeCl</w:t>
      </w:r>
      <w:r>
        <w:rPr>
          <w:rFonts w:ascii="Cambria Math" w:cs="Cambria Math" w:eastAsia="Times New Roman" w:hAnsi="Cambria Math"/>
          <w:color w:val="000000"/>
          <w:sz w:val="24"/>
          <w:szCs w:val="26"/>
        </w:rPr>
        <w:t>₃</w:t>
      </w:r>
      <w:r>
        <w:rPr>
          <w:rFonts w:eastAsia="Times New Roman"/>
          <w:color w:val="000000"/>
          <w:sz w:val="24"/>
          <w:szCs w:val="26"/>
        </w:rPr>
        <w:t xml:space="preserve"> in 10:1:1 ratio)</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ABTS (7 mM)</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Potassium persulfate (2.45 mM)</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Fisher Scientific, </w:t>
      </w:r>
      <w:r>
        <w:rPr>
          <w:rFonts w:eastAsia="Times New Roman"/>
          <w:color w:val="000000"/>
          <w:sz w:val="24"/>
          <w:szCs w:val="26"/>
        </w:rPr>
        <w:t>DPPH solution (0.1 mM in methanol)</w:t>
      </w:r>
      <w:r>
        <w:rPr>
          <w:rFonts w:eastAsia="Times New Roman"/>
          <w:color w:val="000000"/>
          <w:sz w:val="24"/>
          <w:szCs w:val="26"/>
        </w:rPr>
        <w:t xml:space="preserve"> by </w:t>
      </w:r>
      <w:r>
        <w:rPr>
          <w:color w:val="000000"/>
          <w:sz w:val="24"/>
          <w:szCs w:val="26"/>
        </w:rPr>
        <w:t>Ca</w:t>
      </w:r>
      <w:r>
        <w:rPr>
          <w:color w:val="000000"/>
          <w:sz w:val="24"/>
          <w:szCs w:val="26"/>
        </w:rPr>
        <w:t xml:space="preserve">yman Chemical, </w:t>
      </w:r>
      <w:r>
        <w:rPr>
          <w:rFonts w:eastAsia="Times New Roman"/>
          <w:color w:val="000000"/>
          <w:sz w:val="24"/>
          <w:szCs w:val="26"/>
        </w:rPr>
        <w:t>2% Aluminum chloride in methanol</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Cayman </w:t>
      </w:r>
      <w:r>
        <w:rPr>
          <w:color w:val="000000"/>
          <w:sz w:val="24"/>
          <w:szCs w:val="26"/>
        </w:rPr>
        <w:t xml:space="preserve">Chemical, </w:t>
      </w:r>
      <w:r>
        <w:rPr>
          <w:rFonts w:eastAsia="Times New Roman"/>
          <w:color w:val="000000"/>
          <w:sz w:val="24"/>
          <w:szCs w:val="26"/>
        </w:rPr>
        <w:t>Potassium acetate (optional)</w:t>
      </w:r>
      <w:r>
        <w:rPr>
          <w:rFonts w:eastAsia="Times New Roman"/>
          <w:color w:val="000000"/>
          <w:sz w:val="24"/>
          <w:szCs w:val="26"/>
        </w:rPr>
        <w:t xml:space="preserve"> by </w:t>
      </w:r>
      <w:r>
        <w:rPr>
          <w:color w:val="000000"/>
          <w:sz w:val="24"/>
          <w:szCs w:val="26"/>
        </w:rPr>
        <w:t xml:space="preserve">Fisher Scientific, </w:t>
      </w:r>
      <w:r>
        <w:rPr>
          <w:rFonts w:eastAsia="Times New Roman"/>
          <w:color w:val="000000"/>
          <w:sz w:val="24"/>
          <w:szCs w:val="26"/>
        </w:rPr>
        <w:t>Folin–Ciocalteu reagent (diluted 1:10)</w:t>
      </w:r>
      <w:r>
        <w:rPr>
          <w:rFonts w:eastAsia="Times New Roman"/>
          <w:color w:val="000000"/>
          <w:sz w:val="24"/>
          <w:szCs w:val="26"/>
        </w:rPr>
        <w:t xml:space="preserve"> by </w:t>
      </w:r>
      <w:r>
        <w:rPr>
          <w:color w:val="000000"/>
          <w:sz w:val="24"/>
          <w:szCs w:val="26"/>
        </w:rPr>
        <w:t xml:space="preserve">Thermo Fisher, </w:t>
      </w:r>
      <w:r>
        <w:rPr>
          <w:rFonts w:eastAsia="Times New Roman"/>
          <w:color w:val="000000"/>
          <w:sz w:val="24"/>
          <w:szCs w:val="26"/>
        </w:rPr>
        <w:t>Sodium carbonate (7.5%)</w:t>
      </w:r>
      <w:r>
        <w:rPr>
          <w:rFonts w:eastAsia="Times New Roman"/>
          <w:color w:val="000000"/>
          <w:sz w:val="24"/>
          <w:szCs w:val="26"/>
        </w:rPr>
        <w:t xml:space="preserve"> </w:t>
      </w:r>
      <w:r>
        <w:rPr>
          <w:rFonts w:eastAsia="Times New Roman"/>
          <w:color w:val="000000"/>
          <w:sz w:val="24"/>
          <w:szCs w:val="26"/>
        </w:rPr>
        <w:t>by</w:t>
      </w:r>
      <w:r>
        <w:rPr>
          <w:rFonts w:eastAsia="Times New Roman"/>
          <w:color w:val="000000"/>
          <w:sz w:val="24"/>
          <w:szCs w:val="26"/>
        </w:rPr>
        <w:t xml:space="preserve"> </w:t>
      </w:r>
      <w:r>
        <w:rPr>
          <w:color w:val="000000"/>
          <w:sz w:val="24"/>
          <w:szCs w:val="26"/>
        </w:rPr>
        <w:t>Thermo Fisher.</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 </w:t>
      </w:r>
      <w:r>
        <w:rPr>
          <w:b/>
          <w:bCs/>
          <w:color w:val="000000"/>
          <w:sz w:val="24"/>
          <w:szCs w:val="26"/>
        </w:rPr>
        <w:t xml:space="preserve">Methods </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.1 Preparation of Plant Extract </w:t>
      </w:r>
    </w:p>
    <w:p>
      <w:pPr>
        <w:pStyle w:val="style0"/>
        <w:spacing w:after="0" w:lineRule="auto" w:line="480"/>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t>
      </w:r>
      <w:r>
        <w:rPr>
          <w:color w:val="000000"/>
          <w:sz w:val="24"/>
          <w:szCs w:val="26"/>
        </w:rPr>
        <w:t>washed,</w:t>
      </w:r>
      <w:r>
        <w:rPr>
          <w:color w:val="000000"/>
          <w:sz w:val="24"/>
          <w:szCs w:val="26"/>
        </w:rPr>
        <w:t xml:space="preserve"> the plant sample was dried at room low temperature for a week to avoid damage of active compounds present in </w:t>
      </w:r>
      <w:r>
        <w:rPr>
          <w:i/>
          <w:color w:val="000000"/>
          <w:sz w:val="24"/>
          <w:szCs w:val="26"/>
        </w:rPr>
        <w:t xml:space="preserve">Sida Acuta. </w:t>
      </w:r>
      <w:r>
        <w:rPr>
          <w:color w:val="000000"/>
          <w:sz w:val="24"/>
          <w:szCs w:val="26"/>
        </w:rPr>
        <w:t>500g of</w:t>
      </w:r>
      <w:r>
        <w:rPr>
          <w:color w:val="000000"/>
          <w:sz w:val="24"/>
          <w:szCs w:val="26"/>
        </w:rPr>
        <w:t xml:space="preserve"> dried </w:t>
      </w:r>
      <w:r>
        <w:rPr>
          <w:i/>
          <w:color w:val="000000"/>
          <w:sz w:val="24"/>
          <w:szCs w:val="26"/>
        </w:rPr>
        <w:t>Sida Acuta</w:t>
      </w:r>
      <w:r>
        <w:rPr>
          <w:color w:val="000000"/>
          <w:sz w:val="24"/>
          <w:szCs w:val="26"/>
        </w:rPr>
        <w:t xml:space="preserve"> </w:t>
      </w:r>
      <w:r>
        <w:rPr>
          <w:color w:val="000000"/>
          <w:sz w:val="24"/>
          <w:szCs w:val="26"/>
        </w:rPr>
        <w:t xml:space="preserve">are blended into a fine powder using blender. The powdered </w:t>
      </w:r>
      <w:r>
        <w:rPr>
          <w:i/>
          <w:color w:val="000000"/>
          <w:sz w:val="24"/>
          <w:szCs w:val="26"/>
        </w:rPr>
        <w:t>Sida Acuta</w:t>
      </w:r>
      <w:r>
        <w:rPr>
          <w:color w:val="000000"/>
          <w:sz w:val="24"/>
          <w:szCs w:val="26"/>
        </w:rPr>
        <w:t xml:space="preserve"> was weighed into a suitable bowl and dissolved with </w:t>
      </w:r>
      <w:r>
        <w:rPr>
          <w:color w:val="000000"/>
          <w:sz w:val="24"/>
          <w:szCs w:val="26"/>
        </w:rPr>
        <w:t xml:space="preserve">2.5mL of ethanol and the powdered </w:t>
      </w:r>
      <w:r>
        <w:rPr>
          <w:i/>
          <w:color w:val="000000"/>
          <w:sz w:val="24"/>
          <w:szCs w:val="26"/>
        </w:rPr>
        <w:t>Sida Acuta</w:t>
      </w:r>
      <w:r>
        <w:rPr>
          <w:color w:val="000000"/>
          <w:sz w:val="24"/>
          <w:szCs w:val="26"/>
        </w:rPr>
        <w:t xml:space="preserve"> was completely submerged in the ethanol. The mixture was macerate for a</w:t>
      </w:r>
      <w:r>
        <w:rPr>
          <w:color w:val="000000"/>
          <w:sz w:val="24"/>
          <w:szCs w:val="26"/>
        </w:rPr>
        <w:t xml:space="preserve"> specific duration of 72 hours and </w:t>
      </w:r>
      <w:r>
        <w:rPr>
          <w:color w:val="000000"/>
          <w:sz w:val="24"/>
          <w:szCs w:val="26"/>
        </w:rPr>
        <w:t>the mixture was filtered using Whatman filter paper to remove the plant material.</w:t>
      </w:r>
    </w:p>
    <w:p>
      <w:pPr>
        <w:pStyle w:val="style0"/>
        <w:spacing w:after="0" w:lineRule="auto" w:line="480"/>
        <w:jc w:val="both"/>
        <w:rPr>
          <w:color w:val="000000"/>
          <w:sz w:val="24"/>
          <w:szCs w:val="26"/>
        </w:rPr>
      </w:pPr>
      <w:r>
        <w:rPr>
          <w:color w:val="000000"/>
          <w:sz w:val="24"/>
          <w:szCs w:val="26"/>
        </w:rPr>
        <w:t xml:space="preserve">500g of blended stubborn grass was weighed into a bowl and dissolved with 2.5mL of ethanol. The mixture was left for 72 hours, </w:t>
      </w:r>
      <w:r>
        <w:rPr>
          <w:color w:val="000000"/>
          <w:sz w:val="24"/>
          <w:szCs w:val="26"/>
        </w:rPr>
        <w:t>then</w:t>
      </w:r>
      <w:r>
        <w:rPr>
          <w:color w:val="000000"/>
          <w:sz w:val="24"/>
          <w:szCs w:val="26"/>
        </w:rPr>
        <w:t xml:space="preserve"> the solution was filtered and left for concentration</w:t>
      </w:r>
    </w:p>
    <w:p>
      <w:pPr>
        <w:pStyle w:val="style0"/>
        <w:spacing w:after="0" w:lineRule="auto" w:line="480"/>
        <w:jc w:val="both"/>
        <w:rPr>
          <w:b/>
          <w:bCs/>
          <w:color w:val="000000"/>
          <w:sz w:val="24"/>
          <w:szCs w:val="26"/>
        </w:rPr>
      </w:pPr>
      <w:r>
        <w:rPr>
          <w:b/>
          <w:bCs/>
          <w:color w:val="000000"/>
          <w:sz w:val="24"/>
          <w:szCs w:val="26"/>
        </w:rPr>
        <w:t xml:space="preserve">3.2.2 Determination of the weight of the Albino </w:t>
      </w:r>
      <w:r>
        <w:rPr>
          <w:b/>
          <w:bCs/>
          <w:color w:val="000000"/>
          <w:sz w:val="24"/>
          <w:szCs w:val="26"/>
        </w:rPr>
        <w:t xml:space="preserve">Rats </w:t>
      </w:r>
      <w:r>
        <w:rPr>
          <w:color w:val="000000"/>
          <w:sz w:val="24"/>
          <w:szCs w:val="26"/>
        </w:rPr>
        <w:t>.</w:t>
      </w:r>
      <w:r>
        <w:rPr>
          <w:color w:val="000000"/>
          <w:sz w:val="24"/>
          <w:szCs w:val="26"/>
        </w:rPr>
        <w:t xml:space="preserve"> </w:t>
      </w:r>
    </w:p>
    <w:p>
      <w:pPr>
        <w:pStyle w:val="style94"/>
        <w:spacing w:lineRule="auto" w:line="480"/>
        <w:ind w:firstLine="720"/>
        <w:jc w:val="both"/>
        <w:rPr/>
      </w:pPr>
      <w:r>
        <w:t xml:space="preserve">We divided fifty-two Wistar albino rats into seven groups to investigate the effects of </w:t>
      </w:r>
      <w:r>
        <w:rPr>
          <w:rStyle w:val="style88"/>
        </w:rPr>
        <w:t>Sida Acuta</w:t>
      </w:r>
      <w:r>
        <w:t xml:space="preserve"> on indomethacin-induced ulcerogenic rats. The groups consisted of a normal control group that received no treatment, an indomethacin only group serving as the ulcer control, and five treatment groups administered indomethacin followed by </w:t>
      </w:r>
      <w:r>
        <w:rPr>
          <w:rStyle w:val="style88"/>
        </w:rPr>
        <w:t>Sida Acuta</w:t>
      </w:r>
      <w:r>
        <w:t xml:space="preserve"> extract at doses ranging from 100 to 800 milligrams per kilogram of body weight.</w:t>
      </w:r>
    </w:p>
    <w:p>
      <w:pPr>
        <w:pStyle w:val="style94"/>
        <w:spacing w:lineRule="auto" w:line="480"/>
        <w:ind w:firstLine="720"/>
        <w:jc w:val="both"/>
        <w:rPr/>
      </w:pPr>
      <w:r>
        <w:t xml:space="preserve">We ensured the groups had similar average weights at the start of the experiment to eliminate initial weight disparities as a confounding factor. </w:t>
      </w:r>
      <w:r>
        <w:t>we</w:t>
      </w:r>
      <w:r>
        <w:t xml:space="preserve"> recorded each rat’s weight weekly throughout the study to monitor changes over time and we</w:t>
      </w:r>
      <w:r>
        <w:t xml:space="preserve"> </w:t>
      </w:r>
      <w:r>
        <w:t>compared the weights of the different groups over time to analyze differences in</w:t>
      </w:r>
      <w:r>
        <w:t xml:space="preserve"> weight changes between groups. We</w:t>
      </w:r>
      <w:r>
        <w:t xml:space="preserve"> recorded the results and documented the average weight for each group at various time points to assess the impact of the treatments.</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.3</w:t>
      </w:r>
      <w:r>
        <w:rPr>
          <w:b/>
          <w:bCs/>
          <w:color w:val="000000"/>
          <w:sz w:val="24"/>
          <w:szCs w:val="26"/>
        </w:rPr>
        <w:t xml:space="preserve"> </w:t>
      </w:r>
      <w:r>
        <w:rPr>
          <w:b/>
          <w:bCs/>
          <w:color w:val="000000"/>
          <w:sz w:val="24"/>
          <w:szCs w:val="26"/>
        </w:rPr>
        <w:t xml:space="preserve">Determination of Phytochemicals </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.1 Determination of Sa</w:t>
      </w:r>
      <w:r>
        <w:rPr>
          <w:b/>
          <w:bCs/>
          <w:color w:val="000000"/>
          <w:sz w:val="24"/>
          <w:szCs w:val="26"/>
        </w:rPr>
        <w:t>ponins</w:t>
      </w:r>
      <w:r>
        <w:rPr>
          <w:b/>
          <w:bCs/>
          <w:color w:val="000000"/>
          <w:sz w:val="24"/>
          <w:szCs w:val="26"/>
        </w:rPr>
        <w:t xml:space="preserve"> </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 xml:space="preserve">Gravimetric Method </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 xml:space="preserve">One gram (1g) of dry extract was weighed and </w:t>
      </w:r>
      <w:r>
        <w:rPr>
          <w:rFonts w:eastAsia="Times New Roman"/>
          <w:color w:val="000000"/>
          <w:sz w:val="24"/>
          <w:szCs w:val="26"/>
        </w:rPr>
        <w:t>boil</w:t>
      </w:r>
      <w:r>
        <w:rPr>
          <w:rFonts w:eastAsia="Times New Roman"/>
          <w:color w:val="000000"/>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.2 Determination of Tannins </w:t>
      </w:r>
    </w:p>
    <w:p>
      <w:pPr>
        <w:pStyle w:val="style0"/>
        <w:spacing w:after="0" w:lineRule="auto" w:line="480"/>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Pr>
          <w:bCs/>
          <w:color w:val="000000"/>
          <w:sz w:val="24"/>
          <w:szCs w:val="26"/>
        </w:rPr>
        <w:t>s method is Folin-Denis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.3 Determination of Flavonoids</w:t>
      </w:r>
    </w:p>
    <w:p>
      <w:pPr>
        <w:pStyle w:val="style0"/>
        <w:spacing w:after="0" w:lineRule="auto" w:line="480"/>
        <w:ind w:firstLine="720"/>
        <w:jc w:val="both"/>
        <w:rPr>
          <w:color w:val="000000"/>
          <w:sz w:val="24"/>
          <w:szCs w:val="26"/>
        </w:rPr>
      </w:pPr>
      <w:r>
        <w:rPr>
          <w:color w:val="000000"/>
          <w:sz w:val="24"/>
          <w:szCs w:val="26"/>
        </w:rPr>
        <w:t>The procedure stated that 1 mL of extract should be mixed with 1 mL of 2% AlCl</w:t>
      </w:r>
      <w:r>
        <w:rPr>
          <w:rFonts w:ascii="Cambria Math" w:cs="Cambria Math" w:hAnsi="Cambria Math"/>
          <w:color w:val="000000"/>
          <w:sz w:val="24"/>
          <w:szCs w:val="26"/>
        </w:rPr>
        <w:t>₃</w:t>
      </w:r>
      <w:r>
        <w:rPr>
          <w:color w:val="000000"/>
          <w:sz w:val="24"/>
          <w:szCs w:val="26"/>
        </w:rPr>
        <w:t xml:space="preserve"> in methanol, followed by incubation for 10 minutes at room temperature. Absorbance was then to be measured at 415 nm, using a quercetin standard curve for quantification. It was noted that this method is based</w:t>
      </w:r>
      <w:r>
        <w:rPr>
          <w:color w:val="000000"/>
          <w:sz w:val="24"/>
          <w:szCs w:val="26"/>
        </w:rPr>
        <w:t xml:space="preserve"> on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.4 Determination of Phenols</w:t>
      </w:r>
    </w:p>
    <w:p>
      <w:pPr>
        <w:pStyle w:val="style0"/>
        <w:spacing w:after="160" w:lineRule="auto" w:line="480"/>
        <w:ind w:firstLine="720"/>
        <w:jc w:val="both"/>
        <w:rPr>
          <w:color w:val="000000"/>
          <w:sz w:val="24"/>
        </w:rPr>
      </w:pPr>
      <w:r>
        <w:rPr>
          <w:color w:val="000000"/>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.5 Determination of Glucosides </w:t>
      </w:r>
    </w:p>
    <w:p>
      <w:pPr>
        <w:pStyle w:val="style0"/>
        <w:spacing w:after="0" w:lineRule="auto" w:line="480"/>
        <w:ind w:firstLine="720"/>
        <w:jc w:val="both"/>
        <w:rPr>
          <w:color w:val="000000"/>
          <w:sz w:val="24"/>
          <w:szCs w:val="26"/>
        </w:rPr>
      </w:pPr>
      <w:r>
        <w:rPr>
          <w:color w:val="000000"/>
          <w:sz w:val="24"/>
          <w:szCs w:val="26"/>
        </w:rPr>
        <w:t>The procedure stated that 2 mL of glacial acetic acid containing a drop of FeCl</w:t>
      </w:r>
      <w:r>
        <w:rPr>
          <w:rFonts w:ascii="Cambria Math" w:cs="Cambria Math" w:hAnsi="Cambria Math"/>
          <w:color w:val="000000"/>
          <w:sz w:val="24"/>
          <w:szCs w:val="26"/>
        </w:rPr>
        <w:t>₃</w:t>
      </w:r>
      <w:r>
        <w:rPr>
          <w:color w:val="000000"/>
          <w:sz w:val="24"/>
          <w:szCs w:val="26"/>
        </w:rPr>
        <w:t xml:space="preserve"> was to be added to 1 mL of the extract. Then, 1 mL of concentrated H</w:t>
      </w:r>
      <w:r>
        <w:rPr>
          <w:rFonts w:ascii="Cambria Math" w:cs="Cambria Math" w:hAnsi="Cambria Math"/>
          <w:color w:val="000000"/>
          <w:sz w:val="24"/>
          <w:szCs w:val="26"/>
        </w:rPr>
        <w:t>₂</w:t>
      </w:r>
      <w:r>
        <w:rPr>
          <w:color w:val="000000"/>
          <w:sz w:val="24"/>
          <w:szCs w:val="26"/>
        </w:rPr>
        <w:t>SO</w:t>
      </w:r>
      <w:r>
        <w:rPr>
          <w:rFonts w:ascii="Cambria Math" w:cs="Cambria Math" w:hAnsi="Cambria Math"/>
          <w:color w:val="000000"/>
          <w:sz w:val="24"/>
          <w:szCs w:val="26"/>
        </w:rPr>
        <w:t>₄</w:t>
      </w:r>
      <w:r>
        <w:rPr>
          <w:color w:val="000000"/>
          <w:sz w:val="24"/>
          <w:szCs w:val="26"/>
        </w:rPr>
        <w:t xml:space="preserve"> was to be carefully added down the side of the test tube. It was noted that the formation of a brown ring at the interface indicated the presence of deoxysugars in cardiac glycosides.</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 Proximate analysis </w:t>
      </w:r>
    </w:p>
    <w:p>
      <w:pPr>
        <w:pStyle w:val="style0"/>
        <w:spacing w:after="0" w:lineRule="auto" w:line="480"/>
        <w:jc w:val="both"/>
        <w:rPr>
          <w:color w:val="000000"/>
          <w:sz w:val="24"/>
          <w:szCs w:val="26"/>
        </w:rPr>
      </w:pPr>
      <w:r>
        <w:rPr>
          <w:color w:val="000000"/>
          <w:sz w:val="24"/>
          <w:szCs w:val="26"/>
        </w:rPr>
        <w:t>3</w:t>
      </w:r>
      <w:r>
        <w:rPr>
          <w:b/>
          <w:bCs/>
          <w:color w:val="000000"/>
          <w:sz w:val="24"/>
          <w:szCs w:val="26"/>
        </w:rPr>
        <w:t>.2.4</w:t>
      </w:r>
      <w:r>
        <w:rPr>
          <w:b/>
          <w:bCs/>
          <w:color w:val="000000"/>
          <w:sz w:val="24"/>
          <w:szCs w:val="26"/>
        </w:rPr>
        <w:t>.1 Determination of Moisture C</w:t>
      </w:r>
      <w:r>
        <w:rPr>
          <w:b/>
          <w:bCs/>
          <w:color w:val="000000"/>
          <w:sz w:val="24"/>
          <w:szCs w:val="26"/>
        </w:rPr>
        <w:t>ontent</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Moisture is determined by the loss in weight that occurs when a sample is dried to a constant weight in an oven.</w:t>
      </w:r>
    </w:p>
    <w:p>
      <w:pPr>
        <w:pStyle w:val="style0"/>
        <w:spacing w:after="0" w:lineRule="auto" w:line="480"/>
        <w:jc w:val="both"/>
        <w:rPr>
          <w:color w:val="000000"/>
          <w:sz w:val="24"/>
          <w:szCs w:val="26"/>
        </w:rPr>
      </w:pPr>
      <w:r>
        <w:rPr>
          <w:color w:val="000000"/>
          <w:sz w:val="24"/>
          <w:szCs w:val="26"/>
        </w:rPr>
        <w:t xml:space="preserve">About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pPr>
        <w:pStyle w:val="style0"/>
        <w:spacing w:after="0" w:lineRule="auto" w:line="480"/>
        <w:jc w:val="both"/>
        <w:rPr>
          <w:rFonts w:eastAsia="宋体"/>
          <w:color w:val="000000"/>
          <w:sz w:val="24"/>
          <w:szCs w:val="26"/>
          <w:lang w:val="fr-FR"/>
        </w:rPr>
      </w:pPr>
      <w:r>
        <w:rPr>
          <w:rFonts w:eastAsia="宋体"/>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pPr>
        <w:pStyle w:val="style0"/>
        <w:spacing w:after="0" w:lineRule="auto" w:line="480"/>
        <w:jc w:val="both"/>
        <w:rPr>
          <w:color w:val="000000"/>
          <w:sz w:val="24"/>
          <w:szCs w:val="26"/>
        </w:rPr>
      </w:pPr>
      <w:r>
        <w:rPr>
          <w:color w:val="000000"/>
          <w:sz w:val="24"/>
          <w:szCs w:val="26"/>
        </w:rPr>
        <w:t>Since the water content of feed varied widely, ingredients and feed are usually compared for their nutrient content on moisture free or dry matter (DM)</w:t>
      </w:r>
    </w:p>
    <w:p>
      <w:pPr>
        <w:pStyle w:val="style0"/>
        <w:spacing w:after="0" w:lineRule="auto" w:line="480"/>
        <w:jc w:val="both"/>
        <w:rPr>
          <w:color w:val="000000"/>
          <w:sz w:val="24"/>
          <w:szCs w:val="26"/>
        </w:rPr>
      </w:pPr>
      <w:r>
        <w:rPr>
          <w:color w:val="000000"/>
          <w:sz w:val="24"/>
          <w:szCs w:val="26"/>
        </w:rPr>
        <w:t>basis</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%DM=100 - %Moisture.</w:t>
      </w:r>
    </w:p>
    <w:p>
      <w:pPr>
        <w:pStyle w:val="style0"/>
        <w:spacing w:after="0" w:lineRule="auto" w:line="480"/>
        <w:jc w:val="both"/>
        <w:rPr>
          <w:color w:val="000000"/>
          <w:sz w:val="24"/>
          <w:szCs w:val="26"/>
        </w:rPr>
      </w:pPr>
      <w:r>
        <w:rPr>
          <w:b/>
          <w:bCs/>
          <w:color w:val="000000"/>
          <w:sz w:val="24"/>
          <w:szCs w:val="26"/>
        </w:rPr>
        <w:t>3.2.4</w:t>
      </w:r>
      <w:r>
        <w:rPr>
          <w:b/>
          <w:bCs/>
          <w:color w:val="000000"/>
          <w:sz w:val="24"/>
          <w:szCs w:val="26"/>
        </w:rPr>
        <w:t xml:space="preserve">.2 Determination of crude protein </w:t>
      </w:r>
    </w:p>
    <w:p>
      <w:pPr>
        <w:pStyle w:val="style0"/>
        <w:spacing w:after="0" w:lineRule="auto" w:line="480"/>
        <w:jc w:val="both"/>
        <w:rPr>
          <w:color w:val="000000"/>
          <w:sz w:val="24"/>
          <w:szCs w:val="26"/>
        </w:rPr>
      </w:pPr>
      <w:r>
        <w:rPr>
          <w:color w:val="000000"/>
          <w:sz w:val="24"/>
          <w:szCs w:val="26"/>
        </w:rPr>
        <w:t>Crude protein was</w:t>
      </w:r>
      <w:r>
        <w:rPr>
          <w:color w:val="000000"/>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pPr>
        <w:pStyle w:val="style0"/>
        <w:spacing w:after="0" w:lineRule="auto" w:line="480"/>
        <w:jc w:val="both"/>
        <w:rPr>
          <w:color w:val="000000"/>
          <w:sz w:val="24"/>
          <w:szCs w:val="26"/>
        </w:rPr>
      </w:pPr>
      <w:r>
        <w:rPr>
          <w:b/>
          <w:bCs/>
          <w:color w:val="000000"/>
          <w:sz w:val="24"/>
          <w:szCs w:val="26"/>
        </w:rPr>
        <w:t>Digestion:</w:t>
      </w:r>
      <w:r>
        <w:rPr>
          <w:color w:val="000000"/>
          <w:sz w:val="24"/>
          <w:szCs w:val="26"/>
        </w:rPr>
        <w:t xml:space="preserve"> About 2</w:t>
      </w:r>
      <w:r>
        <w:rPr>
          <w:color w:val="000000"/>
          <w:sz w:val="24"/>
          <w:szCs w:val="26"/>
        </w:rPr>
        <w:t xml:space="preserve"> </w:t>
      </w:r>
      <w:r>
        <w:rPr>
          <w:color w:val="000000"/>
          <w:sz w:val="24"/>
          <w:szCs w:val="26"/>
        </w:rPr>
        <w:t>g of the sample was weighed into kjeldahl flask and 25</w:t>
      </w:r>
      <w:r>
        <w:rPr>
          <w:color w:val="000000"/>
          <w:sz w:val="24"/>
          <w:szCs w:val="26"/>
        </w:rPr>
        <w:t xml:space="preserve"> </w:t>
      </w:r>
      <w:r>
        <w:rPr>
          <w:color w:val="000000"/>
          <w:sz w:val="24"/>
          <w:szCs w:val="26"/>
        </w:rPr>
        <w:t>ml of concentrated sulphuric acid, 0.5g of copper sulphate 5</w:t>
      </w:r>
      <w:r>
        <w:rPr>
          <w:color w:val="000000"/>
          <w:sz w:val="24"/>
          <w:szCs w:val="26"/>
        </w:rPr>
        <w:t xml:space="preserve"> </w:t>
      </w:r>
      <w:r>
        <w:rPr>
          <w:color w:val="000000"/>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Pr>
          <w:color w:val="000000"/>
          <w:sz w:val="24"/>
          <w:szCs w:val="26"/>
        </w:rPr>
        <w:t xml:space="preserve"> </w:t>
      </w:r>
      <w:r>
        <w:rPr>
          <w:color w:val="000000"/>
          <w:sz w:val="24"/>
          <w:szCs w:val="26"/>
        </w:rPr>
        <w:t>ml of distilled water was rapidly added. The digestion flask was rinsed 2-3</w:t>
      </w:r>
    </w:p>
    <w:p>
      <w:pPr>
        <w:pStyle w:val="style0"/>
        <w:spacing w:after="0" w:lineRule="auto" w:line="480"/>
        <w:jc w:val="both"/>
        <w:rPr>
          <w:color w:val="000000"/>
          <w:sz w:val="24"/>
          <w:szCs w:val="26"/>
        </w:rPr>
      </w:pPr>
      <w:r>
        <w:rPr>
          <w:color w:val="000000"/>
          <w:sz w:val="24"/>
          <w:szCs w:val="26"/>
        </w:rPr>
        <w:t>times</w:t>
      </w:r>
      <w:r>
        <w:rPr>
          <w:color w:val="000000"/>
          <w:sz w:val="24"/>
          <w:szCs w:val="26"/>
        </w:rPr>
        <w:t xml:space="preserve"> and the rinsing was added to the bulk. </w:t>
      </w:r>
    </w:p>
    <w:p>
      <w:pPr>
        <w:pStyle w:val="style0"/>
        <w:spacing w:after="0" w:lineRule="auto" w:line="480"/>
        <w:jc w:val="both"/>
        <w:rPr>
          <w:color w:val="000000"/>
          <w:sz w:val="24"/>
          <w:szCs w:val="26"/>
        </w:rPr>
      </w:pPr>
      <w:r>
        <w:rPr>
          <w:b/>
          <w:bCs/>
          <w:color w:val="000000"/>
          <w:sz w:val="24"/>
          <w:szCs w:val="26"/>
        </w:rPr>
        <w:t>Distillation:</w:t>
      </w:r>
      <w:r>
        <w:rPr>
          <w:color w:val="000000"/>
          <w:sz w:val="24"/>
          <w:szCs w:val="26"/>
        </w:rPr>
        <w:t xml:space="preserve"> "Markham distillation apparathus was used for distillation. The distillation apparatus was steamed up and about 10</w:t>
      </w:r>
      <w:r>
        <w:rPr>
          <w:color w:val="000000"/>
          <w:sz w:val="24"/>
          <w:szCs w:val="26"/>
        </w:rPr>
        <w:t xml:space="preserve"> </w:t>
      </w:r>
      <w:r>
        <w:rPr>
          <w:color w:val="000000"/>
          <w:sz w:val="24"/>
          <w:szCs w:val="26"/>
        </w:rPr>
        <w:t>ml of the digest was added</w:t>
      </w:r>
    </w:p>
    <w:p>
      <w:pPr>
        <w:pStyle w:val="style0"/>
        <w:spacing w:after="0" w:lineRule="auto" w:line="480"/>
        <w:jc w:val="both"/>
        <w:rPr>
          <w:color w:val="000000"/>
          <w:sz w:val="24"/>
          <w:szCs w:val="26"/>
        </w:rPr>
      </w:pPr>
      <w:r>
        <w:rPr>
          <w:color w:val="000000"/>
          <w:sz w:val="24"/>
          <w:szCs w:val="26"/>
        </w:rPr>
        <w:t>into</w:t>
      </w:r>
      <w:r>
        <w:rPr>
          <w:color w:val="000000"/>
          <w:sz w:val="24"/>
          <w:szCs w:val="26"/>
        </w:rPr>
        <w:t>, the apparatus via a f</w:t>
      </w:r>
      <w:r>
        <w:rPr>
          <w:color w:val="000000"/>
          <w:sz w:val="24"/>
          <w:szCs w:val="26"/>
        </w:rPr>
        <w:t>unnel and allowed to boil. 10</w:t>
      </w:r>
      <w:r>
        <w:rPr>
          <w:color w:val="000000"/>
          <w:sz w:val="24"/>
          <w:szCs w:val="26"/>
        </w:rPr>
        <w:t xml:space="preserve"> </w:t>
      </w:r>
      <w:r>
        <w:rPr>
          <w:color w:val="000000"/>
          <w:sz w:val="24"/>
          <w:szCs w:val="26"/>
        </w:rPr>
        <w:t>ml</w:t>
      </w:r>
      <w:r>
        <w:rPr>
          <w:color w:val="000000"/>
          <w:sz w:val="24"/>
          <w:szCs w:val="26"/>
        </w:rPr>
        <w:t xml:space="preserve"> of sodium hydroxide was added from the measuring cylinder so that ammonia was not lost. It</w:t>
      </w:r>
    </w:p>
    <w:p>
      <w:pPr>
        <w:pStyle w:val="style0"/>
        <w:spacing w:after="0" w:lineRule="auto" w:line="480"/>
        <w:jc w:val="both"/>
        <w:rPr>
          <w:color w:val="000000"/>
          <w:sz w:val="24"/>
          <w:szCs w:val="26"/>
        </w:rPr>
      </w:pPr>
      <w:r>
        <w:rPr>
          <w:color w:val="000000"/>
          <w:sz w:val="24"/>
          <w:szCs w:val="26"/>
        </w:rPr>
        <w:t>was</w:t>
      </w:r>
      <w:r>
        <w:rPr>
          <w:color w:val="000000"/>
          <w:sz w:val="24"/>
          <w:szCs w:val="26"/>
        </w:rPr>
        <w:t xml:space="preserve"> distilled into 50</w:t>
      </w:r>
      <w:r>
        <w:rPr>
          <w:color w:val="000000"/>
          <w:sz w:val="24"/>
          <w:szCs w:val="26"/>
        </w:rPr>
        <w:t xml:space="preserve"> </w:t>
      </w:r>
      <w:r>
        <w:rPr>
          <w:color w:val="000000"/>
          <w:sz w:val="24"/>
          <w:szCs w:val="26"/>
        </w:rPr>
        <w:t>ml of 2% boric acid containing screened methyl red indicator.</w:t>
      </w:r>
    </w:p>
    <w:p>
      <w:pPr>
        <w:pStyle w:val="style0"/>
        <w:spacing w:after="0" w:lineRule="auto" w:line="480"/>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The titre value which was the volume of acid used was recorded. The</w:t>
      </w:r>
    </w:p>
    <w:p>
      <w:pPr>
        <w:pStyle w:val="style0"/>
        <w:spacing w:after="0" w:lineRule="auto" w:line="480"/>
        <w:jc w:val="both"/>
        <w:rPr>
          <w:color w:val="000000"/>
          <w:sz w:val="24"/>
          <w:szCs w:val="26"/>
        </w:rPr>
      </w:pPr>
      <w:r>
        <w:rPr>
          <w:color w:val="000000"/>
          <w:sz w:val="24"/>
          <w:szCs w:val="26"/>
        </w:rPr>
        <w:t>volume</w:t>
      </w:r>
      <w:r>
        <w:rPr>
          <w:color w:val="000000"/>
          <w:sz w:val="24"/>
          <w:szCs w:val="26"/>
        </w:rPr>
        <w:t xml:space="preserve"> of acid used was fitted into the formula which became: </w:t>
      </w:r>
    </w:p>
    <w:p>
      <w:pPr>
        <w:pStyle w:val="style0"/>
        <w:spacing w:after="0" w:lineRule="auto" w:line="480"/>
        <w:jc w:val="both"/>
        <w:rPr>
          <w:rFonts w:eastAsia="宋体"/>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pPr>
        <w:pStyle w:val="style0"/>
        <w:spacing w:after="0" w:lineRule="auto" w:line="480"/>
        <w:jc w:val="both"/>
        <w:rPr>
          <w:color w:val="000000"/>
          <w:sz w:val="24"/>
          <w:szCs w:val="26"/>
          <w:lang w:val="fr-FR"/>
        </w:rPr>
      </w:pPr>
      <w:r>
        <w:rPr>
          <w:color w:val="000000"/>
          <w:sz w:val="24"/>
          <w:szCs w:val="26"/>
          <w:lang w:val="fr-FR"/>
        </w:rPr>
        <w:t>%crude protein = %N x 6.25</w:t>
      </w:r>
    </w:p>
    <w:p>
      <w:pPr>
        <w:pStyle w:val="style0"/>
        <w:spacing w:after="0" w:lineRule="auto" w:line="480"/>
        <w:jc w:val="both"/>
        <w:rPr>
          <w:b/>
          <w:bCs/>
          <w:color w:val="000000"/>
          <w:sz w:val="24"/>
          <w:szCs w:val="26"/>
        </w:rPr>
      </w:pPr>
      <w:r>
        <w:rPr>
          <w:b/>
          <w:bCs/>
          <w:color w:val="000000"/>
          <w:sz w:val="24"/>
          <w:szCs w:val="26"/>
        </w:rPr>
        <w:t>Where;</w:t>
      </w:r>
    </w:p>
    <w:p>
      <w:pPr>
        <w:pStyle w:val="style0"/>
        <w:spacing w:after="0" w:lineRule="auto" w:line="480"/>
        <w:jc w:val="both"/>
        <w:rPr>
          <w:color w:val="000000"/>
          <w:sz w:val="24"/>
          <w:szCs w:val="26"/>
        </w:rPr>
      </w:pPr>
      <w:r>
        <w:rPr>
          <w:color w:val="000000"/>
          <w:sz w:val="24"/>
          <w:szCs w:val="26"/>
        </w:rPr>
        <w:t xml:space="preserve">VA= volume of acid used, </w:t>
      </w:r>
    </w:p>
    <w:p>
      <w:pPr>
        <w:pStyle w:val="style0"/>
        <w:spacing w:after="0" w:lineRule="auto" w:line="480"/>
        <w:jc w:val="both"/>
        <w:rPr>
          <w:color w:val="000000"/>
          <w:sz w:val="24"/>
          <w:szCs w:val="26"/>
        </w:rPr>
      </w:pPr>
      <w:r>
        <w:rPr>
          <w:color w:val="000000"/>
          <w:sz w:val="24"/>
          <w:szCs w:val="26"/>
        </w:rPr>
        <w:t>w= weight of sample,</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.3 Determination of crude ash</w:t>
      </w:r>
    </w:p>
    <w:p>
      <w:pPr>
        <w:pStyle w:val="style0"/>
        <w:spacing w:after="0" w:lineRule="auto" w:line="480"/>
        <w:jc w:val="both"/>
        <w:rPr>
          <w:color w:val="000000"/>
          <w:sz w:val="24"/>
          <w:szCs w:val="26"/>
        </w:rPr>
      </w:pPr>
      <w:r>
        <w:rPr>
          <w:color w:val="000000"/>
          <w:sz w:val="24"/>
          <w:szCs w:val="26"/>
        </w:rPr>
        <w:t>Determination of Ash content of the samples: Ash is the inorganic residue obtained by burning off the organic matter of feedstuff at 400-600°C in muffle furnace for 4</w:t>
      </w:r>
      <w:r>
        <w:rPr>
          <w:color w:val="000000"/>
          <w:sz w:val="24"/>
          <w:szCs w:val="26"/>
        </w:rPr>
        <w:t xml:space="preserve"> </w:t>
      </w:r>
      <w:r>
        <w:rPr>
          <w:color w:val="000000"/>
          <w:sz w:val="24"/>
          <w:szCs w:val="26"/>
        </w:rPr>
        <w:t>hours. 2</w:t>
      </w:r>
      <w:r>
        <w:rPr>
          <w:color w:val="000000"/>
          <w:sz w:val="24"/>
          <w:szCs w:val="26"/>
        </w:rPr>
        <w:t xml:space="preserve"> </w:t>
      </w:r>
      <w:r>
        <w:rPr>
          <w:color w:val="000000"/>
          <w:sz w:val="24"/>
          <w:szCs w:val="26"/>
        </w:rPr>
        <w:t>g of the sample was weighed into a pre-heated crucible. The crucible was placed into muffle furnace at 400-600°C for 4 hours or until whitish-grey ash was obtained. The crucible was then placed in the desiccator and weighed.</w:t>
      </w:r>
    </w:p>
    <w:p>
      <w:pPr>
        <w:pStyle w:val="style0"/>
        <w:spacing w:after="0" w:lineRule="auto" w:line="480"/>
        <w:jc w:val="both"/>
        <w:rPr>
          <w:rFonts w:eastAsia="宋体"/>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 xml:space="preserve">wt. of crucible+ash-wt. of crucible </m:t>
            </m:r>
          </m:num>
          <m:den>
            <m:r>
              <w:rPr>
                <w:rFonts w:ascii="Cambria Math" w:hAnsi="Cambria Math"/>
                <w:color w:val="000000"/>
                <w:sz w:val="24"/>
                <w:szCs w:val="26"/>
              </w:rPr>
              <m:t xml:space="preserve">wt of sample </m:t>
            </m:r>
          </m:den>
        </m:f>
        <m:r>
          <w:rPr>
            <w:rFonts w:ascii="Cambria Math" w:hAnsi="Cambria Math"/>
            <w:color w:val="000000"/>
            <w:sz w:val="24"/>
            <w:szCs w:val="26"/>
          </w:rPr>
          <m:t>×100</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.4 Determination of lipid </w:t>
      </w:r>
    </w:p>
    <w:p>
      <w:pPr>
        <w:pStyle w:val="style0"/>
        <w:spacing w:after="0" w:lineRule="auto" w:line="480"/>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Pr>
          <w:color w:val="000000"/>
          <w:sz w:val="24"/>
          <w:szCs w:val="26"/>
        </w:rPr>
        <w:t xml:space="preserve"> ml flask. A</w:t>
      </w:r>
      <w:r>
        <w:rPr>
          <w:color w:val="000000"/>
          <w:sz w:val="24"/>
          <w:szCs w:val="26"/>
        </w:rPr>
        <w:t>bout 150</w:t>
      </w:r>
      <w:r>
        <w:rPr>
          <w:color w:val="000000"/>
          <w:sz w:val="24"/>
          <w:szCs w:val="26"/>
        </w:rPr>
        <w:t xml:space="preserve"> </w:t>
      </w:r>
      <w:r>
        <w:rPr>
          <w:color w:val="000000"/>
          <w:sz w:val="24"/>
          <w:szCs w:val="26"/>
        </w:rPr>
        <w:t>ml of an anhydrous diethyl ether (petroleum ether) of boiling point of 40°-60°C was placed in the flask. 2-5</w:t>
      </w:r>
      <w:r>
        <w:rPr>
          <w:color w:val="000000"/>
          <w:sz w:val="24"/>
          <w:szCs w:val="26"/>
        </w:rPr>
        <w:t xml:space="preserve"> </w:t>
      </w:r>
      <w:r>
        <w:rPr>
          <w:color w:val="000000"/>
          <w:sz w:val="24"/>
          <w:szCs w:val="26"/>
        </w:rPr>
        <w:t>g of the sample was</w:t>
      </w:r>
    </w:p>
    <w:p>
      <w:pPr>
        <w:pStyle w:val="style0"/>
        <w:spacing w:after="0" w:lineRule="auto" w:line="480"/>
        <w:jc w:val="both"/>
        <w:rPr>
          <w:color w:val="000000"/>
          <w:sz w:val="24"/>
          <w:szCs w:val="26"/>
        </w:rPr>
      </w:pPr>
      <w:r>
        <w:rPr>
          <w:color w:val="000000"/>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Pr>
          <w:color w:val="000000"/>
          <w:sz w:val="24"/>
          <w:szCs w:val="26"/>
        </w:rPr>
        <w:t xml:space="preserve"> </w:t>
      </w:r>
      <w:r>
        <w:rPr>
          <w:color w:val="000000"/>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pPr>
        <w:pStyle w:val="style0"/>
        <w:spacing w:after="0" w:lineRule="auto" w:line="480"/>
        <w:jc w:val="both"/>
        <w:rPr>
          <w:rFonts w:eastAsia="宋体"/>
          <w:color w:val="000000"/>
          <w:sz w:val="24"/>
          <w:szCs w:val="26"/>
        </w:rPr>
      </w:pPr>
      <w:r>
        <w:rPr>
          <w:rFonts w:eastAsia="宋体"/>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flask + extract-tare weight of flask</m:t>
            </m:r>
          </m:num>
          <m:den>
            <m:r>
              <w:rPr>
                <w:rFonts w:ascii="Cambria Math" w:hAnsi="Cambria Math"/>
                <w:color w:val="000000"/>
                <w:sz w:val="24"/>
                <w:szCs w:val="26"/>
              </w:rPr>
              <m:t>Wt of sample</m:t>
            </m:r>
          </m:den>
        </m:f>
        <m:r>
          <m:rPr>
            <m:sty m:val="p"/>
          </m:rPr>
          <w:rPr>
            <w:rFonts w:ascii="Cambria Math" w:hAnsi="Cambria Math"/>
            <w:color w:val="000000"/>
            <w:sz w:val="24"/>
            <w:szCs w:val="26"/>
          </w:rPr>
          <m:t xml:space="preserve">x100 </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.5 Determination of Fibre </w:t>
      </w:r>
    </w:p>
    <w:p>
      <w:pPr>
        <w:pStyle w:val="style0"/>
        <w:spacing w:after="0" w:lineRule="auto" w:line="480"/>
        <w:jc w:val="both"/>
        <w:rPr>
          <w:color w:val="000000"/>
          <w:sz w:val="24"/>
          <w:szCs w:val="26"/>
        </w:rPr>
      </w:pPr>
      <w:r>
        <w:rPr>
          <w:color w:val="000000"/>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Pr>
          <w:color w:val="000000"/>
          <w:sz w:val="24"/>
          <w:szCs w:val="26"/>
        </w:rPr>
        <w:t>The fat-free material was then transferred into a flask/beaker and 200</w:t>
      </w:r>
      <w:r>
        <w:rPr>
          <w:color w:val="000000"/>
          <w:sz w:val="24"/>
          <w:szCs w:val="26"/>
        </w:rPr>
        <w:t xml:space="preserve"> </w:t>
      </w:r>
      <w:r>
        <w:rPr>
          <w:color w:val="000000"/>
          <w:sz w:val="24"/>
          <w:szCs w:val="26"/>
        </w:rPr>
        <w:t>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about 30</w:t>
      </w:r>
      <w:r>
        <w:rPr>
          <w:color w:val="000000"/>
          <w:sz w:val="24"/>
          <w:szCs w:val="26"/>
        </w:rPr>
        <w:t xml:space="preserve"> minutes</w:t>
      </w:r>
      <w:r>
        <w:rPr>
          <w:color w:val="000000"/>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Pr>
          <w:color w:val="000000"/>
          <w:sz w:val="24"/>
          <w:szCs w:val="26"/>
        </w:rPr>
        <w:t xml:space="preserve"> ml of pre-heated 1.25% NaSO</w:t>
      </w:r>
      <w:r>
        <w:rPr>
          <w:color w:val="000000"/>
          <w:sz w:val="24"/>
          <w:szCs w:val="26"/>
        </w:rPr>
        <w:t xml:space="preserve"> was added and boiled for another 30 minutes.</w:t>
      </w:r>
    </w:p>
    <w:p>
      <w:pPr>
        <w:pStyle w:val="style0"/>
        <w:spacing w:after="0" w:lineRule="auto" w:line="480"/>
        <w:jc w:val="both"/>
        <w:rPr>
          <w:color w:val="000000"/>
          <w:sz w:val="24"/>
          <w:szCs w:val="26"/>
        </w:rPr>
      </w:pPr>
      <w:r>
        <w:rPr>
          <w:color w:val="000000"/>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 xml:space="preserve"> Mineral Analysis </w:t>
      </w:r>
    </w:p>
    <w:p>
      <w:pPr>
        <w:pStyle w:val="style0"/>
        <w:spacing w:after="0" w:lineRule="auto" w:line="480"/>
        <w:jc w:val="both"/>
        <w:rPr>
          <w:b/>
          <w:bCs/>
          <w:color w:val="000000"/>
          <w:sz w:val="24"/>
          <w:szCs w:val="26"/>
        </w:rPr>
      </w:pPr>
      <w:r>
        <w:rPr>
          <w:b/>
          <w:bCs/>
          <w:color w:val="000000"/>
          <w:sz w:val="24"/>
          <w:szCs w:val="26"/>
        </w:rPr>
        <w:t>3.2.5.2</w:t>
      </w:r>
      <w:r>
        <w:rPr>
          <w:b/>
          <w:bCs/>
          <w:color w:val="000000"/>
          <w:sz w:val="24"/>
          <w:szCs w:val="26"/>
        </w:rPr>
        <w:t xml:space="preserve"> Determination of</w:t>
      </w:r>
      <w:r>
        <w:rPr>
          <w:b/>
          <w:bCs/>
          <w:color w:val="000000"/>
          <w:sz w:val="24"/>
          <w:szCs w:val="26"/>
        </w:rPr>
        <w:t xml:space="preserve"> Sodium </w:t>
      </w:r>
      <w:r>
        <w:rPr>
          <w:b/>
          <w:bCs/>
          <w:color w:val="000000"/>
          <w:sz w:val="24"/>
          <w:szCs w:val="26"/>
        </w:rPr>
        <w:t xml:space="preserve">Content </w:t>
      </w:r>
    </w:p>
    <w:p>
      <w:pPr>
        <w:pStyle w:val="style0"/>
        <w:spacing w:after="0" w:lineRule="auto" w:line="480"/>
        <w:jc w:val="both"/>
        <w:rPr>
          <w:rFonts w:eastAsia="Calibri"/>
          <w:color w:val="000000"/>
          <w:sz w:val="24"/>
          <w:szCs w:val="26"/>
        </w:rPr>
      </w:pPr>
      <w:r>
        <w:rPr>
          <w:rFonts w:eastAsia="Calibri"/>
          <w:color w:val="000000"/>
          <w:sz w:val="24"/>
          <w:szCs w:val="26"/>
        </w:rPr>
        <w:t>The Procedure described by Tietz (1983) was used to assay for</w:t>
      </w:r>
      <w:r>
        <w:rPr>
          <w:rFonts w:eastAsia="Calibri"/>
          <w:color w:val="000000"/>
          <w:sz w:val="24"/>
          <w:szCs w:val="26"/>
        </w:rPr>
        <w:t xml:space="preserve"> </w:t>
      </w:r>
      <w:r>
        <w:rPr>
          <w:bCs/>
          <w:color w:val="000000"/>
          <w:sz w:val="24"/>
          <w:szCs w:val="26"/>
        </w:rPr>
        <w:t>presence</w:t>
      </w:r>
      <w:r>
        <w:rPr>
          <w:rFonts w:eastAsia="Calibri"/>
          <w:color w:val="000000"/>
          <w:sz w:val="24"/>
          <w:szCs w:val="26"/>
        </w:rPr>
        <w:t xml:space="preserve"> </w:t>
      </w:r>
      <w:r>
        <w:rPr>
          <w:rFonts w:eastAsia="Calibri"/>
          <w:color w:val="000000"/>
          <w:sz w:val="24"/>
          <w:szCs w:val="26"/>
        </w:rPr>
        <w:t xml:space="preserve">of </w:t>
      </w:r>
      <w:r>
        <w:rPr>
          <w:rFonts w:eastAsia="Calibri"/>
          <w:color w:val="000000"/>
          <w:sz w:val="24"/>
          <w:szCs w:val="26"/>
        </w:rPr>
        <w:t>sodium.</w:t>
      </w:r>
    </w:p>
    <w:p>
      <w:pPr>
        <w:pStyle w:val="style0"/>
        <w:spacing w:after="0" w:lineRule="auto" w:line="480"/>
        <w:jc w:val="both"/>
        <w:rPr>
          <w:rFonts w:eastAsia="Calibri"/>
          <w:b/>
          <w:bCs/>
          <w:color w:val="000000"/>
          <w:sz w:val="24"/>
          <w:szCs w:val="26"/>
        </w:rPr>
      </w:pPr>
      <w:r>
        <w:rPr>
          <w:rFonts w:eastAsia="Calibri"/>
          <w:b/>
          <w:bCs/>
          <w:color w:val="000000"/>
          <w:sz w:val="24"/>
          <w:szCs w:val="26"/>
        </w:rPr>
        <w:t>Procedure: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odium reagent</w:t>
      </w:r>
      <w:r>
        <w:rPr>
          <w:rFonts w:eastAsia="Calibri"/>
          <w:color w:val="000000"/>
          <w:sz w:val="24"/>
          <w:szCs w:val="26"/>
        </w:rPr>
        <w:t xml:space="preserve"> (1000µl)</w:t>
      </w:r>
      <w:r>
        <w:rPr>
          <w:rFonts w:eastAsia="Calibri"/>
          <w:color w:val="000000"/>
          <w:sz w:val="24"/>
          <w:szCs w:val="26"/>
        </w:rPr>
        <w:t xml:space="preserve"> was added to 10µl of the sample and standard in a test tube. The solution was incubated at 37ᶿC for five (5) minutes. The absorbance value was read at 630</w:t>
      </w:r>
      <w:r>
        <w:rPr>
          <w:rFonts w:eastAsia="Calibri"/>
          <w:color w:val="000000"/>
          <w:sz w:val="24"/>
          <w:szCs w:val="26"/>
        </w:rPr>
        <w:t xml:space="preserve"> </w:t>
      </w:r>
      <w:r>
        <w:rPr>
          <w:rFonts w:eastAsia="Calibri"/>
          <w:color w:val="000000"/>
          <w:sz w:val="24"/>
          <w:szCs w:val="26"/>
        </w:rPr>
        <w:t>nm.</w:t>
      </w:r>
    </w:p>
    <w:p>
      <w:pPr>
        <w:pStyle w:val="style0"/>
        <w:spacing w:before="100" w:beforeAutospacing="true"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b/>
          <w:color w:val="000000"/>
          <w:sz w:val="24"/>
          <w:szCs w:val="26"/>
          <w:u w:val="single"/>
        </w:rPr>
      </w:pPr>
      <w:r>
        <w:rPr>
          <w:rFonts w:eastAsia="Calibri"/>
          <w:color w:val="000000"/>
          <w:sz w:val="24"/>
          <w:szCs w:val="26"/>
        </w:rPr>
        <w:t xml:space="preserve">Sodium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vertAlign w:val="subscript"/>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rFonts w:eastAsia="Calibri"/>
          <w:color w:val="000000"/>
          <w:sz w:val="24"/>
          <w:szCs w:val="26"/>
        </w:rPr>
      </w:pPr>
      <w:r>
        <w:rPr>
          <w:rFonts w:eastAsia="Calibri"/>
          <w:color w:val="000000"/>
          <w:sz w:val="24"/>
          <w:szCs w:val="26"/>
        </w:rPr>
        <w:t>Note; Sodium reagent contains Tris buffer, proclin 300 and Chromogen.</w:t>
      </w:r>
    </w:p>
    <w:p>
      <w:pPr>
        <w:pStyle w:val="style0"/>
        <w:spacing w:after="0" w:lineRule="auto" w:line="480"/>
        <w:jc w:val="both"/>
        <w:rPr>
          <w:b/>
          <w:color w:val="000000"/>
          <w:sz w:val="24"/>
          <w:szCs w:val="26"/>
        </w:rPr>
      </w:pPr>
      <w:r>
        <w:rPr>
          <w:b/>
          <w:color w:val="000000"/>
          <w:sz w:val="24"/>
          <w:szCs w:val="26"/>
        </w:rPr>
        <w:t>3.2.5</w:t>
      </w:r>
      <w:r>
        <w:rPr>
          <w:b/>
          <w:color w:val="000000"/>
          <w:sz w:val="24"/>
          <w:szCs w:val="26"/>
        </w:rPr>
        <w:t xml:space="preserve">.3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pPr>
        <w:pStyle w:val="style0"/>
        <w:spacing w:after="0" w:lineRule="auto" w:line="480"/>
        <w:jc w:val="both"/>
        <w:rPr>
          <w:rFonts w:eastAsia="Calibri"/>
          <w:color w:val="000000"/>
          <w:sz w:val="24"/>
          <w:szCs w:val="26"/>
        </w:rPr>
      </w:pPr>
      <w:r>
        <w:rPr>
          <w:rFonts w:eastAsia="Calibri"/>
          <w:color w:val="000000"/>
          <w:sz w:val="24"/>
          <w:szCs w:val="26"/>
        </w:rPr>
        <w:t>The method described by Tietz, (</w:t>
      </w:r>
      <w:r>
        <w:rPr>
          <w:rFonts w:eastAsia="Calibri"/>
          <w:color w:val="000000"/>
          <w:sz w:val="24"/>
          <w:szCs w:val="26"/>
        </w:rPr>
        <w:t xml:space="preserve">1995) was used to assay for the </w:t>
      </w:r>
      <w:r>
        <w:rPr>
          <w:color w:val="000000"/>
          <w:sz w:val="24"/>
          <w:szCs w:val="26"/>
        </w:rPr>
        <w:t>Potassium</w:t>
      </w:r>
      <w:r>
        <w:rPr>
          <w:b/>
          <w:color w:val="000000"/>
          <w:sz w:val="24"/>
          <w:szCs w:val="26"/>
        </w:rPr>
        <w:t xml:space="preserve"> </w:t>
      </w:r>
      <w:r>
        <w:rPr>
          <w:bCs/>
          <w:color w:val="000000"/>
          <w:sz w:val="24"/>
          <w:szCs w:val="26"/>
        </w:rPr>
        <w:t>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 xml:space="preserve">Sodium tetraphenylboron reacts with potassium in an alkaline medium to produce a turbid suspension of potassium tetraphenylboron. Thus, the turbidity produced is directly proportional to the concentration of </w:t>
      </w:r>
      <w:r>
        <w:rPr>
          <w:rFonts w:eastAsia="Calibri"/>
          <w:color w:val="000000"/>
          <w:sz w:val="24"/>
          <w:szCs w:val="26"/>
        </w:rPr>
        <w:t xml:space="preserve">potassium in the serum tested. </w:t>
      </w:r>
    </w:p>
    <w:p>
      <w:pPr>
        <w:pStyle w:val="style0"/>
        <w:spacing w:after="0" w:lineRule="auto" w:line="480"/>
        <w:jc w:val="both"/>
        <w:rPr>
          <w:rFonts w:eastAsia="Calibri"/>
          <w:b/>
          <w:color w:val="000000"/>
          <w:sz w:val="24"/>
          <w:szCs w:val="26"/>
        </w:rPr>
      </w:pPr>
      <w:r>
        <w:rPr>
          <w:rFonts w:eastAsia="Calibri"/>
          <w:b/>
          <w:color w:val="000000"/>
          <w:sz w:val="24"/>
          <w:szCs w:val="26"/>
        </w:rPr>
        <w:t>Procedure:</w:t>
      </w:r>
    </w:p>
    <w:p>
      <w:pPr>
        <w:pStyle w:val="style0"/>
        <w:spacing w:before="240" w:after="0" w:lineRule="auto" w:line="480"/>
        <w:jc w:val="both"/>
        <w:rPr>
          <w:rFonts w:eastAsia="Calibri"/>
          <w:color w:val="000000"/>
          <w:sz w:val="24"/>
          <w:szCs w:val="26"/>
        </w:rPr>
      </w:pPr>
      <w:r>
        <w:rPr>
          <w:rFonts w:eastAsia="Calibri"/>
          <w:color w:val="000000"/>
          <w:sz w:val="24"/>
          <w:szCs w:val="26"/>
        </w:rPr>
        <w:t>Sodium</w:t>
      </w:r>
      <w:r>
        <w:rPr>
          <w:rFonts w:eastAsia="Calibri"/>
          <w:color w:val="000000"/>
          <w:sz w:val="24"/>
          <w:szCs w:val="26"/>
        </w:rPr>
        <w:t xml:space="preserve"> tetraphenylboron</w:t>
      </w:r>
      <w:r>
        <w:rPr>
          <w:rFonts w:eastAsia="Calibri"/>
          <w:color w:val="000000"/>
          <w:sz w:val="24"/>
          <w:szCs w:val="26"/>
        </w:rPr>
        <w:t xml:space="preserve"> (1.0 ml)</w:t>
      </w:r>
      <w:r>
        <w:rPr>
          <w:rFonts w:eastAsia="Calibri"/>
          <w:color w:val="000000"/>
          <w:sz w:val="24"/>
          <w:szCs w:val="26"/>
        </w:rPr>
        <w:t xml:space="preserve"> reagent was added to 10µ</w:t>
      </w:r>
      <w:r>
        <w:rPr>
          <w:rFonts w:eastAsia="Calibri"/>
          <w:color w:val="000000"/>
          <w:sz w:val="24"/>
          <w:szCs w:val="26"/>
        </w:rPr>
        <w:t>l</w:t>
      </w:r>
      <w:r>
        <w:rPr>
          <w:rFonts w:eastAsia="Calibri"/>
          <w:color w:val="000000"/>
          <w:sz w:val="24"/>
          <w:szCs w:val="26"/>
        </w:rPr>
        <w:t xml:space="preserve"> of sample and standard in a test tube. The mixture was then incubated for five (5) minutes at 37ᶿC. The absorbance value was taken at 578</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color w:val="000000"/>
          <w:sz w:val="24"/>
          <w:szCs w:val="26"/>
        </w:rPr>
      </w:pPr>
      <w:r>
        <w:rPr>
          <w:rFonts w:eastAsia="Calibri"/>
          <w:color w:val="000000"/>
          <w:sz w:val="24"/>
          <w:szCs w:val="26"/>
        </w:rPr>
        <w:t>NB</w:t>
      </w:r>
      <w:r>
        <w:rPr>
          <w:rFonts w:eastAsia="Calibri"/>
          <w:color w:val="000000"/>
          <w:sz w:val="24"/>
          <w:szCs w:val="26"/>
        </w:rPr>
        <w:t>;Tetraphenylboron</w:t>
      </w:r>
      <w:r>
        <w:rPr>
          <w:rFonts w:eastAsia="Calibri"/>
          <w:color w:val="000000"/>
          <w:sz w:val="24"/>
          <w:szCs w:val="26"/>
        </w:rPr>
        <w:t xml:space="preserve"> reagent contains 0.6</w:t>
      </w:r>
      <w:r>
        <w:rPr>
          <w:rFonts w:eastAsia="Calibri"/>
          <w:color w:val="000000"/>
          <w:sz w:val="24"/>
          <w:szCs w:val="26"/>
        </w:rPr>
        <w:t xml:space="preserve"> </w:t>
      </w:r>
      <w:r>
        <w:rPr>
          <w:rFonts w:eastAsia="Calibri"/>
          <w:color w:val="000000"/>
          <w:sz w:val="24"/>
          <w:szCs w:val="26"/>
        </w:rPr>
        <w:t>mol/L NaOH and 250</w:t>
      </w:r>
      <w:r>
        <w:rPr>
          <w:rFonts w:eastAsia="Calibri"/>
          <w:color w:val="000000"/>
          <w:sz w:val="24"/>
          <w:szCs w:val="26"/>
        </w:rPr>
        <w:t xml:space="preserve"> </w:t>
      </w:r>
      <w:r>
        <w:rPr>
          <w:rFonts w:eastAsia="Calibri"/>
          <w:color w:val="000000"/>
          <w:sz w:val="24"/>
          <w:szCs w:val="26"/>
        </w:rPr>
        <w:t>mmol/L sodium tetraphenylboron.</w:t>
      </w:r>
    </w:p>
    <w:p>
      <w:pPr>
        <w:pStyle w:val="style0"/>
        <w:spacing w:after="0" w:lineRule="auto" w:line="480"/>
        <w:jc w:val="both"/>
        <w:rPr>
          <w:rFonts w:eastAsia="Calibri"/>
          <w:b/>
          <w:bCs/>
          <w:color w:val="000000"/>
          <w:sz w:val="24"/>
          <w:szCs w:val="26"/>
        </w:rPr>
      </w:pPr>
      <w:r>
        <w:rPr>
          <w:rFonts w:eastAsia="Calibri"/>
          <w:b/>
          <w:bCs/>
          <w:color w:val="000000"/>
          <w:sz w:val="24"/>
          <w:szCs w:val="26"/>
        </w:rPr>
        <w:t>Calculation:</w:t>
      </w:r>
    </w:p>
    <w:p>
      <w:pPr>
        <w:pStyle w:val="style0"/>
        <w:spacing w:after="0" w:lineRule="auto" w:line="480"/>
        <w:jc w:val="both"/>
        <w:rPr>
          <w:rFonts w:eastAsia="Calibri"/>
          <w:b/>
          <w:color w:val="000000"/>
          <w:sz w:val="24"/>
          <w:szCs w:val="26"/>
        </w:rPr>
      </w:pPr>
      <w:r>
        <w:rPr>
          <w:rFonts w:eastAsia="Calibri"/>
          <w:color w:val="000000"/>
          <w:sz w:val="24"/>
          <w:szCs w:val="26"/>
        </w:rPr>
        <w:t xml:space="preserve">Potassium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.3 Determination of</w:t>
      </w:r>
      <w:r>
        <w:rPr>
          <w:b/>
          <w:bCs/>
          <w:color w:val="000000"/>
          <w:sz w:val="24"/>
          <w:szCs w:val="26"/>
        </w:rPr>
        <w:t xml:space="preserve"> Phosphorus </w:t>
      </w:r>
      <w:r>
        <w:rPr>
          <w:b/>
          <w:bCs/>
          <w:color w:val="000000"/>
          <w:sz w:val="24"/>
          <w:szCs w:val="26"/>
        </w:rPr>
        <w:t>Content</w:t>
      </w:r>
    </w:p>
    <w:p>
      <w:pPr>
        <w:pStyle w:val="style0"/>
        <w:spacing w:lineRule="auto" w:line="480"/>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yle87"/>
          <w:b w:val="false"/>
          <w:sz w:val="24"/>
          <w:szCs w:val="26"/>
        </w:rPr>
        <w:t>hydrogen peroxide (H</w:t>
      </w:r>
      <w:r>
        <w:rPr>
          <w:rStyle w:val="style87"/>
          <w:rFonts w:ascii="Cambria Math" w:cs="Cambria Math" w:hAnsi="Cambria Math"/>
          <w:b w:val="false"/>
          <w:sz w:val="24"/>
          <w:szCs w:val="26"/>
        </w:rPr>
        <w:t>₂</w:t>
      </w:r>
      <w:r>
        <w:rPr>
          <w:rStyle w:val="style87"/>
          <w:b w:val="false"/>
          <w:sz w:val="24"/>
          <w:szCs w:val="26"/>
        </w:rPr>
        <w:t>O</w:t>
      </w:r>
      <w:r>
        <w:rPr>
          <w:rStyle w:val="style87"/>
          <w:rFonts w:ascii="Cambria Math" w:cs="Cambria Math" w:hAnsi="Cambria Math"/>
          <w:b w:val="false"/>
          <w:sz w:val="24"/>
          <w:szCs w:val="26"/>
        </w:rPr>
        <w:t>₂</w:t>
      </w:r>
      <w:r>
        <w:rPr>
          <w:rStyle w:val="style87"/>
          <w:b w:val="false"/>
          <w:sz w:val="24"/>
          <w:szCs w:val="26"/>
        </w:rPr>
        <w:t>)</w:t>
      </w:r>
      <w:r>
        <w:rPr>
          <w:sz w:val="24"/>
          <w:szCs w:val="26"/>
        </w:rPr>
        <w:t xml:space="preserve"> </w:t>
      </w:r>
      <w:r>
        <w:rPr>
          <w:sz w:val="24"/>
          <w:szCs w:val="26"/>
        </w:rPr>
        <w:t>The</w:t>
      </w:r>
      <w:r>
        <w:rPr>
          <w:sz w:val="24"/>
          <w:szCs w:val="26"/>
        </w:rPr>
        <w:t xml:space="preserve"> phosphorus concentration is determined by comparing the absorbance with a </w:t>
      </w:r>
      <w:r>
        <w:rPr>
          <w:rStyle w:val="style87"/>
          <w:b w:val="false"/>
          <w:sz w:val="24"/>
          <w:szCs w:val="26"/>
        </w:rPr>
        <w:t>standard calibration curve</w:t>
      </w:r>
      <w:r>
        <w:rPr>
          <w:sz w:val="24"/>
          <w:szCs w:val="26"/>
        </w:rPr>
        <w:t xml:space="preserve"> prepared using known concentrations of </w:t>
      </w:r>
      <w:r>
        <w:rPr>
          <w:rStyle w:val="style87"/>
          <w:b w:val="false"/>
          <w:sz w:val="24"/>
          <w:szCs w:val="26"/>
        </w:rPr>
        <w:t>KH</w:t>
      </w:r>
      <w:r>
        <w:rPr>
          <w:rStyle w:val="style87"/>
          <w:rFonts w:ascii="Cambria Math" w:cs="Cambria Math" w:hAnsi="Cambria Math"/>
          <w:b w:val="false"/>
          <w:sz w:val="24"/>
          <w:szCs w:val="26"/>
        </w:rPr>
        <w:t>₂</w:t>
      </w:r>
      <w:r>
        <w:rPr>
          <w:rStyle w:val="style87"/>
          <w:b w:val="false"/>
          <w:sz w:val="24"/>
          <w:szCs w:val="26"/>
        </w:rPr>
        <w:t>PO</w:t>
      </w:r>
      <w:r>
        <w:rPr>
          <w:rStyle w:val="style87"/>
          <w:rFonts w:ascii="Cambria Math" w:cs="Cambria Math" w:hAnsi="Cambria Math"/>
          <w:b w:val="false"/>
          <w:sz w:val="24"/>
          <w:szCs w:val="26"/>
        </w:rPr>
        <w:t>₄.</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.4 Determination of I</w:t>
      </w:r>
      <w:r>
        <w:rPr>
          <w:b/>
          <w:bCs/>
          <w:color w:val="000000"/>
          <w:sz w:val="24"/>
          <w:szCs w:val="26"/>
        </w:rPr>
        <w:t xml:space="preserve">ron </w:t>
      </w:r>
      <w:r>
        <w:rPr>
          <w:b/>
          <w:bCs/>
          <w:color w:val="000000"/>
          <w:sz w:val="24"/>
          <w:szCs w:val="26"/>
        </w:rPr>
        <w:t>Content</w:t>
      </w:r>
    </w:p>
    <w:p>
      <w:pPr>
        <w:pStyle w:val="style0"/>
        <w:spacing w:after="0" w:lineRule="auto" w:line="480"/>
        <w:jc w:val="both"/>
        <w:rPr>
          <w:rFonts w:eastAsia="Calibri"/>
          <w:bCs/>
          <w:color w:val="000000"/>
          <w:sz w:val="24"/>
          <w:szCs w:val="26"/>
        </w:rPr>
      </w:pPr>
      <w:r>
        <w:rPr>
          <w:rFonts w:eastAsia="Calibri"/>
          <w:bCs/>
          <w:color w:val="000000"/>
          <w:sz w:val="24"/>
          <w:szCs w:val="26"/>
        </w:rPr>
        <w:t>Iron (Fe)</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Tietz, (1995) was used to assay for </w:t>
      </w:r>
      <w:r>
        <w:rPr>
          <w:bCs/>
          <w:color w:val="000000"/>
          <w:sz w:val="24"/>
          <w:szCs w:val="26"/>
        </w:rPr>
        <w:t>iron 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pPr>
        <w:pStyle w:val="style0"/>
        <w:spacing w:after="0" w:lineRule="auto" w:line="480"/>
        <w:jc w:val="both"/>
        <w:rPr>
          <w:rFonts w:eastAsia="Calibri"/>
          <w:color w:val="000000"/>
          <w:sz w:val="24"/>
          <w:szCs w:val="26"/>
        </w:rPr>
      </w:pPr>
      <w:r>
        <w:rPr>
          <w:rFonts w:eastAsia="Calibri"/>
          <w:b/>
          <w:color w:val="000000"/>
          <w:sz w:val="24"/>
          <w:szCs w:val="26"/>
        </w:rPr>
        <w:t>Proceedure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ample and standard</w:t>
      </w:r>
      <w:r>
        <w:rPr>
          <w:rFonts w:eastAsia="Calibri"/>
          <w:color w:val="000000"/>
          <w:sz w:val="24"/>
          <w:szCs w:val="26"/>
        </w:rPr>
        <w:t xml:space="preserve"> (0.5ml)</w:t>
      </w:r>
      <w:r>
        <w:rPr>
          <w:rFonts w:eastAsia="Calibri"/>
          <w:color w:val="000000"/>
          <w:sz w:val="24"/>
          <w:szCs w:val="26"/>
        </w:rPr>
        <w:t xml:space="preserve"> was dispensed into a test tube, 2</w:t>
      </w:r>
      <w:r>
        <w:rPr>
          <w:rFonts w:eastAsia="Calibri"/>
          <w:color w:val="000000"/>
          <w:sz w:val="24"/>
          <w:szCs w:val="26"/>
        </w:rPr>
        <w:t xml:space="preserve"> </w:t>
      </w:r>
      <w:r>
        <w:rPr>
          <w:rFonts w:eastAsia="Calibri"/>
          <w:color w:val="000000"/>
          <w:sz w:val="24"/>
          <w:szCs w:val="26"/>
        </w:rPr>
        <w:t>ml buffer, 0.1</w:t>
      </w:r>
      <w:r>
        <w:rPr>
          <w:rFonts w:eastAsia="Calibri"/>
          <w:color w:val="000000"/>
          <w:sz w:val="24"/>
          <w:szCs w:val="26"/>
        </w:rPr>
        <w:t xml:space="preserve"> </w:t>
      </w:r>
      <w:r>
        <w:rPr>
          <w:rFonts w:eastAsia="Calibri"/>
          <w:color w:val="000000"/>
          <w:sz w:val="24"/>
          <w:szCs w:val="26"/>
        </w:rPr>
        <w:t>ml of reductant and 0.5</w:t>
      </w:r>
      <w:r>
        <w:rPr>
          <w:rFonts w:eastAsia="Calibri"/>
          <w:color w:val="000000"/>
          <w:sz w:val="24"/>
          <w:szCs w:val="26"/>
        </w:rPr>
        <w:t xml:space="preserve"> </w:t>
      </w:r>
      <w:r>
        <w:rPr>
          <w:rFonts w:eastAsia="Calibri"/>
          <w:color w:val="000000"/>
          <w:sz w:val="24"/>
          <w:szCs w:val="26"/>
        </w:rPr>
        <w:t>ml of iron-free water was subsequently added to it. The initial absorbance was immediately taken after which the 0.1</w:t>
      </w:r>
      <w:r>
        <w:rPr>
          <w:rFonts w:eastAsia="Calibri"/>
          <w:color w:val="000000"/>
          <w:sz w:val="24"/>
          <w:szCs w:val="26"/>
        </w:rPr>
        <w:t xml:space="preserve"> </w:t>
      </w:r>
      <w:r>
        <w:rPr>
          <w:rFonts w:eastAsia="Calibri"/>
          <w:color w:val="000000"/>
          <w:sz w:val="24"/>
          <w:szCs w:val="26"/>
        </w:rPr>
        <w:t>ml of chromogen was added to the mixture. The mixture was then incubated for 5</w:t>
      </w:r>
      <w:r>
        <w:rPr>
          <w:rFonts w:eastAsia="Calibri"/>
          <w:color w:val="000000"/>
          <w:sz w:val="24"/>
          <w:szCs w:val="26"/>
        </w:rPr>
        <w:t xml:space="preserve"> </w:t>
      </w:r>
      <w:r>
        <w:rPr>
          <w:rFonts w:eastAsia="Calibri"/>
          <w:color w:val="000000"/>
          <w:sz w:val="24"/>
          <w:szCs w:val="26"/>
        </w:rPr>
        <w:t>minutes at 37ᶿC after which the final absorbance value was taken. The absorbance values were read at 590</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Fe=</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.5 Determination of</w:t>
      </w:r>
      <w:r>
        <w:rPr>
          <w:b/>
          <w:bCs/>
          <w:color w:val="000000"/>
          <w:sz w:val="24"/>
          <w:szCs w:val="26"/>
        </w:rPr>
        <w:t xml:space="preserve"> C</w:t>
      </w:r>
      <w:r>
        <w:rPr>
          <w:b/>
          <w:bCs/>
          <w:color w:val="000000"/>
          <w:sz w:val="24"/>
          <w:szCs w:val="26"/>
        </w:rPr>
        <w:t xml:space="preserve">opper </w:t>
      </w:r>
      <w:r>
        <w:rPr>
          <w:b/>
          <w:bCs/>
          <w:color w:val="000000"/>
          <w:sz w:val="24"/>
          <w:szCs w:val="26"/>
        </w:rPr>
        <w:t>Contents</w:t>
      </w:r>
    </w:p>
    <w:p>
      <w:pPr>
        <w:pStyle w:val="style0"/>
        <w:spacing w:after="0" w:lineRule="auto" w:line="480"/>
        <w:jc w:val="both"/>
        <w:rPr>
          <w:rFonts w:eastAsia="Calibri"/>
          <w:bCs/>
          <w:color w:val="000000"/>
          <w:sz w:val="24"/>
          <w:szCs w:val="26"/>
        </w:rPr>
      </w:pPr>
      <w:r>
        <w:rPr>
          <w:rFonts w:eastAsia="Calibri"/>
          <w:bCs/>
          <w:color w:val="000000"/>
          <w:sz w:val="24"/>
          <w:szCs w:val="26"/>
        </w:rPr>
        <w:t>Copper (Cu)</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Kasper </w:t>
      </w:r>
      <w:r>
        <w:rPr>
          <w:rFonts w:eastAsia="Calibri"/>
          <w:i/>
          <w:color w:val="000000"/>
          <w:sz w:val="24"/>
          <w:szCs w:val="26"/>
        </w:rPr>
        <w:t>et al,</w:t>
      </w:r>
      <w:r>
        <w:rPr>
          <w:rFonts w:eastAsia="Calibri"/>
          <w:color w:val="000000"/>
          <w:sz w:val="24"/>
          <w:szCs w:val="26"/>
        </w:rPr>
        <w:t xml:space="preserve"> (20</w:t>
      </w:r>
      <w:r>
        <w:rPr>
          <w:rFonts w:eastAsia="Calibri"/>
          <w:color w:val="000000"/>
          <w:sz w:val="24"/>
          <w:szCs w:val="26"/>
        </w:rPr>
        <w:t xml:space="preserve">12) was used to </w:t>
      </w:r>
      <w:r>
        <w:rPr>
          <w:rFonts w:eastAsia="Calibri"/>
          <w:color w:val="000000"/>
          <w:sz w:val="24"/>
          <w:szCs w:val="26"/>
        </w:rPr>
        <w:t>assayed</w:t>
      </w:r>
      <w:r>
        <w:rPr>
          <w:rFonts w:eastAsia="Calibri"/>
          <w:color w:val="000000"/>
          <w:sz w:val="24"/>
          <w:szCs w:val="26"/>
        </w:rPr>
        <w:t xml:space="preserve"> for the presence of Copper.</w:t>
      </w:r>
    </w:p>
    <w:p>
      <w:pPr>
        <w:pStyle w:val="style0"/>
        <w:spacing w:after="0" w:lineRule="auto" w:line="480"/>
        <w:jc w:val="both"/>
        <w:rPr>
          <w:rFonts w:eastAsia="Calibri"/>
          <w:b/>
          <w:bCs/>
          <w:color w:val="000000"/>
          <w:sz w:val="24"/>
          <w:szCs w:val="26"/>
        </w:rPr>
      </w:pPr>
      <w:r>
        <w:rPr>
          <w:rFonts w:eastAsia="Calibri"/>
          <w:b/>
          <w:bCs/>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Pr>
          <w:rFonts w:eastAsia="Calibri"/>
          <w:color w:val="000000"/>
          <w:sz w:val="24"/>
          <w:szCs w:val="26"/>
        </w:rPr>
        <w:t xml:space="preserve"> </w:t>
      </w:r>
      <w:r>
        <w:rPr>
          <w:rFonts w:eastAsia="Calibri"/>
          <w:color w:val="000000"/>
          <w:sz w:val="24"/>
          <w:szCs w:val="26"/>
        </w:rPr>
        <w:t>nm, is directly proportional to the amount of copper present in the sample.</w:t>
      </w:r>
    </w:p>
    <w:p>
      <w:pPr>
        <w:pStyle w:val="style0"/>
        <w:spacing w:after="0" w:lineRule="auto" w:line="480"/>
        <w:jc w:val="both"/>
        <w:rPr>
          <w:rFonts w:eastAsia="Calibri"/>
          <w:b/>
          <w:bCs/>
          <w:color w:val="000000"/>
          <w:sz w:val="24"/>
          <w:szCs w:val="26"/>
        </w:rPr>
      </w:pPr>
      <w:r>
        <w:rPr>
          <w:rFonts w:eastAsia="Calibri"/>
          <w:b/>
          <w:bCs/>
          <w:color w:val="000000"/>
          <w:sz w:val="24"/>
          <w:szCs w:val="26"/>
        </w:rPr>
        <w:t xml:space="preserve">Procedure </w:t>
      </w:r>
    </w:p>
    <w:p>
      <w:pPr>
        <w:pStyle w:val="style0"/>
        <w:spacing w:after="0" w:lineRule="auto" w:line="480"/>
        <w:jc w:val="both"/>
        <w:rPr>
          <w:rFonts w:eastAsia="Calibri"/>
          <w:color w:val="000000"/>
          <w:sz w:val="24"/>
          <w:szCs w:val="26"/>
        </w:rPr>
      </w:pPr>
      <w:r>
        <w:rPr>
          <w:rFonts w:eastAsia="Calibri"/>
          <w:color w:val="000000"/>
          <w:sz w:val="24"/>
          <w:szCs w:val="26"/>
        </w:rPr>
        <w:t>W</w:t>
      </w:r>
      <w:r>
        <w:rPr>
          <w:rFonts w:eastAsia="Calibri"/>
          <w:color w:val="000000"/>
          <w:sz w:val="24"/>
          <w:szCs w:val="26"/>
        </w:rPr>
        <w:t>orking reagent</w:t>
      </w:r>
      <w:r>
        <w:rPr>
          <w:rFonts w:eastAsia="Calibri"/>
          <w:color w:val="000000"/>
          <w:sz w:val="24"/>
          <w:szCs w:val="26"/>
        </w:rPr>
        <w:t xml:space="preserve"> (1000µl)</w:t>
      </w:r>
      <w:r>
        <w:rPr>
          <w:rFonts w:eastAsia="Calibri"/>
          <w:color w:val="000000"/>
          <w:sz w:val="24"/>
          <w:szCs w:val="26"/>
        </w:rPr>
        <w:t xml:space="preserve"> was added to 50µl of the sample and standard in a cuvette. The mixture was incubated for 5minutes at 37ᶿC. The absorbance value was immediately taken after the incubation at 570nm.</w:t>
      </w:r>
    </w:p>
    <w:p>
      <w:pPr>
        <w:pStyle w:val="style0"/>
        <w:spacing w:after="0" w:lineRule="auto" w:line="480"/>
        <w:jc w:val="both"/>
        <w:rPr>
          <w:rFonts w:eastAsia="Calibri"/>
          <w:color w:val="000000"/>
          <w:sz w:val="24"/>
          <w:szCs w:val="26"/>
        </w:rPr>
      </w:pPr>
      <w:r>
        <w:rPr>
          <w:rFonts w:eastAsia="Calibri"/>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Cu=</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rFonts w:eastAsia="Calibri"/>
          <w:color w:val="000000"/>
          <w:sz w:val="24"/>
          <w:szCs w:val="26"/>
        </w:rPr>
      </w:pPr>
      <w:r>
        <w:rPr>
          <w:rFonts w:eastAsia="Calibri"/>
          <w:color w:val="000000"/>
          <w:sz w:val="24"/>
          <w:szCs w:val="26"/>
        </w:rPr>
        <w:t>Conversion factor: Copper [µg/dl] ×0.1573=Copper [µm</w:t>
      </w:r>
      <w:r>
        <w:rPr>
          <w:rFonts w:eastAsia="Calibri"/>
          <w:color w:val="000000"/>
          <w:sz w:val="24"/>
          <w:szCs w:val="26"/>
        </w:rPr>
        <w:t>ol/l]</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 </w:t>
      </w:r>
      <w:r>
        <w:rPr>
          <w:b/>
          <w:bCs/>
          <w:color w:val="000000"/>
          <w:sz w:val="24"/>
          <w:szCs w:val="26"/>
        </w:rPr>
        <w:t>Determination of A</w:t>
      </w:r>
      <w:r>
        <w:rPr>
          <w:b/>
          <w:bCs/>
          <w:color w:val="000000"/>
          <w:sz w:val="24"/>
          <w:szCs w:val="26"/>
        </w:rPr>
        <w:t xml:space="preserve">ntioxidant properties </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.1 Determination of </w:t>
      </w:r>
      <w:r>
        <w:rPr>
          <w:b/>
          <w:sz w:val="26"/>
        </w:rPr>
        <w:t>Ferric Reducing Antioxidant Power</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This method evaluates the antioxidant effect of a substance in reducing Fe³</w:t>
      </w:r>
      <w:r>
        <w:rPr>
          <w:rFonts w:ascii="Cambria Math" w:cs="Cambria Math" w:eastAsia="Times New Roman" w:hAnsi="Cambria Math"/>
          <w:color w:val="000000"/>
          <w:sz w:val="24"/>
          <w:szCs w:val="26"/>
        </w:rPr>
        <w:t>⁺</w:t>
      </w:r>
      <w:r>
        <w:rPr>
          <w:rFonts w:eastAsia="Times New Roman"/>
          <w:color w:val="000000"/>
          <w:sz w:val="24"/>
          <w:szCs w:val="26"/>
        </w:rPr>
        <w:t xml:space="preserve"> to Fe²</w:t>
      </w:r>
      <w:r>
        <w:rPr>
          <w:rFonts w:ascii="Cambria Math" w:cs="Cambria Math" w:eastAsia="Times New Roman" w:hAnsi="Cambria Math"/>
          <w:color w:val="000000"/>
          <w:sz w:val="24"/>
          <w:szCs w:val="26"/>
        </w:rPr>
        <w:t>⁺</w:t>
      </w:r>
      <w:r>
        <w:rPr>
          <w:rFonts w:eastAsia="Times New Roman"/>
          <w:color w:val="000000"/>
          <w:sz w:val="24"/>
          <w:szCs w:val="26"/>
        </w:rPr>
        <w:t xml:space="preserve"> in the presence of TPTZ (2</w:t>
      </w:r>
      <w:r>
        <w:rPr>
          <w:rFonts w:eastAsia="Times New Roman"/>
          <w:color w:val="000000"/>
          <w:sz w:val="24"/>
          <w:szCs w:val="26"/>
        </w:rPr>
        <w:t>,4,6</w:t>
      </w:r>
      <w:r>
        <w:rPr>
          <w:rFonts w:eastAsia="Times New Roman"/>
          <w:color w:val="000000"/>
          <w:sz w:val="24"/>
          <w:szCs w:val="26"/>
        </w:rPr>
        <w:t>-tripyridyl-s-triazine), forming a blu</w:t>
      </w:r>
      <w:r>
        <w:rPr>
          <w:rFonts w:eastAsia="Times New Roman"/>
          <w:color w:val="000000"/>
          <w:sz w:val="24"/>
          <w:szCs w:val="26"/>
        </w:rPr>
        <w:t>e complex measurable at 593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Pr>
          <w:rFonts w:ascii="Cambria Math" w:cs="Cambria Math" w:hAnsi="Cambria Math"/>
          <w:color w:val="000000"/>
          <w:sz w:val="24"/>
          <w:szCs w:val="26"/>
        </w:rPr>
        <w:t>₄</w:t>
      </w:r>
      <w:r>
        <w:rPr>
          <w:color w:val="000000"/>
          <w:sz w:val="24"/>
          <w:szCs w:val="26"/>
        </w:rPr>
        <w:t xml:space="preserve"> was used as a standard for calibration, and the results were expressed as µmol Fe²</w:t>
      </w:r>
      <w:r>
        <w:rPr>
          <w:rFonts w:ascii="Cambria Math" w:cs="Cambria Math" w:hAnsi="Cambria Math"/>
          <w:color w:val="000000"/>
          <w:sz w:val="24"/>
          <w:szCs w:val="26"/>
        </w:rPr>
        <w:t>⁺</w:t>
      </w:r>
      <w:r>
        <w:rPr>
          <w:color w:val="000000"/>
          <w:sz w:val="24"/>
          <w:szCs w:val="26"/>
        </w:rPr>
        <w:t xml:space="preserve"> equivalents.</w:t>
      </w:r>
    </w:p>
    <w:p>
      <w:pPr>
        <w:pStyle w:val="style0"/>
        <w:spacing w:after="0" w:lineRule="auto" w:line="480"/>
        <w:jc w:val="both"/>
        <w:rPr>
          <w:b/>
          <w:bCs/>
          <w:color w:val="000000"/>
          <w:sz w:val="22"/>
          <w:szCs w:val="26"/>
        </w:rPr>
      </w:pPr>
      <w:r>
        <w:rPr>
          <w:b/>
          <w:bCs/>
          <w:color w:val="000000"/>
          <w:sz w:val="24"/>
          <w:szCs w:val="26"/>
        </w:rPr>
        <w:t>3.2.6</w:t>
      </w:r>
      <w:r>
        <w:rPr>
          <w:b/>
          <w:bCs/>
          <w:color w:val="000000"/>
          <w:sz w:val="24"/>
          <w:szCs w:val="26"/>
        </w:rPr>
        <w:t xml:space="preserve">.2 </w:t>
      </w:r>
      <w:r>
        <w:rPr>
          <w:b/>
          <w:bCs/>
          <w:color w:val="000000"/>
          <w:sz w:val="22"/>
          <w:szCs w:val="26"/>
        </w:rPr>
        <w:t xml:space="preserve">Determination of </w:t>
      </w:r>
      <w:r>
        <w:rPr>
          <w:b/>
          <w:sz w:val="24"/>
        </w:rPr>
        <w:t>2</w:t>
      </w:r>
      <w:r>
        <w:rPr>
          <w:b/>
          <w:sz w:val="24"/>
        </w:rPr>
        <w:t>,2'</w:t>
      </w:r>
      <w:r>
        <w:rPr>
          <w:b/>
          <w:sz w:val="24"/>
        </w:rPr>
        <w:t>-Azino-bis(3-ethylbenzothiazoline-6-sulfonic acid)</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cs="Cambria Math" w:eastAsia="Times New Roman" w:hAnsi="Cambria Math"/>
          <w:color w:val="000000"/>
          <w:sz w:val="24"/>
          <w:szCs w:val="26"/>
        </w:rPr>
        <w:t>⁺</w:t>
      </w:r>
      <w:r>
        <w:rPr>
          <w:rFonts w:eastAsia="Times New Roman"/>
          <w:color w:val="000000"/>
          <w:sz w:val="24"/>
          <w:szCs w:val="26"/>
        </w:rPr>
        <w:t>•), which is blue-green and absorbs at 734 nm. Antioxidants reduce the ABTS</w:t>
      </w:r>
      <w:r>
        <w:rPr>
          <w:rFonts w:ascii="Cambria Math" w:cs="Cambria Math" w:eastAsia="Times New Roman" w:hAnsi="Cambria Math"/>
          <w:color w:val="000000"/>
          <w:sz w:val="24"/>
          <w:szCs w:val="26"/>
        </w:rPr>
        <w:t>⁺</w:t>
      </w:r>
      <w:r>
        <w:rPr>
          <w:rFonts w:eastAsia="Times New Roman"/>
          <w:color w:val="000000"/>
          <w:sz w:val="24"/>
          <w:szCs w:val="26"/>
        </w:rPr>
        <w:t>•, leading to decolorization.</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jc w:val="both"/>
        <w:rPr>
          <w:color w:val="000000"/>
          <w:sz w:val="24"/>
          <w:szCs w:val="26"/>
        </w:rPr>
      </w:pPr>
      <w:r>
        <w:rPr>
          <w:color w:val="000000"/>
          <w:sz w:val="24"/>
          <w:szCs w:val="26"/>
        </w:rPr>
        <w:t>The method stated that ABTS</w:t>
      </w:r>
      <w:r>
        <w:rPr>
          <w:rFonts w:ascii="Cambria Math" w:cs="Cambria Math" w:hAnsi="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cs="Cambria Math" w:hAnsi="Cambria Math"/>
          <w:color w:val="000000"/>
          <w:sz w:val="24"/>
          <w:szCs w:val="26"/>
        </w:rPr>
        <w:t>⁺</w:t>
      </w:r>
      <w:r>
        <w:rPr>
          <w:color w:val="000000"/>
          <w:sz w:val="24"/>
          <w:szCs w:val="26"/>
        </w:rPr>
        <w:t xml:space="preserve"> solution was then diluted with ethanol to an absorbance of approximately 0.700 at 734 nm. Afterward, 100 µL of the extract was added to 3.9 mL of the diluted ABTS</w:t>
      </w:r>
      <w:r>
        <w:rPr>
          <w:rFonts w:ascii="Cambria Math" w:cs="Cambria Math" w:hAnsi="Cambria Math"/>
          <w:color w:val="000000"/>
          <w:sz w:val="24"/>
          <w:szCs w:val="26"/>
        </w:rPr>
        <w:t>⁺</w:t>
      </w:r>
      <w:r>
        <w:rPr>
          <w:color w:val="000000"/>
          <w:sz w:val="24"/>
          <w:szCs w:val="26"/>
        </w:rPr>
        <w:t xml:space="preserve"> solution. </w:t>
      </w:r>
      <w:r>
        <w:rPr>
          <w:color w:val="000000"/>
          <w:sz w:val="24"/>
          <w:szCs w:val="26"/>
        </w:rPr>
        <w:t>Absorbance was measured at 734 nm after 6 minutes. It was noted that the results were compared with a Trolox standard and expressed as µmol Trolox equivalents.</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.3 Determination of </w:t>
      </w:r>
      <w:r>
        <w:rPr>
          <w:b/>
          <w:sz w:val="26"/>
        </w:rPr>
        <w:t>2</w:t>
      </w:r>
      <w:r>
        <w:rPr>
          <w:b/>
          <w:sz w:val="26"/>
        </w:rPr>
        <w:t>,2</w:t>
      </w:r>
      <w:r>
        <w:rPr>
          <w:b/>
          <w:sz w:val="26"/>
        </w:rPr>
        <w:t>-Diphenyl-1-picrylhydrazyl</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before="100" w:beforeAutospacing="true" w:after="0" w:lineRule="auto" w:line="480"/>
        <w:ind w:firstLine="720"/>
        <w:jc w:val="both"/>
        <w:rPr>
          <w:color w:val="000000"/>
          <w:sz w:val="24"/>
          <w:szCs w:val="26"/>
        </w:rPr>
      </w:pPr>
      <w:r>
        <w:rPr>
          <w:color w:val="000000"/>
          <w:sz w:val="24"/>
          <w:szCs w:val="26"/>
        </w:rPr>
        <w:t>The procedure stated that 1 mL of DPPH solution was to be mixed with 1 mL of the extract and incubated in the dark for 30 minutes at room temperature. Absorbance was then measured at 517 nm.</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Calculate percentage inhibition using:</w:t>
      </w:r>
    </w:p>
    <w:p>
      <w:pPr>
        <w:pStyle w:val="style0"/>
        <w:spacing w:before="100" w:beforeAutospacing="true" w:after="0" w:lineRule="auto" w:line="480"/>
        <w:ind w:left="1080"/>
        <w:jc w:val="both"/>
        <w:rPr>
          <w:rFonts w:eastAsia="Times New Roman"/>
          <w:color w:val="000000"/>
          <w:sz w:val="24"/>
          <w:szCs w:val="26"/>
        </w:rPr>
      </w:pPr>
      <w:r>
        <w:rPr>
          <w:noProof/>
          <w:color w:val="000000"/>
          <w:sz w:val="24"/>
          <w:szCs w:val="26"/>
        </w:rPr>
        <w:drawing>
          <wp:inline distL="0" distT="0" distB="0" distR="0">
            <wp:extent cx="2724530" cy="590632"/>
            <wp:effectExtent l="0" t="0" r="0" b="0"/>
            <wp:docPr id="104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23" cstate="print"/>
                    <a:srcRect l="0" t="0" r="0" b="0"/>
                    <a:stretch/>
                  </pic:blipFill>
                  <pic:spPr>
                    <a:xfrm rot="0">
                      <a:off x="0" y="0"/>
                      <a:ext cx="2724530" cy="590632"/>
                    </a:xfrm>
                    <a:prstGeom prst="rect"/>
                  </pic:spPr>
                </pic:pic>
              </a:graphicData>
            </a:graphic>
          </wp:inline>
        </w:drawing>
      </w:r>
      <w:r>
        <w:rPr>
          <w:rFonts w:eastAsia="Times New Roman"/>
          <w:color w:val="000000"/>
          <w:sz w:val="24"/>
          <w:szCs w:val="26"/>
        </w:rPr>
        <w:t>.</w:t>
      </w:r>
    </w:p>
    <w:p>
      <w:pPr>
        <w:pStyle w:val="style0"/>
        <w:spacing w:before="100" w:beforeAutospacing="true" w:after="0" w:lineRule="auto" w:line="480"/>
        <w:ind w:left="1080"/>
        <w:jc w:val="both"/>
        <w:rPr>
          <w:rFonts w:eastAsia="Times New Roman"/>
          <w:color w:val="000000"/>
          <w:sz w:val="24"/>
          <w:szCs w:val="26"/>
        </w:rPr>
      </w:pPr>
      <w:r>
        <w:rPr>
          <w:color w:val="000000"/>
          <w:sz w:val="24"/>
          <w:szCs w:val="26"/>
        </w:rPr>
        <w:t>where</w:t>
      </w:r>
      <w:r>
        <w:rPr>
          <w:color w:val="000000"/>
          <w:sz w:val="24"/>
          <w:szCs w:val="26"/>
        </w:rPr>
        <w:t xml:space="preserve"> </w:t>
      </w:r>
      <w:r>
        <w:rPr>
          <w:rStyle w:val="style4097"/>
          <w:color w:val="000000"/>
          <w:sz w:val="24"/>
          <w:szCs w:val="26"/>
        </w:rPr>
        <w:t>A</w:t>
      </w:r>
      <w:r>
        <w:rPr>
          <w:rStyle w:val="style4097"/>
          <w:color w:val="000000"/>
          <w:sz w:val="24"/>
          <w:szCs w:val="26"/>
          <w:vertAlign w:val="subscript"/>
        </w:rPr>
        <w:t>0</w:t>
      </w:r>
      <w:r>
        <w:rPr>
          <w:color w:val="000000"/>
          <w:sz w:val="24"/>
          <w:szCs w:val="26"/>
        </w:rPr>
        <w:t xml:space="preserve">= control absorbance, </w:t>
      </w:r>
      <w:r>
        <w:rPr>
          <w:rStyle w:val="style4097"/>
          <w:color w:val="000000"/>
          <w:sz w:val="24"/>
          <w:szCs w:val="26"/>
        </w:rPr>
        <w:t>A</w:t>
      </w:r>
      <w:r>
        <w:rPr>
          <w:rStyle w:val="style4097"/>
          <w:color w:val="000000"/>
          <w:sz w:val="24"/>
          <w:szCs w:val="26"/>
          <w:vertAlign w:val="subscript"/>
        </w:rPr>
        <w:t>1</w:t>
      </w:r>
      <w:r>
        <w:rPr>
          <w:color w:val="000000"/>
          <w:sz w:val="24"/>
          <w:szCs w:val="26"/>
        </w:rPr>
        <w:t>= sample absorbance.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Express results as IC</w:t>
      </w:r>
      <w:r>
        <w:rPr>
          <w:rFonts w:ascii="Cambria Math" w:cs="Cambria Math" w:eastAsia="Times New Roman" w:hAnsi="Cambria Math"/>
          <w:color w:val="000000"/>
          <w:sz w:val="24"/>
          <w:szCs w:val="26"/>
        </w:rPr>
        <w:t>₅₀</w:t>
      </w:r>
      <w:r>
        <w:rPr>
          <w:rFonts w:eastAsia="Times New Roman"/>
          <w:color w:val="000000"/>
          <w:sz w:val="24"/>
          <w:szCs w:val="26"/>
        </w:rPr>
        <w:t xml:space="preserve"> or µmol Trolox equivalents.</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.4 Determination of </w:t>
      </w:r>
      <w:r>
        <w:rPr>
          <w:b/>
          <w:sz w:val="26"/>
        </w:rPr>
        <w:t>Total Flavonoid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0.5 mL of the extract was to be mixed with 0.5 mL of 2% AlCl</w:t>
      </w:r>
      <w:r>
        <w:rPr>
          <w:rFonts w:ascii="Cambria Math" w:cs="Cambria Math" w:hAnsi="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.5 Determination of </w:t>
      </w:r>
      <w:r>
        <w:rPr>
          <w:b/>
          <w:sz w:val="26"/>
        </w:rPr>
        <w:t>Total Phenolic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The Folin–Ciocalteu reagent reacts with phenolics to produce a blu</w:t>
      </w:r>
      <w:r>
        <w:rPr>
          <w:rFonts w:eastAsia="Times New Roman"/>
          <w:color w:val="000000"/>
          <w:sz w:val="24"/>
          <w:szCs w:val="26"/>
        </w:rPr>
        <w:t>e complex detectable at 765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Pr>
          <w:color w:val="000000"/>
          <w:sz w:val="24"/>
          <w:szCs w:val="26"/>
        </w:rPr>
        <w:t>standard, and the results were expressed as mg gallic acid equivalents (GAE) per gram of extract.</w:t>
      </w:r>
    </w:p>
    <w:p>
      <w:pPr>
        <w:pStyle w:val="style0"/>
        <w:spacing w:after="0" w:lineRule="auto" w:line="480"/>
        <w:jc w:val="both"/>
        <w:rPr>
          <w:b/>
          <w:bCs/>
          <w:color w:val="000000"/>
          <w:sz w:val="24"/>
          <w:szCs w:val="26"/>
        </w:rPr>
      </w:pPr>
      <w:r>
        <w:rPr>
          <w:b/>
          <w:bCs/>
          <w:color w:val="000000"/>
          <w:sz w:val="24"/>
          <w:szCs w:val="26"/>
        </w:rPr>
        <w:t xml:space="preserve">3.3 Experimental design </w:t>
      </w:r>
    </w:p>
    <w:p>
      <w:pPr>
        <w:pStyle w:val="style0"/>
        <w:spacing w:after="0" w:lineRule="auto" w:line="480"/>
        <w:ind w:firstLine="720"/>
        <w:jc w:val="both"/>
        <w:rPr>
          <w:iCs/>
          <w:color w:val="000000"/>
          <w:sz w:val="24"/>
          <w:szCs w:val="26"/>
        </w:rPr>
      </w:pPr>
      <w:r>
        <w:rPr>
          <w:iCs/>
          <w:color w:val="000000"/>
          <w:sz w:val="24"/>
          <w:szCs w:val="26"/>
        </w:rPr>
        <w:t>The study included 52 white</w:t>
      </w:r>
      <w:r>
        <w:rPr>
          <w:iCs/>
          <w:color w:val="000000"/>
          <w:sz w:val="24"/>
          <w:szCs w:val="26"/>
        </w:rPr>
        <w:t xml:space="preserve"> Albino</w:t>
      </w:r>
      <w:r>
        <w:rPr>
          <w:iCs/>
          <w:color w:val="000000"/>
          <w:sz w:val="24"/>
          <w:szCs w:val="26"/>
        </w:rPr>
        <w:t xml:space="preserve"> rats (</w:t>
      </w:r>
      <w:r>
        <w:rPr>
          <w:i/>
          <w:iCs/>
          <w:color w:val="000000"/>
          <w:sz w:val="24"/>
          <w:szCs w:val="26"/>
        </w:rPr>
        <w:t>Rattus norvegicus</w:t>
      </w:r>
      <w:r>
        <w:rPr>
          <w:iCs/>
          <w:color w:val="000000"/>
          <w:sz w:val="24"/>
          <w:szCs w:val="26"/>
        </w:rPr>
        <w:t>) of the Wistar breed, clinically healthy, female</w:t>
      </w:r>
      <w:r>
        <w:rPr>
          <w:iCs/>
          <w:color w:val="000000"/>
          <w:sz w:val="24"/>
          <w:szCs w:val="26"/>
        </w:rPr>
        <w:t>s, weighed an average of 169</w:t>
      </w:r>
      <w:r>
        <w:rPr>
          <w:iCs/>
          <w:color w:val="000000"/>
          <w:sz w:val="24"/>
          <w:szCs w:val="26"/>
        </w:rPr>
        <w:t xml:space="preserve"> g obtained from the Animal House, Kwara State Polytechnic, Ilorin Kwara State, Nigeria. On the first day of the study, the subjects were randomly assigned to 7 homogeneous groups, 8 individuals each.</w:t>
      </w:r>
    </w:p>
    <w:p>
      <w:pPr>
        <w:pStyle w:val="style0"/>
        <w:spacing w:after="0" w:lineRule="auto" w:line="480"/>
        <w:jc w:val="both"/>
        <w:rPr>
          <w:iCs/>
          <w:color w:val="000000"/>
          <w:sz w:val="24"/>
          <w:szCs w:val="26"/>
        </w:rPr>
      </w:pPr>
      <w:r>
        <w:rPr>
          <w:iCs/>
          <w:color w:val="000000"/>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Pr>
          <w:iCs/>
          <w:color w:val="000000"/>
          <w:sz w:val="24"/>
          <w:szCs w:val="26"/>
        </w:rPr>
        <w:t xml:space="preserve"> the purpose of the experiment.</w:t>
      </w:r>
    </w:p>
    <w:p>
      <w:pPr>
        <w:pStyle w:val="style0"/>
        <w:spacing w:after="0" w:lineRule="auto" w:line="480"/>
        <w:rPr>
          <w:color w:val="000000"/>
          <w:sz w:val="24"/>
          <w:szCs w:val="26"/>
        </w:rPr>
      </w:pPr>
      <w:r>
        <w:rPr>
          <w:b/>
          <w:color w:val="000000"/>
          <w:sz w:val="24"/>
          <w:szCs w:val="26"/>
        </w:rPr>
        <w:t>Table 4: Group of experimental animals according to treatment method</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trPr>
          <w:trHeight w:val="642" w:hRule="atLeast"/>
        </w:trPr>
        <w:tc>
          <w:tcPr>
            <w:tcW w:w="2356" w:type="dxa"/>
            <w:tcBorders>
              <w:top w:val="single" w:sz="4" w:space="0" w:color="auto"/>
              <w:bottom w:val="single" w:sz="4" w:space="0" w:color="auto"/>
            </w:tcBorders>
            <w:hideMark/>
          </w:tcPr>
          <w:p>
            <w:pPr>
              <w:pStyle w:val="style0"/>
              <w:spacing w:lineRule="auto" w:line="480"/>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pPr>
              <w:pStyle w:val="style0"/>
              <w:spacing w:lineRule="auto" w:line="480"/>
              <w:rPr>
                <w:b/>
                <w:bCs/>
                <w:color w:val="000000"/>
                <w:sz w:val="24"/>
                <w:szCs w:val="26"/>
              </w:rPr>
            </w:pPr>
            <w:r>
              <w:rPr>
                <w:b/>
                <w:bCs/>
                <w:color w:val="000000"/>
                <w:sz w:val="24"/>
                <w:szCs w:val="26"/>
              </w:rPr>
              <w:t>Treatment</w:t>
            </w:r>
          </w:p>
        </w:tc>
      </w:tr>
      <w:tr>
        <w:tblPrEx/>
        <w:trPr>
          <w:trHeight w:val="626" w:hRule="atLeast"/>
        </w:trPr>
        <w:tc>
          <w:tcPr>
            <w:tcW w:w="2356" w:type="dxa"/>
            <w:tcBorders>
              <w:top w:val="single" w:sz="4" w:space="0" w:color="auto"/>
            </w:tcBorders>
            <w:hideMark/>
          </w:tcPr>
          <w:p>
            <w:pPr>
              <w:pStyle w:val="style0"/>
              <w:spacing w:lineRule="auto" w:line="480"/>
              <w:rPr>
                <w:color w:val="000000"/>
                <w:sz w:val="24"/>
                <w:szCs w:val="26"/>
              </w:rPr>
            </w:pPr>
            <w:r>
              <w:rPr>
                <w:color w:val="000000"/>
                <w:sz w:val="24"/>
                <w:szCs w:val="26"/>
              </w:rPr>
              <w:t>Group 1</w:t>
            </w:r>
          </w:p>
        </w:tc>
        <w:tc>
          <w:tcPr>
            <w:tcW w:w="3584" w:type="dxa"/>
            <w:tcBorders>
              <w:top w:val="single" w:sz="4" w:space="0" w:color="auto"/>
            </w:tcBorders>
          </w:tcPr>
          <w:p>
            <w:pPr>
              <w:pStyle w:val="style0"/>
              <w:spacing w:lineRule="auto" w:line="480"/>
              <w:rPr>
                <w:color w:val="000000"/>
                <w:sz w:val="24"/>
                <w:szCs w:val="26"/>
              </w:rPr>
            </w:pPr>
            <w:r>
              <w:rPr>
                <w:color w:val="000000"/>
                <w:sz w:val="24"/>
                <w:szCs w:val="26"/>
              </w:rPr>
              <w:t>Control vector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2</w:t>
            </w:r>
          </w:p>
        </w:tc>
        <w:tc>
          <w:tcPr>
            <w:tcW w:w="3584" w:type="dxa"/>
            <w:tcBorders/>
          </w:tcPr>
          <w:p>
            <w:pPr>
              <w:pStyle w:val="style0"/>
              <w:spacing w:lineRule="auto" w:line="480"/>
              <w:rPr>
                <w:color w:val="000000"/>
                <w:sz w:val="24"/>
                <w:szCs w:val="26"/>
              </w:rPr>
            </w:pPr>
            <w:r>
              <w:rPr>
                <w:color w:val="000000"/>
                <w:sz w:val="24"/>
                <w:szCs w:val="26"/>
              </w:rPr>
              <w:t>Untreated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3</w:t>
            </w:r>
          </w:p>
        </w:tc>
        <w:tc>
          <w:tcPr>
            <w:tcW w:w="3584" w:type="dxa"/>
            <w:tcBorders/>
          </w:tcPr>
          <w:p>
            <w:pPr>
              <w:pStyle w:val="style0"/>
              <w:spacing w:lineRule="auto" w:line="480"/>
              <w:rPr>
                <w:color w:val="000000"/>
                <w:sz w:val="24"/>
                <w:szCs w:val="26"/>
              </w:rPr>
            </w:pPr>
            <w:r>
              <w:rPr>
                <w:color w:val="000000"/>
                <w:sz w:val="24"/>
                <w:szCs w:val="26"/>
              </w:rPr>
              <w:t>Treated with standard drug</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4</w:t>
            </w:r>
          </w:p>
        </w:tc>
        <w:tc>
          <w:tcPr>
            <w:tcW w:w="3584" w:type="dxa"/>
            <w:tcBorders/>
          </w:tcPr>
          <w:p>
            <w:pPr>
              <w:pStyle w:val="style0"/>
              <w:spacing w:lineRule="auto" w:line="480"/>
              <w:rPr>
                <w:color w:val="000000"/>
                <w:sz w:val="24"/>
                <w:szCs w:val="26"/>
              </w:rPr>
            </w:pPr>
            <w:r>
              <w:rPr>
                <w:iCs/>
                <w:color w:val="000000"/>
                <w:sz w:val="24"/>
                <w:szCs w:val="26"/>
              </w:rPr>
              <w:t>100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5</w:t>
            </w:r>
          </w:p>
        </w:tc>
        <w:tc>
          <w:tcPr>
            <w:tcW w:w="3584" w:type="dxa"/>
            <w:tcBorders/>
          </w:tcPr>
          <w:p>
            <w:pPr>
              <w:pStyle w:val="style0"/>
              <w:spacing w:lineRule="auto" w:line="480"/>
              <w:rPr>
                <w:color w:val="000000"/>
                <w:sz w:val="24"/>
                <w:szCs w:val="26"/>
              </w:rPr>
            </w:pPr>
            <w:r>
              <w:rPr>
                <w:iCs/>
                <w:color w:val="000000"/>
                <w:sz w:val="24"/>
                <w:szCs w:val="26"/>
              </w:rPr>
              <w:t>200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6</w:t>
            </w:r>
          </w:p>
        </w:tc>
        <w:tc>
          <w:tcPr>
            <w:tcW w:w="3584" w:type="dxa"/>
            <w:tcBorders/>
          </w:tcPr>
          <w:p>
            <w:pPr>
              <w:pStyle w:val="style0"/>
              <w:spacing w:lineRule="auto" w:line="480"/>
              <w:rPr>
                <w:color w:val="000000"/>
                <w:sz w:val="24"/>
                <w:szCs w:val="26"/>
              </w:rPr>
            </w:pPr>
            <w:r>
              <w:rPr>
                <w:iCs/>
                <w:color w:val="000000"/>
                <w:sz w:val="24"/>
                <w:szCs w:val="26"/>
              </w:rPr>
              <w:t>400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7</w:t>
            </w:r>
          </w:p>
        </w:tc>
        <w:tc>
          <w:tcPr>
            <w:tcW w:w="3584" w:type="dxa"/>
            <w:tcBorders/>
          </w:tcPr>
          <w:p>
            <w:pPr>
              <w:pStyle w:val="style0"/>
              <w:spacing w:lineRule="auto" w:line="480"/>
              <w:rPr>
                <w:color w:val="000000"/>
                <w:sz w:val="24"/>
                <w:szCs w:val="26"/>
              </w:rPr>
            </w:pPr>
            <w:r>
              <w:rPr>
                <w:iCs/>
                <w:color w:val="000000"/>
                <w:sz w:val="24"/>
                <w:szCs w:val="26"/>
              </w:rPr>
              <w:t>800 mg / kg</w:t>
            </w:r>
            <w:r>
              <w:rPr>
                <w:iCs/>
                <w:color w:val="000000"/>
                <w:sz w:val="24"/>
                <w:szCs w:val="26"/>
              </w:rPr>
              <w:t xml:space="preserve"> of the extract</w:t>
            </w:r>
          </w:p>
        </w:tc>
      </w:tr>
    </w:tbl>
    <w:p>
      <w:pPr>
        <w:pStyle w:val="style0"/>
        <w:spacing w:before="100" w:beforeAutospacing="true" w:after="0" w:lineRule="auto" w:line="480"/>
        <w:jc w:val="both"/>
        <w:rPr>
          <w:rFonts w:eastAsia="Times New Roman"/>
          <w:b/>
          <w:color w:val="000000"/>
          <w:sz w:val="24"/>
          <w:szCs w:val="26"/>
        </w:rPr>
      </w:pPr>
      <w:r>
        <w:rPr>
          <w:rFonts w:eastAsia="Times New Roman"/>
          <w:b/>
          <w:color w:val="000000"/>
          <w:sz w:val="24"/>
          <w:szCs w:val="26"/>
        </w:rPr>
        <w:t xml:space="preserve">3.4 Determination of Ulcerated </w:t>
      </w:r>
      <w:r>
        <w:rPr>
          <w:rFonts w:eastAsia="Times New Roman"/>
          <w:b/>
          <w:color w:val="000000"/>
          <w:sz w:val="24"/>
          <w:szCs w:val="26"/>
        </w:rPr>
        <w:t>Albino Rats</w:t>
      </w:r>
    </w:p>
    <w:p>
      <w:pPr>
        <w:pStyle w:val="style0"/>
        <w:spacing w:before="100" w:beforeAutospacing="true" w:after="100" w:afterAutospacing="true" w:lineRule="auto" w:line="480"/>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1: Normal control, no ulcer, no treatment.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2: Ulcer control, we gave them ulcers but didn’t treat them.</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3: Ulcer</w:t>
      </w:r>
      <w:r>
        <w:rPr>
          <w:rFonts w:eastAsia="Times New Roman"/>
          <w:sz w:val="24"/>
          <w:szCs w:val="24"/>
        </w:rPr>
        <w:t>,  treatment</w:t>
      </w:r>
      <w:r>
        <w:rPr>
          <w:rFonts w:eastAsia="Times New Roman"/>
          <w:sz w:val="24"/>
          <w:szCs w:val="24"/>
        </w:rPr>
        <w:t xml:space="preserve"> with a standard anti-ulcer drug (Omeprazole).</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4: Ulcer, treated with 100 mg/kg of the plant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5: Ulcer, treated with 200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6: Ulcer, treated with 400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 xml:space="preserve">Group 7: Ulcer, treated with 800 mg/kg of the extract. </w:t>
      </w:r>
    </w:p>
    <w:p>
      <w:pPr>
        <w:pStyle w:val="style0"/>
        <w:spacing w:lineRule="auto" w:line="480"/>
        <w:ind w:firstLine="720"/>
        <w:jc w:val="both"/>
        <w:rPr>
          <w:rFonts w:eastAsia="Times New Roman"/>
          <w:sz w:val="24"/>
          <w:szCs w:val="24"/>
        </w:rPr>
      </w:pPr>
      <w:r>
        <w:rPr>
          <w:rFonts w:eastAsia="Times New Roman"/>
          <w:sz w:val="24"/>
          <w:szCs w:val="24"/>
        </w:rPr>
        <w:t xml:space="preserve">Preparing the Indomethacin Solution: We measured out the indomethacin, </w:t>
      </w:r>
      <w:r>
        <w:rPr>
          <w:rFonts w:eastAsia="Times New Roman"/>
          <w:sz w:val="24"/>
          <w:szCs w:val="24"/>
        </w:rPr>
        <w:t>then</w:t>
      </w:r>
      <w:r>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r>
        <w:rPr>
          <w:rFonts w:eastAsia="Times New Roman"/>
          <w:sz w:val="24"/>
          <w:szCs w:val="24"/>
        </w:rPr>
        <w:t>Then</w:t>
      </w:r>
      <w:r>
        <w:rPr>
          <w:rFonts w:eastAsia="Times New Roman"/>
          <w:sz w:val="24"/>
          <w:szCs w:val="24"/>
        </w:rPr>
        <w:t xml:space="preserve"> we opened their stomachs along the greater curvature, rinsed everything with saline, and checked for ulcers.</w:t>
      </w:r>
    </w:p>
    <w:p>
      <w:pPr>
        <w:pStyle w:val="style0"/>
        <w:spacing w:lineRule="auto" w:line="480"/>
        <w:jc w:val="both"/>
        <w:rPr>
          <w:b/>
          <w:sz w:val="24"/>
          <w:szCs w:val="26"/>
        </w:rPr>
      </w:pPr>
      <w:r>
        <w:rPr>
          <w:b/>
          <w:sz w:val="24"/>
          <w:szCs w:val="26"/>
        </w:rPr>
        <w:t xml:space="preserve">3.5 Hematological of Albino Rats </w:t>
      </w:r>
    </w:p>
    <w:p>
      <w:pPr>
        <w:pStyle w:val="style94"/>
        <w:spacing w:lineRule="auto" w:line="360"/>
        <w:ind w:firstLine="720"/>
        <w:jc w:val="both"/>
        <w:rPr/>
      </w:pPr>
      <w:r>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pPr>
        <w:pStyle w:val="style94"/>
        <w:spacing w:lineRule="auto" w:line="360"/>
        <w:ind w:firstLine="720"/>
        <w:jc w:val="both"/>
        <w:rPr/>
      </w:pPr>
      <w:r>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pPr>
        <w:pStyle w:val="style0"/>
        <w:spacing w:before="100" w:beforeAutospacing="true" w:after="0" w:lineRule="auto" w:line="480"/>
        <w:rPr>
          <w:rFonts w:eastAsia="Times New Roman"/>
          <w:b/>
          <w:bCs/>
          <w:color w:val="000000"/>
          <w:sz w:val="24"/>
          <w:szCs w:val="26"/>
        </w:rPr>
      </w:pPr>
    </w:p>
    <w:p>
      <w:pPr>
        <w:pStyle w:val="style0"/>
        <w:spacing w:before="100" w:beforeAutospacing="true" w:after="0" w:lineRule="auto" w:line="480"/>
        <w:jc w:val="center"/>
        <w:rPr>
          <w:rFonts w:eastAsia="Times New Roman"/>
          <w:b/>
          <w:bCs/>
          <w:color w:val="000000"/>
          <w:sz w:val="24"/>
          <w:szCs w:val="26"/>
        </w:rPr>
      </w:pPr>
      <w:r>
        <w:rPr>
          <w:rFonts w:eastAsia="Times New Roman"/>
          <w:b/>
          <w:bCs/>
          <w:color w:val="000000"/>
          <w:sz w:val="24"/>
          <w:szCs w:val="26"/>
        </w:rPr>
        <w:t>CHAPTER FOUR</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4.0     RESULTS</w:t>
      </w:r>
    </w:p>
    <w:p>
      <w:pPr>
        <w:pStyle w:val="style4098"/>
        <w:tabs>
          <w:tab w:val="left" w:leader="none" w:pos="8100"/>
        </w:tabs>
        <w:spacing w:lineRule="auto" w:line="480"/>
        <w:jc w:val="both"/>
        <w:rPr>
          <w:color w:val="000000"/>
          <w:szCs w:val="26"/>
        </w:rPr>
      </w:pPr>
      <w:r>
        <w:rPr>
          <w:b/>
          <w:bCs/>
          <w:color w:val="000000"/>
          <w:szCs w:val="26"/>
        </w:rPr>
        <w:t xml:space="preserve">4.1 Body Weight Gain in Experimental Animals </w:t>
      </w:r>
    </w:p>
    <w:p>
      <w:pPr>
        <w:pStyle w:val="style0"/>
        <w:spacing w:before="100" w:beforeAutospacing="true" w:after="0" w:lineRule="auto" w:line="480"/>
        <w:ind w:firstLine="720"/>
        <w:jc w:val="both"/>
        <w:rPr>
          <w:rFonts w:eastAsia="Times New Roman"/>
          <w:b/>
          <w:bCs/>
          <w:color w:val="000000"/>
          <w:sz w:val="24"/>
          <w:szCs w:val="26"/>
        </w:rPr>
      </w:pPr>
      <w:r>
        <w:rPr>
          <w:color w:val="000000"/>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pPr>
        <w:pStyle w:val="style0"/>
        <w:spacing w:before="100" w:beforeAutospacing="true" w:after="0" w:lineRule="auto" w:line="360"/>
        <w:rPr>
          <w:rFonts w:eastAsia="Times New Roman"/>
          <w:b/>
          <w:bCs/>
          <w:color w:val="000000"/>
          <w:sz w:val="22"/>
          <w:szCs w:val="24"/>
        </w:rPr>
      </w:pPr>
      <w:r>
        <w:rPr>
          <w:b/>
          <w:bCs/>
          <w:color w:val="000000"/>
          <w:sz w:val="22"/>
          <w:szCs w:val="24"/>
        </w:rPr>
        <w:t>Table 4.1: Weight gain by the experimental animals during the treatment (14 days)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trPr>
          <w:trHeight w:val="597" w:hRule="atLeast"/>
        </w:trPr>
        <w:tc>
          <w:tcPr>
            <w:tcW w:w="2218"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Final Average Weight</w:t>
            </w:r>
          </w:p>
        </w:tc>
      </w:tr>
      <w:tr>
        <w:tblPrEx/>
        <w:trPr>
          <w:trHeight w:val="582" w:hRule="atLeast"/>
        </w:trPr>
        <w:tc>
          <w:tcPr>
            <w:tcW w:w="2218" w:type="dxa"/>
            <w:tcBorders>
              <w:top w:val="single" w:sz="4" w:space="0" w:color="auto"/>
            </w:tcBorders>
            <w:hideMark/>
          </w:tcPr>
          <w:p>
            <w:pPr>
              <w:pStyle w:val="style0"/>
              <w:spacing w:lineRule="auto" w:line="360"/>
              <w:rPr>
                <w:color w:val="000000"/>
                <w:sz w:val="22"/>
                <w:szCs w:val="24"/>
              </w:rPr>
            </w:pPr>
            <w:r>
              <w:rPr>
                <w:color w:val="000000"/>
                <w:sz w:val="22"/>
                <w:szCs w:val="24"/>
              </w:rPr>
              <w:t>Group 1</w:t>
            </w:r>
          </w:p>
        </w:tc>
        <w:tc>
          <w:tcPr>
            <w:tcW w:w="2502" w:type="dxa"/>
            <w:tcBorders>
              <w:top w:val="single" w:sz="4" w:space="0" w:color="auto"/>
            </w:tcBorders>
            <w:hideMark/>
          </w:tcPr>
          <w:p>
            <w:pPr>
              <w:pStyle w:val="style0"/>
              <w:spacing w:lineRule="auto" w:line="360"/>
              <w:rPr>
                <w:color w:val="000000"/>
                <w:sz w:val="22"/>
                <w:szCs w:val="24"/>
              </w:rPr>
            </w:pPr>
            <w:r>
              <w:rPr>
                <w:color w:val="000000"/>
                <w:sz w:val="22"/>
                <w:szCs w:val="24"/>
              </w:rPr>
              <w:t>131.25</w:t>
            </w:r>
          </w:p>
        </w:tc>
        <w:tc>
          <w:tcPr>
            <w:tcW w:w="2324" w:type="dxa"/>
            <w:tcBorders>
              <w:top w:val="single" w:sz="4" w:space="0" w:color="auto"/>
            </w:tcBorders>
            <w:hideMark/>
          </w:tcPr>
          <w:p>
            <w:pPr>
              <w:pStyle w:val="style0"/>
              <w:spacing w:lineRule="auto" w:line="360"/>
              <w:rPr>
                <w:color w:val="000000"/>
                <w:sz w:val="22"/>
                <w:szCs w:val="24"/>
              </w:rPr>
            </w:pPr>
            <w:r>
              <w:rPr>
                <w:color w:val="000000"/>
                <w:sz w:val="22"/>
                <w:szCs w:val="24"/>
              </w:rPr>
              <w:t>153</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2</w:t>
            </w:r>
          </w:p>
        </w:tc>
        <w:tc>
          <w:tcPr>
            <w:tcW w:w="2502" w:type="dxa"/>
            <w:tcBorders/>
            <w:hideMark/>
          </w:tcPr>
          <w:p>
            <w:pPr>
              <w:pStyle w:val="style0"/>
              <w:spacing w:lineRule="auto" w:line="360"/>
              <w:rPr>
                <w:color w:val="000000"/>
                <w:sz w:val="22"/>
                <w:szCs w:val="24"/>
              </w:rPr>
            </w:pPr>
            <w:r>
              <w:rPr>
                <w:color w:val="000000"/>
                <w:sz w:val="22"/>
                <w:szCs w:val="24"/>
              </w:rPr>
              <w:t>105.38</w:t>
            </w:r>
          </w:p>
        </w:tc>
        <w:tc>
          <w:tcPr>
            <w:tcW w:w="2324" w:type="dxa"/>
            <w:tcBorders/>
            <w:hideMark/>
          </w:tcPr>
          <w:p>
            <w:pPr>
              <w:pStyle w:val="style0"/>
              <w:spacing w:lineRule="auto" w:line="360"/>
              <w:rPr>
                <w:color w:val="000000"/>
                <w:sz w:val="22"/>
                <w:szCs w:val="24"/>
              </w:rPr>
            </w:pPr>
            <w:r>
              <w:rPr>
                <w:color w:val="000000"/>
                <w:sz w:val="22"/>
                <w:szCs w:val="24"/>
              </w:rPr>
              <w:t>120.5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3</w:t>
            </w:r>
          </w:p>
        </w:tc>
        <w:tc>
          <w:tcPr>
            <w:tcW w:w="2502" w:type="dxa"/>
            <w:tcBorders/>
            <w:hideMark/>
          </w:tcPr>
          <w:p>
            <w:pPr>
              <w:pStyle w:val="style0"/>
              <w:spacing w:lineRule="auto" w:line="360"/>
              <w:rPr>
                <w:color w:val="000000"/>
                <w:sz w:val="22"/>
                <w:szCs w:val="24"/>
              </w:rPr>
            </w:pPr>
            <w:r>
              <w:rPr>
                <w:color w:val="000000"/>
                <w:sz w:val="22"/>
                <w:szCs w:val="24"/>
              </w:rPr>
              <w:t>115.63</w:t>
            </w:r>
          </w:p>
        </w:tc>
        <w:tc>
          <w:tcPr>
            <w:tcW w:w="2324" w:type="dxa"/>
            <w:tcBorders/>
            <w:hideMark/>
          </w:tcPr>
          <w:p>
            <w:pPr>
              <w:pStyle w:val="style0"/>
              <w:spacing w:lineRule="auto" w:line="360"/>
              <w:rPr>
                <w:color w:val="000000"/>
                <w:sz w:val="22"/>
                <w:szCs w:val="24"/>
              </w:rPr>
            </w:pPr>
            <w:r>
              <w:rPr>
                <w:color w:val="000000"/>
                <w:sz w:val="22"/>
                <w:szCs w:val="24"/>
              </w:rPr>
              <w:t>114.5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4</w:t>
            </w:r>
          </w:p>
        </w:tc>
        <w:tc>
          <w:tcPr>
            <w:tcW w:w="2502" w:type="dxa"/>
            <w:tcBorders/>
            <w:hideMark/>
          </w:tcPr>
          <w:p>
            <w:pPr>
              <w:pStyle w:val="style0"/>
              <w:spacing w:lineRule="auto" w:line="360"/>
              <w:rPr>
                <w:color w:val="000000"/>
                <w:sz w:val="22"/>
                <w:szCs w:val="24"/>
              </w:rPr>
            </w:pPr>
            <w:r>
              <w:rPr>
                <w:color w:val="000000"/>
                <w:sz w:val="22"/>
                <w:szCs w:val="24"/>
              </w:rPr>
              <w:t>110.63</w:t>
            </w:r>
          </w:p>
        </w:tc>
        <w:tc>
          <w:tcPr>
            <w:tcW w:w="2324" w:type="dxa"/>
            <w:tcBorders/>
            <w:hideMark/>
          </w:tcPr>
          <w:p>
            <w:pPr>
              <w:pStyle w:val="style0"/>
              <w:spacing w:lineRule="auto" w:line="360"/>
              <w:rPr>
                <w:color w:val="000000"/>
                <w:sz w:val="22"/>
                <w:szCs w:val="24"/>
              </w:rPr>
            </w:pPr>
            <w:r>
              <w:rPr>
                <w:color w:val="000000"/>
                <w:sz w:val="22"/>
                <w:szCs w:val="24"/>
              </w:rPr>
              <w:t>124</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5</w:t>
            </w:r>
          </w:p>
        </w:tc>
        <w:tc>
          <w:tcPr>
            <w:tcW w:w="2502" w:type="dxa"/>
            <w:tcBorders/>
          </w:tcPr>
          <w:p>
            <w:pPr>
              <w:pStyle w:val="style0"/>
              <w:spacing w:lineRule="auto" w:line="360"/>
              <w:rPr>
                <w:color w:val="000000"/>
                <w:sz w:val="22"/>
                <w:szCs w:val="24"/>
              </w:rPr>
            </w:pP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_____</w:t>
            </w:r>
          </w:p>
        </w:tc>
        <w:tc>
          <w:tcPr>
            <w:tcW w:w="2324" w:type="dxa"/>
            <w:tcBorders/>
            <w:hideMark/>
          </w:tcPr>
          <w:p>
            <w:pPr>
              <w:pStyle w:val="style0"/>
              <w:spacing w:lineRule="auto" w:line="360"/>
              <w:rPr>
                <w:color w:val="000000"/>
                <w:sz w:val="22"/>
                <w:szCs w:val="24"/>
              </w:rPr>
            </w:pPr>
            <w:r>
              <w:rPr>
                <w:color w:val="000000"/>
                <w:sz w:val="22"/>
                <w:szCs w:val="24"/>
              </w:rPr>
              <w:t>128.38</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6</w:t>
            </w:r>
          </w:p>
        </w:tc>
        <w:tc>
          <w:tcPr>
            <w:tcW w:w="2502" w:type="dxa"/>
            <w:tcBorders/>
            <w:hideMark/>
          </w:tcPr>
          <w:p>
            <w:pPr>
              <w:pStyle w:val="style0"/>
              <w:spacing w:lineRule="auto" w:line="360"/>
              <w:rPr>
                <w:color w:val="000000"/>
                <w:sz w:val="22"/>
                <w:szCs w:val="24"/>
              </w:rPr>
            </w:pPr>
            <w:r>
              <w:rPr>
                <w:color w:val="000000"/>
                <w:sz w:val="22"/>
                <w:szCs w:val="24"/>
              </w:rPr>
              <w:t>121.5</w:t>
            </w:r>
          </w:p>
        </w:tc>
        <w:tc>
          <w:tcPr>
            <w:tcW w:w="2324" w:type="dxa"/>
            <w:tcBorders/>
            <w:hideMark/>
          </w:tcPr>
          <w:p>
            <w:pPr>
              <w:pStyle w:val="style0"/>
              <w:spacing w:lineRule="auto" w:line="360"/>
              <w:rPr>
                <w:color w:val="000000"/>
                <w:sz w:val="22"/>
                <w:szCs w:val="24"/>
              </w:rPr>
            </w:pPr>
            <w:r>
              <w:rPr>
                <w:color w:val="000000"/>
                <w:sz w:val="22"/>
                <w:szCs w:val="24"/>
              </w:rPr>
              <w:t>136.75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7</w:t>
            </w:r>
          </w:p>
        </w:tc>
        <w:tc>
          <w:tcPr>
            <w:tcW w:w="2502" w:type="dxa"/>
            <w:tcBorders/>
            <w:hideMark/>
          </w:tcPr>
          <w:p>
            <w:pPr>
              <w:pStyle w:val="style0"/>
              <w:spacing w:lineRule="auto" w:line="360"/>
              <w:rPr>
                <w:color w:val="000000"/>
                <w:sz w:val="22"/>
                <w:szCs w:val="24"/>
              </w:rPr>
            </w:pPr>
            <w:r>
              <w:rPr>
                <w:color w:val="000000"/>
                <w:sz w:val="22"/>
                <w:szCs w:val="24"/>
              </w:rPr>
              <w:t>144.63</w:t>
            </w:r>
          </w:p>
        </w:tc>
        <w:tc>
          <w:tcPr>
            <w:tcW w:w="2324" w:type="dxa"/>
            <w:tcBorders/>
            <w:hideMark/>
          </w:tcPr>
          <w:p>
            <w:pPr>
              <w:pStyle w:val="style0"/>
              <w:spacing w:lineRule="auto" w:line="360"/>
              <w:rPr>
                <w:color w:val="000000"/>
                <w:sz w:val="22"/>
                <w:szCs w:val="24"/>
              </w:rPr>
            </w:pPr>
            <w:r>
              <w:rPr>
                <w:color w:val="000000"/>
                <w:sz w:val="22"/>
                <w:szCs w:val="24"/>
              </w:rPr>
              <w:t>143.5</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4.2: Phytochemical Present in the Sample </w:t>
      </w:r>
    </w:p>
    <w:p>
      <w:pPr>
        <w:pStyle w:val="style0"/>
        <w:spacing w:before="100" w:beforeAutospacing="true" w:after="0" w:lineRule="auto" w:line="480"/>
        <w:ind w:firstLine="720"/>
        <w:jc w:val="both"/>
        <w:rPr>
          <w:color w:val="000000"/>
          <w:sz w:val="24"/>
          <w:szCs w:val="26"/>
        </w:rPr>
      </w:pPr>
      <w:r>
        <w:rPr>
          <w:rStyle w:val="style87"/>
          <w:b w:val="false"/>
          <w:bCs w:val="false"/>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r>
        <w:rPr>
          <w:color w:val="000000"/>
          <w:sz w:val="24"/>
          <w:szCs w:val="26"/>
        </w:rPr>
        <w:t>,.</w:t>
      </w:r>
      <w:r>
        <w:rPr>
          <w:color w:val="000000"/>
          <w:sz w:val="24"/>
          <w:szCs w:val="26"/>
        </w:rPr>
        <w:t xml:space="preserve"> </w:t>
      </w:r>
    </w:p>
    <w:p>
      <w:pPr>
        <w:pStyle w:val="style0"/>
        <w:spacing w:before="100" w:beforeAutospacing="true" w:after="0" w:lineRule="auto" w:line="480"/>
        <w:jc w:val="both"/>
        <w:rPr>
          <w:b/>
          <w:color w:val="000000"/>
          <w:sz w:val="24"/>
          <w:szCs w:val="26"/>
        </w:rPr>
      </w:pPr>
      <w:r>
        <w:rPr>
          <w:b/>
          <w:color w:val="000000"/>
          <w:sz w:val="24"/>
          <w:szCs w:val="26"/>
        </w:rPr>
        <w:t xml:space="preserve">Table </w:t>
      </w:r>
      <w:r>
        <w:rPr>
          <w:b/>
          <w:color w:val="000000"/>
          <w:sz w:val="24"/>
          <w:szCs w:val="26"/>
        </w:rPr>
        <w:t xml:space="preserve">4.2:  Phytochemical present in </w:t>
      </w:r>
      <w:r>
        <w:rPr>
          <w:b/>
          <w:i/>
          <w:color w:val="000000"/>
          <w:sz w:val="24"/>
          <w:szCs w:val="26"/>
        </w:rPr>
        <w:t>Sida Acuta</w:t>
      </w:r>
    </w:p>
    <w:p>
      <w:pPr>
        <w:pStyle w:val="style0"/>
        <w:pBdr>
          <w:top w:val="single" w:sz="4" w:space="1" w:color="auto"/>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pPr>
        <w:pStyle w:val="style0"/>
        <w:pBdr>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 xml:space="preserve"> +</w:t>
      </w:r>
      <w:r>
        <w:rPr>
          <w:color w:val="000000"/>
          <w:sz w:val="26"/>
        </w:rPr>
        <w:tab/>
      </w:r>
      <w:r>
        <w:rPr>
          <w:color w:val="000000"/>
          <w:sz w:val="26"/>
        </w:rPr>
        <w:tab/>
      </w:r>
      <w:r>
        <w:rPr>
          <w:color w:val="000000"/>
          <w:sz w:val="26"/>
        </w:rPr>
        <w:t>+</w:t>
      </w:r>
    </w:p>
    <w:p>
      <w:pPr>
        <w:pStyle w:val="style0"/>
        <w:spacing w:before="100" w:beforeAutospacing="true" w:after="0" w:lineRule="auto" w:line="480"/>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r>
        <w:rPr>
          <w:rFonts w:eastAsia="Times New Roman"/>
          <w:b/>
          <w:bCs/>
          <w:color w:val="000000"/>
          <w:sz w:val="24"/>
          <w:szCs w:val="26"/>
        </w:rPr>
        <w:t xml:space="preserve">Total Tannin Result Using </w:t>
      </w:r>
      <w:r>
        <w:rPr>
          <w:rFonts w:eastAsia="Times New Roman"/>
          <w:b/>
          <w:bCs/>
          <w:color w:val="000000"/>
          <w:sz w:val="24"/>
          <w:szCs w:val="26"/>
        </w:rPr>
        <w:t>Uv</w:t>
      </w:r>
      <w:r>
        <w:rPr>
          <w:rFonts w:eastAsia="Times New Roman"/>
          <w:b/>
          <w:bCs/>
          <w:color w:val="000000"/>
          <w:sz w:val="24"/>
          <w:szCs w:val="26"/>
        </w:rPr>
        <w:t xml:space="preserve"> Spectrophotometer</w:t>
      </w:r>
    </w:p>
    <w:p>
      <w:pPr>
        <w:pStyle w:val="style94"/>
        <w:spacing w:lineRule="auto" w:line="480"/>
        <w:jc w:val="both"/>
        <w:rPr>
          <w:color w:val="000000"/>
          <w:szCs w:val="26"/>
        </w:rPr>
      </w:pPr>
      <w:r>
        <w:rPr>
          <w:noProof/>
          <w:color w:val="000000"/>
          <w:sz w:val="22"/>
        </w:rPr>
      </w:r>
      <w:r>
        <w:rPr>
          <w:noProof/>
          <w:color w:val="000000"/>
          <w:sz w:val="22"/>
        </w:rPr>
      </w:r>
      <w:r>
        <w:rPr>
          <w:noProof/>
          <w:color w:val="000000"/>
          <w:sz w:val="22"/>
        </w:rPr>
      </w:r>
      <w:r>
        <w:rPr>
          <w:noProof/>
          <w:color w:val="000000"/>
          <w:sz w:val="22"/>
        </w:rPr>
        <w:drawing>
          <wp:inline distL="114300" distT="0" distB="0" distR="114300">
            <wp:extent cx="5314950" cy="3476625"/>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color w:val="000000"/>
          <w:sz w:val="22"/>
        </w:rPr>
      </w:r>
    </w:p>
    <w:p>
      <w:pPr>
        <w:pStyle w:val="style94"/>
        <w:pBdr>
          <w:top w:val="single" w:sz="4" w:space="1" w:color="auto"/>
          <w:bottom w:val="single" w:sz="4" w:space="1" w:color="auto"/>
        </w:pBdr>
        <w:spacing w:lineRule="auto" w:line="480"/>
        <w:jc w:val="both"/>
        <w:rPr>
          <w:color w:val="000000"/>
          <w:szCs w:val="26"/>
        </w:rPr>
      </w:pPr>
      <w:r>
        <w:rPr>
          <w:b/>
          <w:bCs/>
          <w:color w:val="000000"/>
          <w:szCs w:val="26"/>
        </w:rPr>
        <w:t>Conc(</w:t>
      </w:r>
      <w:r>
        <w:rPr>
          <w:b/>
          <w:bCs/>
          <w:color w:val="000000"/>
          <w:szCs w:val="26"/>
        </w:rPr>
        <w:t>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cs="Calibri" w:hAnsi="Calibri"/>
          <w:b/>
          <w:bCs/>
          <w:color w:val="000000"/>
          <w:sz w:val="22"/>
        </w:rPr>
        <w:t>ABS(nm)</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1</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2</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3</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4</w:t>
      </w:r>
    </w:p>
    <w:p>
      <w:pPr>
        <w:pStyle w:val="style0"/>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cs="Calibri" w:eastAsia="Times New Roman" w:hAnsi="Calibri"/>
          <w:b/>
          <w:bCs/>
          <w:color w:val="000000"/>
          <w:sz w:val="26"/>
        </w:rPr>
        <w:t>ABS</w:t>
      </w:r>
    </w:p>
    <w:p>
      <w:pPr>
        <w:pStyle w:val="style0"/>
        <w:pBdr>
          <w:bottom w:val="single" w:sz="4" w:space="1" w:color="auto"/>
        </w:pBdr>
        <w:rPr>
          <w:rFonts w:ascii="Calibri" w:cs="Calibri" w:eastAsia="Times New Roman" w:hAnsi="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cs="Calibri" w:eastAsia="Times New Roman" w:hAnsi="Calibri"/>
          <w:color w:val="000000"/>
          <w:sz w:val="26"/>
        </w:rPr>
        <w:t>0.9116, 0.9113, 0.9113</w:t>
      </w:r>
    </w:p>
    <w:p>
      <w:pPr>
        <w:pStyle w:val="style0"/>
        <w:pBdr>
          <w:bottom w:val="single" w:sz="4" w:space="1" w:color="auto"/>
        </w:pBdr>
        <w:rPr>
          <w:rFonts w:ascii="Calibri" w:cs="Calibri" w:eastAsia="Times New Roman" w:hAnsi="Calibri"/>
          <w:color w:val="000000"/>
          <w:sz w:val="26"/>
        </w:rPr>
      </w:pPr>
      <w:r>
        <w:rPr>
          <w:rFonts w:ascii="Calibri" w:cs="Calibri" w:eastAsia="Times New Roman" w:hAnsi="Calibri"/>
          <w:color w:val="000000"/>
          <w:sz w:val="26"/>
        </w:rPr>
        <w:t>Group 1</w:t>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1.3847, 1.3845, 1.3843</w:t>
      </w:r>
    </w:p>
    <w:p>
      <w:pPr>
        <w:pStyle w:val="style0"/>
        <w:spacing w:before="100" w:beforeAutospacing="true" w:after="0" w:lineRule="auto" w:line="480"/>
        <w:jc w:val="both"/>
        <w:rPr>
          <w:color w:val="000000"/>
          <w:sz w:val="24"/>
          <w:szCs w:val="26"/>
        </w:rPr>
      </w:pPr>
      <w:r>
        <w:rPr>
          <w:rFonts w:eastAsia="Times New Roman"/>
          <w:b/>
          <w:bCs/>
          <w:color w:val="000000"/>
          <w:sz w:val="24"/>
          <w:szCs w:val="26"/>
        </w:rPr>
        <w:t xml:space="preserve">4.3. Proximate </w:t>
      </w:r>
      <w:r>
        <w:rPr>
          <w:rFonts w:eastAsia="Times New Roman"/>
          <w:b/>
          <w:bCs/>
          <w:color w:val="000000"/>
          <w:sz w:val="24"/>
          <w:szCs w:val="26"/>
        </w:rPr>
        <w:t>Composition</w:t>
      </w:r>
      <w:r>
        <w:rPr>
          <w:rFonts w:eastAsia="Times New Roman"/>
          <w:b/>
          <w:bCs/>
          <w:color w:val="000000"/>
          <w:sz w:val="24"/>
          <w:szCs w:val="26"/>
        </w:rPr>
        <w:t xml:space="preserve"> of </w:t>
      </w:r>
      <w:r>
        <w:rPr>
          <w:rFonts w:eastAsia="Times New Roman"/>
          <w:b/>
          <w:bCs/>
          <w:i/>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r>
        <w:rPr>
          <w:rFonts w:eastAsia="Times New Roman"/>
          <w:color w:val="000000"/>
          <w:sz w:val="24"/>
          <w:szCs w:val="26"/>
        </w:rPr>
        <w:t>high,</w:t>
      </w:r>
      <w:r>
        <w:rPr>
          <w:rFonts w:eastAsia="Times New Roman"/>
          <w:color w:val="000000"/>
          <w:sz w:val="24"/>
          <w:szCs w:val="26"/>
        </w:rPr>
        <w:t xml:space="preserve"> This suggests that both samples can serve as go</w:t>
      </w:r>
      <w:r>
        <w:rPr>
          <w:rFonts w:eastAsia="Times New Roman"/>
          <w:color w:val="000000"/>
          <w:sz w:val="24"/>
          <w:szCs w:val="26"/>
        </w:rPr>
        <w:t>od sources of protein. However</w:t>
      </w:r>
      <w:r>
        <w:rPr>
          <w:rFonts w:eastAsia="Times New Roman"/>
          <w:color w:val="000000"/>
          <w:sz w:val="24"/>
          <w:szCs w:val="26"/>
        </w:rPr>
        <w:t>, which may make it more suitable for applications where protein content is a critical factor, such as in animal feeds or human diets requiring higher nitrogen intake.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w:t>
      </w:r>
      <w:r>
        <w:rPr>
          <w:rFonts w:eastAsia="Times New Roman"/>
          <w:color w:val="000000"/>
          <w:sz w:val="24"/>
          <w:szCs w:val="26"/>
        </w:rPr>
        <w:t xml:space="preserve"> essential fatty acids, was 7.14</w:t>
      </w:r>
      <w:r>
        <w:rPr>
          <w:rFonts w:eastAsia="Times New Roman"/>
          <w:color w:val="000000"/>
          <w:sz w:val="24"/>
          <w:szCs w:val="26"/>
        </w:rPr>
        <w:t xml:space="preserve">%. </w:t>
      </w:r>
      <w:r>
        <w:rPr>
          <w:rFonts w:eastAsia="Times New Roman"/>
          <w:color w:val="000000"/>
          <w:sz w:val="24"/>
          <w:szCs w:val="26"/>
        </w:rPr>
        <w:t xml:space="preserve">The </w:t>
      </w:r>
      <w:r>
        <w:rPr>
          <w:rFonts w:eastAsia="Times New Roman"/>
          <w:color w:val="000000"/>
          <w:sz w:val="24"/>
          <w:szCs w:val="26"/>
        </w:rPr>
        <w:t>higher energy density due</w:t>
      </w:r>
      <w:r>
        <w:rPr>
          <w:rFonts w:eastAsia="Times New Roman"/>
          <w:color w:val="000000"/>
          <w:sz w:val="24"/>
          <w:szCs w:val="26"/>
        </w:rPr>
        <w:t xml:space="preserve"> to its higher fat content.</w:t>
      </w:r>
      <w:r>
        <w:rPr>
          <w:rFonts w:eastAsia="Times New Roman"/>
          <w:color w:val="000000"/>
          <w:sz w:val="24"/>
          <w:szCs w:val="26"/>
        </w:rPr>
        <w:t xml:space="preserve"> </w:t>
      </w:r>
      <w:r>
        <w:rPr>
          <w:rFonts w:eastAsia="Times New Roman"/>
          <w:color w:val="000000"/>
          <w:sz w:val="24"/>
          <w:szCs w:val="26"/>
        </w:rPr>
        <w:t>Sample</w:t>
      </w:r>
      <w:r>
        <w:rPr>
          <w:rFonts w:eastAsia="Times New Roman"/>
          <w:color w:val="000000"/>
          <w:sz w:val="24"/>
          <w:szCs w:val="26"/>
        </w:rPr>
        <w:t xml:space="preserve"> have</w:t>
      </w:r>
      <w:r>
        <w:rPr>
          <w:rFonts w:eastAsia="Times New Roman"/>
          <w:color w:val="000000"/>
          <w:sz w:val="24"/>
          <w:szCs w:val="26"/>
        </w:rPr>
        <w:t xml:space="preserve"> relatively low lipid contents, suggesting that they are not overly rich in fats, which could be desirable depending on the intended use.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Moisture Content: Moisture content in both samples is low, which is ideal for preserving the quality and shelf life of the samples. </w:t>
      </w:r>
      <w:r>
        <w:rPr>
          <w:rFonts w:eastAsia="Times New Roman"/>
          <w:color w:val="000000"/>
          <w:sz w:val="24"/>
          <w:szCs w:val="26"/>
        </w:rPr>
        <w:t>t</w:t>
      </w:r>
      <w:r>
        <w:rPr>
          <w:rFonts w:eastAsia="Times New Roman"/>
          <w:color w:val="000000"/>
          <w:sz w:val="24"/>
          <w:szCs w:val="26"/>
        </w:rPr>
        <w:t>he</w:t>
      </w:r>
      <w:r>
        <w:rPr>
          <w:rFonts w:eastAsia="Times New Roman"/>
          <w:color w:val="000000"/>
          <w:sz w:val="24"/>
          <w:szCs w:val="26"/>
        </w:rPr>
        <w:t xml:space="preserv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Total Ash Content: </w:t>
      </w:r>
      <w:r>
        <w:rPr>
          <w:rFonts w:eastAsia="Times New Roman"/>
          <w:color w:val="000000"/>
          <w:sz w:val="24"/>
          <w:szCs w:val="26"/>
        </w:rPr>
        <w:t>of sample</w:t>
      </w:r>
      <w:r>
        <w:rPr>
          <w:rFonts w:eastAsia="Times New Roman"/>
          <w:color w:val="000000"/>
          <w:sz w:val="24"/>
          <w:szCs w:val="26"/>
        </w:rPr>
        <w:t xml:space="preserve"> show similar </w:t>
      </w:r>
      <w:r>
        <w:rPr>
          <w:rFonts w:eastAsia="Times New Roman"/>
          <w:color w:val="000000"/>
          <w:sz w:val="24"/>
          <w:szCs w:val="26"/>
        </w:rPr>
        <w:t xml:space="preserve">moderate </w:t>
      </w:r>
      <w:r>
        <w:rPr>
          <w:rFonts w:eastAsia="Times New Roman"/>
          <w:color w:val="000000"/>
          <w:sz w:val="24"/>
          <w:szCs w:val="26"/>
        </w:rPr>
        <w:t xml:space="preserve">ash contents, </w:t>
      </w:r>
      <w:r>
        <w:rPr>
          <w:rFonts w:eastAsia="Times New Roman"/>
          <w:color w:val="000000"/>
          <w:sz w:val="24"/>
          <w:szCs w:val="26"/>
        </w:rPr>
        <w:t>This</w:t>
      </w:r>
      <w:r>
        <w:rPr>
          <w:rFonts w:eastAsia="Times New Roman"/>
          <w:color w:val="000000"/>
          <w:sz w:val="24"/>
          <w:szCs w:val="26"/>
        </w:rPr>
        <w:t xml:space="preserve"> indicates that t</w:t>
      </w:r>
      <w:r>
        <w:rPr>
          <w:rFonts w:eastAsia="Times New Roman"/>
          <w:color w:val="000000"/>
          <w:sz w:val="24"/>
          <w:szCs w:val="26"/>
        </w:rPr>
        <w:t>he inorganic mineral content in the sample</w:t>
      </w:r>
      <w:r>
        <w:rPr>
          <w:rFonts w:eastAsia="Times New Roman"/>
          <w:color w:val="000000"/>
          <w:sz w:val="24"/>
          <w:szCs w:val="26"/>
        </w:rPr>
        <w:t xml:space="preserve">. </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Fibre Content: Crude fibre, which plays a crucial role in digestion and overall gastrointestinal health, was found to be significantly higher, which contained 27.52%</w:t>
      </w:r>
      <w:r>
        <w:rPr>
          <w:rFonts w:eastAsia="Times New Roman"/>
          <w:color w:val="000000"/>
          <w:sz w:val="24"/>
          <w:szCs w:val="26"/>
        </w:rPr>
        <w:t xml:space="preserve">. The higher fibre content in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Carbohydrate Content: Both samples contain substantial amounts of carbohydrates, which are the primary energy source for bot</w:t>
      </w:r>
      <w:r>
        <w:rPr>
          <w:rFonts w:eastAsia="Times New Roman"/>
          <w:color w:val="000000"/>
          <w:sz w:val="24"/>
          <w:szCs w:val="26"/>
        </w:rPr>
        <w:t xml:space="preserve">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w:t>
      </w:r>
      <w:r>
        <w:rPr>
          <w:rFonts w:eastAsia="Times New Roman"/>
          <w:color w:val="000000"/>
          <w:sz w:val="24"/>
          <w:szCs w:val="26"/>
        </w:rPr>
        <w:t>This</w:t>
      </w:r>
      <w:r>
        <w:rPr>
          <w:rFonts w:eastAsia="Times New Roman"/>
          <w:color w:val="000000"/>
          <w:sz w:val="24"/>
          <w:szCs w:val="26"/>
        </w:rPr>
        <w:t xml:space="preserve"> </w:t>
      </w:r>
      <w:r>
        <w:rPr>
          <w:rFonts w:eastAsia="Times New Roman"/>
          <w:color w:val="000000"/>
          <w:sz w:val="24"/>
          <w:szCs w:val="26"/>
        </w:rPr>
        <w:t xml:space="preserve">that </w:t>
      </w:r>
      <w:r>
        <w:rPr>
          <w:rFonts w:eastAsia="Times New Roman"/>
          <w:i/>
          <w:color w:val="000000"/>
          <w:sz w:val="24"/>
          <w:szCs w:val="26"/>
        </w:rPr>
        <w:t>Sida acuta</w:t>
      </w:r>
      <w:r>
        <w:rPr>
          <w:rFonts w:eastAsia="Times New Roman"/>
          <w:color w:val="000000"/>
          <w:sz w:val="24"/>
          <w:szCs w:val="26"/>
        </w:rPr>
        <w:t xml:space="preserve"> might prov</w:t>
      </w:r>
      <w:r>
        <w:rPr>
          <w:rFonts w:eastAsia="Times New Roman"/>
          <w:color w:val="000000"/>
          <w:sz w:val="24"/>
          <w:szCs w:val="26"/>
        </w:rPr>
        <w:t>ide slightly more energy</w:t>
      </w:r>
      <w:r>
        <w:rPr>
          <w:rFonts w:eastAsia="Times New Roman"/>
          <w:color w:val="000000"/>
          <w:sz w:val="24"/>
          <w:szCs w:val="26"/>
        </w:rPr>
        <w:t>, making it a more efficient energy source.</w:t>
      </w: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Table 4.3: Proximate Composition</w:t>
      </w:r>
      <w:r>
        <w:rPr>
          <w:rFonts w:eastAsia="Times New Roman"/>
          <w:b/>
          <w:bCs/>
          <w:color w:val="000000"/>
          <w:sz w:val="24"/>
          <w:szCs w:val="26"/>
        </w:rPr>
        <w:t xml:space="preserve">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990"/>
        <w:gridCol w:w="1345"/>
        <w:gridCol w:w="1149"/>
        <w:gridCol w:w="1633"/>
        <w:gridCol w:w="1036"/>
        <w:gridCol w:w="1158"/>
        <w:gridCol w:w="1689"/>
      </w:tblGrid>
      <w:tr>
        <w:trPr>
          <w:trHeight w:val="1354" w:hRule="atLeast"/>
          <w:tblHeader/>
          <w:tblCellSpacing w:w="15" w:type="dxa"/>
        </w:trPr>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Carbohydrate (%)</w:t>
            </w:r>
          </w:p>
        </w:tc>
      </w:tr>
      <w:tr>
        <w:tblPrEx/>
        <w:trPr>
          <w:trHeight w:val="647" w:hRule="atLeast"/>
          <w:tblCellSpacing w:w="15" w:type="dxa"/>
        </w:trPr>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w:t>
            </w:r>
          </w:p>
        </w:tc>
        <w:tc>
          <w:tcPr>
            <w:tcW w:w="0" w:type="auto"/>
            <w:tcBorders/>
            <w:vAlign w:val="center"/>
            <w:hideMark/>
          </w:tcPr>
          <w:p>
            <w:pPr>
              <w:pStyle w:val="style0"/>
              <w:spacing w:after="0" w:lineRule="auto" w:line="480"/>
              <w:jc w:val="center"/>
              <w:rPr>
                <w:rFonts w:eastAsia="Times New Roman"/>
                <w:i/>
                <w:color w:val="000000"/>
                <w:sz w:val="24"/>
                <w:szCs w:val="26"/>
              </w:rPr>
            </w:pPr>
            <w:r>
              <w:rPr>
                <w:rFonts w:eastAsia="Times New Roman"/>
                <w:i/>
                <w:color w:val="000000"/>
                <w:sz w:val="24"/>
                <w:szCs w:val="26"/>
              </w:rPr>
              <w:t>Sida acuta</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13.57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7.14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8.24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11.42</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28.37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31.16</w:t>
            </w:r>
          </w:p>
        </w:tc>
      </w:tr>
      <w:tr>
        <w:tblPrEx/>
        <w:trPr>
          <w:trHeight w:val="677" w:hRule="atLeast"/>
          <w:tblCellSpacing w:w="15" w:type="dxa"/>
        </w:trPr>
        <w:tc>
          <w:tcPr>
            <w:tcW w:w="0" w:type="auto"/>
            <w:tcBorders/>
            <w:vAlign w:val="center"/>
            <w:hideMark/>
          </w:tcPr>
          <w:p>
            <w:pPr>
              <w:pStyle w:val="style0"/>
              <w:spacing w:after="0" w:lineRule="auto" w:line="480"/>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r>
    </w:tbl>
    <w:p>
      <w:pPr>
        <w:pStyle w:val="style0"/>
        <w:spacing w:after="160" w:lineRule="auto" w:line="259"/>
        <w:rPr>
          <w:rFonts w:eastAsia="Times New Roman"/>
          <w:b/>
          <w:bCs/>
          <w:color w:val="000000"/>
          <w:sz w:val="24"/>
          <w:szCs w:val="26"/>
        </w:rPr>
      </w:pPr>
    </w:p>
    <w:p>
      <w:pPr>
        <w:pStyle w:val="style0"/>
        <w:spacing w:after="160" w:lineRule="auto" w:line="259"/>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sodium (Na) content was relatively low at 2.962 mg/100g. </w:t>
      </w:r>
      <w:r>
        <w:rPr>
          <w:rFonts w:eastAsia="Times New Roman"/>
          <w:color w:val="000000"/>
          <w:sz w:val="24"/>
          <w:szCs w:val="26"/>
        </w:rPr>
        <w:t xml:space="preserve">This low sodium level is noteworthy because diets high in sodium are associated with hypertension and cardiovascular diseases; thus, the consumption of </w:t>
      </w:r>
      <w:r>
        <w:rPr>
          <w:rFonts w:eastAsia="Times New Roman"/>
          <w:i/>
          <w:iCs/>
          <w:color w:val="000000"/>
          <w:sz w:val="24"/>
          <w:szCs w:val="26"/>
        </w:rPr>
        <w:t>Sida acuta</w:t>
      </w:r>
      <w:r>
        <w:rPr>
          <w:rFonts w:eastAsia="Times New Roman"/>
          <w:color w:val="000000"/>
          <w:sz w:val="24"/>
          <w:szCs w:val="26"/>
        </w:rPr>
        <w:t xml:space="preserve"> may not pose such risks.</w:t>
      </w:r>
      <w:r>
        <w:rPr>
          <w:rFonts w:eastAsia="Times New Roman"/>
          <w:color w:val="000000"/>
          <w:sz w:val="24"/>
          <w:szCs w:val="26"/>
        </w:rPr>
        <w:t xml:space="preserve"> Conversely, the potassium (K) level was relatively high at 5.833 mg/100g. Potassium is known for its role in maintaining electrolyte balance, nerve transmission, and regulating </w:t>
      </w:r>
      <w:r>
        <w:rPr>
          <w:rFonts w:eastAsia="Times New Roman"/>
          <w:color w:val="000000"/>
          <w:sz w:val="24"/>
          <w:szCs w:val="26"/>
        </w:rPr>
        <w:t xml:space="preserve">blood pressure. The high potassium-to-sodium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Pr>
          <w:rFonts w:eastAsia="Times New Roman"/>
          <w:color w:val="000000"/>
          <w:sz w:val="24"/>
          <w:szCs w:val="26"/>
        </w:rPr>
        <w:t>r function and nerve signaling.</w:t>
      </w: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Table 4.4: Mineral Composition of </w:t>
      </w:r>
      <w:r>
        <w:rPr>
          <w:rFonts w:eastAsia="Times New Roman"/>
          <w:b/>
          <w:bCs/>
          <w:i/>
          <w:iCs/>
          <w:color w:val="000000"/>
          <w:sz w:val="24"/>
          <w:szCs w:val="26"/>
        </w:rPr>
        <w:t>Sida acuta</w:t>
      </w:r>
    </w:p>
    <w:tbl>
      <w:tblPr>
        <w:tblStyle w:val="style154"/>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trPr>
          <w:trHeight w:val="857" w:hRule="atLeast"/>
        </w:trPr>
        <w:tc>
          <w:tcPr>
            <w:tcW w:w="781"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Ca</w:t>
            </w:r>
          </w:p>
        </w:tc>
      </w:tr>
      <w:tr>
        <w:tblPrEx/>
        <w:trPr>
          <w:trHeight w:val="908" w:hRule="atLeast"/>
        </w:trPr>
        <w:tc>
          <w:tcPr>
            <w:tcW w:w="781" w:type="dxa"/>
            <w:tcBorders>
              <w:top w:val="single" w:sz="4" w:space="0" w:color="auto"/>
            </w:tcBorders>
          </w:tcPr>
          <w:p>
            <w:pPr>
              <w:pStyle w:val="style0"/>
              <w:spacing w:before="100" w:beforeAutospacing="true" w:lineRule="auto" w:line="480"/>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pPr>
              <w:pStyle w:val="style0"/>
              <w:spacing w:before="100" w:beforeAutospacing="true" w:lineRule="auto" w:line="480"/>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2.023</w:t>
            </w:r>
          </w:p>
          <w:p>
            <w:pPr>
              <w:pStyle w:val="style0"/>
              <w:spacing w:lineRule="auto" w:line="480"/>
              <w:jc w:val="both"/>
              <w:rPr>
                <w:rFonts w:ascii="Calibri" w:cs="Calibri" w:hAnsi="Calibri"/>
                <w:color w:val="000000"/>
                <w:sz w:val="24"/>
                <w:szCs w:val="26"/>
              </w:rPr>
            </w:pPr>
          </w:p>
        </w:tc>
        <w:tc>
          <w:tcPr>
            <w:tcW w:w="995"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1.0948</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0.570</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2.962</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5.833</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5.376</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0.476</w:t>
            </w:r>
          </w:p>
          <w:p>
            <w:pPr>
              <w:pStyle w:val="style0"/>
              <w:spacing w:lineRule="auto" w:line="480"/>
              <w:jc w:val="both"/>
              <w:rPr>
                <w:rFonts w:ascii="Calibri" w:cs="Calibri" w:hAnsi="Calibri"/>
                <w:color w:val="000000"/>
                <w:sz w:val="24"/>
                <w:szCs w:val="26"/>
              </w:rPr>
            </w:pPr>
          </w:p>
        </w:tc>
        <w:tc>
          <w:tcPr>
            <w:tcW w:w="957"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4.031</w:t>
            </w:r>
          </w:p>
        </w:tc>
      </w:tr>
    </w:tbl>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Key: iron (Fe), copper (Cu), zinc (Zn), sodium (Na), potassium (K), and Magnesium (Mg).</w:t>
      </w: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lineRule="auto" w:line="480"/>
        <w:rPr>
          <w:rFonts w:eastAsia="Times New Roman"/>
          <w:color w:val="000000"/>
          <w:sz w:val="24"/>
          <w:szCs w:val="26"/>
        </w:rPr>
      </w:pPr>
    </w:p>
    <w:p>
      <w:pPr>
        <w:pStyle w:val="style0"/>
        <w:spacing w:lineRule="auto" w:line="480"/>
        <w:rPr>
          <w:sz w:val="22"/>
          <w:szCs w:val="24"/>
        </w:rPr>
      </w:pPr>
      <w:r>
        <w:rPr>
          <w:b/>
          <w:sz w:val="22"/>
          <w:szCs w:val="24"/>
        </w:rPr>
        <w:t xml:space="preserve">Table </w:t>
      </w:r>
      <w:r>
        <w:rPr>
          <w:b/>
          <w:sz w:val="22"/>
          <w:szCs w:val="24"/>
        </w:rPr>
        <w:t>4.5</w:t>
      </w:r>
      <w:r>
        <w:rPr>
          <w:b/>
          <w:sz w:val="22"/>
          <w:szCs w:val="24"/>
        </w:rPr>
        <w:t>:</w:t>
      </w:r>
      <w:r>
        <w:rPr>
          <w:sz w:val="22"/>
          <w:szCs w:val="24"/>
        </w:rPr>
        <w:t xml:space="preserve"> </w:t>
      </w:r>
      <w:r>
        <w:rPr>
          <w:b/>
          <w:sz w:val="22"/>
          <w:szCs w:val="24"/>
        </w:rPr>
        <w:t>Antioxidants and Liver Function Index</w:t>
      </w:r>
    </w:p>
    <w:tbl>
      <w:tblPr>
        <w:tblStyle w:val="style154"/>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trPr/>
        <w:tc>
          <w:tcPr>
            <w:tcW w:w="810" w:type="dxa"/>
            <w:tcBorders>
              <w:top w:val="single" w:sz="4" w:space="0" w:color="auto"/>
              <w:bottom w:val="single" w:sz="4" w:space="0" w:color="auto"/>
            </w:tcBorders>
          </w:tcPr>
          <w:p>
            <w:pPr>
              <w:pStyle w:val="style0"/>
              <w:spacing w:lineRule="auto" w:line="480"/>
              <w:rPr>
                <w:b/>
                <w:sz w:val="22"/>
                <w:szCs w:val="24"/>
              </w:rPr>
            </w:pPr>
            <w:r>
              <w:rPr>
                <w:b/>
                <w:sz w:val="22"/>
                <w:szCs w:val="24"/>
              </w:rPr>
              <w:t>S/N</w:t>
            </w:r>
          </w:p>
        </w:tc>
        <w:tc>
          <w:tcPr>
            <w:tcW w:w="1170" w:type="dxa"/>
            <w:tcBorders>
              <w:top w:val="single" w:sz="4" w:space="0" w:color="auto"/>
              <w:bottom w:val="single" w:sz="4" w:space="0" w:color="auto"/>
            </w:tcBorders>
          </w:tcPr>
          <w:p>
            <w:pPr>
              <w:pStyle w:val="style0"/>
              <w:spacing w:lineRule="auto" w:line="480"/>
              <w:rPr>
                <w:b/>
                <w:sz w:val="22"/>
                <w:szCs w:val="24"/>
              </w:rPr>
            </w:pPr>
            <w:r>
              <w:rPr>
                <w:b/>
                <w:sz w:val="22"/>
                <w:szCs w:val="24"/>
              </w:rPr>
              <w:t>Title</w:t>
            </w:r>
          </w:p>
        </w:tc>
        <w:tc>
          <w:tcPr>
            <w:tcW w:w="1316" w:type="dxa"/>
            <w:tcBorders>
              <w:top w:val="single" w:sz="4" w:space="0" w:color="auto"/>
              <w:bottom w:val="single" w:sz="4" w:space="0" w:color="auto"/>
            </w:tcBorders>
          </w:tcPr>
          <w:p>
            <w:pPr>
              <w:pStyle w:val="style0"/>
              <w:spacing w:lineRule="auto" w:line="480"/>
              <w:rPr>
                <w:b/>
                <w:sz w:val="22"/>
                <w:szCs w:val="24"/>
              </w:rPr>
            </w:pPr>
            <w:r>
              <w:rPr>
                <w:b/>
                <w:sz w:val="22"/>
                <w:szCs w:val="24"/>
              </w:rPr>
              <w:t>Control</w:t>
            </w:r>
          </w:p>
        </w:tc>
        <w:tc>
          <w:tcPr>
            <w:tcW w:w="1236" w:type="dxa"/>
            <w:tcBorders>
              <w:top w:val="single" w:sz="4" w:space="0" w:color="auto"/>
              <w:bottom w:val="single" w:sz="4" w:space="0" w:color="auto"/>
            </w:tcBorders>
          </w:tcPr>
          <w:p>
            <w:pPr>
              <w:pStyle w:val="style0"/>
              <w:spacing w:lineRule="auto" w:line="480"/>
              <w:rPr>
                <w:b/>
                <w:sz w:val="22"/>
                <w:szCs w:val="24"/>
              </w:rPr>
            </w:pPr>
            <w:r>
              <w:rPr>
                <w:b/>
                <w:sz w:val="20"/>
                <w:szCs w:val="24"/>
              </w:rPr>
              <w:t>Untreated</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Standard Drug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100mg/kg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200mg/kg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400mg/kg</w:t>
            </w:r>
          </w:p>
        </w:tc>
        <w:tc>
          <w:tcPr>
            <w:tcW w:w="1414" w:type="dxa"/>
            <w:tcBorders>
              <w:top w:val="single" w:sz="4" w:space="0" w:color="auto"/>
              <w:bottom w:val="single" w:sz="4" w:space="0" w:color="auto"/>
            </w:tcBorders>
          </w:tcPr>
          <w:p>
            <w:pPr>
              <w:pStyle w:val="style0"/>
              <w:spacing w:lineRule="auto" w:line="480"/>
              <w:rPr>
                <w:b/>
                <w:sz w:val="22"/>
                <w:szCs w:val="24"/>
              </w:rPr>
            </w:pPr>
            <w:r>
              <w:rPr>
                <w:b/>
                <w:sz w:val="22"/>
                <w:szCs w:val="24"/>
              </w:rPr>
              <w:t>800mg/kg</w:t>
            </w:r>
          </w:p>
        </w:tc>
      </w:tr>
      <w:tr>
        <w:tblPrEx/>
        <w:trPr/>
        <w:tc>
          <w:tcPr>
            <w:tcW w:w="810" w:type="dxa"/>
            <w:tcBorders>
              <w:top w:val="single" w:sz="4" w:space="0" w:color="auto"/>
            </w:tcBorders>
          </w:tcPr>
          <w:p>
            <w:pPr>
              <w:pStyle w:val="style179"/>
              <w:numPr>
                <w:ilvl w:val="0"/>
                <w:numId w:val="13"/>
              </w:numPr>
              <w:spacing w:lineRule="auto" w:line="480"/>
              <w:rPr>
                <w:sz w:val="22"/>
                <w:szCs w:val="24"/>
              </w:rPr>
            </w:pPr>
          </w:p>
        </w:tc>
        <w:tc>
          <w:tcPr>
            <w:tcW w:w="1170" w:type="dxa"/>
            <w:tcBorders>
              <w:top w:val="single" w:sz="4" w:space="0" w:color="auto"/>
            </w:tcBorders>
          </w:tcPr>
          <w:p>
            <w:pPr>
              <w:pStyle w:val="style0"/>
              <w:spacing w:lineRule="auto" w:line="480"/>
              <w:rPr>
                <w:sz w:val="22"/>
                <w:szCs w:val="24"/>
              </w:rPr>
            </w:pPr>
            <w:r>
              <w:rPr>
                <w:sz w:val="22"/>
                <w:szCs w:val="24"/>
              </w:rPr>
              <w:t>SOD ST</w:t>
            </w:r>
          </w:p>
        </w:tc>
        <w:tc>
          <w:tcPr>
            <w:tcW w:w="1316" w:type="dxa"/>
            <w:tcBorders>
              <w:top w:val="single" w:sz="4" w:space="0" w:color="auto"/>
            </w:tcBorders>
          </w:tcPr>
          <w:p>
            <w:pPr>
              <w:pStyle w:val="style0"/>
              <w:spacing w:lineRule="auto" w:line="480"/>
              <w:rPr>
                <w:sz w:val="22"/>
                <w:szCs w:val="24"/>
              </w:rPr>
            </w:pPr>
            <w:r>
              <w:rPr>
                <w:sz w:val="22"/>
                <w:szCs w:val="24"/>
              </w:rPr>
              <w:t>6.149</w:t>
            </w:r>
          </w:p>
        </w:tc>
        <w:tc>
          <w:tcPr>
            <w:tcW w:w="1236" w:type="dxa"/>
            <w:tcBorders>
              <w:top w:val="single" w:sz="4" w:space="0" w:color="auto"/>
            </w:tcBorders>
          </w:tcPr>
          <w:p>
            <w:pPr>
              <w:pStyle w:val="style0"/>
              <w:spacing w:lineRule="auto" w:line="480"/>
              <w:rPr>
                <w:sz w:val="22"/>
                <w:szCs w:val="24"/>
              </w:rPr>
            </w:pPr>
            <w:r>
              <w:rPr>
                <w:sz w:val="22"/>
                <w:szCs w:val="24"/>
              </w:rPr>
              <w:t>6.010</w:t>
            </w:r>
          </w:p>
        </w:tc>
        <w:tc>
          <w:tcPr>
            <w:tcW w:w="1236" w:type="dxa"/>
            <w:tcBorders>
              <w:top w:val="single" w:sz="4" w:space="0" w:color="auto"/>
            </w:tcBorders>
          </w:tcPr>
          <w:p>
            <w:pPr>
              <w:pStyle w:val="style0"/>
              <w:spacing w:lineRule="auto" w:line="480"/>
              <w:rPr>
                <w:sz w:val="22"/>
                <w:szCs w:val="24"/>
              </w:rPr>
            </w:pPr>
            <w:r>
              <w:rPr>
                <w:sz w:val="22"/>
                <w:szCs w:val="24"/>
              </w:rPr>
              <w:t>6.529</w:t>
            </w:r>
          </w:p>
        </w:tc>
        <w:tc>
          <w:tcPr>
            <w:tcW w:w="1236" w:type="dxa"/>
            <w:tcBorders>
              <w:top w:val="single" w:sz="4" w:space="0" w:color="auto"/>
            </w:tcBorders>
          </w:tcPr>
          <w:p>
            <w:pPr>
              <w:pStyle w:val="style0"/>
              <w:spacing w:lineRule="auto" w:line="480"/>
              <w:rPr>
                <w:sz w:val="22"/>
                <w:szCs w:val="24"/>
              </w:rPr>
            </w:pPr>
            <w:r>
              <w:rPr>
                <w:sz w:val="22"/>
                <w:szCs w:val="24"/>
              </w:rPr>
              <w:t>5.676</w:t>
            </w:r>
          </w:p>
        </w:tc>
        <w:tc>
          <w:tcPr>
            <w:tcW w:w="1236" w:type="dxa"/>
            <w:tcBorders>
              <w:top w:val="single" w:sz="4" w:space="0" w:color="auto"/>
            </w:tcBorders>
          </w:tcPr>
          <w:p>
            <w:pPr>
              <w:pStyle w:val="style0"/>
              <w:spacing w:lineRule="auto" w:line="480"/>
              <w:rPr>
                <w:sz w:val="22"/>
                <w:szCs w:val="24"/>
              </w:rPr>
            </w:pPr>
            <w:r>
              <w:rPr>
                <w:sz w:val="22"/>
                <w:szCs w:val="24"/>
              </w:rPr>
              <w:t>5.764</w:t>
            </w:r>
          </w:p>
        </w:tc>
        <w:tc>
          <w:tcPr>
            <w:tcW w:w="1236" w:type="dxa"/>
            <w:tcBorders>
              <w:top w:val="single" w:sz="4" w:space="0" w:color="auto"/>
            </w:tcBorders>
          </w:tcPr>
          <w:p>
            <w:pPr>
              <w:pStyle w:val="style0"/>
              <w:spacing w:lineRule="auto" w:line="480"/>
              <w:rPr>
                <w:sz w:val="22"/>
                <w:szCs w:val="24"/>
              </w:rPr>
            </w:pPr>
            <w:r>
              <w:rPr>
                <w:sz w:val="22"/>
                <w:szCs w:val="24"/>
              </w:rPr>
              <w:t>6.342</w:t>
            </w:r>
          </w:p>
        </w:tc>
        <w:tc>
          <w:tcPr>
            <w:tcW w:w="1414" w:type="dxa"/>
            <w:tcBorders>
              <w:top w:val="single" w:sz="4" w:space="0" w:color="auto"/>
            </w:tcBorders>
          </w:tcPr>
          <w:p>
            <w:pPr>
              <w:pStyle w:val="style0"/>
              <w:spacing w:lineRule="auto" w:line="480"/>
              <w:rPr>
                <w:sz w:val="22"/>
                <w:szCs w:val="24"/>
              </w:rPr>
            </w:pPr>
            <w:r>
              <w:rPr>
                <w:sz w:val="22"/>
                <w:szCs w:val="24"/>
              </w:rPr>
              <w:t>4.187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SOD L</w:t>
            </w:r>
          </w:p>
        </w:tc>
        <w:tc>
          <w:tcPr>
            <w:tcW w:w="1316" w:type="dxa"/>
            <w:tcBorders/>
          </w:tcPr>
          <w:p>
            <w:pPr>
              <w:pStyle w:val="style0"/>
              <w:spacing w:lineRule="auto" w:line="480"/>
              <w:rPr>
                <w:sz w:val="22"/>
                <w:szCs w:val="24"/>
              </w:rPr>
            </w:pPr>
            <w:r>
              <w:rPr>
                <w:sz w:val="22"/>
                <w:szCs w:val="24"/>
              </w:rPr>
              <w:t>7.596</w:t>
            </w:r>
          </w:p>
        </w:tc>
        <w:tc>
          <w:tcPr>
            <w:tcW w:w="1236" w:type="dxa"/>
            <w:tcBorders/>
          </w:tcPr>
          <w:p>
            <w:pPr>
              <w:pStyle w:val="style0"/>
              <w:spacing w:lineRule="auto" w:line="480"/>
              <w:rPr>
                <w:sz w:val="22"/>
                <w:szCs w:val="24"/>
              </w:rPr>
            </w:pPr>
            <w:r>
              <w:rPr>
                <w:sz w:val="22"/>
                <w:szCs w:val="24"/>
              </w:rPr>
              <w:t>7.469</w:t>
            </w:r>
          </w:p>
        </w:tc>
        <w:tc>
          <w:tcPr>
            <w:tcW w:w="1236" w:type="dxa"/>
            <w:tcBorders/>
          </w:tcPr>
          <w:p>
            <w:pPr>
              <w:pStyle w:val="style0"/>
              <w:spacing w:lineRule="auto" w:line="480"/>
              <w:rPr>
                <w:sz w:val="22"/>
                <w:szCs w:val="24"/>
              </w:rPr>
            </w:pPr>
            <w:r>
              <w:rPr>
                <w:sz w:val="22"/>
                <w:szCs w:val="24"/>
              </w:rPr>
              <w:t>5.789</w:t>
            </w:r>
          </w:p>
        </w:tc>
        <w:tc>
          <w:tcPr>
            <w:tcW w:w="1236" w:type="dxa"/>
            <w:tcBorders/>
          </w:tcPr>
          <w:p>
            <w:pPr>
              <w:pStyle w:val="style0"/>
              <w:spacing w:lineRule="auto" w:line="480"/>
              <w:rPr>
                <w:sz w:val="22"/>
                <w:szCs w:val="24"/>
              </w:rPr>
            </w:pPr>
            <w:r>
              <w:rPr>
                <w:sz w:val="22"/>
                <w:szCs w:val="24"/>
              </w:rPr>
              <w:t>6.841</w:t>
            </w:r>
          </w:p>
        </w:tc>
        <w:tc>
          <w:tcPr>
            <w:tcW w:w="1236" w:type="dxa"/>
            <w:tcBorders/>
          </w:tcPr>
          <w:p>
            <w:pPr>
              <w:pStyle w:val="style0"/>
              <w:spacing w:lineRule="auto" w:line="480"/>
              <w:rPr>
                <w:sz w:val="22"/>
                <w:szCs w:val="24"/>
              </w:rPr>
            </w:pPr>
            <w:r>
              <w:rPr>
                <w:sz w:val="22"/>
                <w:szCs w:val="24"/>
              </w:rPr>
              <w:t>6.844</w:t>
            </w:r>
          </w:p>
        </w:tc>
        <w:tc>
          <w:tcPr>
            <w:tcW w:w="1236" w:type="dxa"/>
            <w:tcBorders/>
          </w:tcPr>
          <w:p>
            <w:pPr>
              <w:pStyle w:val="style0"/>
              <w:spacing w:lineRule="auto" w:line="480"/>
              <w:rPr>
                <w:sz w:val="22"/>
                <w:szCs w:val="24"/>
              </w:rPr>
            </w:pPr>
            <w:r>
              <w:rPr>
                <w:sz w:val="22"/>
                <w:szCs w:val="24"/>
              </w:rPr>
              <w:t>6.928</w:t>
            </w:r>
          </w:p>
        </w:tc>
        <w:tc>
          <w:tcPr>
            <w:tcW w:w="1414" w:type="dxa"/>
            <w:tcBorders/>
          </w:tcPr>
          <w:p>
            <w:pPr>
              <w:pStyle w:val="style0"/>
              <w:spacing w:lineRule="auto" w:line="480"/>
              <w:rPr>
                <w:sz w:val="22"/>
                <w:szCs w:val="24"/>
              </w:rPr>
            </w:pPr>
            <w:r>
              <w:rPr>
                <w:sz w:val="22"/>
                <w:szCs w:val="24"/>
              </w:rPr>
              <w:t>6.399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ST</w:t>
            </w:r>
          </w:p>
        </w:tc>
        <w:tc>
          <w:tcPr>
            <w:tcW w:w="1316" w:type="dxa"/>
            <w:tcBorders/>
          </w:tcPr>
          <w:p>
            <w:pPr>
              <w:pStyle w:val="style0"/>
              <w:spacing w:lineRule="auto" w:line="480"/>
              <w:rPr>
                <w:sz w:val="22"/>
                <w:szCs w:val="24"/>
              </w:rPr>
            </w:pPr>
            <w:r>
              <w:rPr>
                <w:sz w:val="22"/>
                <w:szCs w:val="24"/>
              </w:rPr>
              <w:t>0.145</w:t>
            </w:r>
          </w:p>
        </w:tc>
        <w:tc>
          <w:tcPr>
            <w:tcW w:w="1236" w:type="dxa"/>
            <w:tcBorders/>
          </w:tcPr>
          <w:p>
            <w:pPr>
              <w:pStyle w:val="style0"/>
              <w:spacing w:lineRule="auto" w:line="480"/>
              <w:rPr>
                <w:sz w:val="22"/>
                <w:szCs w:val="24"/>
              </w:rPr>
            </w:pPr>
            <w:r>
              <w:rPr>
                <w:sz w:val="22"/>
                <w:szCs w:val="24"/>
              </w:rPr>
              <w:t>1.101</w:t>
            </w:r>
          </w:p>
        </w:tc>
        <w:tc>
          <w:tcPr>
            <w:tcW w:w="1236" w:type="dxa"/>
            <w:tcBorders/>
          </w:tcPr>
          <w:p>
            <w:pPr>
              <w:pStyle w:val="style0"/>
              <w:spacing w:lineRule="auto" w:line="480"/>
              <w:rPr>
                <w:sz w:val="22"/>
                <w:szCs w:val="24"/>
              </w:rPr>
            </w:pPr>
            <w:r>
              <w:rPr>
                <w:sz w:val="22"/>
                <w:szCs w:val="24"/>
              </w:rPr>
              <w:t>1.429</w:t>
            </w:r>
          </w:p>
        </w:tc>
        <w:tc>
          <w:tcPr>
            <w:tcW w:w="1236" w:type="dxa"/>
            <w:tcBorders/>
          </w:tcPr>
          <w:p>
            <w:pPr>
              <w:pStyle w:val="style0"/>
              <w:spacing w:lineRule="auto" w:line="480"/>
              <w:rPr>
                <w:sz w:val="22"/>
                <w:szCs w:val="24"/>
              </w:rPr>
            </w:pPr>
            <w:r>
              <w:rPr>
                <w:sz w:val="22"/>
                <w:szCs w:val="24"/>
              </w:rPr>
              <w:t>1.318</w:t>
            </w:r>
          </w:p>
        </w:tc>
        <w:tc>
          <w:tcPr>
            <w:tcW w:w="1236" w:type="dxa"/>
            <w:tcBorders/>
          </w:tcPr>
          <w:p>
            <w:pPr>
              <w:pStyle w:val="style0"/>
              <w:spacing w:lineRule="auto" w:line="480"/>
              <w:rPr>
                <w:sz w:val="22"/>
                <w:szCs w:val="24"/>
              </w:rPr>
            </w:pPr>
            <w:r>
              <w:rPr>
                <w:sz w:val="22"/>
                <w:szCs w:val="24"/>
              </w:rPr>
              <w:t>1.764</w:t>
            </w:r>
          </w:p>
        </w:tc>
        <w:tc>
          <w:tcPr>
            <w:tcW w:w="1236" w:type="dxa"/>
            <w:tcBorders/>
          </w:tcPr>
          <w:p>
            <w:pPr>
              <w:pStyle w:val="style0"/>
              <w:spacing w:lineRule="auto" w:line="480"/>
              <w:rPr>
                <w:sz w:val="22"/>
                <w:szCs w:val="24"/>
              </w:rPr>
            </w:pPr>
            <w:r>
              <w:rPr>
                <w:sz w:val="22"/>
                <w:szCs w:val="24"/>
              </w:rPr>
              <w:t>0.953</w:t>
            </w:r>
          </w:p>
        </w:tc>
        <w:tc>
          <w:tcPr>
            <w:tcW w:w="1414" w:type="dxa"/>
            <w:tcBorders/>
          </w:tcPr>
          <w:p>
            <w:pPr>
              <w:pStyle w:val="style0"/>
              <w:spacing w:lineRule="auto" w:line="480"/>
              <w:rPr>
                <w:sz w:val="22"/>
                <w:szCs w:val="24"/>
              </w:rPr>
            </w:pPr>
            <w:r>
              <w:rPr>
                <w:sz w:val="22"/>
                <w:szCs w:val="24"/>
              </w:rPr>
              <w:t>1.129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L</w:t>
            </w:r>
          </w:p>
        </w:tc>
        <w:tc>
          <w:tcPr>
            <w:tcW w:w="1316" w:type="dxa"/>
            <w:tcBorders/>
          </w:tcPr>
          <w:p>
            <w:pPr>
              <w:pStyle w:val="style0"/>
              <w:spacing w:lineRule="auto" w:line="480"/>
              <w:rPr>
                <w:sz w:val="22"/>
                <w:szCs w:val="24"/>
              </w:rPr>
            </w:pPr>
            <w:r>
              <w:rPr>
                <w:sz w:val="22"/>
                <w:szCs w:val="24"/>
              </w:rPr>
              <w:t>3.111</w:t>
            </w:r>
          </w:p>
        </w:tc>
        <w:tc>
          <w:tcPr>
            <w:tcW w:w="1236" w:type="dxa"/>
            <w:tcBorders/>
          </w:tcPr>
          <w:p>
            <w:pPr>
              <w:pStyle w:val="style0"/>
              <w:spacing w:lineRule="auto" w:line="480"/>
              <w:rPr>
                <w:sz w:val="22"/>
                <w:szCs w:val="24"/>
              </w:rPr>
            </w:pPr>
            <w:r>
              <w:rPr>
                <w:sz w:val="22"/>
                <w:szCs w:val="24"/>
              </w:rPr>
              <w:t>1.044</w:t>
            </w:r>
          </w:p>
        </w:tc>
        <w:tc>
          <w:tcPr>
            <w:tcW w:w="1236" w:type="dxa"/>
            <w:tcBorders/>
          </w:tcPr>
          <w:p>
            <w:pPr>
              <w:pStyle w:val="style0"/>
              <w:spacing w:lineRule="auto" w:line="480"/>
              <w:rPr>
                <w:sz w:val="22"/>
                <w:szCs w:val="24"/>
              </w:rPr>
            </w:pPr>
            <w:r>
              <w:rPr>
                <w:sz w:val="22"/>
                <w:szCs w:val="24"/>
              </w:rPr>
              <w:t>4.491</w:t>
            </w:r>
          </w:p>
        </w:tc>
        <w:tc>
          <w:tcPr>
            <w:tcW w:w="1236" w:type="dxa"/>
            <w:tcBorders/>
          </w:tcPr>
          <w:p>
            <w:pPr>
              <w:pStyle w:val="style0"/>
              <w:spacing w:lineRule="auto" w:line="480"/>
              <w:rPr>
                <w:sz w:val="22"/>
                <w:szCs w:val="24"/>
              </w:rPr>
            </w:pPr>
            <w:r>
              <w:rPr>
                <w:sz w:val="22"/>
                <w:szCs w:val="24"/>
              </w:rPr>
              <w:t>2.750</w:t>
            </w:r>
          </w:p>
        </w:tc>
        <w:tc>
          <w:tcPr>
            <w:tcW w:w="1236" w:type="dxa"/>
            <w:tcBorders/>
          </w:tcPr>
          <w:p>
            <w:pPr>
              <w:pStyle w:val="style0"/>
              <w:spacing w:lineRule="auto" w:line="480"/>
              <w:rPr>
                <w:sz w:val="22"/>
                <w:szCs w:val="24"/>
              </w:rPr>
            </w:pPr>
            <w:r>
              <w:rPr>
                <w:sz w:val="22"/>
                <w:szCs w:val="24"/>
              </w:rPr>
              <w:t>1.271</w:t>
            </w:r>
          </w:p>
        </w:tc>
        <w:tc>
          <w:tcPr>
            <w:tcW w:w="1236" w:type="dxa"/>
            <w:tcBorders/>
          </w:tcPr>
          <w:p>
            <w:pPr>
              <w:pStyle w:val="style0"/>
              <w:spacing w:lineRule="auto" w:line="480"/>
              <w:rPr>
                <w:sz w:val="22"/>
                <w:szCs w:val="24"/>
              </w:rPr>
            </w:pPr>
            <w:r>
              <w:rPr>
                <w:sz w:val="22"/>
                <w:szCs w:val="24"/>
              </w:rPr>
              <w:t>1.256</w:t>
            </w:r>
          </w:p>
        </w:tc>
        <w:tc>
          <w:tcPr>
            <w:tcW w:w="1414" w:type="dxa"/>
            <w:tcBorders/>
          </w:tcPr>
          <w:p>
            <w:pPr>
              <w:pStyle w:val="style0"/>
              <w:spacing w:lineRule="auto" w:line="480"/>
              <w:rPr>
                <w:sz w:val="22"/>
                <w:szCs w:val="24"/>
              </w:rPr>
            </w:pPr>
            <w:r>
              <w:rPr>
                <w:sz w:val="22"/>
                <w:szCs w:val="24"/>
              </w:rPr>
              <w:t>2.545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ST</w:t>
            </w:r>
          </w:p>
        </w:tc>
        <w:tc>
          <w:tcPr>
            <w:tcW w:w="1316" w:type="dxa"/>
            <w:tcBorders/>
          </w:tcPr>
          <w:p>
            <w:pPr>
              <w:pStyle w:val="style0"/>
              <w:spacing w:lineRule="auto" w:line="480"/>
              <w:rPr>
                <w:sz w:val="22"/>
                <w:szCs w:val="24"/>
              </w:rPr>
            </w:pPr>
            <w:r>
              <w:rPr>
                <w:sz w:val="22"/>
                <w:szCs w:val="24"/>
              </w:rPr>
              <w:t>21.954</w:t>
            </w:r>
          </w:p>
        </w:tc>
        <w:tc>
          <w:tcPr>
            <w:tcW w:w="1236" w:type="dxa"/>
            <w:tcBorders/>
          </w:tcPr>
          <w:p>
            <w:pPr>
              <w:pStyle w:val="style0"/>
              <w:spacing w:lineRule="auto" w:line="480"/>
              <w:rPr>
                <w:sz w:val="22"/>
                <w:szCs w:val="24"/>
              </w:rPr>
            </w:pPr>
            <w:r>
              <w:rPr>
                <w:sz w:val="22"/>
                <w:szCs w:val="24"/>
              </w:rPr>
              <w:t>25.573</w:t>
            </w:r>
          </w:p>
        </w:tc>
        <w:tc>
          <w:tcPr>
            <w:tcW w:w="1236" w:type="dxa"/>
            <w:tcBorders/>
          </w:tcPr>
          <w:p>
            <w:pPr>
              <w:pStyle w:val="style0"/>
              <w:spacing w:lineRule="auto" w:line="480"/>
              <w:rPr>
                <w:sz w:val="22"/>
                <w:szCs w:val="24"/>
              </w:rPr>
            </w:pPr>
            <w:r>
              <w:rPr>
                <w:sz w:val="22"/>
                <w:szCs w:val="24"/>
              </w:rPr>
              <w:t>28.745</w:t>
            </w:r>
          </w:p>
        </w:tc>
        <w:tc>
          <w:tcPr>
            <w:tcW w:w="1236" w:type="dxa"/>
            <w:tcBorders/>
          </w:tcPr>
          <w:p>
            <w:pPr>
              <w:pStyle w:val="style0"/>
              <w:spacing w:lineRule="auto" w:line="480"/>
              <w:rPr>
                <w:sz w:val="22"/>
                <w:szCs w:val="24"/>
              </w:rPr>
            </w:pPr>
            <w:r>
              <w:rPr>
                <w:sz w:val="22"/>
                <w:szCs w:val="24"/>
              </w:rPr>
              <w:t>23.065</w:t>
            </w:r>
          </w:p>
        </w:tc>
        <w:tc>
          <w:tcPr>
            <w:tcW w:w="1236" w:type="dxa"/>
            <w:tcBorders/>
          </w:tcPr>
          <w:p>
            <w:pPr>
              <w:pStyle w:val="style0"/>
              <w:spacing w:lineRule="auto" w:line="480"/>
              <w:rPr>
                <w:sz w:val="22"/>
                <w:szCs w:val="24"/>
              </w:rPr>
            </w:pPr>
            <w:r>
              <w:rPr>
                <w:sz w:val="22"/>
                <w:szCs w:val="24"/>
              </w:rPr>
              <w:t>23.852</w:t>
            </w:r>
          </w:p>
        </w:tc>
        <w:tc>
          <w:tcPr>
            <w:tcW w:w="1236" w:type="dxa"/>
            <w:tcBorders/>
          </w:tcPr>
          <w:p>
            <w:pPr>
              <w:pStyle w:val="style0"/>
              <w:spacing w:lineRule="auto" w:line="480"/>
              <w:rPr>
                <w:sz w:val="22"/>
                <w:szCs w:val="24"/>
              </w:rPr>
            </w:pPr>
            <w:r>
              <w:rPr>
                <w:sz w:val="22"/>
                <w:szCs w:val="24"/>
              </w:rPr>
              <w:t>27.050</w:t>
            </w:r>
          </w:p>
        </w:tc>
        <w:tc>
          <w:tcPr>
            <w:tcW w:w="1414" w:type="dxa"/>
            <w:tcBorders/>
          </w:tcPr>
          <w:p>
            <w:pPr>
              <w:pStyle w:val="style0"/>
              <w:spacing w:lineRule="auto" w:line="480"/>
              <w:rPr>
                <w:sz w:val="22"/>
                <w:szCs w:val="24"/>
              </w:rPr>
            </w:pPr>
            <w:r>
              <w:rPr>
                <w:sz w:val="22"/>
                <w:szCs w:val="24"/>
              </w:rPr>
              <w:t>17.314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L</w:t>
            </w:r>
          </w:p>
        </w:tc>
        <w:tc>
          <w:tcPr>
            <w:tcW w:w="1316" w:type="dxa"/>
            <w:tcBorders/>
          </w:tcPr>
          <w:p>
            <w:pPr>
              <w:pStyle w:val="style0"/>
              <w:spacing w:lineRule="auto" w:line="480"/>
              <w:rPr>
                <w:sz w:val="22"/>
                <w:szCs w:val="24"/>
              </w:rPr>
            </w:pPr>
            <w:r>
              <w:rPr>
                <w:sz w:val="22"/>
                <w:szCs w:val="24"/>
              </w:rPr>
              <w:t>16.864</w:t>
            </w:r>
          </w:p>
        </w:tc>
        <w:tc>
          <w:tcPr>
            <w:tcW w:w="1236" w:type="dxa"/>
            <w:tcBorders/>
          </w:tcPr>
          <w:p>
            <w:pPr>
              <w:pStyle w:val="style0"/>
              <w:spacing w:lineRule="auto" w:line="480"/>
              <w:rPr>
                <w:sz w:val="22"/>
                <w:szCs w:val="24"/>
              </w:rPr>
            </w:pPr>
            <w:r>
              <w:rPr>
                <w:sz w:val="22"/>
                <w:szCs w:val="24"/>
              </w:rPr>
              <w:t>35.526</w:t>
            </w:r>
          </w:p>
        </w:tc>
        <w:tc>
          <w:tcPr>
            <w:tcW w:w="1236" w:type="dxa"/>
            <w:tcBorders/>
          </w:tcPr>
          <w:p>
            <w:pPr>
              <w:pStyle w:val="style0"/>
              <w:spacing w:lineRule="auto" w:line="480"/>
              <w:rPr>
                <w:sz w:val="22"/>
                <w:szCs w:val="24"/>
              </w:rPr>
            </w:pPr>
            <w:r>
              <w:rPr>
                <w:sz w:val="22"/>
                <w:szCs w:val="24"/>
              </w:rPr>
              <w:t>26.274</w:t>
            </w:r>
          </w:p>
        </w:tc>
        <w:tc>
          <w:tcPr>
            <w:tcW w:w="1236" w:type="dxa"/>
            <w:tcBorders/>
          </w:tcPr>
          <w:p>
            <w:pPr>
              <w:pStyle w:val="style0"/>
              <w:spacing w:lineRule="auto" w:line="480"/>
              <w:rPr>
                <w:sz w:val="22"/>
                <w:szCs w:val="24"/>
              </w:rPr>
            </w:pPr>
            <w:r>
              <w:rPr>
                <w:sz w:val="22"/>
                <w:szCs w:val="24"/>
              </w:rPr>
              <w:t>29.912</w:t>
            </w:r>
          </w:p>
        </w:tc>
        <w:tc>
          <w:tcPr>
            <w:tcW w:w="1236" w:type="dxa"/>
            <w:tcBorders/>
          </w:tcPr>
          <w:p>
            <w:pPr>
              <w:pStyle w:val="style0"/>
              <w:spacing w:lineRule="auto" w:line="480"/>
              <w:rPr>
                <w:sz w:val="22"/>
                <w:szCs w:val="24"/>
              </w:rPr>
            </w:pPr>
            <w:r>
              <w:rPr>
                <w:sz w:val="22"/>
                <w:szCs w:val="24"/>
              </w:rPr>
              <w:t>30.348</w:t>
            </w:r>
          </w:p>
        </w:tc>
        <w:tc>
          <w:tcPr>
            <w:tcW w:w="1236" w:type="dxa"/>
            <w:tcBorders/>
          </w:tcPr>
          <w:p>
            <w:pPr>
              <w:pStyle w:val="style0"/>
              <w:spacing w:lineRule="auto" w:line="480"/>
              <w:rPr>
                <w:sz w:val="22"/>
                <w:szCs w:val="24"/>
              </w:rPr>
            </w:pPr>
            <w:r>
              <w:rPr>
                <w:sz w:val="22"/>
                <w:szCs w:val="24"/>
              </w:rPr>
              <w:t>33.026</w:t>
            </w:r>
          </w:p>
        </w:tc>
        <w:tc>
          <w:tcPr>
            <w:tcW w:w="1414" w:type="dxa"/>
            <w:tcBorders/>
          </w:tcPr>
          <w:p>
            <w:pPr>
              <w:pStyle w:val="style0"/>
              <w:spacing w:lineRule="auto" w:line="480"/>
              <w:rPr>
                <w:sz w:val="22"/>
                <w:szCs w:val="24"/>
              </w:rPr>
            </w:pPr>
            <w:r>
              <w:rPr>
                <w:sz w:val="22"/>
                <w:szCs w:val="24"/>
              </w:rPr>
              <w:t>27.756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ST</w:t>
            </w:r>
          </w:p>
        </w:tc>
        <w:tc>
          <w:tcPr>
            <w:tcW w:w="1316" w:type="dxa"/>
            <w:tcBorders/>
          </w:tcPr>
          <w:p>
            <w:pPr>
              <w:pStyle w:val="style0"/>
              <w:spacing w:lineRule="auto" w:line="480"/>
              <w:rPr>
                <w:sz w:val="22"/>
                <w:szCs w:val="24"/>
              </w:rPr>
            </w:pPr>
            <w:r>
              <w:rPr>
                <w:sz w:val="22"/>
                <w:szCs w:val="24"/>
              </w:rPr>
              <w:t>1.882</w:t>
            </w:r>
          </w:p>
        </w:tc>
        <w:tc>
          <w:tcPr>
            <w:tcW w:w="1236" w:type="dxa"/>
            <w:tcBorders/>
          </w:tcPr>
          <w:p>
            <w:pPr>
              <w:pStyle w:val="style0"/>
              <w:spacing w:lineRule="auto" w:line="480"/>
              <w:rPr>
                <w:sz w:val="22"/>
                <w:szCs w:val="24"/>
              </w:rPr>
            </w:pPr>
            <w:r>
              <w:rPr>
                <w:sz w:val="22"/>
                <w:szCs w:val="24"/>
              </w:rPr>
              <w:t>2.648</w:t>
            </w:r>
          </w:p>
        </w:tc>
        <w:tc>
          <w:tcPr>
            <w:tcW w:w="1236" w:type="dxa"/>
            <w:tcBorders/>
          </w:tcPr>
          <w:p>
            <w:pPr>
              <w:pStyle w:val="style0"/>
              <w:spacing w:lineRule="auto" w:line="480"/>
              <w:rPr>
                <w:sz w:val="22"/>
                <w:szCs w:val="24"/>
              </w:rPr>
            </w:pPr>
            <w:r>
              <w:rPr>
                <w:sz w:val="22"/>
                <w:szCs w:val="24"/>
              </w:rPr>
              <w:t>4.184</w:t>
            </w:r>
          </w:p>
        </w:tc>
        <w:tc>
          <w:tcPr>
            <w:tcW w:w="1236" w:type="dxa"/>
            <w:tcBorders/>
          </w:tcPr>
          <w:p>
            <w:pPr>
              <w:pStyle w:val="style0"/>
              <w:spacing w:lineRule="auto" w:line="480"/>
              <w:rPr>
                <w:sz w:val="22"/>
                <w:szCs w:val="24"/>
              </w:rPr>
            </w:pPr>
            <w:r>
              <w:rPr>
                <w:sz w:val="22"/>
                <w:szCs w:val="24"/>
              </w:rPr>
              <w:t>4.414</w:t>
            </w:r>
          </w:p>
        </w:tc>
        <w:tc>
          <w:tcPr>
            <w:tcW w:w="1236" w:type="dxa"/>
            <w:tcBorders/>
          </w:tcPr>
          <w:p>
            <w:pPr>
              <w:pStyle w:val="style0"/>
              <w:spacing w:lineRule="auto" w:line="480"/>
              <w:rPr>
                <w:sz w:val="22"/>
                <w:szCs w:val="24"/>
              </w:rPr>
            </w:pPr>
            <w:r>
              <w:rPr>
                <w:sz w:val="22"/>
                <w:szCs w:val="24"/>
              </w:rPr>
              <w:t>3.139</w:t>
            </w:r>
          </w:p>
        </w:tc>
        <w:tc>
          <w:tcPr>
            <w:tcW w:w="1236" w:type="dxa"/>
            <w:tcBorders/>
          </w:tcPr>
          <w:p>
            <w:pPr>
              <w:pStyle w:val="style0"/>
              <w:spacing w:lineRule="auto" w:line="480"/>
              <w:rPr>
                <w:sz w:val="22"/>
                <w:szCs w:val="24"/>
              </w:rPr>
            </w:pPr>
            <w:r>
              <w:rPr>
                <w:sz w:val="22"/>
                <w:szCs w:val="24"/>
              </w:rPr>
              <w:t>3.620</w:t>
            </w:r>
          </w:p>
        </w:tc>
        <w:tc>
          <w:tcPr>
            <w:tcW w:w="1414" w:type="dxa"/>
            <w:tcBorders/>
          </w:tcPr>
          <w:p>
            <w:pPr>
              <w:pStyle w:val="style0"/>
              <w:spacing w:lineRule="auto" w:line="480"/>
              <w:rPr>
                <w:sz w:val="22"/>
                <w:szCs w:val="24"/>
              </w:rPr>
            </w:pPr>
            <w:r>
              <w:rPr>
                <w:sz w:val="22"/>
                <w:szCs w:val="24"/>
              </w:rPr>
              <w:t>4.234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L</w:t>
            </w:r>
          </w:p>
        </w:tc>
        <w:tc>
          <w:tcPr>
            <w:tcW w:w="1316" w:type="dxa"/>
            <w:tcBorders/>
          </w:tcPr>
          <w:p>
            <w:pPr>
              <w:pStyle w:val="style0"/>
              <w:spacing w:lineRule="auto" w:line="480"/>
              <w:rPr>
                <w:sz w:val="22"/>
                <w:szCs w:val="24"/>
              </w:rPr>
            </w:pPr>
            <w:r>
              <w:rPr>
                <w:sz w:val="22"/>
                <w:szCs w:val="24"/>
              </w:rPr>
              <w:t>1.799</w:t>
            </w:r>
          </w:p>
        </w:tc>
        <w:tc>
          <w:tcPr>
            <w:tcW w:w="1236" w:type="dxa"/>
            <w:tcBorders/>
          </w:tcPr>
          <w:p>
            <w:pPr>
              <w:pStyle w:val="style0"/>
              <w:spacing w:lineRule="auto" w:line="480"/>
              <w:rPr>
                <w:sz w:val="22"/>
                <w:szCs w:val="24"/>
              </w:rPr>
            </w:pPr>
            <w:r>
              <w:rPr>
                <w:sz w:val="22"/>
                <w:szCs w:val="24"/>
              </w:rPr>
              <w:t>2.827</w:t>
            </w:r>
          </w:p>
        </w:tc>
        <w:tc>
          <w:tcPr>
            <w:tcW w:w="1236" w:type="dxa"/>
            <w:tcBorders/>
          </w:tcPr>
          <w:p>
            <w:pPr>
              <w:pStyle w:val="style0"/>
              <w:spacing w:lineRule="auto" w:line="480"/>
              <w:rPr>
                <w:sz w:val="22"/>
                <w:szCs w:val="24"/>
              </w:rPr>
            </w:pPr>
            <w:r>
              <w:rPr>
                <w:sz w:val="22"/>
                <w:szCs w:val="24"/>
              </w:rPr>
              <w:t>4.763</w:t>
            </w:r>
          </w:p>
        </w:tc>
        <w:tc>
          <w:tcPr>
            <w:tcW w:w="1236" w:type="dxa"/>
            <w:tcBorders/>
          </w:tcPr>
          <w:p>
            <w:pPr>
              <w:pStyle w:val="style0"/>
              <w:spacing w:lineRule="auto" w:line="480"/>
              <w:rPr>
                <w:sz w:val="22"/>
                <w:szCs w:val="24"/>
              </w:rPr>
            </w:pPr>
            <w:r>
              <w:rPr>
                <w:sz w:val="22"/>
                <w:szCs w:val="24"/>
              </w:rPr>
              <w:t>6.985</w:t>
            </w:r>
          </w:p>
        </w:tc>
        <w:tc>
          <w:tcPr>
            <w:tcW w:w="1236" w:type="dxa"/>
            <w:tcBorders/>
          </w:tcPr>
          <w:p>
            <w:pPr>
              <w:pStyle w:val="style0"/>
              <w:spacing w:lineRule="auto" w:line="480"/>
              <w:rPr>
                <w:sz w:val="22"/>
                <w:szCs w:val="24"/>
              </w:rPr>
            </w:pPr>
            <w:r>
              <w:rPr>
                <w:sz w:val="22"/>
                <w:szCs w:val="24"/>
              </w:rPr>
              <w:t>4.008</w:t>
            </w:r>
          </w:p>
        </w:tc>
        <w:tc>
          <w:tcPr>
            <w:tcW w:w="1236" w:type="dxa"/>
            <w:tcBorders/>
          </w:tcPr>
          <w:p>
            <w:pPr>
              <w:pStyle w:val="style0"/>
              <w:spacing w:lineRule="auto" w:line="480"/>
              <w:rPr>
                <w:sz w:val="22"/>
                <w:szCs w:val="24"/>
              </w:rPr>
            </w:pPr>
            <w:r>
              <w:rPr>
                <w:sz w:val="22"/>
                <w:szCs w:val="24"/>
              </w:rPr>
              <w:t>3.345</w:t>
            </w:r>
          </w:p>
        </w:tc>
        <w:tc>
          <w:tcPr>
            <w:tcW w:w="1414" w:type="dxa"/>
            <w:tcBorders/>
          </w:tcPr>
          <w:p>
            <w:pPr>
              <w:pStyle w:val="style0"/>
              <w:spacing w:lineRule="auto" w:line="480"/>
              <w:rPr>
                <w:sz w:val="22"/>
                <w:szCs w:val="24"/>
              </w:rPr>
            </w:pPr>
            <w:r>
              <w:rPr>
                <w:sz w:val="22"/>
                <w:szCs w:val="24"/>
              </w:rPr>
              <w:t>3.508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ST</w:t>
            </w:r>
          </w:p>
        </w:tc>
        <w:tc>
          <w:tcPr>
            <w:tcW w:w="1316" w:type="dxa"/>
            <w:tcBorders/>
          </w:tcPr>
          <w:p>
            <w:pPr>
              <w:pStyle w:val="style0"/>
              <w:spacing w:lineRule="auto" w:line="480"/>
              <w:rPr>
                <w:sz w:val="22"/>
                <w:szCs w:val="24"/>
              </w:rPr>
            </w:pPr>
            <w:r>
              <w:rPr>
                <w:sz w:val="22"/>
                <w:szCs w:val="24"/>
              </w:rPr>
              <w:t>10.738</w:t>
            </w:r>
          </w:p>
        </w:tc>
        <w:tc>
          <w:tcPr>
            <w:tcW w:w="1236" w:type="dxa"/>
            <w:tcBorders/>
          </w:tcPr>
          <w:p>
            <w:pPr>
              <w:pStyle w:val="style0"/>
              <w:spacing w:lineRule="auto" w:line="480"/>
              <w:rPr>
                <w:sz w:val="22"/>
                <w:szCs w:val="24"/>
              </w:rPr>
            </w:pPr>
            <w:r>
              <w:rPr>
                <w:sz w:val="22"/>
                <w:szCs w:val="24"/>
              </w:rPr>
              <w:t>16.392</w:t>
            </w:r>
          </w:p>
        </w:tc>
        <w:tc>
          <w:tcPr>
            <w:tcW w:w="1236" w:type="dxa"/>
            <w:tcBorders/>
          </w:tcPr>
          <w:p>
            <w:pPr>
              <w:pStyle w:val="style0"/>
              <w:spacing w:lineRule="auto" w:line="480"/>
              <w:rPr>
                <w:sz w:val="22"/>
                <w:szCs w:val="24"/>
              </w:rPr>
            </w:pPr>
            <w:r>
              <w:rPr>
                <w:sz w:val="22"/>
                <w:szCs w:val="24"/>
              </w:rPr>
              <w:t>15.109</w:t>
            </w:r>
          </w:p>
        </w:tc>
        <w:tc>
          <w:tcPr>
            <w:tcW w:w="1236" w:type="dxa"/>
            <w:tcBorders/>
          </w:tcPr>
          <w:p>
            <w:pPr>
              <w:pStyle w:val="style0"/>
              <w:spacing w:lineRule="auto" w:line="480"/>
              <w:rPr>
                <w:sz w:val="22"/>
                <w:szCs w:val="24"/>
              </w:rPr>
            </w:pPr>
            <w:r>
              <w:rPr>
                <w:sz w:val="22"/>
                <w:szCs w:val="24"/>
              </w:rPr>
              <w:t xml:space="preserve">17.544  </w:t>
            </w:r>
          </w:p>
        </w:tc>
        <w:tc>
          <w:tcPr>
            <w:tcW w:w="1236" w:type="dxa"/>
            <w:tcBorders/>
          </w:tcPr>
          <w:p>
            <w:pPr>
              <w:pStyle w:val="style0"/>
              <w:spacing w:lineRule="auto" w:line="480"/>
              <w:rPr>
                <w:sz w:val="22"/>
                <w:szCs w:val="24"/>
              </w:rPr>
            </w:pPr>
            <w:r>
              <w:rPr>
                <w:sz w:val="22"/>
                <w:szCs w:val="24"/>
              </w:rPr>
              <w:t>15.055</w:t>
            </w:r>
          </w:p>
        </w:tc>
        <w:tc>
          <w:tcPr>
            <w:tcW w:w="1236" w:type="dxa"/>
            <w:tcBorders/>
          </w:tcPr>
          <w:p>
            <w:pPr>
              <w:pStyle w:val="style0"/>
              <w:spacing w:lineRule="auto" w:line="480"/>
              <w:rPr>
                <w:sz w:val="22"/>
                <w:szCs w:val="24"/>
              </w:rPr>
            </w:pPr>
            <w:r>
              <w:rPr>
                <w:sz w:val="22"/>
                <w:szCs w:val="24"/>
              </w:rPr>
              <w:t>10.6000</w:t>
            </w:r>
          </w:p>
        </w:tc>
        <w:tc>
          <w:tcPr>
            <w:tcW w:w="1414" w:type="dxa"/>
            <w:tcBorders/>
          </w:tcPr>
          <w:p>
            <w:pPr>
              <w:pStyle w:val="style0"/>
              <w:spacing w:lineRule="auto" w:line="480"/>
              <w:rPr>
                <w:sz w:val="22"/>
                <w:szCs w:val="24"/>
              </w:rPr>
            </w:pPr>
            <w:r>
              <w:rPr>
                <w:sz w:val="22"/>
                <w:szCs w:val="24"/>
              </w:rPr>
              <w:t>14.954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L</w:t>
            </w:r>
          </w:p>
        </w:tc>
        <w:tc>
          <w:tcPr>
            <w:tcW w:w="1316" w:type="dxa"/>
            <w:tcBorders/>
          </w:tcPr>
          <w:p>
            <w:pPr>
              <w:pStyle w:val="style0"/>
              <w:spacing w:lineRule="auto" w:line="480"/>
              <w:rPr>
                <w:sz w:val="22"/>
                <w:szCs w:val="24"/>
              </w:rPr>
            </w:pPr>
            <w:r>
              <w:rPr>
                <w:sz w:val="22"/>
                <w:szCs w:val="24"/>
              </w:rPr>
              <w:t>7.938</w:t>
            </w:r>
          </w:p>
        </w:tc>
        <w:tc>
          <w:tcPr>
            <w:tcW w:w="1236" w:type="dxa"/>
            <w:tcBorders/>
          </w:tcPr>
          <w:p>
            <w:pPr>
              <w:pStyle w:val="style0"/>
              <w:spacing w:lineRule="auto" w:line="480"/>
              <w:rPr>
                <w:sz w:val="22"/>
                <w:szCs w:val="24"/>
              </w:rPr>
            </w:pPr>
            <w:r>
              <w:rPr>
                <w:sz w:val="22"/>
                <w:szCs w:val="24"/>
              </w:rPr>
              <w:t>8.740</w:t>
            </w:r>
          </w:p>
        </w:tc>
        <w:tc>
          <w:tcPr>
            <w:tcW w:w="1236" w:type="dxa"/>
            <w:tcBorders/>
          </w:tcPr>
          <w:p>
            <w:pPr>
              <w:pStyle w:val="style0"/>
              <w:spacing w:lineRule="auto" w:line="480"/>
              <w:rPr>
                <w:sz w:val="22"/>
                <w:szCs w:val="24"/>
              </w:rPr>
            </w:pPr>
            <w:r>
              <w:rPr>
                <w:sz w:val="22"/>
                <w:szCs w:val="24"/>
              </w:rPr>
              <w:t>9.827</w:t>
            </w:r>
          </w:p>
        </w:tc>
        <w:tc>
          <w:tcPr>
            <w:tcW w:w="1236" w:type="dxa"/>
            <w:tcBorders/>
          </w:tcPr>
          <w:p>
            <w:pPr>
              <w:pStyle w:val="style0"/>
              <w:spacing w:lineRule="auto" w:line="480"/>
              <w:rPr>
                <w:sz w:val="22"/>
                <w:szCs w:val="24"/>
              </w:rPr>
            </w:pPr>
            <w:r>
              <w:rPr>
                <w:sz w:val="22"/>
                <w:szCs w:val="24"/>
              </w:rPr>
              <w:t>8.036</w:t>
            </w:r>
          </w:p>
        </w:tc>
        <w:tc>
          <w:tcPr>
            <w:tcW w:w="1236" w:type="dxa"/>
            <w:tcBorders/>
          </w:tcPr>
          <w:p>
            <w:pPr>
              <w:pStyle w:val="style0"/>
              <w:spacing w:lineRule="auto" w:line="480"/>
              <w:rPr>
                <w:sz w:val="22"/>
                <w:szCs w:val="24"/>
              </w:rPr>
            </w:pPr>
            <w:r>
              <w:rPr>
                <w:sz w:val="22"/>
                <w:szCs w:val="24"/>
              </w:rPr>
              <w:t>12.731</w:t>
            </w:r>
          </w:p>
        </w:tc>
        <w:tc>
          <w:tcPr>
            <w:tcW w:w="1236" w:type="dxa"/>
            <w:tcBorders/>
          </w:tcPr>
          <w:p>
            <w:pPr>
              <w:pStyle w:val="style0"/>
              <w:spacing w:lineRule="auto" w:line="480"/>
              <w:rPr>
                <w:sz w:val="22"/>
                <w:szCs w:val="24"/>
              </w:rPr>
            </w:pPr>
            <w:r>
              <w:rPr>
                <w:sz w:val="22"/>
                <w:szCs w:val="24"/>
              </w:rPr>
              <w:t>11.236</w:t>
            </w:r>
          </w:p>
        </w:tc>
        <w:tc>
          <w:tcPr>
            <w:tcW w:w="1414" w:type="dxa"/>
            <w:tcBorders/>
          </w:tcPr>
          <w:p>
            <w:pPr>
              <w:pStyle w:val="style0"/>
              <w:spacing w:lineRule="auto" w:line="480"/>
              <w:rPr>
                <w:sz w:val="22"/>
                <w:szCs w:val="24"/>
              </w:rPr>
            </w:pPr>
            <w:r>
              <w:rPr>
                <w:sz w:val="22"/>
                <w:szCs w:val="24"/>
              </w:rPr>
              <w:t>10.199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ST</w:t>
            </w:r>
          </w:p>
        </w:tc>
        <w:tc>
          <w:tcPr>
            <w:tcW w:w="1316" w:type="dxa"/>
            <w:tcBorders/>
          </w:tcPr>
          <w:p>
            <w:pPr>
              <w:pStyle w:val="style0"/>
              <w:spacing w:lineRule="auto" w:line="480"/>
              <w:rPr>
                <w:sz w:val="22"/>
                <w:szCs w:val="24"/>
              </w:rPr>
            </w:pPr>
            <w:r>
              <w:rPr>
                <w:sz w:val="22"/>
                <w:szCs w:val="24"/>
              </w:rPr>
              <w:t>36.732</w:t>
            </w:r>
          </w:p>
        </w:tc>
        <w:tc>
          <w:tcPr>
            <w:tcW w:w="1236" w:type="dxa"/>
            <w:tcBorders/>
          </w:tcPr>
          <w:p>
            <w:pPr>
              <w:pStyle w:val="style0"/>
              <w:spacing w:lineRule="auto" w:line="480"/>
              <w:rPr>
                <w:sz w:val="22"/>
                <w:szCs w:val="24"/>
              </w:rPr>
            </w:pPr>
            <w:r>
              <w:rPr>
                <w:sz w:val="22"/>
                <w:szCs w:val="24"/>
              </w:rPr>
              <w:t>38.194</w:t>
            </w:r>
          </w:p>
        </w:tc>
        <w:tc>
          <w:tcPr>
            <w:tcW w:w="1236" w:type="dxa"/>
            <w:tcBorders/>
          </w:tcPr>
          <w:p>
            <w:pPr>
              <w:pStyle w:val="style0"/>
              <w:spacing w:lineRule="auto" w:line="480"/>
              <w:rPr>
                <w:sz w:val="22"/>
                <w:szCs w:val="24"/>
              </w:rPr>
            </w:pPr>
            <w:r>
              <w:rPr>
                <w:sz w:val="22"/>
                <w:szCs w:val="24"/>
              </w:rPr>
              <w:t>34.905</w:t>
            </w:r>
          </w:p>
        </w:tc>
        <w:tc>
          <w:tcPr>
            <w:tcW w:w="1236" w:type="dxa"/>
            <w:tcBorders/>
          </w:tcPr>
          <w:p>
            <w:pPr>
              <w:pStyle w:val="style0"/>
              <w:spacing w:lineRule="auto" w:line="480"/>
              <w:rPr>
                <w:sz w:val="22"/>
                <w:szCs w:val="24"/>
              </w:rPr>
            </w:pPr>
            <w:r>
              <w:rPr>
                <w:sz w:val="22"/>
                <w:szCs w:val="24"/>
              </w:rPr>
              <w:t>40.387</w:t>
            </w:r>
          </w:p>
        </w:tc>
        <w:tc>
          <w:tcPr>
            <w:tcW w:w="1236" w:type="dxa"/>
            <w:tcBorders/>
          </w:tcPr>
          <w:p>
            <w:pPr>
              <w:pStyle w:val="style0"/>
              <w:spacing w:lineRule="auto" w:line="480"/>
              <w:rPr>
                <w:sz w:val="22"/>
                <w:szCs w:val="24"/>
              </w:rPr>
            </w:pPr>
            <w:r>
              <w:rPr>
                <w:sz w:val="22"/>
                <w:szCs w:val="24"/>
              </w:rPr>
              <w:t>40.205</w:t>
            </w:r>
          </w:p>
        </w:tc>
        <w:tc>
          <w:tcPr>
            <w:tcW w:w="1236" w:type="dxa"/>
            <w:tcBorders/>
          </w:tcPr>
          <w:p>
            <w:pPr>
              <w:pStyle w:val="style0"/>
              <w:spacing w:lineRule="auto" w:line="480"/>
              <w:rPr>
                <w:sz w:val="22"/>
                <w:szCs w:val="24"/>
              </w:rPr>
            </w:pPr>
            <w:r>
              <w:rPr>
                <w:sz w:val="22"/>
                <w:szCs w:val="24"/>
              </w:rPr>
              <w:t>35.636</w:t>
            </w:r>
          </w:p>
        </w:tc>
        <w:tc>
          <w:tcPr>
            <w:tcW w:w="1414" w:type="dxa"/>
            <w:tcBorders/>
          </w:tcPr>
          <w:p>
            <w:pPr>
              <w:pStyle w:val="style0"/>
              <w:spacing w:lineRule="auto" w:line="480"/>
              <w:rPr>
                <w:sz w:val="22"/>
                <w:szCs w:val="24"/>
              </w:rPr>
            </w:pPr>
            <w:r>
              <w:rPr>
                <w:sz w:val="22"/>
                <w:szCs w:val="24"/>
              </w:rPr>
              <w:t>52.632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L</w:t>
            </w:r>
          </w:p>
        </w:tc>
        <w:tc>
          <w:tcPr>
            <w:tcW w:w="1316" w:type="dxa"/>
            <w:tcBorders/>
          </w:tcPr>
          <w:p>
            <w:pPr>
              <w:pStyle w:val="style0"/>
              <w:spacing w:lineRule="auto" w:line="480"/>
              <w:rPr>
                <w:sz w:val="22"/>
                <w:szCs w:val="24"/>
              </w:rPr>
            </w:pPr>
            <w:r>
              <w:rPr>
                <w:sz w:val="22"/>
                <w:szCs w:val="24"/>
              </w:rPr>
              <w:t>45.321</w:t>
            </w:r>
          </w:p>
        </w:tc>
        <w:tc>
          <w:tcPr>
            <w:tcW w:w="1236" w:type="dxa"/>
            <w:tcBorders/>
          </w:tcPr>
          <w:p>
            <w:pPr>
              <w:pStyle w:val="style0"/>
              <w:spacing w:lineRule="auto" w:line="480"/>
              <w:rPr>
                <w:sz w:val="22"/>
                <w:szCs w:val="24"/>
              </w:rPr>
            </w:pPr>
            <w:r>
              <w:rPr>
                <w:sz w:val="22"/>
                <w:szCs w:val="24"/>
              </w:rPr>
              <w:t>29.788</w:t>
            </w:r>
          </w:p>
        </w:tc>
        <w:tc>
          <w:tcPr>
            <w:tcW w:w="1236" w:type="dxa"/>
            <w:tcBorders/>
          </w:tcPr>
          <w:p>
            <w:pPr>
              <w:pStyle w:val="style0"/>
              <w:spacing w:lineRule="auto" w:line="480"/>
              <w:rPr>
                <w:sz w:val="22"/>
                <w:szCs w:val="24"/>
              </w:rPr>
            </w:pPr>
            <w:r>
              <w:rPr>
                <w:sz w:val="22"/>
                <w:szCs w:val="24"/>
              </w:rPr>
              <w:t>36.367</w:t>
            </w:r>
          </w:p>
        </w:tc>
        <w:tc>
          <w:tcPr>
            <w:tcW w:w="1236" w:type="dxa"/>
            <w:tcBorders/>
          </w:tcPr>
          <w:p>
            <w:pPr>
              <w:pStyle w:val="style0"/>
              <w:spacing w:lineRule="auto" w:line="480"/>
              <w:rPr>
                <w:sz w:val="22"/>
                <w:szCs w:val="24"/>
              </w:rPr>
            </w:pPr>
            <w:r>
              <w:rPr>
                <w:sz w:val="22"/>
                <w:szCs w:val="24"/>
              </w:rPr>
              <w:t>33.443</w:t>
            </w:r>
          </w:p>
        </w:tc>
        <w:tc>
          <w:tcPr>
            <w:tcW w:w="1236" w:type="dxa"/>
            <w:tcBorders/>
          </w:tcPr>
          <w:p>
            <w:pPr>
              <w:pStyle w:val="style0"/>
              <w:spacing w:lineRule="auto" w:line="480"/>
              <w:rPr>
                <w:sz w:val="22"/>
                <w:szCs w:val="24"/>
              </w:rPr>
            </w:pPr>
            <w:r>
              <w:rPr>
                <w:sz w:val="22"/>
                <w:szCs w:val="24"/>
              </w:rPr>
              <w:t>34.539</w:t>
            </w:r>
          </w:p>
        </w:tc>
        <w:tc>
          <w:tcPr>
            <w:tcW w:w="1236" w:type="dxa"/>
            <w:tcBorders/>
          </w:tcPr>
          <w:p>
            <w:pPr>
              <w:pStyle w:val="style0"/>
              <w:spacing w:lineRule="auto" w:line="480"/>
              <w:rPr>
                <w:sz w:val="22"/>
                <w:szCs w:val="24"/>
              </w:rPr>
            </w:pPr>
            <w:r>
              <w:rPr>
                <w:sz w:val="22"/>
                <w:szCs w:val="24"/>
              </w:rPr>
              <w:t>32.346</w:t>
            </w:r>
          </w:p>
        </w:tc>
        <w:tc>
          <w:tcPr>
            <w:tcW w:w="1414" w:type="dxa"/>
            <w:tcBorders/>
          </w:tcPr>
          <w:p>
            <w:pPr>
              <w:pStyle w:val="style0"/>
              <w:spacing w:lineRule="auto" w:line="480"/>
              <w:rPr>
                <w:sz w:val="22"/>
                <w:szCs w:val="24"/>
              </w:rPr>
            </w:pPr>
            <w:r>
              <w:rPr>
                <w:sz w:val="22"/>
                <w:szCs w:val="24"/>
              </w:rPr>
              <w:t>36.732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L</w:t>
            </w:r>
          </w:p>
        </w:tc>
        <w:tc>
          <w:tcPr>
            <w:tcW w:w="1316" w:type="dxa"/>
            <w:tcBorders/>
          </w:tcPr>
          <w:p>
            <w:pPr>
              <w:pStyle w:val="style0"/>
              <w:spacing w:lineRule="auto" w:line="480"/>
              <w:rPr>
                <w:sz w:val="22"/>
                <w:szCs w:val="24"/>
              </w:rPr>
            </w:pPr>
            <w:r>
              <w:rPr>
                <w:sz w:val="22"/>
                <w:szCs w:val="24"/>
              </w:rPr>
              <w:t>13.992</w:t>
            </w:r>
          </w:p>
        </w:tc>
        <w:tc>
          <w:tcPr>
            <w:tcW w:w="1236" w:type="dxa"/>
            <w:tcBorders/>
          </w:tcPr>
          <w:p>
            <w:pPr>
              <w:pStyle w:val="style0"/>
              <w:spacing w:lineRule="auto" w:line="480"/>
              <w:rPr>
                <w:sz w:val="22"/>
                <w:szCs w:val="24"/>
              </w:rPr>
            </w:pPr>
            <w:r>
              <w:rPr>
                <w:sz w:val="22"/>
                <w:szCs w:val="24"/>
              </w:rPr>
              <w:t>18.701</w:t>
            </w:r>
          </w:p>
        </w:tc>
        <w:tc>
          <w:tcPr>
            <w:tcW w:w="1236" w:type="dxa"/>
            <w:tcBorders/>
          </w:tcPr>
          <w:p>
            <w:pPr>
              <w:pStyle w:val="style0"/>
              <w:spacing w:lineRule="auto" w:line="480"/>
              <w:rPr>
                <w:sz w:val="22"/>
                <w:szCs w:val="24"/>
              </w:rPr>
            </w:pPr>
            <w:r>
              <w:rPr>
                <w:sz w:val="22"/>
                <w:szCs w:val="24"/>
              </w:rPr>
              <w:t>19.062</w:t>
            </w:r>
          </w:p>
        </w:tc>
        <w:tc>
          <w:tcPr>
            <w:tcW w:w="1236" w:type="dxa"/>
            <w:tcBorders/>
          </w:tcPr>
          <w:p>
            <w:pPr>
              <w:pStyle w:val="style0"/>
              <w:spacing w:lineRule="auto" w:line="480"/>
              <w:rPr>
                <w:sz w:val="22"/>
                <w:szCs w:val="24"/>
              </w:rPr>
            </w:pPr>
            <w:r>
              <w:rPr>
                <w:sz w:val="22"/>
                <w:szCs w:val="24"/>
              </w:rPr>
              <w:t>22.743</w:t>
            </w:r>
          </w:p>
        </w:tc>
        <w:tc>
          <w:tcPr>
            <w:tcW w:w="1236" w:type="dxa"/>
            <w:tcBorders/>
          </w:tcPr>
          <w:p>
            <w:pPr>
              <w:pStyle w:val="style0"/>
              <w:spacing w:lineRule="auto" w:line="480"/>
              <w:rPr>
                <w:sz w:val="22"/>
                <w:szCs w:val="24"/>
              </w:rPr>
            </w:pPr>
            <w:r>
              <w:rPr>
                <w:sz w:val="22"/>
                <w:szCs w:val="24"/>
              </w:rPr>
              <w:t>18.862</w:t>
            </w:r>
          </w:p>
        </w:tc>
        <w:tc>
          <w:tcPr>
            <w:tcW w:w="1236" w:type="dxa"/>
            <w:tcBorders/>
          </w:tcPr>
          <w:p>
            <w:pPr>
              <w:pStyle w:val="style0"/>
              <w:spacing w:lineRule="auto" w:line="480"/>
              <w:rPr>
                <w:sz w:val="22"/>
                <w:szCs w:val="24"/>
              </w:rPr>
            </w:pPr>
            <w:r>
              <w:rPr>
                <w:sz w:val="22"/>
                <w:szCs w:val="24"/>
              </w:rPr>
              <w:t>18.736</w:t>
            </w:r>
          </w:p>
        </w:tc>
        <w:tc>
          <w:tcPr>
            <w:tcW w:w="1414" w:type="dxa"/>
            <w:tcBorders/>
          </w:tcPr>
          <w:p>
            <w:pPr>
              <w:pStyle w:val="style0"/>
              <w:spacing w:lineRule="auto" w:line="480"/>
              <w:rPr>
                <w:sz w:val="22"/>
                <w:szCs w:val="24"/>
              </w:rPr>
            </w:pPr>
            <w:r>
              <w:rPr>
                <w:sz w:val="22"/>
                <w:szCs w:val="24"/>
              </w:rPr>
              <w:t>19.329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ST</w:t>
            </w:r>
          </w:p>
        </w:tc>
        <w:tc>
          <w:tcPr>
            <w:tcW w:w="1316" w:type="dxa"/>
            <w:tcBorders/>
          </w:tcPr>
          <w:p>
            <w:pPr>
              <w:pStyle w:val="style0"/>
              <w:spacing w:lineRule="auto" w:line="480"/>
              <w:rPr>
                <w:sz w:val="22"/>
                <w:szCs w:val="24"/>
              </w:rPr>
            </w:pPr>
            <w:r>
              <w:rPr>
                <w:sz w:val="22"/>
                <w:szCs w:val="24"/>
              </w:rPr>
              <w:t>29.807</w:t>
            </w:r>
          </w:p>
        </w:tc>
        <w:tc>
          <w:tcPr>
            <w:tcW w:w="1236" w:type="dxa"/>
            <w:tcBorders/>
          </w:tcPr>
          <w:p>
            <w:pPr>
              <w:pStyle w:val="style0"/>
              <w:spacing w:lineRule="auto" w:line="480"/>
              <w:rPr>
                <w:sz w:val="22"/>
                <w:szCs w:val="24"/>
              </w:rPr>
            </w:pPr>
            <w:r>
              <w:rPr>
                <w:sz w:val="22"/>
                <w:szCs w:val="24"/>
              </w:rPr>
              <w:t>15.891</w:t>
            </w:r>
          </w:p>
        </w:tc>
        <w:tc>
          <w:tcPr>
            <w:tcW w:w="1236" w:type="dxa"/>
            <w:tcBorders/>
          </w:tcPr>
          <w:p>
            <w:pPr>
              <w:pStyle w:val="style0"/>
              <w:spacing w:lineRule="auto" w:line="480"/>
              <w:rPr>
                <w:sz w:val="22"/>
                <w:szCs w:val="24"/>
              </w:rPr>
            </w:pPr>
            <w:r>
              <w:rPr>
                <w:sz w:val="22"/>
                <w:szCs w:val="24"/>
              </w:rPr>
              <w:t>25.233</w:t>
            </w:r>
          </w:p>
        </w:tc>
        <w:tc>
          <w:tcPr>
            <w:tcW w:w="1236" w:type="dxa"/>
            <w:tcBorders/>
          </w:tcPr>
          <w:p>
            <w:pPr>
              <w:pStyle w:val="style0"/>
              <w:spacing w:lineRule="auto" w:line="480"/>
              <w:rPr>
                <w:sz w:val="22"/>
                <w:szCs w:val="24"/>
              </w:rPr>
            </w:pPr>
            <w:r>
              <w:rPr>
                <w:sz w:val="22"/>
                <w:szCs w:val="24"/>
              </w:rPr>
              <w:t>20.000</w:t>
            </w:r>
          </w:p>
        </w:tc>
        <w:tc>
          <w:tcPr>
            <w:tcW w:w="1236" w:type="dxa"/>
            <w:tcBorders/>
          </w:tcPr>
          <w:p>
            <w:pPr>
              <w:pStyle w:val="style0"/>
              <w:spacing w:lineRule="auto" w:line="480"/>
              <w:rPr>
                <w:sz w:val="22"/>
                <w:szCs w:val="24"/>
              </w:rPr>
            </w:pPr>
            <w:r>
              <w:rPr>
                <w:sz w:val="22"/>
                <w:szCs w:val="24"/>
              </w:rPr>
              <w:t>17.027</w:t>
            </w:r>
          </w:p>
        </w:tc>
        <w:tc>
          <w:tcPr>
            <w:tcW w:w="1236" w:type="dxa"/>
            <w:tcBorders/>
          </w:tcPr>
          <w:p>
            <w:pPr>
              <w:pStyle w:val="style0"/>
              <w:spacing w:lineRule="auto" w:line="480"/>
              <w:rPr>
                <w:sz w:val="22"/>
                <w:szCs w:val="24"/>
              </w:rPr>
            </w:pPr>
            <w:r>
              <w:rPr>
                <w:sz w:val="22"/>
                <w:szCs w:val="24"/>
              </w:rPr>
              <w:t>21.325</w:t>
            </w:r>
          </w:p>
        </w:tc>
        <w:tc>
          <w:tcPr>
            <w:tcW w:w="1414" w:type="dxa"/>
            <w:tcBorders/>
          </w:tcPr>
          <w:p>
            <w:pPr>
              <w:pStyle w:val="style0"/>
              <w:spacing w:lineRule="auto" w:line="480"/>
              <w:rPr>
                <w:sz w:val="22"/>
                <w:szCs w:val="24"/>
              </w:rPr>
            </w:pPr>
            <w:r>
              <w:rPr>
                <w:sz w:val="22"/>
                <w:szCs w:val="24"/>
              </w:rPr>
              <w:t>37.854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ST</w:t>
            </w:r>
          </w:p>
        </w:tc>
        <w:tc>
          <w:tcPr>
            <w:tcW w:w="1316" w:type="dxa"/>
            <w:tcBorders/>
          </w:tcPr>
          <w:p>
            <w:pPr>
              <w:pStyle w:val="style0"/>
              <w:spacing w:lineRule="auto" w:line="480"/>
              <w:rPr>
                <w:sz w:val="22"/>
                <w:szCs w:val="24"/>
              </w:rPr>
            </w:pPr>
            <w:r>
              <w:rPr>
                <w:sz w:val="22"/>
                <w:szCs w:val="24"/>
              </w:rPr>
              <w:t>49.218</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87.500</w:t>
            </w:r>
          </w:p>
        </w:tc>
        <w:tc>
          <w:tcPr>
            <w:tcW w:w="1236" w:type="dxa"/>
            <w:tcBorders/>
          </w:tcPr>
          <w:p>
            <w:pPr>
              <w:pStyle w:val="style0"/>
              <w:spacing w:lineRule="auto" w:line="480"/>
              <w:rPr>
                <w:sz w:val="22"/>
                <w:szCs w:val="24"/>
              </w:rPr>
            </w:pPr>
            <w:r>
              <w:rPr>
                <w:sz w:val="22"/>
                <w:szCs w:val="24"/>
              </w:rPr>
              <w:t>53.385</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41.928</w:t>
            </w:r>
          </w:p>
        </w:tc>
        <w:tc>
          <w:tcPr>
            <w:tcW w:w="1414" w:type="dxa"/>
            <w:tcBorders/>
          </w:tcPr>
          <w:p>
            <w:pPr>
              <w:pStyle w:val="style0"/>
              <w:spacing w:lineRule="auto" w:line="480"/>
              <w:rPr>
                <w:sz w:val="22"/>
                <w:szCs w:val="24"/>
              </w:rPr>
            </w:pPr>
            <w:r>
              <w:rPr>
                <w:sz w:val="22"/>
                <w:szCs w:val="24"/>
              </w:rPr>
              <w:t>44.010</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L</w:t>
            </w:r>
          </w:p>
        </w:tc>
        <w:tc>
          <w:tcPr>
            <w:tcW w:w="1316" w:type="dxa"/>
            <w:tcBorders/>
          </w:tcPr>
          <w:p>
            <w:pPr>
              <w:pStyle w:val="style0"/>
              <w:spacing w:lineRule="auto" w:line="480"/>
              <w:rPr>
                <w:sz w:val="22"/>
                <w:szCs w:val="24"/>
              </w:rPr>
            </w:pPr>
            <w:r>
              <w:rPr>
                <w:sz w:val="22"/>
                <w:szCs w:val="24"/>
              </w:rPr>
              <w:t>45.833</w:t>
            </w:r>
          </w:p>
        </w:tc>
        <w:tc>
          <w:tcPr>
            <w:tcW w:w="1236" w:type="dxa"/>
            <w:tcBorders/>
          </w:tcPr>
          <w:p>
            <w:pPr>
              <w:pStyle w:val="style0"/>
              <w:spacing w:lineRule="auto" w:line="480"/>
              <w:rPr>
                <w:sz w:val="22"/>
                <w:szCs w:val="24"/>
              </w:rPr>
            </w:pPr>
            <w:r>
              <w:rPr>
                <w:sz w:val="22"/>
                <w:szCs w:val="24"/>
              </w:rPr>
              <w:t>30.208</w:t>
            </w:r>
          </w:p>
        </w:tc>
        <w:tc>
          <w:tcPr>
            <w:tcW w:w="1236" w:type="dxa"/>
            <w:tcBorders/>
          </w:tcPr>
          <w:p>
            <w:pPr>
              <w:pStyle w:val="style0"/>
              <w:spacing w:lineRule="auto" w:line="480"/>
              <w:rPr>
                <w:sz w:val="22"/>
                <w:szCs w:val="24"/>
              </w:rPr>
            </w:pPr>
            <w:r>
              <w:rPr>
                <w:sz w:val="22"/>
                <w:szCs w:val="24"/>
              </w:rPr>
              <w:t>30.989</w:t>
            </w:r>
          </w:p>
        </w:tc>
        <w:tc>
          <w:tcPr>
            <w:tcW w:w="1236" w:type="dxa"/>
            <w:tcBorders/>
          </w:tcPr>
          <w:p>
            <w:pPr>
              <w:pStyle w:val="style0"/>
              <w:spacing w:lineRule="auto" w:line="480"/>
              <w:rPr>
                <w:sz w:val="22"/>
                <w:szCs w:val="24"/>
              </w:rPr>
            </w:pPr>
            <w:r>
              <w:rPr>
                <w:sz w:val="22"/>
                <w:szCs w:val="24"/>
              </w:rPr>
              <w:t>57.813</w:t>
            </w:r>
          </w:p>
        </w:tc>
        <w:tc>
          <w:tcPr>
            <w:tcW w:w="1236" w:type="dxa"/>
            <w:tcBorders/>
          </w:tcPr>
          <w:p>
            <w:pPr>
              <w:pStyle w:val="style0"/>
              <w:spacing w:lineRule="auto" w:line="480"/>
              <w:rPr>
                <w:sz w:val="22"/>
                <w:szCs w:val="24"/>
              </w:rPr>
            </w:pPr>
            <w:r>
              <w:rPr>
                <w:sz w:val="22"/>
                <w:szCs w:val="24"/>
              </w:rPr>
              <w:t>29.688</w:t>
            </w:r>
          </w:p>
        </w:tc>
        <w:tc>
          <w:tcPr>
            <w:tcW w:w="1236" w:type="dxa"/>
            <w:tcBorders/>
          </w:tcPr>
          <w:p>
            <w:pPr>
              <w:pStyle w:val="style0"/>
              <w:spacing w:lineRule="auto" w:line="480"/>
              <w:rPr>
                <w:sz w:val="22"/>
                <w:szCs w:val="24"/>
              </w:rPr>
            </w:pPr>
            <w:r>
              <w:rPr>
                <w:sz w:val="22"/>
                <w:szCs w:val="24"/>
              </w:rPr>
              <w:t>27.865</w:t>
            </w:r>
          </w:p>
        </w:tc>
        <w:tc>
          <w:tcPr>
            <w:tcW w:w="1414" w:type="dxa"/>
            <w:tcBorders/>
          </w:tcPr>
          <w:p>
            <w:pPr>
              <w:pStyle w:val="style0"/>
              <w:spacing w:lineRule="auto" w:line="480"/>
              <w:rPr>
                <w:sz w:val="22"/>
                <w:szCs w:val="24"/>
              </w:rPr>
            </w:pPr>
            <w:r>
              <w:rPr>
                <w:sz w:val="22"/>
                <w:szCs w:val="24"/>
              </w:rPr>
              <w:t>29.427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MPO ST</w:t>
            </w:r>
          </w:p>
        </w:tc>
        <w:tc>
          <w:tcPr>
            <w:tcW w:w="1316" w:type="dxa"/>
            <w:tcBorders/>
          </w:tcPr>
          <w:p>
            <w:pPr>
              <w:pStyle w:val="style0"/>
              <w:spacing w:lineRule="auto" w:line="480"/>
              <w:rPr>
                <w:sz w:val="22"/>
                <w:szCs w:val="24"/>
              </w:rPr>
            </w:pPr>
            <w:r>
              <w:rPr>
                <w:sz w:val="22"/>
                <w:szCs w:val="24"/>
              </w:rPr>
              <w:t>2.040</w:t>
            </w:r>
          </w:p>
        </w:tc>
        <w:tc>
          <w:tcPr>
            <w:tcW w:w="1236" w:type="dxa"/>
            <w:tcBorders/>
          </w:tcPr>
          <w:p>
            <w:pPr>
              <w:pStyle w:val="style0"/>
              <w:spacing w:lineRule="auto" w:line="480"/>
              <w:rPr>
                <w:sz w:val="22"/>
                <w:szCs w:val="24"/>
              </w:rPr>
            </w:pPr>
            <w:r>
              <w:rPr>
                <w:sz w:val="22"/>
                <w:szCs w:val="24"/>
              </w:rPr>
              <w:t>1.931</w:t>
            </w:r>
          </w:p>
        </w:tc>
        <w:tc>
          <w:tcPr>
            <w:tcW w:w="1236" w:type="dxa"/>
            <w:tcBorders/>
          </w:tcPr>
          <w:p>
            <w:pPr>
              <w:pStyle w:val="style0"/>
              <w:spacing w:lineRule="auto" w:line="480"/>
              <w:rPr>
                <w:sz w:val="22"/>
                <w:szCs w:val="24"/>
              </w:rPr>
            </w:pPr>
            <w:r>
              <w:rPr>
                <w:sz w:val="22"/>
                <w:szCs w:val="24"/>
              </w:rPr>
              <w:t>2.144</w:t>
            </w:r>
          </w:p>
        </w:tc>
        <w:tc>
          <w:tcPr>
            <w:tcW w:w="1236" w:type="dxa"/>
            <w:tcBorders/>
          </w:tcPr>
          <w:p>
            <w:pPr>
              <w:pStyle w:val="style0"/>
              <w:spacing w:lineRule="auto" w:line="480"/>
              <w:rPr>
                <w:sz w:val="22"/>
                <w:szCs w:val="24"/>
              </w:rPr>
            </w:pPr>
            <w:r>
              <w:rPr>
                <w:sz w:val="22"/>
                <w:szCs w:val="24"/>
              </w:rPr>
              <w:t>2.772</w:t>
            </w:r>
          </w:p>
        </w:tc>
        <w:tc>
          <w:tcPr>
            <w:tcW w:w="1236" w:type="dxa"/>
            <w:tcBorders/>
          </w:tcPr>
          <w:p>
            <w:pPr>
              <w:pStyle w:val="style0"/>
              <w:spacing w:lineRule="auto" w:line="480"/>
              <w:rPr>
                <w:sz w:val="22"/>
                <w:szCs w:val="24"/>
              </w:rPr>
            </w:pPr>
            <w:r>
              <w:rPr>
                <w:sz w:val="22"/>
                <w:szCs w:val="24"/>
              </w:rPr>
              <w:t>9.036</w:t>
            </w:r>
          </w:p>
        </w:tc>
        <w:tc>
          <w:tcPr>
            <w:tcW w:w="1236" w:type="dxa"/>
            <w:tcBorders/>
          </w:tcPr>
          <w:p>
            <w:pPr>
              <w:pStyle w:val="style0"/>
              <w:spacing w:lineRule="auto" w:line="480"/>
              <w:rPr>
                <w:sz w:val="22"/>
                <w:szCs w:val="24"/>
              </w:rPr>
            </w:pPr>
            <w:r>
              <w:rPr>
                <w:sz w:val="22"/>
                <w:szCs w:val="24"/>
              </w:rPr>
              <w:t>1.701</w:t>
            </w:r>
          </w:p>
        </w:tc>
        <w:tc>
          <w:tcPr>
            <w:tcW w:w="1414" w:type="dxa"/>
            <w:tcBorders/>
          </w:tcPr>
          <w:p>
            <w:pPr>
              <w:pStyle w:val="style0"/>
              <w:spacing w:lineRule="auto" w:line="480"/>
              <w:rPr>
                <w:sz w:val="22"/>
                <w:szCs w:val="24"/>
              </w:rPr>
            </w:pPr>
            <w:r>
              <w:rPr>
                <w:sz w:val="22"/>
                <w:szCs w:val="24"/>
              </w:rPr>
              <w:t>7.717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PEPSIN ST</w:t>
            </w:r>
          </w:p>
        </w:tc>
        <w:tc>
          <w:tcPr>
            <w:tcW w:w="1316" w:type="dxa"/>
            <w:tcBorders/>
          </w:tcPr>
          <w:p>
            <w:pPr>
              <w:pStyle w:val="style0"/>
              <w:spacing w:lineRule="auto" w:line="480"/>
              <w:rPr>
                <w:sz w:val="22"/>
                <w:szCs w:val="24"/>
              </w:rPr>
            </w:pPr>
            <w:r>
              <w:rPr>
                <w:sz w:val="22"/>
                <w:szCs w:val="24"/>
              </w:rPr>
              <w:t>1.494</w:t>
            </w:r>
          </w:p>
        </w:tc>
        <w:tc>
          <w:tcPr>
            <w:tcW w:w="1236" w:type="dxa"/>
            <w:tcBorders/>
          </w:tcPr>
          <w:p>
            <w:pPr>
              <w:pStyle w:val="style0"/>
              <w:spacing w:lineRule="auto" w:line="480"/>
              <w:rPr>
                <w:sz w:val="22"/>
                <w:szCs w:val="24"/>
              </w:rPr>
            </w:pPr>
            <w:r>
              <w:rPr>
                <w:sz w:val="22"/>
                <w:szCs w:val="24"/>
              </w:rPr>
              <w:t>4.305</w:t>
            </w:r>
          </w:p>
        </w:tc>
        <w:tc>
          <w:tcPr>
            <w:tcW w:w="1236" w:type="dxa"/>
            <w:tcBorders/>
          </w:tcPr>
          <w:p>
            <w:pPr>
              <w:pStyle w:val="style0"/>
              <w:spacing w:lineRule="auto" w:line="480"/>
              <w:rPr>
                <w:sz w:val="22"/>
                <w:szCs w:val="24"/>
              </w:rPr>
            </w:pPr>
            <w:r>
              <w:rPr>
                <w:sz w:val="22"/>
                <w:szCs w:val="24"/>
              </w:rPr>
              <w:t>1.932</w:t>
            </w:r>
          </w:p>
        </w:tc>
        <w:tc>
          <w:tcPr>
            <w:tcW w:w="1236" w:type="dxa"/>
            <w:tcBorders/>
          </w:tcPr>
          <w:p>
            <w:pPr>
              <w:pStyle w:val="style0"/>
              <w:spacing w:lineRule="auto" w:line="480"/>
              <w:rPr>
                <w:sz w:val="22"/>
                <w:szCs w:val="24"/>
              </w:rPr>
            </w:pPr>
            <w:r>
              <w:rPr>
                <w:sz w:val="22"/>
                <w:szCs w:val="24"/>
              </w:rPr>
              <w:t>1.214</w:t>
            </w:r>
          </w:p>
        </w:tc>
        <w:tc>
          <w:tcPr>
            <w:tcW w:w="1236" w:type="dxa"/>
            <w:tcBorders/>
          </w:tcPr>
          <w:p>
            <w:pPr>
              <w:pStyle w:val="style0"/>
              <w:spacing w:lineRule="auto" w:line="480"/>
              <w:rPr>
                <w:sz w:val="22"/>
                <w:szCs w:val="24"/>
              </w:rPr>
            </w:pPr>
            <w:r>
              <w:rPr>
                <w:sz w:val="22"/>
                <w:szCs w:val="24"/>
              </w:rPr>
              <w:t>0.872</w:t>
            </w:r>
          </w:p>
        </w:tc>
        <w:tc>
          <w:tcPr>
            <w:tcW w:w="1236" w:type="dxa"/>
            <w:tcBorders/>
          </w:tcPr>
          <w:p>
            <w:pPr>
              <w:pStyle w:val="style0"/>
              <w:spacing w:lineRule="auto" w:line="480"/>
              <w:rPr>
                <w:sz w:val="22"/>
                <w:szCs w:val="24"/>
              </w:rPr>
            </w:pPr>
            <w:r>
              <w:rPr>
                <w:sz w:val="22"/>
                <w:szCs w:val="24"/>
              </w:rPr>
              <w:t>1.855</w:t>
            </w:r>
          </w:p>
        </w:tc>
        <w:tc>
          <w:tcPr>
            <w:tcW w:w="1414" w:type="dxa"/>
            <w:tcBorders/>
          </w:tcPr>
          <w:p>
            <w:pPr>
              <w:pStyle w:val="style0"/>
              <w:spacing w:lineRule="auto" w:line="480"/>
              <w:rPr>
                <w:sz w:val="22"/>
                <w:szCs w:val="24"/>
              </w:rPr>
            </w:pPr>
            <w:r>
              <w:rPr>
                <w:sz w:val="22"/>
                <w:szCs w:val="24"/>
              </w:rPr>
              <w:t>1.787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ST</w:t>
            </w:r>
          </w:p>
        </w:tc>
        <w:tc>
          <w:tcPr>
            <w:tcW w:w="1316" w:type="dxa"/>
            <w:tcBorders/>
          </w:tcPr>
          <w:p>
            <w:pPr>
              <w:pStyle w:val="style0"/>
              <w:spacing w:lineRule="auto" w:line="480"/>
              <w:rPr>
                <w:sz w:val="22"/>
                <w:szCs w:val="24"/>
              </w:rPr>
            </w:pPr>
            <w:r>
              <w:rPr>
                <w:sz w:val="22"/>
                <w:szCs w:val="24"/>
              </w:rPr>
              <w:t>9.799</w:t>
            </w:r>
          </w:p>
        </w:tc>
        <w:tc>
          <w:tcPr>
            <w:tcW w:w="1236" w:type="dxa"/>
            <w:tcBorders/>
          </w:tcPr>
          <w:p>
            <w:pPr>
              <w:pStyle w:val="style0"/>
              <w:spacing w:lineRule="auto" w:line="480"/>
              <w:rPr>
                <w:sz w:val="22"/>
                <w:szCs w:val="24"/>
              </w:rPr>
            </w:pPr>
            <w:r>
              <w:rPr>
                <w:sz w:val="22"/>
                <w:szCs w:val="24"/>
              </w:rPr>
              <w:t>5.673</w:t>
            </w:r>
          </w:p>
        </w:tc>
        <w:tc>
          <w:tcPr>
            <w:tcW w:w="1236" w:type="dxa"/>
            <w:tcBorders/>
          </w:tcPr>
          <w:p>
            <w:pPr>
              <w:pStyle w:val="style0"/>
              <w:spacing w:lineRule="auto" w:line="480"/>
              <w:rPr>
                <w:sz w:val="22"/>
                <w:szCs w:val="24"/>
              </w:rPr>
            </w:pPr>
            <w:r>
              <w:rPr>
                <w:sz w:val="22"/>
                <w:szCs w:val="24"/>
              </w:rPr>
              <w:t>6.514</w:t>
            </w:r>
          </w:p>
        </w:tc>
        <w:tc>
          <w:tcPr>
            <w:tcW w:w="1236" w:type="dxa"/>
            <w:tcBorders/>
          </w:tcPr>
          <w:p>
            <w:pPr>
              <w:pStyle w:val="style0"/>
              <w:spacing w:lineRule="auto" w:line="480"/>
              <w:rPr>
                <w:sz w:val="22"/>
                <w:szCs w:val="24"/>
              </w:rPr>
            </w:pPr>
            <w:r>
              <w:rPr>
                <w:sz w:val="22"/>
                <w:szCs w:val="24"/>
              </w:rPr>
              <w:t>7.828</w:t>
            </w:r>
          </w:p>
        </w:tc>
        <w:tc>
          <w:tcPr>
            <w:tcW w:w="1236" w:type="dxa"/>
            <w:tcBorders/>
          </w:tcPr>
          <w:p>
            <w:pPr>
              <w:pStyle w:val="style0"/>
              <w:spacing w:lineRule="auto" w:line="480"/>
              <w:rPr>
                <w:sz w:val="22"/>
                <w:szCs w:val="24"/>
              </w:rPr>
            </w:pPr>
            <w:r>
              <w:rPr>
                <w:sz w:val="22"/>
                <w:szCs w:val="24"/>
              </w:rPr>
              <w:t>11.899</w:t>
            </w:r>
          </w:p>
        </w:tc>
        <w:tc>
          <w:tcPr>
            <w:tcW w:w="1236" w:type="dxa"/>
            <w:tcBorders/>
          </w:tcPr>
          <w:p>
            <w:pPr>
              <w:pStyle w:val="style0"/>
              <w:spacing w:lineRule="auto" w:line="480"/>
              <w:rPr>
                <w:sz w:val="22"/>
                <w:szCs w:val="24"/>
              </w:rPr>
            </w:pPr>
            <w:r>
              <w:rPr>
                <w:sz w:val="22"/>
                <w:szCs w:val="24"/>
              </w:rPr>
              <w:t>12.000</w:t>
            </w:r>
          </w:p>
        </w:tc>
        <w:tc>
          <w:tcPr>
            <w:tcW w:w="1414" w:type="dxa"/>
            <w:tcBorders/>
          </w:tcPr>
          <w:p>
            <w:pPr>
              <w:pStyle w:val="style0"/>
              <w:spacing w:lineRule="auto" w:line="480"/>
              <w:rPr>
                <w:sz w:val="22"/>
                <w:szCs w:val="24"/>
              </w:rPr>
            </w:pPr>
            <w:r>
              <w:rPr>
                <w:sz w:val="22"/>
                <w:szCs w:val="24"/>
              </w:rPr>
              <w:t>15.168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L</w:t>
            </w:r>
          </w:p>
        </w:tc>
        <w:tc>
          <w:tcPr>
            <w:tcW w:w="1316" w:type="dxa"/>
            <w:tcBorders/>
          </w:tcPr>
          <w:p>
            <w:pPr>
              <w:pStyle w:val="style0"/>
              <w:spacing w:lineRule="auto" w:line="480"/>
              <w:rPr>
                <w:sz w:val="22"/>
                <w:szCs w:val="24"/>
              </w:rPr>
            </w:pPr>
            <w:r>
              <w:rPr>
                <w:sz w:val="22"/>
                <w:szCs w:val="24"/>
              </w:rPr>
              <w:t>5.601</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6.042</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3.598</w:t>
            </w:r>
          </w:p>
        </w:tc>
        <w:tc>
          <w:tcPr>
            <w:tcW w:w="1236" w:type="dxa"/>
            <w:tcBorders/>
          </w:tcPr>
          <w:p>
            <w:pPr>
              <w:pStyle w:val="style0"/>
              <w:spacing w:lineRule="auto" w:line="480"/>
              <w:rPr>
                <w:sz w:val="22"/>
                <w:szCs w:val="24"/>
              </w:rPr>
            </w:pPr>
            <w:r>
              <w:rPr>
                <w:sz w:val="22"/>
                <w:szCs w:val="24"/>
              </w:rPr>
              <w:t>6.082</w:t>
            </w:r>
          </w:p>
        </w:tc>
        <w:tc>
          <w:tcPr>
            <w:tcW w:w="1414" w:type="dxa"/>
            <w:tcBorders/>
          </w:tcPr>
          <w:p>
            <w:pPr>
              <w:pStyle w:val="style0"/>
              <w:spacing w:lineRule="auto" w:line="480"/>
              <w:rPr>
                <w:sz w:val="22"/>
                <w:szCs w:val="24"/>
              </w:rPr>
            </w:pPr>
            <w:r>
              <w:rPr>
                <w:sz w:val="22"/>
                <w:szCs w:val="24"/>
              </w:rPr>
              <w:t>4.079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ST</w:t>
            </w:r>
          </w:p>
        </w:tc>
        <w:tc>
          <w:tcPr>
            <w:tcW w:w="1316" w:type="dxa"/>
            <w:tcBorders/>
          </w:tcPr>
          <w:p>
            <w:pPr>
              <w:pStyle w:val="style0"/>
              <w:spacing w:lineRule="auto" w:line="480"/>
              <w:rPr>
                <w:sz w:val="22"/>
                <w:szCs w:val="24"/>
              </w:rPr>
            </w:pPr>
            <w:r>
              <w:rPr>
                <w:sz w:val="22"/>
                <w:szCs w:val="24"/>
              </w:rPr>
              <w:t>44.761</w:t>
            </w:r>
          </w:p>
        </w:tc>
        <w:tc>
          <w:tcPr>
            <w:tcW w:w="1236" w:type="dxa"/>
            <w:tcBorders/>
          </w:tcPr>
          <w:p>
            <w:pPr>
              <w:pStyle w:val="style0"/>
              <w:spacing w:lineRule="auto" w:line="480"/>
              <w:rPr>
                <w:sz w:val="22"/>
                <w:szCs w:val="24"/>
              </w:rPr>
            </w:pPr>
            <w:r>
              <w:rPr>
                <w:sz w:val="22"/>
                <w:szCs w:val="24"/>
              </w:rPr>
              <w:t>43.750</w:t>
            </w:r>
          </w:p>
        </w:tc>
        <w:tc>
          <w:tcPr>
            <w:tcW w:w="1236" w:type="dxa"/>
            <w:tcBorders/>
          </w:tcPr>
          <w:p>
            <w:pPr>
              <w:pStyle w:val="style0"/>
              <w:spacing w:lineRule="auto" w:line="480"/>
              <w:rPr>
                <w:sz w:val="22"/>
                <w:szCs w:val="24"/>
              </w:rPr>
            </w:pPr>
            <w:r>
              <w:rPr>
                <w:sz w:val="22"/>
                <w:szCs w:val="24"/>
              </w:rPr>
              <w:t>42.831</w:t>
            </w:r>
          </w:p>
        </w:tc>
        <w:tc>
          <w:tcPr>
            <w:tcW w:w="1236" w:type="dxa"/>
            <w:tcBorders/>
          </w:tcPr>
          <w:p>
            <w:pPr>
              <w:pStyle w:val="style0"/>
              <w:spacing w:lineRule="auto" w:line="480"/>
              <w:rPr>
                <w:sz w:val="22"/>
                <w:szCs w:val="24"/>
              </w:rPr>
            </w:pPr>
            <w:r>
              <w:rPr>
                <w:sz w:val="22"/>
                <w:szCs w:val="24"/>
              </w:rPr>
              <w:t>46.232</w:t>
            </w:r>
          </w:p>
        </w:tc>
        <w:tc>
          <w:tcPr>
            <w:tcW w:w="1236" w:type="dxa"/>
            <w:tcBorders/>
          </w:tcPr>
          <w:p>
            <w:pPr>
              <w:pStyle w:val="style0"/>
              <w:spacing w:lineRule="auto" w:line="480"/>
              <w:rPr>
                <w:sz w:val="22"/>
                <w:szCs w:val="24"/>
              </w:rPr>
            </w:pPr>
            <w:r>
              <w:rPr>
                <w:sz w:val="22"/>
                <w:szCs w:val="24"/>
              </w:rPr>
              <w:t>48.621</w:t>
            </w:r>
          </w:p>
        </w:tc>
        <w:tc>
          <w:tcPr>
            <w:tcW w:w="1236" w:type="dxa"/>
            <w:tcBorders/>
          </w:tcPr>
          <w:p>
            <w:pPr>
              <w:pStyle w:val="style0"/>
              <w:spacing w:lineRule="auto" w:line="480"/>
              <w:rPr>
                <w:sz w:val="22"/>
                <w:szCs w:val="24"/>
              </w:rPr>
            </w:pPr>
            <w:r>
              <w:rPr>
                <w:sz w:val="22"/>
                <w:szCs w:val="24"/>
              </w:rPr>
              <w:t>47.243</w:t>
            </w:r>
          </w:p>
        </w:tc>
        <w:tc>
          <w:tcPr>
            <w:tcW w:w="1414" w:type="dxa"/>
            <w:tcBorders/>
          </w:tcPr>
          <w:p>
            <w:pPr>
              <w:pStyle w:val="style0"/>
              <w:spacing w:lineRule="auto" w:line="480"/>
              <w:rPr>
                <w:sz w:val="22"/>
                <w:szCs w:val="24"/>
              </w:rPr>
            </w:pPr>
            <w:r>
              <w:rPr>
                <w:sz w:val="22"/>
                <w:szCs w:val="24"/>
              </w:rPr>
              <w:t>56.066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L</w:t>
            </w:r>
          </w:p>
        </w:tc>
        <w:tc>
          <w:tcPr>
            <w:tcW w:w="1316" w:type="dxa"/>
            <w:tcBorders/>
          </w:tcPr>
          <w:p>
            <w:pPr>
              <w:pStyle w:val="style0"/>
              <w:spacing w:lineRule="auto" w:line="480"/>
              <w:rPr>
                <w:sz w:val="22"/>
                <w:szCs w:val="24"/>
              </w:rPr>
            </w:pPr>
            <w:r>
              <w:rPr>
                <w:sz w:val="22"/>
                <w:szCs w:val="24"/>
              </w:rPr>
              <w:t>86.949</w:t>
            </w:r>
          </w:p>
        </w:tc>
        <w:tc>
          <w:tcPr>
            <w:tcW w:w="1236" w:type="dxa"/>
            <w:tcBorders/>
          </w:tcPr>
          <w:p>
            <w:pPr>
              <w:pStyle w:val="style0"/>
              <w:spacing w:lineRule="auto" w:line="480"/>
              <w:rPr>
                <w:sz w:val="22"/>
                <w:szCs w:val="24"/>
              </w:rPr>
            </w:pPr>
            <w:r>
              <w:rPr>
                <w:sz w:val="22"/>
                <w:szCs w:val="24"/>
              </w:rPr>
              <w:t>45.954</w:t>
            </w:r>
          </w:p>
        </w:tc>
        <w:tc>
          <w:tcPr>
            <w:tcW w:w="1236" w:type="dxa"/>
            <w:tcBorders/>
          </w:tcPr>
          <w:p>
            <w:pPr>
              <w:pStyle w:val="style0"/>
              <w:spacing w:lineRule="auto" w:line="480"/>
              <w:rPr>
                <w:sz w:val="22"/>
                <w:szCs w:val="24"/>
              </w:rPr>
            </w:pPr>
            <w:r>
              <w:rPr>
                <w:sz w:val="22"/>
                <w:szCs w:val="24"/>
              </w:rPr>
              <w:t>62.776</w:t>
            </w:r>
          </w:p>
        </w:tc>
        <w:tc>
          <w:tcPr>
            <w:tcW w:w="1236" w:type="dxa"/>
            <w:tcBorders/>
          </w:tcPr>
          <w:p>
            <w:pPr>
              <w:pStyle w:val="style0"/>
              <w:spacing w:lineRule="auto" w:line="480"/>
              <w:rPr>
                <w:sz w:val="22"/>
                <w:szCs w:val="24"/>
              </w:rPr>
            </w:pPr>
            <w:r>
              <w:rPr>
                <w:sz w:val="22"/>
                <w:szCs w:val="24"/>
              </w:rPr>
              <w:t>61.029</w:t>
            </w:r>
          </w:p>
        </w:tc>
        <w:tc>
          <w:tcPr>
            <w:tcW w:w="1236" w:type="dxa"/>
            <w:tcBorders/>
          </w:tcPr>
          <w:p>
            <w:pPr>
              <w:pStyle w:val="style0"/>
              <w:spacing w:lineRule="auto" w:line="480"/>
              <w:rPr>
                <w:sz w:val="22"/>
                <w:szCs w:val="24"/>
              </w:rPr>
            </w:pPr>
            <w:r>
              <w:rPr>
                <w:sz w:val="22"/>
                <w:szCs w:val="24"/>
              </w:rPr>
              <w:t>67.463</w:t>
            </w:r>
          </w:p>
        </w:tc>
        <w:tc>
          <w:tcPr>
            <w:tcW w:w="1236" w:type="dxa"/>
            <w:tcBorders/>
          </w:tcPr>
          <w:p>
            <w:pPr>
              <w:pStyle w:val="style0"/>
              <w:spacing w:lineRule="auto" w:line="480"/>
              <w:rPr>
                <w:sz w:val="22"/>
                <w:szCs w:val="24"/>
              </w:rPr>
            </w:pPr>
            <w:r>
              <w:rPr>
                <w:sz w:val="22"/>
                <w:szCs w:val="24"/>
              </w:rPr>
              <w:t>52.941</w:t>
            </w:r>
          </w:p>
        </w:tc>
        <w:tc>
          <w:tcPr>
            <w:tcW w:w="1414" w:type="dxa"/>
            <w:tcBorders/>
          </w:tcPr>
          <w:p>
            <w:pPr>
              <w:pStyle w:val="style0"/>
              <w:spacing w:lineRule="auto" w:line="480"/>
              <w:rPr>
                <w:sz w:val="22"/>
                <w:szCs w:val="24"/>
              </w:rPr>
            </w:pPr>
            <w:r>
              <w:rPr>
                <w:sz w:val="22"/>
                <w:szCs w:val="24"/>
              </w:rPr>
              <w:t>87.776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ST</w:t>
            </w:r>
          </w:p>
        </w:tc>
        <w:tc>
          <w:tcPr>
            <w:tcW w:w="1316" w:type="dxa"/>
            <w:tcBorders/>
          </w:tcPr>
          <w:p>
            <w:pPr>
              <w:pStyle w:val="style0"/>
              <w:spacing w:lineRule="auto" w:line="480"/>
              <w:rPr>
                <w:sz w:val="22"/>
                <w:szCs w:val="24"/>
              </w:rPr>
            </w:pPr>
            <w:r>
              <w:rPr>
                <w:sz w:val="22"/>
                <w:szCs w:val="24"/>
              </w:rPr>
              <w:t>9.031</w:t>
            </w:r>
          </w:p>
        </w:tc>
        <w:tc>
          <w:tcPr>
            <w:tcW w:w="1236" w:type="dxa"/>
            <w:tcBorders/>
          </w:tcPr>
          <w:p>
            <w:pPr>
              <w:pStyle w:val="style0"/>
              <w:spacing w:lineRule="auto" w:line="480"/>
              <w:rPr>
                <w:sz w:val="22"/>
                <w:szCs w:val="24"/>
              </w:rPr>
            </w:pPr>
            <w:r>
              <w:rPr>
                <w:sz w:val="22"/>
                <w:szCs w:val="24"/>
              </w:rPr>
              <w:t>8.646</w:t>
            </w:r>
          </w:p>
        </w:tc>
        <w:tc>
          <w:tcPr>
            <w:tcW w:w="1236" w:type="dxa"/>
            <w:tcBorders/>
          </w:tcPr>
          <w:p>
            <w:pPr>
              <w:pStyle w:val="style0"/>
              <w:spacing w:lineRule="auto" w:line="480"/>
              <w:rPr>
                <w:sz w:val="22"/>
                <w:szCs w:val="24"/>
              </w:rPr>
            </w:pPr>
            <w:r>
              <w:rPr>
                <w:sz w:val="22"/>
                <w:szCs w:val="24"/>
              </w:rPr>
              <w:t>9.361</w:t>
            </w:r>
          </w:p>
        </w:tc>
        <w:tc>
          <w:tcPr>
            <w:tcW w:w="1236" w:type="dxa"/>
            <w:tcBorders/>
          </w:tcPr>
          <w:p>
            <w:pPr>
              <w:pStyle w:val="style0"/>
              <w:spacing w:lineRule="auto" w:line="480"/>
              <w:rPr>
                <w:sz w:val="22"/>
                <w:szCs w:val="24"/>
              </w:rPr>
            </w:pPr>
            <w:r>
              <w:rPr>
                <w:sz w:val="22"/>
                <w:szCs w:val="24"/>
              </w:rPr>
              <w:t>8.564</w:t>
            </w:r>
          </w:p>
        </w:tc>
        <w:tc>
          <w:tcPr>
            <w:tcW w:w="1236" w:type="dxa"/>
            <w:tcBorders/>
          </w:tcPr>
          <w:p>
            <w:pPr>
              <w:pStyle w:val="style0"/>
              <w:spacing w:lineRule="auto" w:line="480"/>
              <w:rPr>
                <w:sz w:val="22"/>
                <w:szCs w:val="24"/>
              </w:rPr>
            </w:pPr>
            <w:r>
              <w:rPr>
                <w:sz w:val="22"/>
                <w:szCs w:val="24"/>
              </w:rPr>
              <w:t>8.1840</w:t>
            </w:r>
          </w:p>
        </w:tc>
        <w:tc>
          <w:tcPr>
            <w:tcW w:w="1236" w:type="dxa"/>
            <w:tcBorders/>
          </w:tcPr>
          <w:p>
            <w:pPr>
              <w:pStyle w:val="style0"/>
              <w:spacing w:lineRule="auto" w:line="480"/>
              <w:rPr>
                <w:sz w:val="22"/>
                <w:szCs w:val="24"/>
              </w:rPr>
            </w:pPr>
            <w:r>
              <w:rPr>
                <w:sz w:val="22"/>
                <w:szCs w:val="24"/>
              </w:rPr>
              <w:t>9.459</w:t>
            </w:r>
          </w:p>
        </w:tc>
        <w:tc>
          <w:tcPr>
            <w:tcW w:w="1414" w:type="dxa"/>
            <w:tcBorders/>
          </w:tcPr>
          <w:p>
            <w:pPr>
              <w:pStyle w:val="style0"/>
              <w:spacing w:lineRule="auto" w:line="480"/>
              <w:rPr>
                <w:sz w:val="22"/>
                <w:szCs w:val="24"/>
              </w:rPr>
            </w:pPr>
            <w:r>
              <w:rPr>
                <w:sz w:val="22"/>
                <w:szCs w:val="24"/>
              </w:rPr>
              <w:t>7.105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L</w:t>
            </w:r>
          </w:p>
        </w:tc>
        <w:tc>
          <w:tcPr>
            <w:tcW w:w="1316" w:type="dxa"/>
            <w:tcBorders/>
          </w:tcPr>
          <w:p>
            <w:pPr>
              <w:pStyle w:val="style0"/>
              <w:spacing w:lineRule="auto" w:line="480"/>
              <w:rPr>
                <w:sz w:val="22"/>
                <w:szCs w:val="24"/>
              </w:rPr>
            </w:pPr>
            <w:r>
              <w:rPr>
                <w:sz w:val="22"/>
                <w:szCs w:val="24"/>
              </w:rPr>
              <w:t>7.683</w:t>
            </w:r>
          </w:p>
        </w:tc>
        <w:tc>
          <w:tcPr>
            <w:tcW w:w="1236" w:type="dxa"/>
            <w:tcBorders/>
          </w:tcPr>
          <w:p>
            <w:pPr>
              <w:pStyle w:val="style0"/>
              <w:spacing w:lineRule="auto" w:line="480"/>
              <w:rPr>
                <w:sz w:val="22"/>
                <w:szCs w:val="24"/>
              </w:rPr>
            </w:pPr>
            <w:r>
              <w:rPr>
                <w:sz w:val="22"/>
                <w:szCs w:val="24"/>
              </w:rPr>
              <w:t>11.564</w:t>
            </w:r>
          </w:p>
        </w:tc>
        <w:tc>
          <w:tcPr>
            <w:tcW w:w="1236" w:type="dxa"/>
            <w:tcBorders/>
          </w:tcPr>
          <w:p>
            <w:pPr>
              <w:pStyle w:val="style0"/>
              <w:spacing w:lineRule="auto" w:line="480"/>
              <w:rPr>
                <w:sz w:val="22"/>
                <w:szCs w:val="24"/>
              </w:rPr>
            </w:pPr>
            <w:r>
              <w:rPr>
                <w:sz w:val="22"/>
                <w:szCs w:val="24"/>
              </w:rPr>
              <w:t>9.140</w:t>
            </w:r>
          </w:p>
        </w:tc>
        <w:tc>
          <w:tcPr>
            <w:tcW w:w="1236" w:type="dxa"/>
            <w:tcBorders/>
          </w:tcPr>
          <w:p>
            <w:pPr>
              <w:pStyle w:val="style0"/>
              <w:spacing w:lineRule="auto" w:line="480"/>
              <w:rPr>
                <w:sz w:val="22"/>
                <w:szCs w:val="24"/>
              </w:rPr>
            </w:pPr>
            <w:r>
              <w:rPr>
                <w:sz w:val="22"/>
                <w:szCs w:val="24"/>
              </w:rPr>
              <w:t>10.788</w:t>
            </w:r>
          </w:p>
        </w:tc>
        <w:tc>
          <w:tcPr>
            <w:tcW w:w="1236" w:type="dxa"/>
            <w:tcBorders/>
          </w:tcPr>
          <w:p>
            <w:pPr>
              <w:pStyle w:val="style0"/>
              <w:spacing w:lineRule="auto" w:line="480"/>
              <w:rPr>
                <w:sz w:val="22"/>
                <w:szCs w:val="24"/>
              </w:rPr>
            </w:pPr>
            <w:r>
              <w:rPr>
                <w:sz w:val="22"/>
                <w:szCs w:val="24"/>
              </w:rPr>
              <w:t>12.527</w:t>
            </w:r>
          </w:p>
        </w:tc>
        <w:tc>
          <w:tcPr>
            <w:tcW w:w="1236" w:type="dxa"/>
            <w:tcBorders/>
          </w:tcPr>
          <w:p>
            <w:pPr>
              <w:pStyle w:val="style0"/>
              <w:spacing w:lineRule="auto" w:line="480"/>
              <w:rPr>
                <w:sz w:val="22"/>
                <w:szCs w:val="24"/>
              </w:rPr>
            </w:pPr>
            <w:r>
              <w:rPr>
                <w:sz w:val="22"/>
                <w:szCs w:val="24"/>
              </w:rPr>
              <w:t>10.891</w:t>
            </w:r>
          </w:p>
        </w:tc>
        <w:tc>
          <w:tcPr>
            <w:tcW w:w="1414" w:type="dxa"/>
            <w:tcBorders/>
          </w:tcPr>
          <w:p>
            <w:pPr>
              <w:pStyle w:val="style0"/>
              <w:spacing w:lineRule="auto" w:line="480"/>
              <w:rPr>
                <w:sz w:val="22"/>
                <w:szCs w:val="24"/>
              </w:rPr>
            </w:pPr>
            <w:r>
              <w:rPr>
                <w:sz w:val="22"/>
                <w:szCs w:val="24"/>
              </w:rPr>
              <w:t>9.906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ST</w:t>
            </w:r>
          </w:p>
        </w:tc>
        <w:tc>
          <w:tcPr>
            <w:tcW w:w="1316" w:type="dxa"/>
            <w:tcBorders/>
          </w:tcPr>
          <w:p>
            <w:pPr>
              <w:pStyle w:val="style0"/>
              <w:spacing w:lineRule="auto" w:line="480"/>
              <w:rPr>
                <w:sz w:val="22"/>
                <w:szCs w:val="24"/>
              </w:rPr>
            </w:pPr>
            <w:r>
              <w:rPr>
                <w:sz w:val="22"/>
                <w:szCs w:val="24"/>
              </w:rPr>
              <w:t>2.744</w:t>
            </w:r>
          </w:p>
        </w:tc>
        <w:tc>
          <w:tcPr>
            <w:tcW w:w="1236" w:type="dxa"/>
            <w:tcBorders/>
          </w:tcPr>
          <w:p>
            <w:pPr>
              <w:pStyle w:val="style0"/>
              <w:spacing w:lineRule="auto" w:line="480"/>
              <w:rPr>
                <w:sz w:val="22"/>
                <w:szCs w:val="24"/>
              </w:rPr>
            </w:pPr>
            <w:r>
              <w:rPr>
                <w:sz w:val="22"/>
                <w:szCs w:val="24"/>
              </w:rPr>
              <w:t>2.669</w:t>
            </w:r>
          </w:p>
        </w:tc>
        <w:tc>
          <w:tcPr>
            <w:tcW w:w="1236" w:type="dxa"/>
            <w:tcBorders/>
          </w:tcPr>
          <w:p>
            <w:pPr>
              <w:pStyle w:val="style0"/>
              <w:spacing w:lineRule="auto" w:line="480"/>
              <w:rPr>
                <w:sz w:val="22"/>
                <w:szCs w:val="24"/>
              </w:rPr>
            </w:pPr>
            <w:r>
              <w:rPr>
                <w:sz w:val="22"/>
                <w:szCs w:val="24"/>
              </w:rPr>
              <w:t>2.776</w:t>
            </w:r>
          </w:p>
        </w:tc>
        <w:tc>
          <w:tcPr>
            <w:tcW w:w="1236" w:type="dxa"/>
            <w:tcBorders/>
          </w:tcPr>
          <w:p>
            <w:pPr>
              <w:pStyle w:val="style0"/>
              <w:spacing w:lineRule="auto" w:line="480"/>
              <w:rPr>
                <w:sz w:val="22"/>
                <w:szCs w:val="24"/>
              </w:rPr>
            </w:pPr>
            <w:r>
              <w:rPr>
                <w:sz w:val="22"/>
                <w:szCs w:val="24"/>
              </w:rPr>
              <w:t>2.879</w:t>
            </w:r>
          </w:p>
        </w:tc>
        <w:tc>
          <w:tcPr>
            <w:tcW w:w="1236" w:type="dxa"/>
            <w:tcBorders/>
          </w:tcPr>
          <w:p>
            <w:pPr>
              <w:pStyle w:val="style0"/>
              <w:spacing w:lineRule="auto" w:line="480"/>
              <w:rPr>
                <w:sz w:val="22"/>
                <w:szCs w:val="24"/>
              </w:rPr>
            </w:pPr>
            <w:r>
              <w:rPr>
                <w:sz w:val="22"/>
                <w:szCs w:val="24"/>
              </w:rPr>
              <w:t>2.958</w:t>
            </w:r>
          </w:p>
        </w:tc>
        <w:tc>
          <w:tcPr>
            <w:tcW w:w="1236" w:type="dxa"/>
            <w:tcBorders/>
          </w:tcPr>
          <w:p>
            <w:pPr>
              <w:pStyle w:val="style0"/>
              <w:spacing w:lineRule="auto" w:line="480"/>
              <w:rPr>
                <w:sz w:val="22"/>
                <w:szCs w:val="24"/>
              </w:rPr>
            </w:pPr>
            <w:r>
              <w:rPr>
                <w:sz w:val="22"/>
                <w:szCs w:val="24"/>
              </w:rPr>
              <w:t>2.999</w:t>
            </w:r>
          </w:p>
        </w:tc>
        <w:tc>
          <w:tcPr>
            <w:tcW w:w="1414" w:type="dxa"/>
            <w:tcBorders/>
          </w:tcPr>
          <w:p>
            <w:pPr>
              <w:pStyle w:val="style0"/>
              <w:spacing w:lineRule="auto" w:line="480"/>
              <w:rPr>
                <w:sz w:val="22"/>
                <w:szCs w:val="24"/>
              </w:rPr>
            </w:pPr>
            <w:r>
              <w:rPr>
                <w:sz w:val="22"/>
                <w:szCs w:val="24"/>
              </w:rPr>
              <w:t>2.065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L</w:t>
            </w:r>
          </w:p>
        </w:tc>
        <w:tc>
          <w:tcPr>
            <w:tcW w:w="1316" w:type="dxa"/>
            <w:tcBorders/>
          </w:tcPr>
          <w:p>
            <w:pPr>
              <w:pStyle w:val="style0"/>
              <w:spacing w:lineRule="auto" w:line="480"/>
              <w:rPr>
                <w:sz w:val="22"/>
                <w:szCs w:val="24"/>
              </w:rPr>
            </w:pPr>
            <w:r>
              <w:rPr>
                <w:sz w:val="22"/>
                <w:szCs w:val="24"/>
              </w:rPr>
              <w:t>3.216</w:t>
            </w:r>
          </w:p>
        </w:tc>
        <w:tc>
          <w:tcPr>
            <w:tcW w:w="1236" w:type="dxa"/>
            <w:tcBorders/>
          </w:tcPr>
          <w:p>
            <w:pPr>
              <w:pStyle w:val="style0"/>
              <w:spacing w:lineRule="auto" w:line="480"/>
              <w:rPr>
                <w:sz w:val="22"/>
                <w:szCs w:val="24"/>
              </w:rPr>
            </w:pPr>
            <w:r>
              <w:rPr>
                <w:sz w:val="22"/>
                <w:szCs w:val="24"/>
              </w:rPr>
              <w:t>3.293</w:t>
            </w:r>
          </w:p>
        </w:tc>
        <w:tc>
          <w:tcPr>
            <w:tcW w:w="1236" w:type="dxa"/>
            <w:tcBorders/>
          </w:tcPr>
          <w:p>
            <w:pPr>
              <w:pStyle w:val="style0"/>
              <w:spacing w:lineRule="auto" w:line="480"/>
              <w:rPr>
                <w:sz w:val="22"/>
                <w:szCs w:val="24"/>
              </w:rPr>
            </w:pPr>
            <w:r>
              <w:rPr>
                <w:sz w:val="22"/>
                <w:szCs w:val="24"/>
              </w:rPr>
              <w:t>2.679</w:t>
            </w:r>
          </w:p>
        </w:tc>
        <w:tc>
          <w:tcPr>
            <w:tcW w:w="1236" w:type="dxa"/>
            <w:tcBorders/>
          </w:tcPr>
          <w:p>
            <w:pPr>
              <w:pStyle w:val="style0"/>
              <w:spacing w:lineRule="auto" w:line="480"/>
              <w:rPr>
                <w:sz w:val="22"/>
                <w:szCs w:val="24"/>
              </w:rPr>
            </w:pPr>
            <w:r>
              <w:rPr>
                <w:sz w:val="22"/>
                <w:szCs w:val="24"/>
              </w:rPr>
              <w:t>3.098</w:t>
            </w:r>
          </w:p>
        </w:tc>
        <w:tc>
          <w:tcPr>
            <w:tcW w:w="1236" w:type="dxa"/>
            <w:tcBorders/>
          </w:tcPr>
          <w:p>
            <w:pPr>
              <w:pStyle w:val="style0"/>
              <w:spacing w:lineRule="auto" w:line="480"/>
              <w:rPr>
                <w:sz w:val="22"/>
                <w:szCs w:val="24"/>
              </w:rPr>
            </w:pPr>
            <w:r>
              <w:rPr>
                <w:sz w:val="22"/>
                <w:szCs w:val="24"/>
              </w:rPr>
              <w:t>2.698</w:t>
            </w:r>
          </w:p>
        </w:tc>
        <w:tc>
          <w:tcPr>
            <w:tcW w:w="1236" w:type="dxa"/>
            <w:tcBorders/>
          </w:tcPr>
          <w:p>
            <w:pPr>
              <w:pStyle w:val="style0"/>
              <w:spacing w:lineRule="auto" w:line="480"/>
              <w:rPr>
                <w:sz w:val="22"/>
                <w:szCs w:val="24"/>
              </w:rPr>
            </w:pPr>
            <w:r>
              <w:rPr>
                <w:sz w:val="22"/>
                <w:szCs w:val="24"/>
              </w:rPr>
              <w:t>2.738</w:t>
            </w:r>
          </w:p>
        </w:tc>
        <w:tc>
          <w:tcPr>
            <w:tcW w:w="1414" w:type="dxa"/>
            <w:tcBorders/>
          </w:tcPr>
          <w:p>
            <w:pPr>
              <w:pStyle w:val="style0"/>
              <w:spacing w:lineRule="auto" w:line="480"/>
              <w:rPr>
                <w:sz w:val="22"/>
                <w:szCs w:val="24"/>
              </w:rPr>
            </w:pPr>
            <w:r>
              <w:rPr>
                <w:sz w:val="22"/>
                <w:szCs w:val="24"/>
              </w:rPr>
              <w:t>3.057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G.R. ST</w:t>
            </w:r>
          </w:p>
        </w:tc>
        <w:tc>
          <w:tcPr>
            <w:tcW w:w="1316" w:type="dxa"/>
            <w:tcBorders/>
          </w:tcPr>
          <w:p>
            <w:pPr>
              <w:pStyle w:val="style0"/>
              <w:spacing w:lineRule="auto" w:line="480"/>
              <w:rPr>
                <w:sz w:val="22"/>
                <w:szCs w:val="24"/>
              </w:rPr>
            </w:pPr>
            <w:r>
              <w:rPr>
                <w:sz w:val="22"/>
                <w:szCs w:val="24"/>
              </w:rPr>
              <w:t>100.0127</w:t>
            </w:r>
          </w:p>
        </w:tc>
        <w:tc>
          <w:tcPr>
            <w:tcW w:w="1236" w:type="dxa"/>
            <w:tcBorders/>
          </w:tcPr>
          <w:p>
            <w:pPr>
              <w:pStyle w:val="style0"/>
              <w:spacing w:lineRule="auto" w:line="480"/>
              <w:rPr>
                <w:sz w:val="22"/>
                <w:szCs w:val="24"/>
              </w:rPr>
            </w:pPr>
            <w:r>
              <w:rPr>
                <w:sz w:val="22"/>
                <w:szCs w:val="24"/>
              </w:rPr>
              <w:t>91.877</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105.668</w:t>
            </w:r>
          </w:p>
        </w:tc>
        <w:tc>
          <w:tcPr>
            <w:tcW w:w="1236" w:type="dxa"/>
            <w:tcBorders/>
          </w:tcPr>
          <w:p>
            <w:pPr>
              <w:pStyle w:val="style0"/>
              <w:spacing w:lineRule="auto" w:line="480"/>
              <w:rPr>
                <w:sz w:val="22"/>
                <w:szCs w:val="24"/>
              </w:rPr>
            </w:pPr>
            <w:r>
              <w:rPr>
                <w:sz w:val="22"/>
                <w:szCs w:val="24"/>
              </w:rPr>
              <w:t>93.681</w:t>
            </w:r>
          </w:p>
        </w:tc>
        <w:tc>
          <w:tcPr>
            <w:tcW w:w="1414" w:type="dxa"/>
            <w:tcBorders/>
          </w:tcPr>
          <w:p>
            <w:pPr>
              <w:pStyle w:val="style0"/>
              <w:spacing w:lineRule="auto" w:line="480"/>
              <w:rPr>
                <w:sz w:val="22"/>
                <w:szCs w:val="24"/>
              </w:rPr>
            </w:pPr>
            <w:r>
              <w:rPr>
                <w:sz w:val="22"/>
                <w:szCs w:val="24"/>
              </w:rPr>
              <w:t>75.528</w:t>
            </w:r>
          </w:p>
        </w:tc>
      </w:tr>
      <w:tr>
        <w:tblPrEx/>
        <w:trPr/>
        <w:tc>
          <w:tcPr>
            <w:tcW w:w="810" w:type="dxa"/>
            <w:tcBorders>
              <w:bottom w:val="single" w:sz="4" w:space="0" w:color="auto"/>
            </w:tcBorders>
          </w:tcPr>
          <w:p>
            <w:pPr>
              <w:pStyle w:val="style179"/>
              <w:numPr>
                <w:ilvl w:val="0"/>
                <w:numId w:val="13"/>
              </w:numPr>
              <w:spacing w:lineRule="auto" w:line="480"/>
              <w:rPr>
                <w:sz w:val="22"/>
                <w:szCs w:val="24"/>
              </w:rPr>
            </w:pPr>
          </w:p>
        </w:tc>
        <w:tc>
          <w:tcPr>
            <w:tcW w:w="1170" w:type="dxa"/>
            <w:tcBorders>
              <w:bottom w:val="single" w:sz="4" w:space="0" w:color="auto"/>
            </w:tcBorders>
          </w:tcPr>
          <w:p>
            <w:pPr>
              <w:pStyle w:val="style0"/>
              <w:spacing w:lineRule="auto" w:line="480"/>
              <w:rPr>
                <w:sz w:val="22"/>
                <w:szCs w:val="24"/>
              </w:rPr>
            </w:pPr>
            <w:r>
              <w:rPr>
                <w:sz w:val="22"/>
                <w:szCs w:val="24"/>
              </w:rPr>
              <w:t>G.R. L</w:t>
            </w:r>
          </w:p>
        </w:tc>
        <w:tc>
          <w:tcPr>
            <w:tcW w:w="1316" w:type="dxa"/>
            <w:tcBorders>
              <w:bottom w:val="single" w:sz="4" w:space="0" w:color="auto"/>
            </w:tcBorders>
          </w:tcPr>
          <w:p>
            <w:pPr>
              <w:pStyle w:val="style0"/>
              <w:spacing w:lineRule="auto" w:line="480"/>
              <w:rPr>
                <w:sz w:val="22"/>
                <w:szCs w:val="24"/>
              </w:rPr>
            </w:pPr>
            <w:r>
              <w:rPr>
                <w:sz w:val="22"/>
                <w:szCs w:val="24"/>
              </w:rPr>
              <w:t>106.241</w:t>
            </w:r>
          </w:p>
        </w:tc>
        <w:tc>
          <w:tcPr>
            <w:tcW w:w="1236" w:type="dxa"/>
            <w:tcBorders>
              <w:bottom w:val="single" w:sz="4" w:space="0" w:color="auto"/>
            </w:tcBorders>
          </w:tcPr>
          <w:p>
            <w:pPr>
              <w:pStyle w:val="style0"/>
              <w:spacing w:lineRule="auto" w:line="480"/>
              <w:rPr>
                <w:sz w:val="22"/>
                <w:szCs w:val="24"/>
              </w:rPr>
            </w:pPr>
            <w:r>
              <w:rPr>
                <w:sz w:val="22"/>
                <w:szCs w:val="24"/>
              </w:rPr>
              <w:t>89.739</w:t>
            </w:r>
          </w:p>
        </w:tc>
        <w:tc>
          <w:tcPr>
            <w:tcW w:w="1236" w:type="dxa"/>
            <w:tcBorders>
              <w:bottom w:val="single" w:sz="4" w:space="0" w:color="auto"/>
            </w:tcBorders>
          </w:tcPr>
          <w:p>
            <w:pPr>
              <w:pStyle w:val="style0"/>
              <w:spacing w:lineRule="auto" w:line="480"/>
              <w:rPr>
                <w:sz w:val="22"/>
                <w:szCs w:val="24"/>
              </w:rPr>
            </w:pPr>
            <w:r>
              <w:rPr>
                <w:sz w:val="22"/>
                <w:szCs w:val="24"/>
              </w:rPr>
              <w:t>84.565</w:t>
            </w:r>
          </w:p>
        </w:tc>
        <w:tc>
          <w:tcPr>
            <w:tcW w:w="1236" w:type="dxa"/>
            <w:tcBorders>
              <w:bottom w:val="single" w:sz="4" w:space="0" w:color="auto"/>
            </w:tcBorders>
          </w:tcPr>
          <w:p>
            <w:pPr>
              <w:pStyle w:val="style0"/>
              <w:spacing w:lineRule="auto" w:line="480"/>
              <w:rPr>
                <w:sz w:val="22"/>
                <w:szCs w:val="24"/>
              </w:rPr>
            </w:pPr>
            <w:r>
              <w:rPr>
                <w:sz w:val="22"/>
                <w:szCs w:val="24"/>
              </w:rPr>
              <w:t>88.753</w:t>
            </w:r>
          </w:p>
        </w:tc>
        <w:tc>
          <w:tcPr>
            <w:tcW w:w="1236" w:type="dxa"/>
            <w:tcBorders>
              <w:bottom w:val="single" w:sz="4" w:space="0" w:color="auto"/>
            </w:tcBorders>
          </w:tcPr>
          <w:p>
            <w:pPr>
              <w:pStyle w:val="style0"/>
              <w:spacing w:lineRule="auto" w:line="480"/>
              <w:rPr>
                <w:sz w:val="22"/>
                <w:szCs w:val="24"/>
              </w:rPr>
            </w:pPr>
            <w:r>
              <w:rPr>
                <w:sz w:val="22"/>
                <w:szCs w:val="24"/>
              </w:rPr>
              <w:t>71.709</w:t>
            </w:r>
          </w:p>
        </w:tc>
        <w:tc>
          <w:tcPr>
            <w:tcW w:w="1236" w:type="dxa"/>
            <w:tcBorders>
              <w:bottom w:val="single" w:sz="4" w:space="0" w:color="auto"/>
            </w:tcBorders>
          </w:tcPr>
          <w:p>
            <w:pPr>
              <w:pStyle w:val="style0"/>
              <w:spacing w:lineRule="auto" w:line="480"/>
              <w:rPr>
                <w:sz w:val="22"/>
                <w:szCs w:val="24"/>
              </w:rPr>
            </w:pPr>
            <w:r>
              <w:rPr>
                <w:sz w:val="22"/>
                <w:szCs w:val="24"/>
              </w:rPr>
              <w:t>77.282</w:t>
            </w:r>
          </w:p>
        </w:tc>
        <w:tc>
          <w:tcPr>
            <w:tcW w:w="1414" w:type="dxa"/>
            <w:tcBorders>
              <w:bottom w:val="single" w:sz="4" w:space="0" w:color="auto"/>
            </w:tcBorders>
          </w:tcPr>
          <w:p>
            <w:pPr>
              <w:pStyle w:val="style0"/>
              <w:spacing w:lineRule="auto" w:line="480"/>
              <w:rPr>
                <w:sz w:val="22"/>
                <w:szCs w:val="24"/>
              </w:rPr>
            </w:pPr>
            <w:r>
              <w:rPr>
                <w:sz w:val="22"/>
                <w:szCs w:val="24"/>
              </w:rPr>
              <w:t>82.127</w:t>
            </w:r>
          </w:p>
        </w:tc>
      </w:tr>
    </w:tbl>
    <w:p>
      <w:pPr>
        <w:pStyle w:val="style0"/>
        <w:spacing w:lineRule="auto" w:line="240"/>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pPr>
        <w:pStyle w:val="style0"/>
        <w:spacing w:lineRule="auto" w:line="240"/>
        <w:rPr>
          <w:sz w:val="24"/>
          <w:szCs w:val="24"/>
        </w:rPr>
      </w:pPr>
    </w:p>
    <w:p>
      <w:pPr>
        <w:pStyle w:val="style0"/>
        <w:spacing w:lineRule="auto" w:line="240"/>
        <w:rPr>
          <w:sz w:val="26"/>
        </w:rPr>
      </w:pPr>
      <w:r>
        <w:rPr>
          <w:sz w:val="26"/>
        </w:rPr>
      </w:r>
      <w:r>
        <w:rPr>
          <w:sz w:val="26"/>
        </w:rPr>
      </w:r>
      <w:r>
        <w:rPr>
          <w:sz w:val="26"/>
        </w:rPr>
      </w:r>
      <w:r>
        <w:rPr>
          <w:sz w:val="26"/>
        </w:rPr>
        <w:object>
          <v:shape id="1050" type="#_x0000_t75" filled="f" stroked="f" style="margin-left:0.0pt;margin-top:0.0pt;width:406.5pt;height:273.75pt;mso-wrap-distance-left:0.0pt;mso-wrap-distance-right:0.0pt;visibility:visible;">
            <v:imagedata r:id="rId25" embosscolor="white" o:title=""/>
            <v:stroke on="f" joinstyle="miter"/>
            <o:lock aspectratio="true" v:ext="view"/>
            <v:fill/>
          </v:shape>
          <o:OLEObject Type="EMBED" ProgID="Prism8.Document" ShapeID="1050" DrawAspect="Content" ObjectID="0" r:id="rId26"/>
        </w:object>
      </w:r>
      <w:r>
        <w:rPr>
          <w:sz w:val="26"/>
        </w:rPr>
      </w:r>
    </w:p>
    <w:p>
      <w:pPr>
        <w:pStyle w:val="style0"/>
        <w:spacing w:lineRule="auto" w:line="240"/>
        <w:rPr>
          <w:sz w:val="26"/>
        </w:rPr>
      </w:pPr>
      <w:r>
        <w:rPr>
          <w:sz w:val="26"/>
        </w:rPr>
      </w:r>
      <w:r>
        <w:rPr>
          <w:sz w:val="26"/>
        </w:rPr>
      </w:r>
      <w:r>
        <w:rPr>
          <w:sz w:val="26"/>
        </w:rPr>
      </w:r>
      <w:r>
        <w:rPr>
          <w:sz w:val="26"/>
        </w:rPr>
        <w:object>
          <v:shape id="1052" type="#_x0000_t75" filled="f" stroked="f" style="margin-left:0.0pt;margin-top:0.0pt;width:408.0pt;height:219.75pt;mso-wrap-distance-left:0.0pt;mso-wrap-distance-right:0.0pt;visibility:visible;">
            <v:imagedata r:id="rId27" embosscolor="white" o:title=""/>
            <v:stroke on="f" joinstyle="miter"/>
            <o:lock aspectratio="true" v:ext="view"/>
            <v:fill/>
          </v:shape>
          <o:OLEObject Type="EMBED" ProgID="Prism8.Document" ShapeID="1052" DrawAspect="Content" ObjectID="0" r:id="rId28"/>
        </w:object>
      </w:r>
      <w:r>
        <w:rPr>
          <w:sz w:val="26"/>
        </w:rPr>
      </w:r>
    </w:p>
    <w:p>
      <w:pPr>
        <w:pStyle w:val="style0"/>
        <w:spacing w:lineRule="auto" w:line="240"/>
        <w:rPr>
          <w:sz w:val="26"/>
        </w:rPr>
      </w:pPr>
      <w:r>
        <w:rPr>
          <w:sz w:val="26"/>
        </w:rPr>
      </w:r>
      <w:r>
        <w:rPr>
          <w:sz w:val="26"/>
        </w:rPr>
      </w:r>
      <w:r>
        <w:rPr>
          <w:sz w:val="26"/>
        </w:rPr>
      </w:r>
      <w:r>
        <w:rPr>
          <w:sz w:val="26"/>
        </w:rPr>
        <w:object>
          <v:shape id="1054"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54" DrawAspect="Content" ObjectID="0" r:id="rId30"/>
        </w:object>
      </w:r>
      <w:r>
        <w:rPr>
          <w:sz w:val="26"/>
        </w:rPr>
      </w:r>
    </w:p>
    <w:p>
      <w:pPr>
        <w:pStyle w:val="style0"/>
        <w:spacing w:lineRule="auto" w:line="240"/>
        <w:rPr>
          <w:sz w:val="26"/>
        </w:rPr>
      </w:pPr>
      <w:r>
        <w:rPr>
          <w:sz w:val="26"/>
        </w:rPr>
      </w:r>
      <w:r>
        <w:rPr>
          <w:sz w:val="26"/>
        </w:rPr>
      </w:r>
      <w:r>
        <w:rPr>
          <w:sz w:val="26"/>
        </w:rPr>
      </w:r>
      <w:r>
        <w:rPr>
          <w:sz w:val="26"/>
        </w:rPr>
        <w:object>
          <v:shape id="1056" type="#_x0000_t75" filled="f" stroked="f" style="margin-left:0.0pt;margin-top:0.0pt;width:404.25pt;height:229.5pt;mso-wrap-distance-left:0.0pt;mso-wrap-distance-right:0.0pt;visibility:visible;">
            <v:imagedata r:id="rId31" embosscolor="white" o:title=""/>
            <v:stroke on="f" joinstyle="miter"/>
            <o:lock aspectratio="true" v:ext="view"/>
            <v:fill/>
          </v:shape>
          <o:OLEObject Type="EMBED" ProgID="Prism8.Document" ShapeID="1056" DrawAspect="Content" ObjectID="0" r:id="rId32"/>
        </w:object>
      </w:r>
      <w:r>
        <w:rPr>
          <w:sz w:val="26"/>
        </w:rPr>
      </w:r>
    </w:p>
    <w:p>
      <w:pPr>
        <w:pStyle w:val="style0"/>
        <w:spacing w:lineRule="auto" w:line="240"/>
        <w:rPr>
          <w:sz w:val="26"/>
        </w:rPr>
      </w:pPr>
      <w:r>
        <w:rPr>
          <w:sz w:val="26"/>
        </w:rPr>
      </w:r>
      <w:r>
        <w:rPr>
          <w:sz w:val="26"/>
        </w:rPr>
      </w:r>
      <w:r>
        <w:rPr>
          <w:sz w:val="26"/>
        </w:rPr>
      </w:r>
      <w:r>
        <w:rPr>
          <w:sz w:val="26"/>
        </w:rPr>
        <w:object>
          <v:shape id="1058" type="#_x0000_t75" filled="f" stroked="f" style="margin-left:0.0pt;margin-top:0.0pt;width:411.75pt;height:285.0pt;mso-wrap-distance-left:0.0pt;mso-wrap-distance-right:0.0pt;visibility:visible;">
            <v:imagedata r:id="rId33" embosscolor="white" o:title=""/>
            <v:stroke on="f" joinstyle="miter"/>
            <o:lock aspectratio="true" v:ext="view"/>
            <v:fill/>
          </v:shape>
          <o:OLEObject Type="EMBED" ProgID="Prism8.Document" ShapeID="1058" DrawAspect="Content" ObjectID="0" r:id="rId34"/>
        </w:object>
      </w:r>
      <w:r>
        <w:rPr>
          <w:sz w:val="26"/>
        </w:rPr>
      </w:r>
    </w:p>
    <w:p>
      <w:pPr>
        <w:pStyle w:val="style0"/>
        <w:spacing w:lineRule="auto" w:line="240"/>
        <w:rPr>
          <w:sz w:val="26"/>
        </w:rPr>
      </w:pPr>
    </w:p>
    <w:p>
      <w:pPr>
        <w:pStyle w:val="style0"/>
        <w:spacing w:lineRule="auto" w:line="240"/>
        <w:rPr>
          <w:sz w:val="26"/>
        </w:rPr>
      </w:pPr>
      <w:r>
        <w:rPr>
          <w:sz w:val="26"/>
        </w:rPr>
      </w:r>
      <w:r>
        <w:rPr>
          <w:sz w:val="26"/>
        </w:rPr>
      </w:r>
      <w:r>
        <w:rPr>
          <w:sz w:val="26"/>
        </w:rPr>
      </w:r>
      <w:r>
        <w:rPr>
          <w:sz w:val="26"/>
        </w:rPr>
        <w:object>
          <v:shape id="1060" type="#_x0000_t75" filled="f" stroked="f" style="margin-left:0.0pt;margin-top:0.0pt;width:408.0pt;height:260.25pt;mso-wrap-distance-left:0.0pt;mso-wrap-distance-right:0.0pt;visibility:visible;">
            <v:imagedata r:id="rId35" embosscolor="white" o:title=""/>
            <v:stroke on="f" joinstyle="miter"/>
            <o:lock aspectratio="true" v:ext="view"/>
            <v:fill/>
          </v:shape>
          <o:OLEObject Type="EMBED" ProgID="Prism8.Document" ShapeID="1060" DrawAspect="Content" ObjectID="0" r:id="rId36"/>
        </w:object>
      </w:r>
      <w:r>
        <w:rPr>
          <w:sz w:val="26"/>
        </w:rPr>
      </w:r>
    </w:p>
    <w:p>
      <w:pPr>
        <w:pStyle w:val="style0"/>
        <w:spacing w:lineRule="auto" w:line="240"/>
        <w:rPr>
          <w:sz w:val="26"/>
        </w:rPr>
      </w:pPr>
      <w:r>
        <w:rPr>
          <w:sz w:val="26"/>
        </w:rPr>
      </w:r>
      <w:r>
        <w:rPr>
          <w:sz w:val="26"/>
        </w:rPr>
      </w:r>
      <w:r>
        <w:rPr>
          <w:sz w:val="26"/>
        </w:rPr>
      </w:r>
      <w:r>
        <w:rPr>
          <w:sz w:val="26"/>
        </w:rPr>
        <w:object>
          <v:shape id="1062" type="#_x0000_t75" filled="f" stroked="f" style="margin-left:0.0pt;margin-top:0.0pt;width:404.25pt;height:267.75pt;mso-wrap-distance-left:0.0pt;mso-wrap-distance-right:0.0pt;visibility:visible;">
            <v:imagedata r:id="rId37" embosscolor="white" o:title=""/>
            <v:stroke on="f" joinstyle="miter"/>
            <o:lock aspectratio="true" v:ext="view"/>
            <v:fill/>
          </v:shape>
          <o:OLEObject Type="EMBED" ProgID="Prism8.Document" ShapeID="1062" DrawAspect="Content" ObjectID="0" r:id="rId38"/>
        </w:object>
      </w:r>
      <w:r>
        <w:rPr>
          <w:sz w:val="26"/>
        </w:rPr>
      </w:r>
    </w:p>
    <w:p>
      <w:pPr>
        <w:pStyle w:val="style0"/>
        <w:spacing w:lineRule="auto" w:line="240"/>
        <w:rPr/>
      </w:pPr>
    </w:p>
    <w:p>
      <w:pPr>
        <w:pStyle w:val="style0"/>
        <w:spacing w:lineRule="auto" w:line="240"/>
        <w:rPr>
          <w:sz w:val="26"/>
        </w:rPr>
      </w:pPr>
      <w:r>
        <w:rPr>
          <w:sz w:val="26"/>
        </w:rPr>
      </w:r>
      <w:r>
        <w:rPr>
          <w:sz w:val="26"/>
        </w:rPr>
      </w:r>
      <w:r>
        <w:rPr>
          <w:sz w:val="26"/>
        </w:rPr>
      </w:r>
      <w:r>
        <w:rPr>
          <w:sz w:val="26"/>
        </w:rPr>
        <w:object>
          <v:shape id="1064" type="#_x0000_t75" filled="f" stroked="f" style="margin-left:0.0pt;margin-top:0.0pt;width:400.5pt;height:238.5pt;mso-wrap-distance-left:0.0pt;mso-wrap-distance-right:0.0pt;visibility:visible;">
            <v:imagedata r:id="rId39" embosscolor="white" o:title=""/>
            <v:stroke on="f" joinstyle="miter"/>
            <o:lock aspectratio="true" v:ext="view"/>
            <v:fill/>
          </v:shape>
          <o:OLEObject Type="EMBED" ProgID="Prism8.Document" ShapeID="1064" DrawAspect="Content" ObjectID="0" r:id="rId40"/>
        </w:object>
      </w:r>
      <w:r>
        <w:rPr>
          <w:sz w:val="26"/>
        </w:rPr>
      </w:r>
    </w:p>
    <w:p>
      <w:pPr>
        <w:pStyle w:val="style0"/>
        <w:spacing w:lineRule="auto" w:line="240"/>
        <w:rPr>
          <w:sz w:val="26"/>
        </w:rPr>
      </w:pPr>
      <w:r>
        <w:rPr>
          <w:sz w:val="26"/>
        </w:rPr>
      </w:r>
      <w:r>
        <w:rPr>
          <w:sz w:val="26"/>
        </w:rPr>
      </w:r>
      <w:r>
        <w:rPr>
          <w:sz w:val="26"/>
        </w:rPr>
      </w:r>
      <w:r>
        <w:rPr>
          <w:sz w:val="26"/>
        </w:rPr>
        <w:object>
          <v:shape id="1066" type="#_x0000_t75" filled="f" stroked="f" style="margin-left:0.0pt;margin-top:0.0pt;width:400.5pt;height:262.5pt;mso-wrap-distance-left:0.0pt;mso-wrap-distance-right:0.0pt;visibility:visible;">
            <v:imagedata r:id="rId41" embosscolor="white" o:title=""/>
            <v:stroke on="f" joinstyle="miter"/>
            <o:lock aspectratio="true" v:ext="view"/>
            <v:fill/>
          </v:shape>
          <o:OLEObject Type="EMBED" ProgID="Prism8.Document" ShapeID="1066" DrawAspect="Content" ObjectID="0" r:id="rId42"/>
        </w:object>
      </w:r>
      <w:r>
        <w:rPr>
          <w:sz w:val="26"/>
        </w:rPr>
      </w:r>
    </w:p>
    <w:p>
      <w:pPr>
        <w:pStyle w:val="style0"/>
        <w:spacing w:lineRule="auto" w:line="240"/>
        <w:rPr/>
      </w:pPr>
    </w:p>
    <w:p>
      <w:pPr>
        <w:pStyle w:val="style0"/>
        <w:spacing w:before="100" w:beforeAutospacing="true" w:after="0" w:lineRule="auto" w:line="480"/>
        <w:jc w:val="both"/>
        <w:rPr>
          <w:sz w:val="26"/>
        </w:rPr>
      </w:pPr>
      <w:r>
        <w:rPr>
          <w:sz w:val="26"/>
        </w:rPr>
      </w:r>
      <w:r>
        <w:rPr>
          <w:sz w:val="26"/>
        </w:rPr>
      </w:r>
      <w:r>
        <w:rPr>
          <w:sz w:val="26"/>
        </w:rPr>
      </w:r>
      <w:r>
        <w:rPr>
          <w:sz w:val="26"/>
        </w:rPr>
        <w:object>
          <v:shape id="1068" type="#_x0000_t75" filled="f" stroked="f" style="margin-left:0.0pt;margin-top:0.0pt;width:409.5pt;height:234.75pt;mso-wrap-distance-left:0.0pt;mso-wrap-distance-right:0.0pt;visibility:visible;">
            <v:imagedata r:id="rId43" embosscolor="white" o:title=""/>
            <v:stroke on="f" joinstyle="miter"/>
            <o:lock aspectratio="true" v:ext="view"/>
            <v:fill/>
          </v:shape>
          <o:OLEObject Type="EMBED" ProgID="Prism8.Document" ShapeID="1068" DrawAspect="Content" ObjectID="0" r:id="rId44"/>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70" type="#_x0000_t75" filled="f" stroked="f" style="margin-left:0.0pt;margin-top:0.0pt;width:423.0pt;height:252.0pt;mso-wrap-distance-left:0.0pt;mso-wrap-distance-right:0.0pt;visibility:visible;">
            <v:imagedata r:id="rId45" embosscolor="white" o:title=""/>
            <v:stroke on="f" joinstyle="miter"/>
            <o:lock aspectratio="true" v:ext="view"/>
            <v:fill/>
          </v:shape>
          <o:OLEObject Type="EMBED" ProgID="Prism8.Document" ShapeID="1070" DrawAspect="Content" ObjectID="0" r:id="rId46"/>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2" type="#_x0000_t75" filled="f" stroked="f" style="margin-left:0.0pt;margin-top:0.0pt;width:402.75pt;height:273.75pt;mso-wrap-distance-left:0.0pt;mso-wrap-distance-right:0.0pt;visibility:visible;">
            <v:imagedata r:id="rId47" embosscolor="white" o:title=""/>
            <v:stroke on="f" joinstyle="miter"/>
            <o:lock aspectratio="true" v:ext="view"/>
            <v:fill/>
          </v:shape>
          <o:OLEObject Type="EMBED" ProgID="Prism8.Document" ShapeID="1072" DrawAspect="Content" ObjectID="0" r:id="rId4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4" type="#_x0000_t75" filled="f" stroked="f" style="margin-left:0.0pt;margin-top:0.0pt;width:382.5pt;height:259.5pt;mso-wrap-distance-left:0.0pt;mso-wrap-distance-right:0.0pt;visibility:visible;">
            <v:imagedata r:id="rId49" embosscolor="white" o:title=""/>
            <v:stroke on="f" joinstyle="miter"/>
            <o:lock aspectratio="true" v:ext="view"/>
            <v:fill/>
          </v:shape>
          <o:OLEObject Type="EMBED" ProgID="Prism8.Document" ShapeID="1074" DrawAspect="Content" ObjectID="0" r:id="rId50"/>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6" type="#_x0000_t75" filled="f" stroked="f" style="margin-left:0.0pt;margin-top:0.0pt;width:412.5pt;height:251.25pt;mso-wrap-distance-left:0.0pt;mso-wrap-distance-right:0.0pt;visibility:visible;">
            <v:imagedata r:id="rId51" embosscolor="white" o:title=""/>
            <v:stroke on="f" joinstyle="miter"/>
            <o:lock aspectratio="true" v:ext="view"/>
            <v:fill/>
          </v:shape>
          <o:OLEObject Type="EMBED" ProgID="Prism8.Document" ShapeID="1076" DrawAspect="Content" ObjectID="0" r:id="rId52"/>
        </w:object>
      </w:r>
      <w:r>
        <w:rPr>
          <w:sz w:val="26"/>
        </w:rPr>
      </w:r>
      <w:r>
        <w:rPr>
          <w:sz w:val="26"/>
        </w:rPr>
      </w:r>
      <w:r>
        <w:rPr>
          <w:sz w:val="26"/>
        </w:rPr>
      </w:r>
      <w:r>
        <w:rPr>
          <w:sz w:val="26"/>
        </w:rPr>
      </w:r>
      <w:r>
        <w:rPr>
          <w:sz w:val="26"/>
        </w:rPr>
        <w:object>
          <v:shape id="1078" type="#_x0000_t75" filled="f" stroked="f" style="margin-left:0.0pt;margin-top:0.0pt;width:409.5pt;height:277.5pt;mso-wrap-distance-left:0.0pt;mso-wrap-distance-right:0.0pt;visibility:visible;">
            <v:imagedata r:id="rId53" embosscolor="white" o:title=""/>
            <v:stroke on="f" joinstyle="miter"/>
            <o:lock aspectratio="true" v:ext="view"/>
            <v:fill/>
          </v:shape>
          <o:OLEObject Type="EMBED" ProgID="Prism8.Document" ShapeID="1078" DrawAspect="Content" ObjectID="0" r:id="rId5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0" type="#_x0000_t75" filled="f" stroked="f" style="margin-left:0.0pt;margin-top:0.0pt;width:393.0pt;height:247.5pt;mso-wrap-distance-left:0.0pt;mso-wrap-distance-right:0.0pt;visibility:visible;">
            <v:imagedata r:id="rId55" embosscolor="white" o:title=""/>
            <v:stroke on="f" joinstyle="miter"/>
            <o:lock aspectratio="true" v:ext="view"/>
            <v:fill/>
          </v:shape>
          <o:OLEObject Type="EMBED" ProgID="Prism8.Document" ShapeID="1080" DrawAspect="Content" ObjectID="0" r:id="rId56"/>
        </w:object>
      </w:r>
      <w:r>
        <w:rPr>
          <w:sz w:val="26"/>
        </w:rPr>
      </w:r>
      <w:r>
        <w:rPr>
          <w:sz w:val="26"/>
        </w:rPr>
      </w:r>
      <w:r>
        <w:rPr>
          <w:sz w:val="26"/>
        </w:rPr>
      </w:r>
      <w:r>
        <w:rPr>
          <w:sz w:val="26"/>
        </w:rPr>
      </w:r>
      <w:r>
        <w:rPr>
          <w:sz w:val="26"/>
        </w:rPr>
        <w:object>
          <v:shape id="1082" type="#_x0000_t75" filled="f" stroked="f" style="margin-left:0.0pt;margin-top:0.0pt;width:390.0pt;height:272.25pt;mso-wrap-distance-left:0.0pt;mso-wrap-distance-right:0.0pt;visibility:visible;">
            <v:imagedata r:id="rId57" embosscolor="white" o:title=""/>
            <v:stroke on="f" joinstyle="miter"/>
            <o:lock aspectratio="true" v:ext="view"/>
            <v:fill/>
          </v:shape>
          <o:OLEObject Type="EMBED" ProgID="Prism8.Document" ShapeID="1082" DrawAspect="Content" ObjectID="0" r:id="rId5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4" type="#_x0000_t75" filled="f" stroked="f" style="margin-left:0.0pt;margin-top:0.0pt;width:415.5pt;height:330.75pt;mso-wrap-distance-left:0.0pt;mso-wrap-distance-right:0.0pt;visibility:visible;">
            <v:imagedata r:id="rId59" embosscolor="white" o:title=""/>
            <v:stroke on="f" joinstyle="miter"/>
            <o:lock aspectratio="true" v:ext="view"/>
            <v:fill/>
          </v:shape>
          <o:OLEObject Type="EMBED" ProgID="Prism8.Document" ShapeID="1084" DrawAspect="Content" ObjectID="0" r:id="rId60"/>
        </w:object>
      </w:r>
      <w:r>
        <w:rPr>
          <w:sz w:val="26"/>
        </w:rPr>
      </w:r>
      <w:r>
        <w:rPr>
          <w:sz w:val="26"/>
        </w:rPr>
      </w:r>
      <w:r>
        <w:rPr>
          <w:sz w:val="26"/>
        </w:rPr>
      </w:r>
      <w:r>
        <w:rPr>
          <w:sz w:val="26"/>
        </w:rPr>
      </w:r>
      <w:r>
        <w:rPr>
          <w:sz w:val="26"/>
        </w:rPr>
        <w:object>
          <v:shape id="1086" type="#_x0000_t75" filled="f" stroked="f" style="margin-left:0.0pt;margin-top:0.0pt;width:429.75pt;height:261.0pt;mso-wrap-distance-left:0.0pt;mso-wrap-distance-right:0.0pt;visibility:visible;">
            <v:imagedata r:id="rId61" embosscolor="white" o:title=""/>
            <v:stroke on="f" joinstyle="miter"/>
            <o:lock aspectratio="true" v:ext="view"/>
            <v:fill/>
          </v:shape>
          <o:OLEObject Type="EMBED" ProgID="Prism8.Document" ShapeID="1086" DrawAspect="Content" ObjectID="0" r:id="rId62"/>
        </w:object>
      </w:r>
      <w:r>
        <w:rPr>
          <w:sz w:val="26"/>
        </w:rPr>
      </w:r>
      <w:r>
        <w:rPr>
          <w:sz w:val="26"/>
        </w:rPr>
      </w:r>
      <w:r>
        <w:rPr>
          <w:sz w:val="26"/>
        </w:rPr>
      </w:r>
      <w:r>
        <w:rPr>
          <w:sz w:val="26"/>
        </w:rPr>
      </w:r>
      <w:r>
        <w:rPr>
          <w:sz w:val="26"/>
        </w:rPr>
        <w:object>
          <v:shape id="1088" type="#_x0000_t75" filled="f" stroked="f" style="margin-left:0.0pt;margin-top:0.0pt;width:393.0pt;height:246.75pt;mso-wrap-distance-left:0.0pt;mso-wrap-distance-right:0.0pt;visibility:visible;">
            <v:imagedata r:id="rId63" embosscolor="white" o:title=""/>
            <v:stroke on="f" joinstyle="miter"/>
            <o:lock aspectratio="true" v:ext="view"/>
            <v:fill/>
          </v:shape>
          <o:OLEObject Type="EMBED" ProgID="Prism8.Document" ShapeID="1088" DrawAspect="Content" ObjectID="0" r:id="rId6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0"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90" DrawAspect="Content" ObjectID="0" r:id="rId65"/>
        </w:object>
      </w:r>
      <w:r>
        <w:rPr>
          <w:sz w:val="26"/>
        </w:rPr>
      </w:r>
      <w:r>
        <w:rPr>
          <w:sz w:val="26"/>
        </w:rPr>
      </w:r>
      <w:r>
        <w:rPr>
          <w:sz w:val="26"/>
        </w:rPr>
      </w:r>
      <w:r>
        <w:rPr>
          <w:sz w:val="26"/>
        </w:rPr>
      </w:r>
      <w:r>
        <w:rPr>
          <w:sz w:val="26"/>
        </w:rPr>
        <w:object>
          <v:shape id="1092" type="#_x0000_t75" filled="f" stroked="f" style="margin-left:0.0pt;margin-top:0.0pt;width:411.75pt;height:262.5pt;mso-wrap-distance-left:0.0pt;mso-wrap-distance-right:0.0pt;visibility:visible;">
            <v:imagedata r:id="rId66" embosscolor="white" o:title=""/>
            <v:stroke on="f" joinstyle="miter"/>
            <o:lock aspectratio="true" v:ext="view"/>
            <v:fill/>
          </v:shape>
          <o:OLEObject Type="EMBED" ProgID="Prism8.Document" ShapeID="1092" DrawAspect="Content" ObjectID="0" r:id="rId67"/>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4" type="#_x0000_t75" filled="f" stroked="f" style="margin-left:0.0pt;margin-top:0.0pt;width:413.25pt;height:248.25pt;mso-wrap-distance-left:0.0pt;mso-wrap-distance-right:0.0pt;visibility:visible;">
            <v:imagedata r:id="rId68" embosscolor="white" o:title=""/>
            <v:stroke on="f" joinstyle="miter"/>
            <o:lock aspectratio="true" v:ext="view"/>
            <v:fill/>
          </v:shape>
          <o:OLEObject Type="EMBED" ProgID="Prism8.Document" ShapeID="1094" DrawAspect="Content" ObjectID="0" r:id="rId69"/>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96" type="#_x0000_t75" filled="f" stroked="f" style="margin-left:0.0pt;margin-top:0.0pt;width:413.25pt;height:282.0pt;mso-wrap-distance-left:0.0pt;mso-wrap-distance-right:0.0pt;visibility:visible;">
            <v:imagedata r:id="rId70" embosscolor="white" o:title=""/>
            <v:stroke on="f" joinstyle="miter"/>
            <o:lock aspectratio="true" v:ext="view"/>
            <v:fill/>
          </v:shape>
          <o:OLEObject Type="EMBED" ProgID="Prism8.Document" ShapeID="1096" DrawAspect="Content" ObjectID="0" r:id="rId71"/>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8" type="#_x0000_t75" filled="f" stroked="f" style="margin-left:0.0pt;margin-top:0.0pt;width:411.75pt;height:277.5pt;mso-wrap-distance-left:0.0pt;mso-wrap-distance-right:0.0pt;visibility:visible;">
            <v:imagedata r:id="rId72" embosscolor="white" o:title=""/>
            <v:stroke on="f" joinstyle="miter"/>
            <o:lock aspectratio="true" v:ext="view"/>
            <v:fill/>
          </v:shape>
          <o:OLEObject Type="EMBED" ProgID="Prism8.Document" ShapeID="1098" DrawAspect="Content" ObjectID="0" r:id="rId73"/>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100" type="#_x0000_t75" filled="f" stroked="f" style="margin-left:0.0pt;margin-top:0.0pt;width:408.0pt;height:237.75pt;mso-wrap-distance-left:0.0pt;mso-wrap-distance-right:0.0pt;visibility:visible;">
            <v:imagedata r:id="rId74" embosscolor="white" o:title=""/>
            <v:stroke on="f" joinstyle="miter"/>
            <o:lock aspectratio="true" v:ext="view"/>
            <v:fill/>
          </v:shape>
          <o:OLEObject Type="EMBED" ProgID="Prism8.Document" ShapeID="1100" DrawAspect="Content" ObjectID="0" r:id="rId75"/>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102" type="#_x0000_t75" filled="f" stroked="f" style="margin-left:0.0pt;margin-top:0.0pt;width:420.0pt;height:276.0pt;mso-wrap-distance-left:0.0pt;mso-wrap-distance-right:0.0pt;visibility:visible;">
            <v:imagedata r:id="rId76" embosscolor="white" o:title=""/>
            <v:stroke on="f" joinstyle="miter"/>
            <o:lock aspectratio="true" v:ext="view"/>
            <v:fill/>
          </v:shape>
          <o:OLEObject Type="EMBED" ProgID="Prism8.Document" ShapeID="1102" DrawAspect="Content" ObjectID="0" r:id="rId77"/>
        </w:object>
      </w:r>
      <w:r>
        <w:rPr>
          <w:sz w:val="26"/>
        </w:rPr>
      </w:r>
    </w:p>
    <w:p>
      <w:pPr>
        <w:pStyle w:val="style0"/>
        <w:spacing w:before="100" w:beforeAutospacing="true" w:after="0" w:lineRule="auto" w:line="480"/>
        <w:jc w:val="both"/>
        <w:rPr>
          <w:rFonts w:eastAsia="Times New Roman"/>
          <w:b/>
          <w:bCs/>
          <w:color w:val="000000"/>
          <w:sz w:val="24"/>
          <w:szCs w:val="26"/>
        </w:rPr>
      </w:pPr>
      <w:r>
        <w:rPr>
          <w:b/>
          <w:bCs/>
          <w:color w:val="000000"/>
          <w:sz w:val="24"/>
          <w:szCs w:val="26"/>
        </w:rPr>
        <w:t>4.6. Ulcerated Area Measurement</w:t>
      </w:r>
    </w:p>
    <w:p>
      <w:pPr>
        <w:pStyle w:val="style0"/>
        <w:spacing w:before="100" w:beforeAutospacing="true" w:after="0" w:lineRule="auto" w:line="480"/>
        <w:jc w:val="both"/>
        <w:rPr>
          <w:color w:val="000000"/>
          <w:sz w:val="24"/>
          <w:szCs w:val="26"/>
        </w:rPr>
      </w:pPr>
      <w:r>
        <w:rPr>
          <w:color w:val="000000"/>
          <w:sz w:val="24"/>
          <w:szCs w:val="26"/>
        </w:rPr>
        <w:t xml:space="preserve">The ulcerated areas, characterized by measurements of length and breadth at affected </w:t>
      </w:r>
      <w:r>
        <w:rPr>
          <w:color w:val="000000"/>
          <w:sz w:val="24"/>
          <w:szCs w:val="26"/>
        </w:rPr>
        <w:t>sites, are summarized in Table 6</w:t>
      </w:r>
      <w:r>
        <w:rPr>
          <w:color w:val="000000"/>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r>
        <w:rPr>
          <w:color w:val="000000"/>
          <w:sz w:val="24"/>
          <w:szCs w:val="26"/>
        </w:rPr>
        <w:t>, indicating</w:t>
      </w:r>
      <w:r>
        <w:rPr>
          <w:color w:val="000000"/>
          <w:sz w:val="24"/>
          <w:szCs w:val="26"/>
        </w:rPr>
        <w:t xml:space="preserve"> lesser degrees of mucosal damage. No ulcer data were recorded for Group 1.</w:t>
      </w: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4.6: Measurement of Ulcerated Areas (Length and Breadth) in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0.96</w:t>
            </w:r>
          </w:p>
        </w:tc>
        <w:tc>
          <w:tcPr>
            <w:tcW w:w="2160" w:type="dxa"/>
            <w:tcBorders/>
          </w:tcPr>
          <w:p>
            <w:pPr>
              <w:pStyle w:val="style0"/>
              <w:spacing w:lineRule="auto" w:line="480"/>
              <w:jc w:val="both"/>
              <w:rPr>
                <w:color w:val="000000"/>
                <w:sz w:val="24"/>
                <w:szCs w:val="26"/>
              </w:rPr>
            </w:pPr>
            <w:r>
              <w:rPr>
                <w:color w:val="000000"/>
                <w:sz w:val="24"/>
                <w:szCs w:val="26"/>
              </w:rPr>
              <w:t>0.60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2.05</w:t>
            </w:r>
          </w:p>
        </w:tc>
        <w:tc>
          <w:tcPr>
            <w:tcW w:w="2160" w:type="dxa"/>
            <w:tcBorders/>
          </w:tcPr>
          <w:p>
            <w:pPr>
              <w:pStyle w:val="style0"/>
              <w:spacing w:lineRule="auto" w:line="480"/>
              <w:jc w:val="both"/>
              <w:rPr>
                <w:color w:val="000000"/>
                <w:sz w:val="24"/>
                <w:szCs w:val="26"/>
              </w:rPr>
            </w:pPr>
            <w:r>
              <w:rPr>
                <w:color w:val="000000"/>
                <w:sz w:val="24"/>
                <w:szCs w:val="26"/>
              </w:rPr>
              <w:t>1.5</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1.85</w:t>
            </w:r>
          </w:p>
        </w:tc>
        <w:tc>
          <w:tcPr>
            <w:tcW w:w="2160" w:type="dxa"/>
            <w:tcBorders/>
          </w:tcPr>
          <w:p>
            <w:pPr>
              <w:pStyle w:val="style0"/>
              <w:spacing w:lineRule="auto" w:line="480"/>
              <w:jc w:val="both"/>
              <w:rPr>
                <w:color w:val="000000"/>
                <w:sz w:val="24"/>
                <w:szCs w:val="26"/>
              </w:rPr>
            </w:pPr>
            <w:r>
              <w:rPr>
                <w:color w:val="000000"/>
                <w:sz w:val="24"/>
                <w:szCs w:val="26"/>
              </w:rPr>
              <w:t>0.90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1.5</w:t>
            </w:r>
          </w:p>
        </w:tc>
        <w:tc>
          <w:tcPr>
            <w:tcW w:w="2160" w:type="dxa"/>
            <w:tcBorders/>
          </w:tcPr>
          <w:p>
            <w:pPr>
              <w:pStyle w:val="style0"/>
              <w:spacing w:lineRule="auto" w:line="480"/>
              <w:jc w:val="both"/>
              <w:rPr>
                <w:color w:val="000000"/>
                <w:sz w:val="24"/>
                <w:szCs w:val="26"/>
              </w:rPr>
            </w:pPr>
            <w:r>
              <w:rPr>
                <w:color w:val="000000"/>
                <w:sz w:val="24"/>
                <w:szCs w:val="26"/>
              </w:rPr>
              <w:t>0.73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1.23</w:t>
            </w:r>
          </w:p>
        </w:tc>
        <w:tc>
          <w:tcPr>
            <w:tcW w:w="2160" w:type="dxa"/>
            <w:tcBorders/>
          </w:tcPr>
          <w:p>
            <w:pPr>
              <w:pStyle w:val="style0"/>
              <w:spacing w:lineRule="auto" w:line="480"/>
              <w:jc w:val="both"/>
              <w:rPr>
                <w:color w:val="000000"/>
                <w:sz w:val="24"/>
                <w:szCs w:val="26"/>
              </w:rPr>
            </w:pPr>
            <w:r>
              <w:rPr>
                <w:color w:val="000000"/>
                <w:sz w:val="24"/>
                <w:szCs w:val="26"/>
              </w:rPr>
              <w:t>0.50</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1.27</w:t>
            </w:r>
          </w:p>
        </w:tc>
        <w:tc>
          <w:tcPr>
            <w:tcW w:w="2160" w:type="dxa"/>
            <w:tcBorders/>
          </w:tcPr>
          <w:p>
            <w:pPr>
              <w:pStyle w:val="style0"/>
              <w:spacing w:lineRule="auto" w:line="480"/>
              <w:jc w:val="both"/>
              <w:rPr>
                <w:color w:val="000000"/>
                <w:sz w:val="24"/>
                <w:szCs w:val="26"/>
              </w:rPr>
            </w:pPr>
            <w:r>
              <w:rPr>
                <w:color w:val="000000"/>
                <w:sz w:val="24"/>
                <w:szCs w:val="26"/>
              </w:rPr>
              <w:t>0.50</w:t>
            </w:r>
          </w:p>
        </w:tc>
      </w:tr>
    </w:tbl>
    <w:p>
      <w:pPr>
        <w:pStyle w:val="style0"/>
        <w:spacing w:before="100" w:beforeAutospacing="true" w:after="0" w:lineRule="auto" w:line="480"/>
        <w:jc w:val="both"/>
        <w:rPr>
          <w:rFonts w:eastAsia="Times New Roman"/>
          <w:color w:val="000000"/>
          <w:sz w:val="24"/>
          <w:szCs w:val="26"/>
        </w:rPr>
      </w:pPr>
      <w:r>
        <w:rPr>
          <w:b/>
          <w:bCs/>
          <w:color w:val="000000"/>
          <w:sz w:val="24"/>
          <w:szCs w:val="26"/>
        </w:rPr>
        <w:t>4.7. Stomach Area Measurement</w:t>
      </w:r>
    </w:p>
    <w:p>
      <w:pPr>
        <w:pStyle w:val="style0"/>
        <w:spacing w:before="100" w:beforeAutospacing="true" w:after="0" w:lineRule="auto" w:line="480"/>
        <w:jc w:val="both"/>
        <w:rPr>
          <w:color w:val="000000"/>
          <w:sz w:val="24"/>
          <w:szCs w:val="26"/>
        </w:rPr>
      </w:pPr>
      <w:r>
        <w:rPr>
          <w:color w:val="000000"/>
          <w:sz w:val="24"/>
          <w:szCs w:val="26"/>
        </w:rPr>
        <w:t>The stomach areas (SA), measured as length and b</w:t>
      </w:r>
      <w:r>
        <w:rPr>
          <w:color w:val="000000"/>
          <w:sz w:val="24"/>
          <w:szCs w:val="26"/>
        </w:rPr>
        <w:t>readth, are presented in Table 7</w:t>
      </w:r>
      <w:r>
        <w:rPr>
          <w:color w:val="000000"/>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4.7: Stomach Area (Length and Breadth) Measurements of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4.23</w:t>
            </w:r>
          </w:p>
        </w:tc>
        <w:tc>
          <w:tcPr>
            <w:tcW w:w="2160" w:type="dxa"/>
            <w:tcBorders/>
          </w:tcPr>
          <w:p>
            <w:pPr>
              <w:pStyle w:val="style0"/>
              <w:spacing w:lineRule="auto" w:line="480"/>
              <w:jc w:val="both"/>
              <w:rPr>
                <w:color w:val="000000"/>
                <w:sz w:val="24"/>
                <w:szCs w:val="26"/>
              </w:rPr>
            </w:pPr>
            <w:r>
              <w:rPr>
                <w:color w:val="000000"/>
                <w:sz w:val="24"/>
                <w:szCs w:val="26"/>
              </w:rPr>
              <w:t>3.60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3.75</w:t>
            </w:r>
          </w:p>
        </w:tc>
        <w:tc>
          <w:tcPr>
            <w:tcW w:w="2160" w:type="dxa"/>
            <w:tcBorders/>
          </w:tcPr>
          <w:p>
            <w:pPr>
              <w:pStyle w:val="style0"/>
              <w:spacing w:lineRule="auto" w:line="480"/>
              <w:jc w:val="both"/>
              <w:rPr>
                <w:color w:val="000000"/>
                <w:sz w:val="24"/>
                <w:szCs w:val="26"/>
              </w:rPr>
            </w:pPr>
            <w:r>
              <w:rPr>
                <w:color w:val="000000"/>
                <w:sz w:val="24"/>
                <w:szCs w:val="26"/>
              </w:rPr>
              <w:t>3.00</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3.70</w:t>
            </w:r>
          </w:p>
        </w:tc>
        <w:tc>
          <w:tcPr>
            <w:tcW w:w="2160" w:type="dxa"/>
            <w:tcBorders/>
          </w:tcPr>
          <w:p>
            <w:pPr>
              <w:pStyle w:val="style0"/>
              <w:spacing w:lineRule="auto" w:line="480"/>
              <w:jc w:val="both"/>
              <w:rPr>
                <w:color w:val="000000"/>
                <w:sz w:val="24"/>
                <w:szCs w:val="26"/>
              </w:rPr>
            </w:pPr>
            <w:r>
              <w:rPr>
                <w:color w:val="000000"/>
                <w:sz w:val="24"/>
                <w:szCs w:val="26"/>
              </w:rPr>
              <w:t>2.73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2.53</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3.83</w:t>
            </w:r>
          </w:p>
        </w:tc>
        <w:tc>
          <w:tcPr>
            <w:tcW w:w="2160" w:type="dxa"/>
            <w:tcBorders/>
          </w:tcPr>
          <w:p>
            <w:pPr>
              <w:pStyle w:val="style0"/>
              <w:spacing w:lineRule="auto" w:line="480"/>
              <w:jc w:val="both"/>
              <w:rPr>
                <w:color w:val="000000"/>
                <w:sz w:val="24"/>
                <w:szCs w:val="26"/>
              </w:rPr>
            </w:pPr>
            <w:r>
              <w:rPr>
                <w:color w:val="000000"/>
                <w:sz w:val="24"/>
                <w:szCs w:val="26"/>
              </w:rPr>
              <w:t>2.86</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4.8</w:t>
      </w:r>
      <w:r>
        <w:rPr>
          <w:rFonts w:eastAsia="Times New Roman"/>
          <w:b/>
          <w:bCs/>
          <w:color w:val="000000"/>
          <w:sz w:val="24"/>
          <w:szCs w:val="26"/>
        </w:rPr>
        <w:t xml:space="preserve"> Hematological Composition</w:t>
      </w:r>
      <w:r>
        <w:rPr>
          <w:rFonts w:eastAsia="Times New Roman"/>
          <w:b/>
          <w:bCs/>
          <w:color w:val="000000"/>
          <w:sz w:val="24"/>
          <w:szCs w:val="26"/>
        </w:rPr>
        <w:t xml:space="preserve"> of Rats blood samples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Table 4.8</w:t>
      </w:r>
      <w:r>
        <w:rPr>
          <w:rFonts w:eastAsia="Times New Roman"/>
          <w:color w:val="000000"/>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t>percentages and reductions in lymphocytes. These shifts could imply a mild stress or inflammatory response, particularly at higher extract concentrations.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Red blood cell (RBC) counts showed notable stability across the groups, ranging from 5.00 × 10¹²/L to 6.00 × 10¹²/L. Groups 1 </w:t>
      </w:r>
      <w:r>
        <w:rPr>
          <w:rFonts w:eastAsia="Times New Roman"/>
          <w:color w:val="000000"/>
          <w:sz w:val="24"/>
          <w:szCs w:val="26"/>
        </w:rPr>
        <w:t>is</w:t>
      </w:r>
      <w:r>
        <w:rPr>
          <w:rFonts w:eastAsia="Times New Roman"/>
          <w:color w:val="000000"/>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Table 4.8</w:t>
      </w:r>
      <w:r>
        <w:rPr>
          <w:rFonts w:eastAsia="Times New Roman"/>
          <w:b/>
          <w:bCs/>
          <w:color w:val="000000"/>
          <w:sz w:val="24"/>
          <w:szCs w:val="26"/>
        </w:rPr>
        <w:t xml:space="preserve"> Hematological </w:t>
      </w:r>
      <w:r>
        <w:rPr>
          <w:rFonts w:eastAsia="Times New Roman"/>
          <w:b/>
          <w:bCs/>
          <w:color w:val="000000"/>
          <w:sz w:val="24"/>
          <w:szCs w:val="26"/>
        </w:rPr>
        <w:t>Composition of Rats blood samples</w:t>
      </w:r>
    </w:p>
    <w:tbl>
      <w:tblPr>
        <w:tblStyle w:val="style154"/>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097"/>
        <w:gridCol w:w="826"/>
        <w:gridCol w:w="716"/>
        <w:gridCol w:w="999"/>
        <w:gridCol w:w="639"/>
        <w:gridCol w:w="733"/>
        <w:gridCol w:w="793"/>
        <w:gridCol w:w="892"/>
        <w:gridCol w:w="720"/>
        <w:gridCol w:w="716"/>
        <w:gridCol w:w="730"/>
        <w:gridCol w:w="740"/>
        <w:gridCol w:w="884"/>
      </w:tblGrid>
      <w:tr>
        <w:trPr>
          <w:trHeight w:val="900" w:hRule="atLeast"/>
          <w:jc w:val="center"/>
        </w:trPr>
        <w:tc>
          <w:tcPr>
            <w:tcW w:w="552" w:type="dxa"/>
            <w:tcBorders>
              <w:top w:val="single" w:sz="4" w:space="0" w:color="auto"/>
              <w:bottom w:val="single" w:sz="4" w:space="0" w:color="auto"/>
            </w:tcBorders>
          </w:tcPr>
          <w:p>
            <w:pPr>
              <w:pStyle w:val="style0"/>
              <w:spacing w:lineRule="auto" w:line="480"/>
              <w:rPr>
                <w:rFonts w:ascii="宋体" w:cs="宋体" w:hAnsi="宋体"/>
                <w:b/>
                <w:color w:val="000000"/>
                <w:sz w:val="20"/>
                <w:szCs w:val="22"/>
              </w:rPr>
            </w:pPr>
          </w:p>
          <w:p>
            <w:pPr>
              <w:pStyle w:val="style0"/>
              <w:spacing w:lineRule="auto" w:line="480"/>
              <w:rPr>
                <w:color w:val="000000"/>
                <w:sz w:val="20"/>
                <w:szCs w:val="22"/>
              </w:rPr>
            </w:pPr>
            <w:r>
              <w:rPr>
                <w:rFonts w:ascii="宋体" w:cs="宋体" w:hAnsi="宋体"/>
                <w:b/>
                <w:color w:val="000000"/>
                <w:sz w:val="20"/>
                <w:szCs w:val="22"/>
              </w:rPr>
              <w:t>S/N</w:t>
            </w:r>
          </w:p>
        </w:tc>
        <w:tc>
          <w:tcPr>
            <w:tcW w:w="111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SAMPLE</w:t>
            </w:r>
          </w:p>
          <w:p>
            <w:pPr>
              <w:pStyle w:val="style0"/>
              <w:spacing w:lineRule="auto" w:line="480"/>
              <w:rPr>
                <w:color w:val="000000"/>
                <w:sz w:val="20"/>
                <w:szCs w:val="22"/>
              </w:rPr>
            </w:pPr>
            <w:r>
              <w:rPr>
                <w:rFonts w:ascii="宋体" w:cs="宋体" w:hAnsi="宋体"/>
                <w:b/>
                <w:color w:val="000000"/>
                <w:sz w:val="20"/>
                <w:szCs w:val="22"/>
              </w:rPr>
              <w:t>I.D</w:t>
            </w:r>
          </w:p>
        </w:tc>
        <w:tc>
          <w:tcPr>
            <w:tcW w:w="830"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 xml:space="preserve"> WBC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9</w:t>
            </w:r>
            <w:r>
              <w:rPr>
                <w:rFonts w:ascii="宋体" w:cs="宋体" w:hAnsi="宋体"/>
                <w:b/>
                <w:color w:val="000000"/>
                <w:sz w:val="20"/>
                <w:szCs w:val="22"/>
              </w:rPr>
              <w:t>/L</w:t>
            </w:r>
          </w:p>
        </w:tc>
        <w:tc>
          <w:tcPr>
            <w:tcW w:w="67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NEU</w:t>
            </w:r>
          </w:p>
          <w:p>
            <w:pPr>
              <w:pStyle w:val="style0"/>
              <w:spacing w:lineRule="auto" w:line="480"/>
              <w:rPr>
                <w:color w:val="000000"/>
                <w:sz w:val="20"/>
                <w:szCs w:val="22"/>
              </w:rPr>
            </w:pPr>
            <w:r>
              <w:rPr>
                <w:rFonts w:ascii="宋体" w:cs="宋体" w:hAnsi="宋体"/>
                <w:b/>
                <w:color w:val="000000"/>
                <w:sz w:val="20"/>
                <w:szCs w:val="22"/>
              </w:rPr>
              <w:t xml:space="preserve"> (%)</w:t>
            </w:r>
          </w:p>
        </w:tc>
        <w:tc>
          <w:tcPr>
            <w:tcW w:w="102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LYMPH</w:t>
            </w:r>
          </w:p>
          <w:p>
            <w:pPr>
              <w:pStyle w:val="style0"/>
              <w:spacing w:lineRule="auto" w:line="480"/>
              <w:rPr>
                <w:color w:val="000000"/>
                <w:sz w:val="20"/>
                <w:szCs w:val="22"/>
              </w:rPr>
            </w:pPr>
            <w:r>
              <w:rPr>
                <w:rFonts w:ascii="宋体" w:cs="宋体" w:hAnsi="宋体"/>
                <w:b/>
                <w:color w:val="000000"/>
                <w:sz w:val="20"/>
                <w:szCs w:val="22"/>
              </w:rPr>
              <w:t>(%)</w:t>
            </w:r>
          </w:p>
        </w:tc>
        <w:tc>
          <w:tcPr>
            <w:tcW w:w="64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EOS</w:t>
            </w:r>
          </w:p>
          <w:p>
            <w:pPr>
              <w:pStyle w:val="style0"/>
              <w:spacing w:lineRule="auto" w:line="480"/>
              <w:rPr>
                <w:color w:val="000000"/>
                <w:sz w:val="20"/>
                <w:szCs w:val="22"/>
              </w:rPr>
            </w:pPr>
            <w:r>
              <w:rPr>
                <w:rFonts w:ascii="宋体" w:cs="宋体" w:hAnsi="宋体"/>
                <w:b/>
                <w:color w:val="000000"/>
                <w:sz w:val="20"/>
                <w:szCs w:val="22"/>
              </w:rPr>
              <w:t>(%)</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MON</w:t>
            </w:r>
          </w:p>
          <w:p>
            <w:pPr>
              <w:pStyle w:val="style0"/>
              <w:spacing w:lineRule="auto" w:line="480"/>
              <w:rPr>
                <w:color w:val="000000"/>
                <w:sz w:val="20"/>
                <w:szCs w:val="22"/>
              </w:rPr>
            </w:pPr>
            <w:r>
              <w:rPr>
                <w:rFonts w:ascii="宋体" w:cs="宋体" w:hAnsi="宋体"/>
                <w:b/>
                <w:color w:val="000000"/>
                <w:sz w:val="20"/>
                <w:szCs w:val="22"/>
              </w:rPr>
              <w:t>(%)</w:t>
            </w:r>
          </w:p>
        </w:tc>
        <w:tc>
          <w:tcPr>
            <w:tcW w:w="806"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BASO</w:t>
            </w:r>
          </w:p>
          <w:p>
            <w:pPr>
              <w:pStyle w:val="style0"/>
              <w:spacing w:lineRule="auto" w:line="480"/>
              <w:rPr>
                <w:color w:val="000000"/>
                <w:sz w:val="20"/>
                <w:szCs w:val="22"/>
              </w:rPr>
            </w:pPr>
            <w:r>
              <w:rPr>
                <w:rFonts w:ascii="宋体" w:cs="宋体" w:hAnsi="宋体"/>
                <w:b/>
                <w:color w:val="000000"/>
                <w:sz w:val="20"/>
                <w:szCs w:val="22"/>
              </w:rPr>
              <w:t>(%)</w:t>
            </w:r>
          </w:p>
        </w:tc>
        <w:tc>
          <w:tcPr>
            <w:tcW w:w="89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RBC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12</w:t>
            </w:r>
            <w:r>
              <w:rPr>
                <w:rFonts w:ascii="宋体" w:cs="宋体" w:hAnsi="宋体"/>
                <w:b/>
                <w:color w:val="000000"/>
                <w:sz w:val="20"/>
                <w:szCs w:val="22"/>
              </w:rPr>
              <w:t>/L</w:t>
            </w:r>
          </w:p>
        </w:tc>
        <w:tc>
          <w:tcPr>
            <w:tcW w:w="70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HB</w:t>
            </w:r>
          </w:p>
          <w:p>
            <w:pPr>
              <w:pStyle w:val="style0"/>
              <w:spacing w:lineRule="auto" w:line="480"/>
              <w:rPr>
                <w:color w:val="000000"/>
                <w:sz w:val="20"/>
                <w:szCs w:val="22"/>
              </w:rPr>
            </w:pPr>
            <w:r>
              <w:rPr>
                <w:rFonts w:ascii="宋体" w:cs="宋体" w:hAnsi="宋体"/>
                <w:b/>
                <w:color w:val="000000"/>
                <w:sz w:val="20"/>
                <w:szCs w:val="22"/>
              </w:rPr>
              <w:t>(g/dl)</w:t>
            </w:r>
          </w:p>
        </w:tc>
        <w:tc>
          <w:tcPr>
            <w:tcW w:w="661"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PCV</w:t>
            </w:r>
          </w:p>
          <w:p>
            <w:pPr>
              <w:pStyle w:val="style0"/>
              <w:spacing w:lineRule="auto" w:line="480"/>
              <w:rPr>
                <w:color w:val="000000"/>
                <w:sz w:val="20"/>
                <w:szCs w:val="22"/>
              </w:rPr>
            </w:pPr>
            <w:r>
              <w:rPr>
                <w:rFonts w:ascii="宋体" w:cs="宋体" w:hAnsi="宋体"/>
                <w:b/>
                <w:color w:val="000000"/>
                <w:sz w:val="20"/>
                <w:szCs w:val="22"/>
              </w:rPr>
              <w:t>(%)</w:t>
            </w:r>
          </w:p>
        </w:tc>
        <w:tc>
          <w:tcPr>
            <w:tcW w:w="73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MCV</w:t>
            </w:r>
          </w:p>
          <w:p>
            <w:pPr>
              <w:pStyle w:val="style0"/>
              <w:spacing w:lineRule="auto" w:line="480"/>
              <w:rPr>
                <w:color w:val="000000"/>
                <w:sz w:val="20"/>
                <w:szCs w:val="22"/>
              </w:rPr>
            </w:pPr>
            <w:r>
              <w:rPr>
                <w:rFonts w:ascii="宋体" w:cs="宋体" w:hAnsi="宋体"/>
                <w:b/>
                <w:color w:val="000000"/>
                <w:sz w:val="20"/>
                <w:szCs w:val="22"/>
              </w:rPr>
              <w:t>(fl)</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w:t>
            </w:r>
          </w:p>
          <w:p>
            <w:pPr>
              <w:pStyle w:val="style0"/>
              <w:spacing w:lineRule="auto" w:line="480"/>
              <w:rPr>
                <w:color w:val="000000"/>
                <w:sz w:val="20"/>
                <w:szCs w:val="22"/>
              </w:rPr>
            </w:pPr>
            <w:r>
              <w:rPr>
                <w:rFonts w:ascii="宋体" w:cs="宋体" w:hAnsi="宋体"/>
                <w:b/>
                <w:color w:val="000000"/>
                <w:sz w:val="20"/>
                <w:szCs w:val="22"/>
              </w:rPr>
              <w:t>(Pg)</w:t>
            </w:r>
          </w:p>
        </w:tc>
        <w:tc>
          <w:tcPr>
            <w:tcW w:w="90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MCHC</w:t>
            </w:r>
          </w:p>
          <w:p>
            <w:pPr>
              <w:pStyle w:val="style0"/>
              <w:spacing w:lineRule="auto" w:line="480"/>
              <w:rPr>
                <w:color w:val="000000"/>
                <w:sz w:val="20"/>
                <w:szCs w:val="22"/>
              </w:rPr>
            </w:pPr>
            <w:r>
              <w:rPr>
                <w:rFonts w:ascii="宋体" w:cs="宋体" w:hAnsi="宋体"/>
                <w:b/>
                <w:color w:val="000000"/>
                <w:sz w:val="20"/>
                <w:szCs w:val="22"/>
              </w:rPr>
              <w:t>(g/dl)</w:t>
            </w:r>
          </w:p>
        </w:tc>
      </w:tr>
      <w:tr>
        <w:tblPrEx/>
        <w:trPr>
          <w:trHeight w:val="97" w:hRule="atLeast"/>
          <w:jc w:val="center"/>
        </w:trPr>
        <w:tc>
          <w:tcPr>
            <w:tcW w:w="552" w:type="dxa"/>
            <w:tcBorders>
              <w:top w:val="single" w:sz="4" w:space="0" w:color="auto"/>
            </w:tcBorders>
          </w:tcPr>
          <w:p>
            <w:pPr>
              <w:pStyle w:val="style0"/>
              <w:spacing w:lineRule="auto" w:line="480"/>
              <w:rPr>
                <w:rFonts w:ascii="宋体" w:cs="宋体" w:hAnsi="宋体"/>
                <w:b/>
                <w:color w:val="000000"/>
                <w:sz w:val="20"/>
                <w:szCs w:val="22"/>
              </w:rPr>
            </w:pPr>
          </w:p>
        </w:tc>
        <w:tc>
          <w:tcPr>
            <w:tcW w:w="1119" w:type="dxa"/>
            <w:tcBorders>
              <w:top w:val="single" w:sz="4" w:space="0" w:color="auto"/>
            </w:tcBorders>
          </w:tcPr>
          <w:p>
            <w:pPr>
              <w:pStyle w:val="style0"/>
              <w:spacing w:lineRule="auto" w:line="480"/>
              <w:rPr>
                <w:rFonts w:ascii="宋体" w:cs="宋体" w:hAnsi="宋体"/>
                <w:b/>
                <w:color w:val="000000"/>
                <w:sz w:val="20"/>
                <w:szCs w:val="22"/>
              </w:rPr>
            </w:pPr>
          </w:p>
        </w:tc>
        <w:tc>
          <w:tcPr>
            <w:tcW w:w="830" w:type="dxa"/>
            <w:tcBorders>
              <w:top w:val="single" w:sz="4" w:space="0" w:color="auto"/>
            </w:tcBorders>
          </w:tcPr>
          <w:p>
            <w:pPr>
              <w:pStyle w:val="style0"/>
              <w:spacing w:lineRule="auto" w:line="480"/>
              <w:rPr>
                <w:rFonts w:ascii="宋体" w:cs="宋体" w:hAnsi="宋体"/>
                <w:b/>
                <w:color w:val="000000"/>
                <w:sz w:val="20"/>
                <w:szCs w:val="22"/>
              </w:rPr>
            </w:pPr>
          </w:p>
        </w:tc>
        <w:tc>
          <w:tcPr>
            <w:tcW w:w="673" w:type="dxa"/>
            <w:tcBorders>
              <w:top w:val="single" w:sz="4" w:space="0" w:color="auto"/>
            </w:tcBorders>
          </w:tcPr>
          <w:p>
            <w:pPr>
              <w:pStyle w:val="style0"/>
              <w:spacing w:lineRule="auto" w:line="480"/>
              <w:rPr>
                <w:rFonts w:ascii="宋体" w:cs="宋体" w:hAnsi="宋体"/>
                <w:b/>
                <w:color w:val="000000"/>
                <w:sz w:val="20"/>
                <w:szCs w:val="22"/>
              </w:rPr>
            </w:pPr>
          </w:p>
        </w:tc>
        <w:tc>
          <w:tcPr>
            <w:tcW w:w="1022" w:type="dxa"/>
            <w:tcBorders>
              <w:top w:val="single" w:sz="4" w:space="0" w:color="auto"/>
            </w:tcBorders>
          </w:tcPr>
          <w:p>
            <w:pPr>
              <w:pStyle w:val="style0"/>
              <w:spacing w:lineRule="auto" w:line="480"/>
              <w:rPr>
                <w:rFonts w:ascii="宋体" w:cs="宋体" w:hAnsi="宋体"/>
                <w:b/>
                <w:color w:val="000000"/>
                <w:sz w:val="20"/>
                <w:szCs w:val="22"/>
              </w:rPr>
            </w:pPr>
          </w:p>
        </w:tc>
        <w:tc>
          <w:tcPr>
            <w:tcW w:w="649"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806" w:type="dxa"/>
            <w:tcBorders>
              <w:top w:val="single" w:sz="4" w:space="0" w:color="auto"/>
            </w:tcBorders>
          </w:tcPr>
          <w:p>
            <w:pPr>
              <w:pStyle w:val="style0"/>
              <w:spacing w:lineRule="auto" w:line="480"/>
              <w:rPr>
                <w:rFonts w:ascii="宋体" w:cs="宋体" w:hAnsi="宋体"/>
                <w:b/>
                <w:color w:val="000000"/>
                <w:sz w:val="20"/>
                <w:szCs w:val="22"/>
              </w:rPr>
            </w:pPr>
          </w:p>
        </w:tc>
        <w:tc>
          <w:tcPr>
            <w:tcW w:w="899" w:type="dxa"/>
            <w:tcBorders>
              <w:top w:val="single" w:sz="4" w:space="0" w:color="auto"/>
            </w:tcBorders>
          </w:tcPr>
          <w:p>
            <w:pPr>
              <w:pStyle w:val="style0"/>
              <w:spacing w:lineRule="auto" w:line="480"/>
              <w:rPr>
                <w:rFonts w:ascii="宋体" w:cs="宋体" w:hAnsi="宋体"/>
                <w:b/>
                <w:color w:val="000000"/>
                <w:sz w:val="20"/>
                <w:szCs w:val="22"/>
              </w:rPr>
            </w:pPr>
          </w:p>
        </w:tc>
        <w:tc>
          <w:tcPr>
            <w:tcW w:w="709" w:type="dxa"/>
            <w:tcBorders>
              <w:top w:val="single" w:sz="4" w:space="0" w:color="auto"/>
            </w:tcBorders>
          </w:tcPr>
          <w:p>
            <w:pPr>
              <w:pStyle w:val="style0"/>
              <w:spacing w:lineRule="auto" w:line="480"/>
              <w:rPr>
                <w:rFonts w:ascii="宋体" w:cs="宋体" w:hAnsi="宋体"/>
                <w:b/>
                <w:color w:val="000000"/>
                <w:sz w:val="20"/>
                <w:szCs w:val="22"/>
              </w:rPr>
            </w:pPr>
          </w:p>
        </w:tc>
        <w:tc>
          <w:tcPr>
            <w:tcW w:w="661" w:type="dxa"/>
            <w:tcBorders>
              <w:top w:val="single" w:sz="4" w:space="0" w:color="auto"/>
            </w:tcBorders>
          </w:tcPr>
          <w:p>
            <w:pPr>
              <w:pStyle w:val="style0"/>
              <w:spacing w:lineRule="auto" w:line="480"/>
              <w:rPr>
                <w:rFonts w:ascii="宋体" w:cs="宋体" w:hAnsi="宋体"/>
                <w:b/>
                <w:color w:val="000000"/>
                <w:sz w:val="20"/>
                <w:szCs w:val="22"/>
              </w:rPr>
            </w:pPr>
          </w:p>
        </w:tc>
        <w:tc>
          <w:tcPr>
            <w:tcW w:w="733"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902" w:type="dxa"/>
            <w:tcBorders>
              <w:top w:val="single" w:sz="4" w:space="0" w:color="auto"/>
            </w:tcBorders>
          </w:tcPr>
          <w:p>
            <w:pPr>
              <w:pStyle w:val="style0"/>
              <w:spacing w:lineRule="auto" w:line="480"/>
              <w:rPr>
                <w:rFonts w:ascii="宋体" w:cs="宋体" w:hAnsi="宋体"/>
                <w:b/>
                <w:color w:val="000000"/>
                <w:sz w:val="20"/>
                <w:szCs w:val="22"/>
              </w:rPr>
            </w:pP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1</w:t>
            </w:r>
          </w:p>
        </w:tc>
        <w:tc>
          <w:tcPr>
            <w:tcW w:w="1119" w:type="dxa"/>
            <w:tcBorders/>
            <w:hideMark/>
          </w:tcPr>
          <w:p>
            <w:pPr>
              <w:pStyle w:val="style0"/>
              <w:spacing w:lineRule="auto" w:line="480"/>
              <w:rPr>
                <w:color w:val="000000"/>
                <w:sz w:val="20"/>
                <w:szCs w:val="22"/>
              </w:rPr>
            </w:pPr>
            <w:r>
              <w:rPr>
                <w:color w:val="000000"/>
                <w:sz w:val="20"/>
                <w:szCs w:val="22"/>
              </w:rPr>
              <w:t>Group 1</w:t>
            </w:r>
          </w:p>
        </w:tc>
        <w:tc>
          <w:tcPr>
            <w:tcW w:w="830" w:type="dxa"/>
            <w:tcBorders/>
            <w:hideMark/>
          </w:tcPr>
          <w:p>
            <w:pPr>
              <w:pStyle w:val="style0"/>
              <w:spacing w:lineRule="auto" w:line="480"/>
              <w:rPr>
                <w:color w:val="000000"/>
                <w:sz w:val="20"/>
                <w:szCs w:val="22"/>
              </w:rPr>
            </w:pPr>
            <w:r>
              <w:rPr>
                <w:color w:val="000000"/>
                <w:sz w:val="20"/>
                <w:szCs w:val="22"/>
              </w:rPr>
              <w:t>8.20</w:t>
            </w:r>
          </w:p>
        </w:tc>
        <w:tc>
          <w:tcPr>
            <w:tcW w:w="673" w:type="dxa"/>
            <w:tcBorders/>
            <w:hideMark/>
          </w:tcPr>
          <w:p>
            <w:pPr>
              <w:pStyle w:val="style0"/>
              <w:spacing w:lineRule="auto" w:line="480"/>
              <w:rPr>
                <w:color w:val="000000"/>
                <w:sz w:val="20"/>
                <w:szCs w:val="22"/>
              </w:rPr>
            </w:pPr>
            <w:r>
              <w:rPr>
                <w:color w:val="000000"/>
                <w:sz w:val="20"/>
                <w:szCs w:val="22"/>
              </w:rPr>
              <w:t>27.30</w:t>
            </w:r>
          </w:p>
        </w:tc>
        <w:tc>
          <w:tcPr>
            <w:tcW w:w="1022" w:type="dxa"/>
            <w:tcBorders/>
            <w:hideMark/>
          </w:tcPr>
          <w:p>
            <w:pPr>
              <w:pStyle w:val="style0"/>
              <w:spacing w:lineRule="auto" w:line="480"/>
              <w:rPr>
                <w:color w:val="000000"/>
                <w:sz w:val="20"/>
                <w:szCs w:val="22"/>
              </w:rPr>
            </w:pPr>
            <w:r>
              <w:rPr>
                <w:color w:val="000000"/>
                <w:sz w:val="20"/>
                <w:szCs w:val="22"/>
              </w:rPr>
              <w:t>72.30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5.00</w:t>
            </w:r>
          </w:p>
        </w:tc>
        <w:tc>
          <w:tcPr>
            <w:tcW w:w="709" w:type="dxa"/>
            <w:tcBorders/>
            <w:hideMark/>
          </w:tcPr>
          <w:p>
            <w:pPr>
              <w:pStyle w:val="style0"/>
              <w:spacing w:lineRule="auto" w:line="480"/>
              <w:rPr>
                <w:color w:val="000000"/>
                <w:sz w:val="20"/>
                <w:szCs w:val="22"/>
              </w:rPr>
            </w:pPr>
            <w:r>
              <w:rPr>
                <w:color w:val="000000"/>
                <w:sz w:val="20"/>
                <w:szCs w:val="22"/>
              </w:rPr>
              <w:t>10.33</w:t>
            </w:r>
          </w:p>
        </w:tc>
        <w:tc>
          <w:tcPr>
            <w:tcW w:w="661" w:type="dxa"/>
            <w:tcBorders/>
            <w:hideMark/>
          </w:tcPr>
          <w:p>
            <w:pPr>
              <w:pStyle w:val="style0"/>
              <w:spacing w:lineRule="auto" w:line="480"/>
              <w:rPr>
                <w:color w:val="000000"/>
                <w:sz w:val="20"/>
                <w:szCs w:val="22"/>
              </w:rPr>
            </w:pPr>
            <w:r>
              <w:rPr>
                <w:color w:val="000000"/>
                <w:sz w:val="20"/>
                <w:szCs w:val="22"/>
              </w:rPr>
              <w:t>31.00</w:t>
            </w:r>
          </w:p>
        </w:tc>
        <w:tc>
          <w:tcPr>
            <w:tcW w:w="733" w:type="dxa"/>
            <w:tcBorders/>
            <w:hideMark/>
          </w:tcPr>
          <w:p>
            <w:pPr>
              <w:pStyle w:val="style0"/>
              <w:spacing w:lineRule="auto" w:line="480"/>
              <w:rPr>
                <w:color w:val="000000"/>
                <w:sz w:val="20"/>
                <w:szCs w:val="22"/>
              </w:rPr>
            </w:pPr>
            <w:r>
              <w:rPr>
                <w:color w:val="000000"/>
                <w:sz w:val="20"/>
                <w:szCs w:val="22"/>
              </w:rPr>
              <w:t>64.00</w:t>
            </w:r>
          </w:p>
        </w:tc>
        <w:tc>
          <w:tcPr>
            <w:tcW w:w="745" w:type="dxa"/>
            <w:tcBorders/>
            <w:hideMark/>
          </w:tcPr>
          <w:p>
            <w:pPr>
              <w:pStyle w:val="style0"/>
              <w:spacing w:lineRule="auto" w:line="480"/>
              <w:rPr>
                <w:color w:val="000000"/>
                <w:sz w:val="20"/>
                <w:szCs w:val="22"/>
              </w:rPr>
            </w:pPr>
            <w:r>
              <w:rPr>
                <w:color w:val="000000"/>
                <w:sz w:val="20"/>
                <w:szCs w:val="22"/>
              </w:rPr>
              <w:t>21.10</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2</w:t>
            </w:r>
          </w:p>
        </w:tc>
        <w:tc>
          <w:tcPr>
            <w:tcW w:w="1119" w:type="dxa"/>
            <w:tcBorders/>
            <w:hideMark/>
          </w:tcPr>
          <w:p>
            <w:pPr>
              <w:pStyle w:val="style0"/>
              <w:spacing w:lineRule="auto" w:line="480"/>
              <w:rPr>
                <w:color w:val="000000"/>
                <w:sz w:val="20"/>
                <w:szCs w:val="22"/>
              </w:rPr>
            </w:pPr>
            <w:r>
              <w:rPr>
                <w:color w:val="000000"/>
                <w:sz w:val="20"/>
                <w:szCs w:val="22"/>
              </w:rPr>
              <w:t>Group 2</w:t>
            </w:r>
          </w:p>
        </w:tc>
        <w:tc>
          <w:tcPr>
            <w:tcW w:w="830" w:type="dxa"/>
            <w:tcBorders/>
            <w:hideMark/>
          </w:tcPr>
          <w:p>
            <w:pPr>
              <w:pStyle w:val="style0"/>
              <w:spacing w:lineRule="auto" w:line="480"/>
              <w:rPr>
                <w:color w:val="000000"/>
                <w:sz w:val="20"/>
                <w:szCs w:val="22"/>
              </w:rPr>
            </w:pPr>
            <w:r>
              <w:rPr>
                <w:color w:val="000000"/>
                <w:sz w:val="20"/>
                <w:szCs w:val="22"/>
              </w:rPr>
              <w:t>6.73</w:t>
            </w:r>
          </w:p>
        </w:tc>
        <w:tc>
          <w:tcPr>
            <w:tcW w:w="673" w:type="dxa"/>
            <w:tcBorders/>
            <w:hideMark/>
          </w:tcPr>
          <w:p>
            <w:pPr>
              <w:pStyle w:val="style0"/>
              <w:spacing w:lineRule="auto" w:line="480"/>
              <w:rPr>
                <w:color w:val="000000"/>
                <w:sz w:val="20"/>
                <w:szCs w:val="22"/>
              </w:rPr>
            </w:pPr>
            <w:r>
              <w:rPr>
                <w:color w:val="000000"/>
                <w:sz w:val="20"/>
                <w:szCs w:val="22"/>
              </w:rPr>
              <w:t>28.00</w:t>
            </w:r>
          </w:p>
        </w:tc>
        <w:tc>
          <w:tcPr>
            <w:tcW w:w="1022" w:type="dxa"/>
            <w:tcBorders/>
            <w:hideMark/>
          </w:tcPr>
          <w:p>
            <w:pPr>
              <w:pStyle w:val="style0"/>
              <w:spacing w:lineRule="auto" w:line="480"/>
              <w:rPr>
                <w:color w:val="000000"/>
                <w:sz w:val="20"/>
                <w:szCs w:val="22"/>
              </w:rPr>
            </w:pPr>
            <w:r>
              <w:rPr>
                <w:color w:val="000000"/>
                <w:sz w:val="20"/>
                <w:szCs w:val="22"/>
              </w:rPr>
              <w:t>70.66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5.96</w:t>
            </w:r>
          </w:p>
        </w:tc>
        <w:tc>
          <w:tcPr>
            <w:tcW w:w="709" w:type="dxa"/>
            <w:tcBorders/>
            <w:hideMark/>
          </w:tcPr>
          <w:p>
            <w:pPr>
              <w:pStyle w:val="style0"/>
              <w:spacing w:lineRule="auto" w:line="480"/>
              <w:rPr>
                <w:color w:val="000000"/>
                <w:sz w:val="20"/>
                <w:szCs w:val="22"/>
              </w:rPr>
            </w:pPr>
            <w:r>
              <w:rPr>
                <w:color w:val="000000"/>
                <w:sz w:val="20"/>
                <w:szCs w:val="22"/>
              </w:rPr>
              <w:t>12.45</w:t>
            </w:r>
          </w:p>
        </w:tc>
        <w:tc>
          <w:tcPr>
            <w:tcW w:w="661" w:type="dxa"/>
            <w:tcBorders/>
            <w:hideMark/>
          </w:tcPr>
          <w:p>
            <w:pPr>
              <w:pStyle w:val="style0"/>
              <w:spacing w:lineRule="auto" w:line="480"/>
              <w:rPr>
                <w:color w:val="000000"/>
                <w:sz w:val="20"/>
                <w:szCs w:val="22"/>
              </w:rPr>
            </w:pPr>
            <w:r>
              <w:rPr>
                <w:color w:val="000000"/>
                <w:sz w:val="20"/>
                <w:szCs w:val="22"/>
              </w:rPr>
              <w:t>37.66</w:t>
            </w:r>
          </w:p>
        </w:tc>
        <w:tc>
          <w:tcPr>
            <w:tcW w:w="733" w:type="dxa"/>
            <w:tcBorders/>
            <w:hideMark/>
          </w:tcPr>
          <w:p>
            <w:pPr>
              <w:pStyle w:val="style0"/>
              <w:spacing w:lineRule="auto" w:line="480"/>
              <w:rPr>
                <w:color w:val="000000"/>
                <w:sz w:val="20"/>
                <w:szCs w:val="22"/>
              </w:rPr>
            </w:pPr>
            <w:r>
              <w:rPr>
                <w:color w:val="000000"/>
                <w:sz w:val="20"/>
                <w:szCs w:val="22"/>
              </w:rPr>
              <w:t>64.33</w:t>
            </w:r>
          </w:p>
        </w:tc>
        <w:tc>
          <w:tcPr>
            <w:tcW w:w="745" w:type="dxa"/>
            <w:tcBorders/>
            <w:hideMark/>
          </w:tcPr>
          <w:p>
            <w:pPr>
              <w:pStyle w:val="style0"/>
              <w:spacing w:lineRule="auto" w:line="480"/>
              <w:rPr>
                <w:color w:val="000000"/>
                <w:sz w:val="20"/>
                <w:szCs w:val="22"/>
              </w:rPr>
            </w:pPr>
            <w:r>
              <w:rPr>
                <w:color w:val="000000"/>
                <w:sz w:val="20"/>
                <w:szCs w:val="22"/>
              </w:rPr>
              <w:t>20.90</w:t>
            </w:r>
          </w:p>
        </w:tc>
        <w:tc>
          <w:tcPr>
            <w:tcW w:w="902" w:type="dxa"/>
            <w:tcBorders/>
            <w:hideMark/>
          </w:tcPr>
          <w:p>
            <w:pPr>
              <w:pStyle w:val="style0"/>
              <w:spacing w:lineRule="auto" w:line="480"/>
              <w:rPr>
                <w:color w:val="000000"/>
                <w:sz w:val="20"/>
                <w:szCs w:val="22"/>
              </w:rPr>
            </w:pPr>
            <w:r>
              <w:rPr>
                <w:color w:val="000000"/>
                <w:sz w:val="20"/>
                <w:szCs w:val="22"/>
              </w:rPr>
              <w:t>33.06</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3</w:t>
            </w:r>
          </w:p>
        </w:tc>
        <w:tc>
          <w:tcPr>
            <w:tcW w:w="1119" w:type="dxa"/>
            <w:tcBorders/>
            <w:hideMark/>
          </w:tcPr>
          <w:p>
            <w:pPr>
              <w:pStyle w:val="style0"/>
              <w:spacing w:lineRule="auto" w:line="480"/>
              <w:rPr>
                <w:color w:val="000000"/>
                <w:sz w:val="20"/>
                <w:szCs w:val="22"/>
              </w:rPr>
            </w:pPr>
            <w:r>
              <w:rPr>
                <w:color w:val="000000"/>
                <w:sz w:val="20"/>
                <w:szCs w:val="22"/>
              </w:rPr>
              <w:t>Group 3</w:t>
            </w:r>
          </w:p>
        </w:tc>
        <w:tc>
          <w:tcPr>
            <w:tcW w:w="830" w:type="dxa"/>
            <w:tcBorders/>
            <w:hideMark/>
          </w:tcPr>
          <w:p>
            <w:pPr>
              <w:pStyle w:val="style0"/>
              <w:spacing w:lineRule="auto" w:line="480"/>
              <w:rPr>
                <w:color w:val="000000"/>
                <w:sz w:val="20"/>
                <w:szCs w:val="22"/>
              </w:rPr>
            </w:pPr>
            <w:r>
              <w:rPr>
                <w:color w:val="000000"/>
                <w:sz w:val="20"/>
                <w:szCs w:val="22"/>
              </w:rPr>
              <w:t>8.00</w:t>
            </w:r>
          </w:p>
        </w:tc>
        <w:tc>
          <w:tcPr>
            <w:tcW w:w="673" w:type="dxa"/>
            <w:tcBorders/>
            <w:hideMark/>
          </w:tcPr>
          <w:p>
            <w:pPr>
              <w:pStyle w:val="style0"/>
              <w:spacing w:lineRule="auto" w:line="480"/>
              <w:rPr>
                <w:color w:val="000000"/>
                <w:sz w:val="20"/>
                <w:szCs w:val="22"/>
              </w:rPr>
            </w:pPr>
            <w:r>
              <w:rPr>
                <w:color w:val="000000"/>
                <w:sz w:val="20"/>
                <w:szCs w:val="22"/>
              </w:rPr>
              <w:t>25.51</w:t>
            </w:r>
          </w:p>
        </w:tc>
        <w:tc>
          <w:tcPr>
            <w:tcW w:w="1022" w:type="dxa"/>
            <w:tcBorders/>
            <w:hideMark/>
          </w:tcPr>
          <w:p>
            <w:pPr>
              <w:pStyle w:val="style0"/>
              <w:spacing w:lineRule="auto" w:line="480"/>
              <w:rPr>
                <w:color w:val="000000"/>
                <w:sz w:val="20"/>
                <w:szCs w:val="22"/>
              </w:rPr>
            </w:pPr>
            <w:r>
              <w:rPr>
                <w:color w:val="000000"/>
                <w:sz w:val="20"/>
                <w:szCs w:val="22"/>
              </w:rPr>
              <w:t>74.50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5.55</w:t>
            </w:r>
          </w:p>
        </w:tc>
        <w:tc>
          <w:tcPr>
            <w:tcW w:w="709" w:type="dxa"/>
            <w:tcBorders/>
            <w:hideMark/>
          </w:tcPr>
          <w:p>
            <w:pPr>
              <w:pStyle w:val="style0"/>
              <w:spacing w:lineRule="auto" w:line="480"/>
              <w:rPr>
                <w:color w:val="000000"/>
                <w:sz w:val="20"/>
                <w:szCs w:val="22"/>
              </w:rPr>
            </w:pPr>
            <w:r>
              <w:rPr>
                <w:color w:val="000000"/>
                <w:sz w:val="20"/>
                <w:szCs w:val="22"/>
              </w:rPr>
              <w:t>11.35</w:t>
            </w:r>
          </w:p>
        </w:tc>
        <w:tc>
          <w:tcPr>
            <w:tcW w:w="661" w:type="dxa"/>
            <w:tcBorders/>
            <w:hideMark/>
          </w:tcPr>
          <w:p>
            <w:pPr>
              <w:pStyle w:val="style0"/>
              <w:spacing w:lineRule="auto" w:line="480"/>
              <w:rPr>
                <w:color w:val="000000"/>
                <w:sz w:val="20"/>
                <w:szCs w:val="22"/>
              </w:rPr>
            </w:pPr>
            <w:r>
              <w:rPr>
                <w:color w:val="000000"/>
                <w:sz w:val="20"/>
                <w:szCs w:val="22"/>
              </w:rPr>
              <w:t>34.50</w:t>
            </w:r>
          </w:p>
        </w:tc>
        <w:tc>
          <w:tcPr>
            <w:tcW w:w="733" w:type="dxa"/>
            <w:tcBorders/>
            <w:hideMark/>
          </w:tcPr>
          <w:p>
            <w:pPr>
              <w:pStyle w:val="style0"/>
              <w:spacing w:lineRule="auto" w:line="480"/>
              <w:rPr>
                <w:color w:val="000000"/>
                <w:sz w:val="20"/>
                <w:szCs w:val="22"/>
              </w:rPr>
            </w:pPr>
            <w:r>
              <w:rPr>
                <w:color w:val="000000"/>
                <w:sz w:val="20"/>
                <w:szCs w:val="22"/>
              </w:rPr>
              <w:t>62.15</w:t>
            </w:r>
          </w:p>
        </w:tc>
        <w:tc>
          <w:tcPr>
            <w:tcW w:w="745" w:type="dxa"/>
            <w:tcBorders/>
            <w:hideMark/>
          </w:tcPr>
          <w:p>
            <w:pPr>
              <w:pStyle w:val="style0"/>
              <w:spacing w:lineRule="auto" w:line="480"/>
              <w:rPr>
                <w:color w:val="000000"/>
                <w:sz w:val="20"/>
                <w:szCs w:val="22"/>
              </w:rPr>
            </w:pPr>
            <w:r>
              <w:rPr>
                <w:color w:val="000000"/>
                <w:sz w:val="20"/>
                <w:szCs w:val="22"/>
              </w:rPr>
              <w:t>20.25</w:t>
            </w:r>
          </w:p>
        </w:tc>
        <w:tc>
          <w:tcPr>
            <w:tcW w:w="902" w:type="dxa"/>
            <w:tcBorders/>
            <w:hideMark/>
          </w:tcPr>
          <w:p>
            <w:pPr>
              <w:pStyle w:val="style0"/>
              <w:spacing w:lineRule="auto" w:line="480"/>
              <w:rPr>
                <w:color w:val="000000"/>
                <w:sz w:val="20"/>
                <w:szCs w:val="22"/>
              </w:rPr>
            </w:pPr>
            <w:r>
              <w:rPr>
                <w:color w:val="000000"/>
                <w:sz w:val="20"/>
                <w:szCs w:val="22"/>
              </w:rPr>
              <w:t>32.85</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4</w:t>
            </w:r>
          </w:p>
        </w:tc>
        <w:tc>
          <w:tcPr>
            <w:tcW w:w="1119" w:type="dxa"/>
            <w:tcBorders/>
            <w:hideMark/>
          </w:tcPr>
          <w:p>
            <w:pPr>
              <w:pStyle w:val="style0"/>
              <w:spacing w:lineRule="auto" w:line="480"/>
              <w:rPr>
                <w:color w:val="000000"/>
                <w:sz w:val="20"/>
                <w:szCs w:val="22"/>
              </w:rPr>
            </w:pPr>
            <w:r>
              <w:rPr>
                <w:color w:val="000000"/>
                <w:sz w:val="20"/>
                <w:szCs w:val="22"/>
              </w:rPr>
              <w:t xml:space="preserve"> Group 4 </w:t>
            </w:r>
          </w:p>
        </w:tc>
        <w:tc>
          <w:tcPr>
            <w:tcW w:w="830" w:type="dxa"/>
            <w:tcBorders/>
            <w:hideMark/>
          </w:tcPr>
          <w:p>
            <w:pPr>
              <w:pStyle w:val="style0"/>
              <w:spacing w:lineRule="auto" w:line="480"/>
              <w:rPr>
                <w:color w:val="000000"/>
                <w:sz w:val="20"/>
                <w:szCs w:val="22"/>
              </w:rPr>
            </w:pPr>
            <w:r>
              <w:rPr>
                <w:color w:val="000000"/>
                <w:sz w:val="20"/>
                <w:szCs w:val="22"/>
              </w:rPr>
              <w:t>10.33</w:t>
            </w:r>
          </w:p>
        </w:tc>
        <w:tc>
          <w:tcPr>
            <w:tcW w:w="673" w:type="dxa"/>
            <w:tcBorders/>
            <w:hideMark/>
          </w:tcPr>
          <w:p>
            <w:pPr>
              <w:pStyle w:val="style0"/>
              <w:spacing w:lineRule="auto" w:line="480"/>
              <w:rPr>
                <w:color w:val="000000"/>
                <w:sz w:val="20"/>
                <w:szCs w:val="22"/>
              </w:rPr>
            </w:pPr>
            <w:r>
              <w:rPr>
                <w:color w:val="000000"/>
                <w:sz w:val="20"/>
                <w:szCs w:val="22"/>
              </w:rPr>
              <w:t>32.66</w:t>
            </w:r>
          </w:p>
        </w:tc>
        <w:tc>
          <w:tcPr>
            <w:tcW w:w="1022" w:type="dxa"/>
            <w:tcBorders/>
            <w:hideMark/>
          </w:tcPr>
          <w:p>
            <w:pPr>
              <w:pStyle w:val="style0"/>
              <w:spacing w:lineRule="auto" w:line="480"/>
              <w:rPr>
                <w:color w:val="000000"/>
                <w:sz w:val="20"/>
                <w:szCs w:val="22"/>
              </w:rPr>
            </w:pPr>
            <w:r>
              <w:rPr>
                <w:color w:val="000000"/>
                <w:sz w:val="20"/>
                <w:szCs w:val="22"/>
              </w:rPr>
              <w:t>70.67</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6.00</w:t>
            </w:r>
          </w:p>
        </w:tc>
        <w:tc>
          <w:tcPr>
            <w:tcW w:w="709" w:type="dxa"/>
            <w:tcBorders/>
            <w:hideMark/>
          </w:tcPr>
          <w:p>
            <w:pPr>
              <w:pStyle w:val="style0"/>
              <w:spacing w:lineRule="auto" w:line="480"/>
              <w:rPr>
                <w:color w:val="000000"/>
                <w:sz w:val="20"/>
                <w:szCs w:val="22"/>
              </w:rPr>
            </w:pPr>
            <w:r>
              <w:rPr>
                <w:color w:val="000000"/>
                <w:sz w:val="20"/>
                <w:szCs w:val="22"/>
              </w:rPr>
              <w:t>12.10</w:t>
            </w:r>
          </w:p>
        </w:tc>
        <w:tc>
          <w:tcPr>
            <w:tcW w:w="661" w:type="dxa"/>
            <w:tcBorders/>
            <w:hideMark/>
          </w:tcPr>
          <w:p>
            <w:pPr>
              <w:pStyle w:val="style0"/>
              <w:spacing w:lineRule="auto" w:line="480"/>
              <w:rPr>
                <w:color w:val="000000"/>
                <w:sz w:val="20"/>
                <w:szCs w:val="22"/>
              </w:rPr>
            </w:pPr>
            <w:r>
              <w:rPr>
                <w:color w:val="000000"/>
                <w:sz w:val="20"/>
                <w:szCs w:val="22"/>
              </w:rPr>
              <w:t>36.67</w:t>
            </w:r>
          </w:p>
        </w:tc>
        <w:tc>
          <w:tcPr>
            <w:tcW w:w="733" w:type="dxa"/>
            <w:tcBorders/>
            <w:hideMark/>
          </w:tcPr>
          <w:p>
            <w:pPr>
              <w:pStyle w:val="style0"/>
              <w:spacing w:lineRule="auto" w:line="480"/>
              <w:rPr>
                <w:color w:val="000000"/>
                <w:sz w:val="20"/>
                <w:szCs w:val="22"/>
              </w:rPr>
            </w:pPr>
            <w:r>
              <w:rPr>
                <w:color w:val="000000"/>
                <w:sz w:val="20"/>
                <w:szCs w:val="22"/>
              </w:rPr>
              <w:t>61.17</w:t>
            </w:r>
          </w:p>
        </w:tc>
        <w:tc>
          <w:tcPr>
            <w:tcW w:w="745" w:type="dxa"/>
            <w:tcBorders/>
            <w:hideMark/>
          </w:tcPr>
          <w:p>
            <w:pPr>
              <w:pStyle w:val="style0"/>
              <w:spacing w:lineRule="auto" w:line="480"/>
              <w:rPr>
                <w:color w:val="000000"/>
                <w:sz w:val="20"/>
                <w:szCs w:val="22"/>
              </w:rPr>
            </w:pPr>
            <w:r>
              <w:rPr>
                <w:color w:val="000000"/>
                <w:sz w:val="20"/>
                <w:szCs w:val="22"/>
              </w:rPr>
              <w:t>20.13</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5</w:t>
            </w:r>
          </w:p>
        </w:tc>
        <w:tc>
          <w:tcPr>
            <w:tcW w:w="1119" w:type="dxa"/>
            <w:tcBorders/>
            <w:hideMark/>
          </w:tcPr>
          <w:p>
            <w:pPr>
              <w:pStyle w:val="style0"/>
              <w:spacing w:lineRule="auto" w:line="480"/>
              <w:rPr>
                <w:color w:val="000000"/>
                <w:sz w:val="20"/>
                <w:szCs w:val="22"/>
              </w:rPr>
            </w:pPr>
            <w:r>
              <w:rPr>
                <w:color w:val="000000"/>
                <w:sz w:val="20"/>
                <w:szCs w:val="22"/>
              </w:rPr>
              <w:t>Group 5</w:t>
            </w:r>
          </w:p>
        </w:tc>
        <w:tc>
          <w:tcPr>
            <w:tcW w:w="830" w:type="dxa"/>
            <w:tcBorders/>
            <w:hideMark/>
          </w:tcPr>
          <w:p>
            <w:pPr>
              <w:pStyle w:val="style0"/>
              <w:spacing w:lineRule="auto" w:line="480"/>
              <w:rPr>
                <w:color w:val="000000"/>
                <w:sz w:val="20"/>
                <w:szCs w:val="22"/>
              </w:rPr>
            </w:pPr>
            <w:r>
              <w:rPr>
                <w:color w:val="000000"/>
                <w:sz w:val="20"/>
                <w:szCs w:val="22"/>
              </w:rPr>
              <w:t>6.03</w:t>
            </w:r>
          </w:p>
        </w:tc>
        <w:tc>
          <w:tcPr>
            <w:tcW w:w="673" w:type="dxa"/>
            <w:tcBorders/>
            <w:hideMark/>
          </w:tcPr>
          <w:p>
            <w:pPr>
              <w:pStyle w:val="style0"/>
              <w:spacing w:lineRule="auto" w:line="480"/>
              <w:rPr>
                <w:color w:val="000000"/>
                <w:sz w:val="20"/>
                <w:szCs w:val="22"/>
              </w:rPr>
            </w:pPr>
            <w:r>
              <w:rPr>
                <w:color w:val="000000"/>
                <w:sz w:val="20"/>
                <w:szCs w:val="22"/>
              </w:rPr>
              <w:t>33.33</w:t>
            </w:r>
          </w:p>
        </w:tc>
        <w:tc>
          <w:tcPr>
            <w:tcW w:w="1022" w:type="dxa"/>
            <w:tcBorders/>
            <w:hideMark/>
          </w:tcPr>
          <w:p>
            <w:pPr>
              <w:pStyle w:val="style0"/>
              <w:spacing w:lineRule="auto" w:line="480"/>
              <w:rPr>
                <w:color w:val="000000"/>
                <w:sz w:val="20"/>
                <w:szCs w:val="22"/>
              </w:rPr>
            </w:pPr>
            <w:r>
              <w:rPr>
                <w:color w:val="000000"/>
                <w:sz w:val="20"/>
                <w:szCs w:val="22"/>
              </w:rPr>
              <w:t>66.66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5.57</w:t>
            </w:r>
          </w:p>
        </w:tc>
        <w:tc>
          <w:tcPr>
            <w:tcW w:w="709" w:type="dxa"/>
            <w:tcBorders/>
            <w:hideMark/>
          </w:tcPr>
          <w:p>
            <w:pPr>
              <w:pStyle w:val="style0"/>
              <w:spacing w:lineRule="auto" w:line="480"/>
              <w:rPr>
                <w:color w:val="000000"/>
                <w:sz w:val="20"/>
                <w:szCs w:val="22"/>
              </w:rPr>
            </w:pPr>
            <w:r>
              <w:rPr>
                <w:color w:val="000000"/>
                <w:sz w:val="20"/>
                <w:szCs w:val="22"/>
              </w:rPr>
              <w:t>11.33</w:t>
            </w:r>
          </w:p>
        </w:tc>
        <w:tc>
          <w:tcPr>
            <w:tcW w:w="661" w:type="dxa"/>
            <w:tcBorders/>
            <w:hideMark/>
          </w:tcPr>
          <w:p>
            <w:pPr>
              <w:pStyle w:val="style0"/>
              <w:spacing w:lineRule="auto" w:line="480"/>
              <w:rPr>
                <w:color w:val="000000"/>
                <w:sz w:val="20"/>
                <w:szCs w:val="22"/>
              </w:rPr>
            </w:pPr>
            <w:r>
              <w:rPr>
                <w:color w:val="000000"/>
                <w:sz w:val="20"/>
                <w:szCs w:val="22"/>
              </w:rPr>
              <w:t>34.00</w:t>
            </w:r>
          </w:p>
        </w:tc>
        <w:tc>
          <w:tcPr>
            <w:tcW w:w="733" w:type="dxa"/>
            <w:tcBorders/>
            <w:hideMark/>
          </w:tcPr>
          <w:p>
            <w:pPr>
              <w:pStyle w:val="style0"/>
              <w:spacing w:lineRule="auto" w:line="480"/>
              <w:rPr>
                <w:color w:val="000000"/>
                <w:sz w:val="20"/>
                <w:szCs w:val="22"/>
              </w:rPr>
            </w:pPr>
            <w:r>
              <w:rPr>
                <w:color w:val="000000"/>
                <w:sz w:val="20"/>
                <w:szCs w:val="22"/>
              </w:rPr>
              <w:t>61.00</w:t>
            </w:r>
          </w:p>
        </w:tc>
        <w:tc>
          <w:tcPr>
            <w:tcW w:w="745" w:type="dxa"/>
            <w:tcBorders/>
            <w:hideMark/>
          </w:tcPr>
          <w:p>
            <w:pPr>
              <w:pStyle w:val="style0"/>
              <w:spacing w:lineRule="auto" w:line="480"/>
              <w:rPr>
                <w:color w:val="000000"/>
                <w:sz w:val="20"/>
                <w:szCs w:val="22"/>
              </w:rPr>
            </w:pPr>
            <w:r>
              <w:rPr>
                <w:color w:val="000000"/>
                <w:sz w:val="20"/>
                <w:szCs w:val="22"/>
              </w:rPr>
              <w:t>20.33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6</w:t>
            </w:r>
          </w:p>
        </w:tc>
        <w:tc>
          <w:tcPr>
            <w:tcW w:w="1119" w:type="dxa"/>
            <w:tcBorders/>
            <w:hideMark/>
          </w:tcPr>
          <w:p>
            <w:pPr>
              <w:pStyle w:val="style0"/>
              <w:spacing w:lineRule="auto" w:line="480"/>
              <w:rPr>
                <w:color w:val="000000"/>
                <w:sz w:val="20"/>
                <w:szCs w:val="22"/>
              </w:rPr>
            </w:pPr>
            <w:r>
              <w:rPr>
                <w:color w:val="000000"/>
                <w:sz w:val="20"/>
                <w:szCs w:val="22"/>
              </w:rPr>
              <w:t xml:space="preserve"> Group 6</w:t>
            </w:r>
          </w:p>
        </w:tc>
        <w:tc>
          <w:tcPr>
            <w:tcW w:w="830" w:type="dxa"/>
            <w:tcBorders/>
            <w:hideMark/>
          </w:tcPr>
          <w:p>
            <w:pPr>
              <w:pStyle w:val="style0"/>
              <w:spacing w:lineRule="auto" w:line="480"/>
              <w:rPr>
                <w:color w:val="000000"/>
                <w:sz w:val="20"/>
                <w:szCs w:val="22"/>
              </w:rPr>
            </w:pPr>
            <w:r>
              <w:rPr>
                <w:color w:val="000000"/>
                <w:sz w:val="20"/>
                <w:szCs w:val="22"/>
              </w:rPr>
              <w:t>1.98</w:t>
            </w:r>
          </w:p>
        </w:tc>
        <w:tc>
          <w:tcPr>
            <w:tcW w:w="673" w:type="dxa"/>
            <w:tcBorders/>
            <w:hideMark/>
          </w:tcPr>
          <w:p>
            <w:pPr>
              <w:pStyle w:val="style0"/>
              <w:spacing w:lineRule="auto" w:line="480"/>
              <w:rPr>
                <w:color w:val="000000"/>
                <w:sz w:val="20"/>
                <w:szCs w:val="22"/>
              </w:rPr>
            </w:pPr>
            <w:r>
              <w:rPr>
                <w:color w:val="000000"/>
                <w:sz w:val="20"/>
                <w:szCs w:val="22"/>
              </w:rPr>
              <w:t>37</w:t>
            </w:r>
          </w:p>
        </w:tc>
        <w:tc>
          <w:tcPr>
            <w:tcW w:w="1022" w:type="dxa"/>
            <w:tcBorders/>
            <w:hideMark/>
          </w:tcPr>
          <w:p>
            <w:pPr>
              <w:pStyle w:val="style0"/>
              <w:spacing w:lineRule="auto" w:line="480"/>
              <w:rPr>
                <w:color w:val="000000"/>
                <w:sz w:val="20"/>
                <w:szCs w:val="22"/>
              </w:rPr>
            </w:pPr>
            <w:r>
              <w:rPr>
                <w:color w:val="000000"/>
                <w:sz w:val="20"/>
                <w:szCs w:val="22"/>
              </w:rPr>
              <w:t>62.33</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5.76</w:t>
            </w:r>
          </w:p>
        </w:tc>
        <w:tc>
          <w:tcPr>
            <w:tcW w:w="709" w:type="dxa"/>
            <w:tcBorders/>
            <w:hideMark/>
          </w:tcPr>
          <w:p>
            <w:pPr>
              <w:pStyle w:val="style0"/>
              <w:spacing w:lineRule="auto" w:line="480"/>
              <w:rPr>
                <w:color w:val="000000"/>
                <w:sz w:val="20"/>
                <w:szCs w:val="22"/>
              </w:rPr>
            </w:pPr>
            <w:r>
              <w:rPr>
                <w:color w:val="000000"/>
                <w:sz w:val="20"/>
                <w:szCs w:val="22"/>
              </w:rPr>
              <w:t>11.43</w:t>
            </w:r>
          </w:p>
        </w:tc>
        <w:tc>
          <w:tcPr>
            <w:tcW w:w="661" w:type="dxa"/>
            <w:tcBorders/>
            <w:hideMark/>
          </w:tcPr>
          <w:p>
            <w:pPr>
              <w:pStyle w:val="style0"/>
              <w:spacing w:lineRule="auto" w:line="480"/>
              <w:rPr>
                <w:color w:val="000000"/>
                <w:sz w:val="20"/>
                <w:szCs w:val="22"/>
              </w:rPr>
            </w:pPr>
            <w:r>
              <w:rPr>
                <w:color w:val="000000"/>
                <w:sz w:val="20"/>
                <w:szCs w:val="22"/>
              </w:rPr>
              <w:t>34.33</w:t>
            </w:r>
          </w:p>
        </w:tc>
        <w:tc>
          <w:tcPr>
            <w:tcW w:w="733" w:type="dxa"/>
            <w:tcBorders/>
            <w:hideMark/>
          </w:tcPr>
          <w:p>
            <w:pPr>
              <w:pStyle w:val="style0"/>
              <w:spacing w:lineRule="auto" w:line="480"/>
              <w:rPr>
                <w:color w:val="000000"/>
                <w:sz w:val="20"/>
                <w:szCs w:val="22"/>
              </w:rPr>
            </w:pPr>
            <w:r>
              <w:rPr>
                <w:color w:val="000000"/>
                <w:sz w:val="20"/>
                <w:szCs w:val="22"/>
              </w:rPr>
              <w:t>59.56</w:t>
            </w:r>
          </w:p>
        </w:tc>
        <w:tc>
          <w:tcPr>
            <w:tcW w:w="745" w:type="dxa"/>
            <w:tcBorders/>
            <w:hideMark/>
          </w:tcPr>
          <w:p>
            <w:pPr>
              <w:pStyle w:val="style0"/>
              <w:spacing w:lineRule="auto" w:line="480"/>
              <w:rPr>
                <w:color w:val="000000"/>
                <w:sz w:val="20"/>
                <w:szCs w:val="22"/>
              </w:rPr>
            </w:pPr>
            <w:r>
              <w:rPr>
                <w:color w:val="000000"/>
                <w:sz w:val="20"/>
                <w:szCs w:val="22"/>
              </w:rPr>
              <w:t>19.83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bottom w:val="single" w:sz="4" w:space="0" w:color="auto"/>
            </w:tcBorders>
            <w:hideMark/>
          </w:tcPr>
          <w:p>
            <w:pPr>
              <w:pStyle w:val="style0"/>
              <w:spacing w:lineRule="auto" w:line="480"/>
              <w:rPr>
                <w:color w:val="000000"/>
                <w:sz w:val="20"/>
                <w:szCs w:val="22"/>
              </w:rPr>
            </w:pPr>
            <w:r>
              <w:rPr>
                <w:color w:val="000000"/>
                <w:sz w:val="20"/>
                <w:szCs w:val="22"/>
              </w:rPr>
              <w:t>7</w:t>
            </w:r>
          </w:p>
        </w:tc>
        <w:tc>
          <w:tcPr>
            <w:tcW w:w="1119" w:type="dxa"/>
            <w:tcBorders>
              <w:bottom w:val="single" w:sz="4" w:space="0" w:color="auto"/>
            </w:tcBorders>
            <w:hideMark/>
          </w:tcPr>
          <w:p>
            <w:pPr>
              <w:pStyle w:val="style0"/>
              <w:spacing w:lineRule="auto" w:line="480"/>
              <w:rPr>
                <w:color w:val="000000"/>
                <w:sz w:val="20"/>
                <w:szCs w:val="22"/>
              </w:rPr>
            </w:pPr>
            <w:r>
              <w:rPr>
                <w:color w:val="000000"/>
                <w:sz w:val="20"/>
                <w:szCs w:val="22"/>
              </w:rPr>
              <w:t>Group 7</w:t>
            </w:r>
          </w:p>
        </w:tc>
        <w:tc>
          <w:tcPr>
            <w:tcW w:w="830" w:type="dxa"/>
            <w:tcBorders>
              <w:bottom w:val="single" w:sz="4" w:space="0" w:color="auto"/>
            </w:tcBorders>
            <w:hideMark/>
          </w:tcPr>
          <w:p>
            <w:pPr>
              <w:pStyle w:val="style0"/>
              <w:spacing w:lineRule="auto" w:line="480"/>
              <w:rPr>
                <w:color w:val="000000"/>
                <w:sz w:val="20"/>
                <w:szCs w:val="22"/>
              </w:rPr>
            </w:pPr>
            <w:r>
              <w:rPr>
                <w:color w:val="000000"/>
                <w:sz w:val="20"/>
                <w:szCs w:val="22"/>
              </w:rPr>
              <w:t>3.60</w:t>
            </w:r>
          </w:p>
        </w:tc>
        <w:tc>
          <w:tcPr>
            <w:tcW w:w="673" w:type="dxa"/>
            <w:tcBorders>
              <w:bottom w:val="single" w:sz="4" w:space="0" w:color="auto"/>
            </w:tcBorders>
            <w:hideMark/>
          </w:tcPr>
          <w:p>
            <w:pPr>
              <w:pStyle w:val="style0"/>
              <w:spacing w:lineRule="auto" w:line="480"/>
              <w:rPr>
                <w:color w:val="000000"/>
                <w:sz w:val="20"/>
                <w:szCs w:val="22"/>
              </w:rPr>
            </w:pPr>
            <w:r>
              <w:rPr>
                <w:color w:val="000000"/>
                <w:sz w:val="20"/>
                <w:szCs w:val="22"/>
              </w:rPr>
              <w:t>30</w:t>
            </w:r>
          </w:p>
        </w:tc>
        <w:tc>
          <w:tcPr>
            <w:tcW w:w="1022" w:type="dxa"/>
            <w:tcBorders>
              <w:bottom w:val="single" w:sz="4" w:space="0" w:color="auto"/>
            </w:tcBorders>
            <w:hideMark/>
          </w:tcPr>
          <w:p>
            <w:pPr>
              <w:pStyle w:val="style0"/>
              <w:spacing w:lineRule="auto" w:line="480"/>
              <w:rPr>
                <w:color w:val="000000"/>
                <w:sz w:val="20"/>
                <w:szCs w:val="22"/>
              </w:rPr>
            </w:pPr>
            <w:r>
              <w:rPr>
                <w:color w:val="000000"/>
                <w:sz w:val="20"/>
                <w:szCs w:val="22"/>
              </w:rPr>
              <w:t>70</w:t>
            </w:r>
          </w:p>
        </w:tc>
        <w:tc>
          <w:tcPr>
            <w:tcW w:w="649"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06"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99" w:type="dxa"/>
            <w:tcBorders>
              <w:bottom w:val="single" w:sz="4" w:space="0" w:color="auto"/>
            </w:tcBorders>
            <w:hideMark/>
          </w:tcPr>
          <w:p>
            <w:pPr>
              <w:pStyle w:val="style0"/>
              <w:spacing w:lineRule="auto" w:line="480"/>
              <w:rPr>
                <w:color w:val="000000"/>
                <w:sz w:val="20"/>
                <w:szCs w:val="22"/>
              </w:rPr>
            </w:pPr>
            <w:r>
              <w:rPr>
                <w:color w:val="000000"/>
                <w:sz w:val="20"/>
                <w:szCs w:val="22"/>
              </w:rPr>
              <w:t>5.65</w:t>
            </w:r>
          </w:p>
        </w:tc>
        <w:tc>
          <w:tcPr>
            <w:tcW w:w="709" w:type="dxa"/>
            <w:tcBorders>
              <w:bottom w:val="single" w:sz="4" w:space="0" w:color="auto"/>
            </w:tcBorders>
            <w:hideMark/>
          </w:tcPr>
          <w:p>
            <w:pPr>
              <w:pStyle w:val="style0"/>
              <w:spacing w:lineRule="auto" w:line="480"/>
              <w:rPr>
                <w:color w:val="000000"/>
                <w:sz w:val="20"/>
                <w:szCs w:val="22"/>
              </w:rPr>
            </w:pPr>
            <w:r>
              <w:rPr>
                <w:color w:val="000000"/>
                <w:sz w:val="20"/>
                <w:szCs w:val="22"/>
              </w:rPr>
              <w:t>11.20</w:t>
            </w:r>
          </w:p>
        </w:tc>
        <w:tc>
          <w:tcPr>
            <w:tcW w:w="661" w:type="dxa"/>
            <w:tcBorders>
              <w:bottom w:val="single" w:sz="4" w:space="0" w:color="auto"/>
            </w:tcBorders>
            <w:hideMark/>
          </w:tcPr>
          <w:p>
            <w:pPr>
              <w:pStyle w:val="style0"/>
              <w:spacing w:lineRule="auto" w:line="480"/>
              <w:rPr>
                <w:color w:val="000000"/>
                <w:sz w:val="20"/>
                <w:szCs w:val="22"/>
              </w:rPr>
            </w:pPr>
            <w:r>
              <w:rPr>
                <w:color w:val="000000"/>
                <w:sz w:val="20"/>
                <w:szCs w:val="22"/>
              </w:rPr>
              <w:t>32.50</w:t>
            </w:r>
          </w:p>
        </w:tc>
        <w:tc>
          <w:tcPr>
            <w:tcW w:w="733" w:type="dxa"/>
            <w:tcBorders>
              <w:bottom w:val="single" w:sz="4" w:space="0" w:color="auto"/>
            </w:tcBorders>
            <w:hideMark/>
          </w:tcPr>
          <w:p>
            <w:pPr>
              <w:pStyle w:val="style0"/>
              <w:spacing w:lineRule="auto" w:line="480"/>
              <w:rPr>
                <w:color w:val="000000"/>
                <w:sz w:val="20"/>
                <w:szCs w:val="22"/>
              </w:rPr>
            </w:pPr>
            <w:r>
              <w:rPr>
                <w:color w:val="000000"/>
                <w:sz w:val="20"/>
                <w:szCs w:val="22"/>
              </w:rPr>
              <w:t>57.55</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19.85</w:t>
            </w:r>
          </w:p>
        </w:tc>
        <w:tc>
          <w:tcPr>
            <w:tcW w:w="902" w:type="dxa"/>
            <w:tcBorders>
              <w:bottom w:val="single" w:sz="4" w:space="0" w:color="auto"/>
            </w:tcBorders>
            <w:hideMark/>
          </w:tcPr>
          <w:p>
            <w:pPr>
              <w:pStyle w:val="style0"/>
              <w:spacing w:lineRule="auto" w:line="480"/>
              <w:rPr>
                <w:color w:val="000000"/>
                <w:sz w:val="20"/>
                <w:szCs w:val="22"/>
              </w:rPr>
            </w:pPr>
            <w:r>
              <w:rPr>
                <w:color w:val="000000"/>
                <w:sz w:val="20"/>
                <w:szCs w:val="22"/>
              </w:rPr>
              <w:t>34.50</w:t>
            </w:r>
          </w:p>
        </w:tc>
      </w:tr>
    </w:tbl>
    <w:p>
      <w:pPr>
        <w:pStyle w:val="style0"/>
        <w:spacing w:after="0" w:lineRule="auto" w:line="480"/>
        <w:rPr>
          <w:b/>
          <w:color w:val="000000"/>
          <w:sz w:val="24"/>
          <w:szCs w:val="26"/>
        </w:rPr>
      </w:pPr>
    </w:p>
    <w:p>
      <w:pPr>
        <w:pStyle w:val="style0"/>
        <w:spacing w:after="0" w:lineRule="auto" w:line="480"/>
        <w:rPr>
          <w:bCs/>
          <w:color w:val="000000"/>
          <w:sz w:val="24"/>
          <w:szCs w:val="26"/>
        </w:rPr>
      </w:pPr>
      <w:r>
        <w:rPr>
          <w:b/>
          <w:color w:val="000000"/>
          <w:sz w:val="24"/>
          <w:szCs w:val="26"/>
        </w:rPr>
        <w:t xml:space="preserve">Keys: </w:t>
      </w:r>
      <w:r>
        <w:rPr>
          <w:bCs/>
          <w:color w:val="000000"/>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pPr>
        <w:pStyle w:val="style0"/>
        <w:rPr>
          <w:color w:val="000000"/>
          <w:sz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94"/>
        <w:spacing w:lineRule="auto" w:line="480"/>
        <w:jc w:val="center"/>
        <w:rPr>
          <w:b/>
          <w:color w:val="000000"/>
          <w:szCs w:val="26"/>
        </w:rPr>
      </w:pPr>
      <w:r>
        <w:rPr>
          <w:b/>
          <w:color w:val="000000"/>
          <w:szCs w:val="26"/>
        </w:rPr>
        <w:t>CHAPTER FIVE</w:t>
      </w:r>
    </w:p>
    <w:p>
      <w:pPr>
        <w:pStyle w:val="style94"/>
        <w:spacing w:lineRule="auto" w:line="480"/>
        <w:rPr>
          <w:b/>
          <w:color w:val="000000"/>
          <w:szCs w:val="26"/>
        </w:rPr>
      </w:pPr>
      <w:r>
        <w:rPr>
          <w:b/>
          <w:color w:val="000000"/>
          <w:szCs w:val="26"/>
        </w:rPr>
        <w:t>5.0 DISCUSSION</w:t>
      </w:r>
    </w:p>
    <w:p>
      <w:pPr>
        <w:pStyle w:val="style94"/>
        <w:spacing w:lineRule="auto" w:line="480"/>
        <w:ind w:firstLine="720"/>
        <w:rPr>
          <w:b/>
          <w:color w:val="000000"/>
          <w:szCs w:val="26"/>
        </w:rPr>
      </w:pPr>
      <w:r>
        <w:rPr>
          <w:color w:val="000000"/>
          <w:szCs w:val="26"/>
        </w:rPr>
        <w:t xml:space="preserve">The present study investigated the physiological, nutritional, hematological, and phytochemical impacts of </w:t>
      </w:r>
      <w:r>
        <w:rPr>
          <w:rStyle w:val="style88"/>
          <w:color w:val="000000"/>
          <w:szCs w:val="26"/>
        </w:rPr>
        <w:t>Sida acuta</w:t>
      </w:r>
      <w:r>
        <w:rPr>
          <w:color w:val="000000"/>
          <w:szCs w:val="26"/>
        </w:rPr>
        <w:t xml:space="preserve"> extracts, with results demonstrating both consistency and reinforcement of earlier findings reported in similar research.</w:t>
      </w:r>
    </w:p>
    <w:p>
      <w:pPr>
        <w:pStyle w:val="style94"/>
        <w:spacing w:lineRule="auto" w:line="480"/>
        <w:rPr>
          <w:b/>
          <w:color w:val="000000"/>
          <w:szCs w:val="26"/>
        </w:rPr>
      </w:pPr>
      <w:r>
        <w:rPr>
          <w:b/>
          <w:color w:val="000000"/>
          <w:szCs w:val="26"/>
        </w:rPr>
        <w:t>5.1 Body Weight Gain in Experimental Animals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potentially leads to metabolic stress or suppressed appetite at high concentrations.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The proximate composition revealed high levels of crude protein (13.56%–13.78%) and dietary fiber (27.52%–29.22%), moderate carbohydrate levels (30.68%–</w:t>
      </w:r>
      <w:r>
        <w:rPr>
          <w:rFonts w:eastAsia="Times New Roman"/>
          <w:color w:val="000000"/>
          <w:sz w:val="24"/>
          <w:szCs w:val="26"/>
        </w:rPr>
        <w:t xml:space="preserve">31.64%), and relatively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 xml:space="preserve">5.2 Phytochemical </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Pr>
          <w:rFonts w:eastAsia="Times New Roman"/>
          <w:bCs/>
          <w:i/>
          <w:color w:val="000000"/>
          <w:sz w:val="24"/>
          <w:szCs w:val="26"/>
        </w:rPr>
        <w:t>et al</w:t>
      </w:r>
      <w:r>
        <w:rPr>
          <w:rFonts w:eastAsia="Times New Roman"/>
          <w:bCs/>
          <w:color w:val="000000"/>
          <w:sz w:val="24"/>
          <w:szCs w:val="26"/>
        </w:rPr>
        <w:t xml:space="preserve">., 2019). Present of saponins in the sample and implies that the extracts can be useful in soap industry as well as antimicrobial agents. </w:t>
      </w:r>
      <w:r>
        <w:rPr>
          <w:rFonts w:eastAsia="Times New Roman"/>
          <w:bCs/>
          <w:color w:val="000000"/>
          <w:sz w:val="24"/>
          <w:szCs w:val="26"/>
        </w:rPr>
        <w:t>They are used by plants for their growths, aroma of oils and defense against microorganisms.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Tannins </w:t>
      </w:r>
      <w:r>
        <w:rPr>
          <w:rFonts w:eastAsia="Times New Roman"/>
          <w:bCs/>
          <w:color w:val="000000"/>
          <w:sz w:val="24"/>
          <w:szCs w:val="26"/>
        </w:rPr>
        <w:t>was</w:t>
      </w:r>
      <w:r>
        <w:rPr>
          <w:rFonts w:eastAsia="Times New Roman"/>
          <w:bCs/>
          <w:color w:val="000000"/>
          <w:sz w:val="24"/>
          <w:szCs w:val="26"/>
        </w:rPr>
        <w:t xml:space="preserve"> found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2019). The presence of tannins reveals that the extracts exhibit medicinal properties and can be useful for pharmacological purposes.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et 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5.3 Proximate Analysis</w:t>
      </w:r>
    </w:p>
    <w:p>
      <w:pPr>
        <w:pStyle w:val="style0"/>
        <w:spacing w:before="100" w:beforeAutospacing="true" w:after="100" w:afterAutospacing="true" w:lineRule="auto" w:line="480"/>
        <w:ind w:firstLine="720"/>
        <w:jc w:val="both"/>
        <w:rPr>
          <w:color w:val="000000"/>
          <w:sz w:val="24"/>
          <w:szCs w:val="26"/>
        </w:rPr>
      </w:pPr>
      <w:r>
        <w:rPr>
          <w:color w:val="000000"/>
          <w:sz w:val="24"/>
          <w:szCs w:val="26"/>
        </w:rPr>
        <w:t xml:space="preserve">The proximate analysis revealed that </w:t>
      </w:r>
      <w:r>
        <w:rPr>
          <w:color w:val="000000"/>
          <w:sz w:val="24"/>
          <w:szCs w:val="26"/>
        </w:rPr>
        <w:t>sample</w:t>
      </w:r>
      <w:r>
        <w:rPr>
          <w:color w:val="000000"/>
          <w:sz w:val="24"/>
          <w:szCs w:val="26"/>
        </w:rPr>
        <w:t xml:space="preserve"> of </w:t>
      </w:r>
      <w:r>
        <w:rPr>
          <w:rStyle w:val="style88"/>
          <w:color w:val="000000"/>
          <w:sz w:val="24"/>
          <w:szCs w:val="26"/>
        </w:rPr>
        <w:t>Sida acuta</w:t>
      </w:r>
      <w:r>
        <w:rPr>
          <w:color w:val="000000"/>
          <w:sz w:val="24"/>
          <w:szCs w:val="26"/>
        </w:rPr>
        <w:t xml:space="preserve"> is</w:t>
      </w:r>
      <w:r>
        <w:rPr>
          <w:color w:val="000000"/>
          <w:sz w:val="24"/>
          <w:szCs w:val="26"/>
        </w:rPr>
        <w:t xml:space="preserve"> rich in macronutrients,</w:t>
      </w:r>
      <w:r>
        <w:rPr>
          <w:color w:val="000000"/>
          <w:sz w:val="24"/>
          <w:szCs w:val="26"/>
        </w:rPr>
        <w:t xml:space="preserve"> </w:t>
      </w:r>
      <w:r>
        <w:rPr>
          <w:rStyle w:val="style88"/>
          <w:color w:val="000000"/>
          <w:sz w:val="24"/>
          <w:szCs w:val="26"/>
        </w:rPr>
        <w:t>Sida acuta</w:t>
      </w:r>
      <w:r>
        <w:rPr>
          <w:color w:val="000000"/>
          <w:sz w:val="24"/>
          <w:szCs w:val="26"/>
        </w:rPr>
        <w:t xml:space="preserve"> particularly crude protein, making them suitable </w:t>
      </w:r>
      <w:r>
        <w:rPr>
          <w:color w:val="000000"/>
          <w:sz w:val="24"/>
          <w:szCs w:val="26"/>
        </w:rPr>
        <w:t xml:space="preserve">for nutritional applications. </w:t>
      </w:r>
      <w:r>
        <w:rPr>
          <w:color w:val="000000"/>
          <w:sz w:val="24"/>
          <w:szCs w:val="26"/>
        </w:rPr>
        <w:t xml:space="preserve"> </w:t>
      </w:r>
      <w:r>
        <w:rPr>
          <w:color w:val="000000"/>
          <w:sz w:val="24"/>
          <w:szCs w:val="26"/>
        </w:rPr>
        <w:t>exhibited</w:t>
      </w:r>
      <w:r>
        <w:rPr>
          <w:color w:val="000000"/>
          <w:sz w:val="24"/>
          <w:szCs w:val="26"/>
        </w:rPr>
        <w:t xml:space="preserve"> slightly</w:t>
      </w:r>
      <w:r>
        <w:rPr>
          <w:color w:val="000000"/>
          <w:sz w:val="24"/>
          <w:szCs w:val="26"/>
        </w:rPr>
        <w:t xml:space="preserve"> higher protein contents</w:t>
      </w:r>
      <w:r>
        <w:rPr>
          <w:color w:val="000000"/>
          <w:sz w:val="24"/>
          <w:szCs w:val="26"/>
        </w:rPr>
        <w:t>, suggesting better suitability for energy and protein supplementation. The moderate crude lipid content indicates a low-fat profile, which may be beneficial for individuals on low-fat diets. High crude</w:t>
      </w:r>
      <w:r>
        <w:rPr>
          <w:color w:val="000000"/>
          <w:sz w:val="24"/>
          <w:szCs w:val="26"/>
        </w:rPr>
        <w:t xml:space="preserve"> fiber content, especially in </w:t>
      </w:r>
      <w:r>
        <w:rPr>
          <w:rStyle w:val="style88"/>
          <w:color w:val="000000"/>
          <w:sz w:val="24"/>
          <w:szCs w:val="26"/>
        </w:rPr>
        <w:t>Sida acuta</w:t>
      </w:r>
      <w:r>
        <w:rPr>
          <w:color w:val="000000"/>
          <w:sz w:val="24"/>
          <w:szCs w:val="26"/>
        </w:rPr>
        <w:t xml:space="preserve">, highlights the potential of </w:t>
      </w:r>
      <w:r>
        <w:rPr>
          <w:rStyle w:val="style88"/>
          <w:color w:val="000000"/>
          <w:sz w:val="24"/>
          <w:szCs w:val="26"/>
        </w:rPr>
        <w:t>Sida acuta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and was found to have highest </w:t>
      </w:r>
      <w:r>
        <w:rPr>
          <w:rFonts w:eastAsia="Times New Roman"/>
          <w:color w:val="000000"/>
          <w:sz w:val="24"/>
          <w:szCs w:val="26"/>
        </w:rPr>
        <w:t>moisture content</w:t>
      </w:r>
      <w:r>
        <w:rPr>
          <w:rFonts w:eastAsia="Times New Roman"/>
          <w:color w:val="000000"/>
          <w:sz w:val="24"/>
          <w:szCs w:val="26"/>
        </w:rPr>
        <w:t xml:space="preserve">.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w:t>
      </w:r>
      <w:r>
        <w:rPr>
          <w:rFonts w:eastAsia="Times New Roman"/>
          <w:color w:val="000000"/>
          <w:sz w:val="24"/>
          <w:szCs w:val="26"/>
        </w:rPr>
        <w:t xml:space="preserve">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Pr>
          <w:rFonts w:eastAsia="Times New Roman"/>
          <w:color w:val="000000"/>
          <w:sz w:val="24"/>
          <w:szCs w:val="26"/>
        </w:rPr>
        <w:t xml:space="preserve"> </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contained 13.56% crude protein.</w:t>
      </w:r>
      <w:r>
        <w:rPr>
          <w:rFonts w:eastAsia="Times New Roman"/>
          <w:color w:val="000000"/>
          <w:sz w:val="24"/>
          <w:szCs w:val="26"/>
        </w:rPr>
        <w:t xml:space="preserve">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The lipid contents of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was 7.14%</w:t>
      </w:r>
      <w:r>
        <w:rPr>
          <w:rFonts w:eastAsia="Times New Roman"/>
          <w:color w:val="000000"/>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obesity or cardiovascular risk.</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 xml:space="preserve">recorded 11.39%, </w:t>
      </w:r>
      <w:r>
        <w:rPr>
          <w:rFonts w:eastAsia="Times New Roman"/>
          <w:color w:val="000000"/>
          <w:sz w:val="24"/>
          <w:szCs w:val="26"/>
        </w:rPr>
        <w:t xml:space="preserve">respectively. These values indicate high inorganic matter, pointing to rich mineral content such as calcium, potassium, and magnesium.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w:t>
      </w:r>
      <w:r>
        <w:rPr>
          <w:rFonts w:eastAsia="Times New Roman"/>
          <w:color w:val="000000"/>
          <w:sz w:val="24"/>
          <w:szCs w:val="26"/>
        </w:rPr>
        <w:t>of the plant. This makes the plant highly beneficial in addressing micronutrient deficiencies.</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Fibre content was significant </w:t>
      </w:r>
      <w:r>
        <w:rPr>
          <w:rFonts w:eastAsia="Times New Roman"/>
          <w:color w:val="000000"/>
          <w:sz w:val="24"/>
          <w:szCs w:val="26"/>
        </w:rPr>
        <w:t xml:space="preserve">lower at 27.52%.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promoting gastrointestinal health and satiety in both humans and animals.</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5.4 Hematological Findings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cs="Cambria Math" w:eastAsia="Times New Roman" w:hAnsi="Cambria Math"/>
          <w:color w:val="000000"/>
          <w:sz w:val="24"/>
          <w:szCs w:val="26"/>
        </w:rPr>
        <w:t>⁹</w:t>
      </w:r>
      <w:r>
        <w:rPr>
          <w:rFonts w:eastAsia="Times New Roman"/>
          <w:color w:val="000000"/>
          <w:sz w:val="24"/>
          <w:szCs w:val="26"/>
        </w:rPr>
        <w:t>/L) and lowest in Group 6 (1.98 × 10</w:t>
      </w:r>
      <w:r>
        <w:rPr>
          <w:rFonts w:ascii="Cambria Math" w:cs="Cambria Math" w:eastAsia="Times New Roman" w:hAnsi="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Pr>
          <w:rFonts w:eastAsia="Times New Roman"/>
          <w:color w:val="000000"/>
          <w:sz w:val="24"/>
          <w:szCs w:val="26"/>
        </w:rPr>
        <w:t xml:space="preserve">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manage conditions like anemia at appropriate doses.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5.5 Mineral Contents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pPr>
        <w:pStyle w:val="style94"/>
        <w:spacing w:lineRule="auto" w:line="480"/>
        <w:jc w:val="both"/>
        <w:rPr>
          <w:color w:val="000000"/>
          <w:szCs w:val="26"/>
        </w:rPr>
      </w:pPr>
      <w:r>
        <w:rPr>
          <w:b/>
          <w:color w:val="000000"/>
          <w:szCs w:val="26"/>
        </w:rPr>
        <w:t>5.6</w:t>
      </w:r>
      <w:r>
        <w:rPr>
          <w:color w:val="000000"/>
          <w:szCs w:val="26"/>
        </w:rPr>
        <w:tab/>
      </w:r>
      <w:r>
        <w:rPr>
          <w:rStyle w:val="style87"/>
          <w:color w:val="000000"/>
          <w:szCs w:val="26"/>
        </w:rPr>
        <w:t>Ulcerated</w:t>
      </w:r>
      <w:r>
        <w:rPr>
          <w:rStyle w:val="style87"/>
          <w:color w:val="000000"/>
          <w:szCs w:val="26"/>
        </w:rPr>
        <w:tab/>
      </w:r>
      <w:r>
        <w:rPr>
          <w:rStyle w:val="style87"/>
          <w:color w:val="000000"/>
          <w:szCs w:val="26"/>
        </w:rPr>
        <w:t>Area</w:t>
      </w:r>
      <w:r>
        <w:rPr>
          <w:color w:val="000000"/>
          <w:szCs w:val="26"/>
        </w:rPr>
        <w:br/>
      </w:r>
      <w:r>
        <w:rPr>
          <w:color w:val="000000"/>
          <w:szCs w:val="26"/>
        </w:rPr>
        <w:t xml:space="preserve">Measurement of ulcerated regions revealed a clear distinction between groups in terms of mucosal damage. Group 4 exhibited the largest ulcerated areas, with lengths ranging from </w:t>
      </w:r>
      <w:r>
        <w:rPr>
          <w:color w:val="000000"/>
          <w:szCs w:val="26"/>
        </w:rPr>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pPr>
        <w:pStyle w:val="style94"/>
        <w:spacing w:lineRule="auto" w:line="480"/>
        <w:rPr>
          <w:b/>
          <w:bCs/>
          <w:color w:val="000000"/>
          <w:szCs w:val="26"/>
        </w:rPr>
      </w:pPr>
      <w:r>
        <w:rPr>
          <w:rStyle w:val="style87"/>
          <w:color w:val="000000"/>
          <w:szCs w:val="26"/>
        </w:rPr>
        <w:t xml:space="preserve">5.7 Stomach Area </w:t>
      </w:r>
      <w:r>
        <w:rPr>
          <w:color w:val="000000"/>
          <w:szCs w:val="26"/>
        </w:rPr>
        <w:br/>
      </w:r>
      <w:r>
        <w:rPr>
          <w:color w:val="000000"/>
          <w:szCs w:val="26"/>
        </w:rP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pPr>
        <w:pStyle w:val="style94"/>
        <w:spacing w:lineRule="auto" w:line="480"/>
        <w:rPr>
          <w:b/>
          <w:bCs/>
          <w:color w:val="000000"/>
          <w:szCs w:val="26"/>
        </w:rPr>
      </w:pPr>
      <w:r>
        <w:rPr>
          <w:rStyle w:val="style87"/>
          <w:color w:val="000000"/>
          <w:szCs w:val="26"/>
        </w:rPr>
        <w:t xml:space="preserve">5.8 Total Tannin Content </w:t>
      </w:r>
      <w:r>
        <w:rPr>
          <w:color w:val="000000"/>
          <w:szCs w:val="26"/>
        </w:rPr>
        <w:br/>
      </w:r>
      <w:r>
        <w:rPr>
          <w:color w:val="000000"/>
          <w:szCs w:val="26"/>
        </w:rP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Pr>
          <w:color w:val="000000"/>
          <w:szCs w:val="26"/>
        </w:rPr>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pPr>
        <w:pStyle w:val="style0"/>
        <w:spacing w:before="100" w:beforeAutospacing="true" w:after="100" w:afterAutospacing="true" w:lineRule="auto" w:line="480"/>
        <w:rPr>
          <w:rFonts w:eastAsia="Times New Roman"/>
          <w:color w:val="000000"/>
          <w:sz w:val="24"/>
          <w:szCs w:val="26"/>
        </w:rPr>
      </w:pPr>
    </w:p>
    <w:p>
      <w:pPr>
        <w:pStyle w:val="style0"/>
        <w:spacing w:before="100" w:beforeAutospacing="true" w:after="100" w:afterAutospacing="true"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94"/>
        <w:rPr>
          <w:b/>
          <w:color w:val="000000"/>
          <w:sz w:val="22"/>
        </w:rPr>
      </w:pPr>
      <w:r>
        <w:rPr>
          <w:b/>
          <w:color w:val="000000"/>
          <w:sz w:val="22"/>
        </w:rPr>
        <w:t>CONCLUSION</w:t>
      </w:r>
    </w:p>
    <w:p>
      <w:pPr>
        <w:pStyle w:val="style94"/>
        <w:spacing w:lineRule="auto" w:line="480"/>
        <w:ind w:firstLine="720"/>
        <w:jc w:val="both"/>
        <w:rPr>
          <w:color w:val="000000"/>
          <w:szCs w:val="26"/>
        </w:rPr>
      </w:pPr>
      <w:r>
        <w:rPr>
          <w:color w:val="000000"/>
          <w:szCs w:val="26"/>
        </w:rPr>
        <w:t xml:space="preserve">The present study comprehensively evaluated the </w:t>
      </w:r>
      <w:r>
        <w:rPr>
          <w:rStyle w:val="style87"/>
          <w:b w:val="false"/>
          <w:color w:val="000000"/>
          <w:szCs w:val="26"/>
        </w:rPr>
        <w:t>physiological, nutritional, hematological, and phytochemical impacts</w:t>
      </w:r>
      <w:r>
        <w:rPr>
          <w:b/>
          <w:color w:val="000000"/>
          <w:szCs w:val="26"/>
        </w:rPr>
        <w:t xml:space="preserve"> </w:t>
      </w:r>
      <w:r>
        <w:rPr>
          <w:color w:val="000000"/>
          <w:szCs w:val="26"/>
        </w:rPr>
        <w:t xml:space="preserve">of </w:t>
      </w:r>
      <w:r>
        <w:rPr>
          <w:rStyle w:val="style88"/>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pPr>
        <w:pStyle w:val="style94"/>
        <w:spacing w:lineRule="auto" w:line="480"/>
        <w:jc w:val="both"/>
        <w:rPr>
          <w:color w:val="000000"/>
          <w:szCs w:val="26"/>
        </w:rPr>
      </w:pPr>
      <w:r>
        <w:rPr>
          <w:color w:val="000000"/>
          <w:szCs w:val="26"/>
        </w:rPr>
        <w:t xml:space="preserve">The </w:t>
      </w:r>
      <w:r>
        <w:rPr>
          <w:rStyle w:val="style87"/>
          <w:b w:val="false"/>
          <w:color w:val="000000"/>
          <w:szCs w:val="26"/>
        </w:rPr>
        <w:t>weight gain analysis</w:t>
      </w:r>
      <w:r>
        <w:rPr>
          <w:color w:val="000000"/>
          <w:szCs w:val="26"/>
        </w:rPr>
        <w:t xml:space="preserve"> demonstrated that </w:t>
      </w:r>
      <w:r>
        <w:rPr>
          <w:rStyle w:val="style88"/>
          <w:color w:val="000000"/>
          <w:szCs w:val="26"/>
        </w:rPr>
        <w:t>Sida acuta</w:t>
      </w:r>
      <w:r>
        <w:rPr>
          <w:color w:val="000000"/>
          <w:szCs w:val="26"/>
        </w:rPr>
        <w:t xml:space="preserve"> supports body mass increase, particularly at moderate dosages, echoing the conclusions that Groups 1, 4, and 6 showing significant </w:t>
      </w:r>
      <w:r>
        <w:rPr>
          <w:color w:val="000000"/>
          <w:szCs w:val="26"/>
        </w:rPr>
        <w:t xml:space="preserve">weight </w:t>
      </w:r>
      <w:r>
        <w:rPr>
          <w:color w:val="000000"/>
          <w:szCs w:val="26"/>
        </w:rPr>
        <w:t>gain</w:t>
      </w:r>
      <w:r>
        <w:rPr>
          <w:color w:val="000000"/>
          <w:szCs w:val="26"/>
        </w:rPr>
        <w:t>.</w:t>
      </w:r>
      <w:r>
        <w:rPr>
          <w:color w:val="000000"/>
          <w:szCs w:val="26"/>
        </w:rPr>
        <w:t xml:space="preserve"> </w:t>
      </w:r>
      <w:r>
        <w:rPr>
          <w:color w:val="000000"/>
          <w:szCs w:val="26"/>
        </w:rPr>
        <w:t xml:space="preserve">The </w:t>
      </w:r>
      <w:r>
        <w:rPr>
          <w:rStyle w:val="style87"/>
          <w:b w:val="false"/>
          <w:color w:val="000000"/>
          <w:szCs w:val="26"/>
        </w:rPr>
        <w:t>proximate analysis</w:t>
      </w:r>
      <w:r>
        <w:rPr>
          <w:color w:val="000000"/>
          <w:szCs w:val="26"/>
        </w:rPr>
        <w:t xml:space="preserve"> confirmed that </w:t>
      </w:r>
      <w:r>
        <w:rPr>
          <w:rStyle w:val="style88"/>
          <w:color w:val="000000"/>
          <w:szCs w:val="26"/>
        </w:rPr>
        <w:t>Sida acuta</w:t>
      </w:r>
      <w:r>
        <w:rPr>
          <w:color w:val="000000"/>
          <w:szCs w:val="26"/>
        </w:rPr>
        <w:t xml:space="preserve"> is a rich source o</w:t>
      </w:r>
      <w:r>
        <w:rPr>
          <w:color w:val="000000"/>
          <w:szCs w:val="26"/>
        </w:rPr>
        <w:t xml:space="preserve">f crude protein. </w:t>
      </w:r>
      <w:r>
        <w:rPr>
          <w:color w:val="000000"/>
          <w:szCs w:val="26"/>
        </w:rPr>
        <w:t xml:space="preserve">The </w:t>
      </w:r>
      <w:r>
        <w:rPr>
          <w:rStyle w:val="style87"/>
          <w:b w:val="false"/>
          <w:color w:val="000000"/>
          <w:szCs w:val="26"/>
        </w:rPr>
        <w:t>phytochemical screening</w:t>
      </w:r>
      <w:r>
        <w:rPr>
          <w:color w:val="000000"/>
          <w:szCs w:val="26"/>
        </w:rPr>
        <w:t xml:space="preserve"> further validated the presenc</w:t>
      </w:r>
      <w:r>
        <w:rPr>
          <w:color w:val="000000"/>
          <w:szCs w:val="26"/>
        </w:rPr>
        <w:t xml:space="preserve">e of potent bioactive compounds </w:t>
      </w:r>
      <w:r>
        <w:rPr>
          <w:color w:val="000000"/>
          <w:szCs w:val="26"/>
        </w:rPr>
        <w:t>saponins, tannins, flav</w:t>
      </w:r>
      <w:r>
        <w:rPr>
          <w:color w:val="000000"/>
          <w:szCs w:val="26"/>
        </w:rPr>
        <w:t xml:space="preserve">onoids, phenols, and glycosides </w:t>
      </w:r>
      <w:r>
        <w:rPr>
          <w:color w:val="000000"/>
          <w:szCs w:val="26"/>
        </w:rPr>
        <w:t xml:space="preserve">known for their </w:t>
      </w:r>
      <w:r>
        <w:rPr>
          <w:rStyle w:val="style87"/>
          <w:b w:val="false"/>
          <w:color w:val="000000"/>
          <w:szCs w:val="26"/>
        </w:rPr>
        <w:t>antioxidant, antimicrobial, anti-inflammatory, and cardioprotective</w:t>
      </w:r>
      <w:r>
        <w:rPr>
          <w:color w:val="000000"/>
          <w:szCs w:val="26"/>
        </w:rPr>
        <w:t xml:space="preserve"> properties. From a </w:t>
      </w:r>
      <w:r>
        <w:rPr>
          <w:rStyle w:val="style87"/>
          <w:b w:val="false"/>
          <w:color w:val="000000"/>
          <w:szCs w:val="26"/>
        </w:rPr>
        <w:t>hematological standpoint</w:t>
      </w:r>
      <w:r>
        <w:rPr>
          <w:color w:val="000000"/>
          <w:szCs w:val="26"/>
        </w:rPr>
        <w:t xml:space="preserve">, the extract positively influenced red blood cell production, hemoglobin concentration, and packed cell volume, particularly at moderate doses (Groups 2 and 4). These effects suggest </w:t>
      </w:r>
      <w:r>
        <w:rPr>
          <w:rStyle w:val="style88"/>
          <w:color w:val="000000"/>
          <w:szCs w:val="26"/>
        </w:rPr>
        <w:t>Sida acuta’s</w:t>
      </w:r>
      <w:r>
        <w:rPr>
          <w:color w:val="000000"/>
          <w:szCs w:val="26"/>
        </w:rPr>
        <w:t xml:space="preserve"> role in supporting erythropoiesis and managing conditions like anemia</w:t>
      </w:r>
      <w:r>
        <w:rPr>
          <w:color w:val="000000"/>
          <w:szCs w:val="26"/>
        </w:rPr>
        <w:t xml:space="preserve">. </w:t>
      </w:r>
      <w:r>
        <w:rPr>
          <w:color w:val="000000"/>
          <w:szCs w:val="26"/>
        </w:rPr>
        <w:t xml:space="preserve">The </w:t>
      </w:r>
      <w:r>
        <w:rPr>
          <w:rStyle w:val="style87"/>
          <w:b w:val="false"/>
          <w:color w:val="000000"/>
          <w:szCs w:val="26"/>
        </w:rPr>
        <w:t>mineral composition</w:t>
      </w:r>
      <w:r>
        <w:rPr>
          <w:color w:val="000000"/>
          <w:szCs w:val="26"/>
        </w:rPr>
        <w:t xml:space="preserve"> of </w:t>
      </w:r>
      <w:r>
        <w:rPr>
          <w:rStyle w:val="style88"/>
          <w:color w:val="000000"/>
          <w:szCs w:val="26"/>
        </w:rPr>
        <w:t>Sida acuta</w:t>
      </w:r>
      <w:r>
        <w:rPr>
          <w:color w:val="000000"/>
          <w:szCs w:val="26"/>
        </w:rPr>
        <w:t xml:space="preserve"> (Fe, Cu, Zn, K, Mg, </w:t>
      </w:r>
      <w:r>
        <w:rPr>
          <w:color w:val="000000"/>
          <w:szCs w:val="26"/>
        </w:rPr>
        <w:t>Ca</w:t>
      </w:r>
      <w:r>
        <w:rPr>
          <w:color w:val="000000"/>
          <w:szCs w:val="26"/>
        </w:rPr>
        <w:t xml:space="preserve">) further adds to its nutritional value, supporting metabolic functions, hematopoiesis, and cardiovascular health. </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r>
        <w:rPr>
          <w:b/>
          <w:color w:val="000000"/>
          <w:szCs w:val="26"/>
        </w:rPr>
        <w:t>RECOMMENDATION</w:t>
      </w:r>
      <w:r>
        <w:rPr>
          <w:b/>
          <w:color w:val="000000"/>
          <w:szCs w:val="26"/>
        </w:rPr>
        <w:t xml:space="preserve"> </w:t>
      </w:r>
      <w:r>
        <w:rPr>
          <w:rStyle w:val="style87"/>
          <w:bCs w:val="false"/>
          <w:color w:val="000000"/>
          <w:sz w:val="22"/>
        </w:rPr>
        <w:t>FUTURE RESEARCHERS</w:t>
      </w:r>
    </w:p>
    <w:p>
      <w:pPr>
        <w:pStyle w:val="style94"/>
        <w:spacing w:lineRule="auto" w:line="480"/>
        <w:ind w:firstLine="360"/>
        <w:jc w:val="both"/>
        <w:rPr>
          <w:color w:val="000000"/>
        </w:rPr>
      </w:pPr>
      <w:r>
        <w:rPr>
          <w:color w:val="000000"/>
        </w:rPr>
        <w:t xml:space="preserve">In view of the comprehensive findings from this study on the physiological, nutritional, hematological, and phytochemical impacts of </w:t>
      </w:r>
      <w:r>
        <w:rPr>
          <w:rStyle w:val="style88"/>
          <w:color w:val="000000"/>
        </w:rPr>
        <w:t>Sida acuta</w:t>
      </w:r>
      <w:r>
        <w:rPr>
          <w:color w:val="000000"/>
        </w:rPr>
        <w:t>, the following recommendations are made to guide future research efforts:</w:t>
      </w:r>
    </w:p>
    <w:p>
      <w:pPr>
        <w:pStyle w:val="style94"/>
        <w:spacing w:lineRule="auto" w:line="480"/>
        <w:jc w:val="both"/>
        <w:rPr>
          <w:rStyle w:val="style87"/>
          <w:color w:val="000000"/>
        </w:rPr>
      </w:pPr>
      <w:r>
        <w:rPr>
          <w:rStyle w:val="style87"/>
          <w:color w:val="000000"/>
        </w:rPr>
        <w:t>Conduct Clinical Trials and Human Studies</w:t>
      </w:r>
    </w:p>
    <w:p>
      <w:pPr>
        <w:pStyle w:val="style94"/>
        <w:spacing w:lineRule="auto" w:line="480"/>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style88"/>
          <w:color w:val="000000"/>
        </w:rPr>
        <w:t>Sida acuta</w:t>
      </w:r>
      <w:r>
        <w:rPr>
          <w:color w:val="000000"/>
        </w:rPr>
        <w:t xml:space="preserve"> in treating conditions such as anemia and nutritional deficiencies in humans.</w:t>
      </w:r>
    </w:p>
    <w:p>
      <w:pPr>
        <w:pStyle w:val="style94"/>
        <w:spacing w:lineRule="auto" w:line="480"/>
        <w:jc w:val="both"/>
        <w:rPr>
          <w:rStyle w:val="style87"/>
          <w:color w:val="000000"/>
        </w:rPr>
      </w:pPr>
      <w:r>
        <w:rPr>
          <w:rStyle w:val="style87"/>
          <w:color w:val="000000"/>
        </w:rPr>
        <w:t>Isolate and Characterize Active Componds</w:t>
      </w:r>
    </w:p>
    <w:p>
      <w:pPr>
        <w:pStyle w:val="style94"/>
        <w:spacing w:lineRule="auto" w:line="480"/>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novel drugs or therapeutic agents from </w:t>
      </w:r>
      <w:r>
        <w:rPr>
          <w:rStyle w:val="style88"/>
          <w:color w:val="000000"/>
        </w:rPr>
        <w:t>Sida acuta</w:t>
      </w:r>
      <w:r>
        <w:rPr>
          <w:color w:val="000000"/>
        </w:rPr>
        <w:t>.</w:t>
      </w:r>
    </w:p>
    <w:p>
      <w:pPr>
        <w:pStyle w:val="style94"/>
        <w:spacing w:lineRule="auto" w:line="480"/>
        <w:jc w:val="both"/>
        <w:rPr>
          <w:rStyle w:val="style87"/>
          <w:b w:val="false"/>
          <w:bCs w:val="false"/>
          <w:color w:val="000000"/>
        </w:rPr>
      </w:pPr>
      <w:r>
        <w:rPr>
          <w:rStyle w:val="style87"/>
          <w:color w:val="000000"/>
        </w:rPr>
        <w:t xml:space="preserve">Evaluate Long-Term Toxicity and Safety Profile </w:t>
      </w:r>
    </w:p>
    <w:p>
      <w:pPr>
        <w:pStyle w:val="style94"/>
        <w:spacing w:lineRule="auto" w:line="480"/>
        <w:ind w:firstLine="720"/>
        <w:jc w:val="both"/>
        <w:rPr>
          <w:color w:val="000000"/>
        </w:rPr>
      </w:pPr>
      <w:r>
        <w:rPr>
          <w:color w:val="000000"/>
        </w:rPr>
        <w:t xml:space="preserve">Long-term administration and chronic toxicity studies are needed to assess the potential side effects or cumulative impacts of </w:t>
      </w:r>
      <w:r>
        <w:rPr>
          <w:rStyle w:val="style88"/>
          <w:color w:val="000000"/>
        </w:rPr>
        <w:t>Sida acuta</w:t>
      </w:r>
      <w:r>
        <w:rPr>
          <w:color w:val="000000"/>
        </w:rPr>
        <w:t xml:space="preserve"> extract, particularly at higher doses. This will help define its safety margin and therapeutic window.</w:t>
      </w:r>
    </w:p>
    <w:p>
      <w:pPr>
        <w:pStyle w:val="style94"/>
        <w:jc w:val="both"/>
        <w:rPr>
          <w:b/>
          <w:bCs/>
          <w:color w:val="000000"/>
        </w:rPr>
      </w:pPr>
      <w:r>
        <w:rPr>
          <w:rStyle w:val="style87"/>
          <w:color w:val="000000"/>
        </w:rPr>
        <w:t>Investigate Synergistic Effects with Other Herbs or Drugs</w:t>
      </w:r>
    </w:p>
    <w:p>
      <w:pPr>
        <w:pStyle w:val="style94"/>
        <w:spacing w:lineRule="auto" w:line="480"/>
        <w:ind w:firstLine="720"/>
        <w:jc w:val="both"/>
        <w:rPr>
          <w:color w:val="000000"/>
        </w:rPr>
      </w:pPr>
      <w:r>
        <w:rPr>
          <w:color w:val="000000"/>
        </w:rPr>
        <w:t xml:space="preserve">It would be beneficial to explore potential synergistic or antagonistic interactions between </w:t>
      </w:r>
      <w:r>
        <w:rPr>
          <w:rStyle w:val="style88"/>
          <w:color w:val="000000"/>
        </w:rPr>
        <w:t>Sida acuta</w:t>
      </w:r>
      <w:r>
        <w:rPr>
          <w:color w:val="000000"/>
        </w:rPr>
        <w:t xml:space="preserve"> and other medicinal plants or conventional pharmaceuticals. This could broaden its application in integrated medicine.</w:t>
      </w:r>
    </w:p>
    <w:p>
      <w:pPr>
        <w:pStyle w:val="style94"/>
        <w:spacing w:lineRule="auto" w:line="480"/>
        <w:jc w:val="both"/>
        <w:rPr>
          <w:color w:val="000000"/>
        </w:rPr>
      </w:pPr>
      <w:r>
        <w:rPr>
          <w:rStyle w:val="style87"/>
          <w:color w:val="000000"/>
        </w:rPr>
        <w:t>Broaden the Scope of Nutritional and Functional Assessments</w:t>
      </w:r>
    </w:p>
    <w:p>
      <w:pPr>
        <w:pStyle w:val="style94"/>
        <w:spacing w:lineRule="auto" w:line="480"/>
        <w:ind w:firstLine="720"/>
        <w:jc w:val="both"/>
        <w:rPr>
          <w:color w:val="000000"/>
        </w:rPr>
      </w:pPr>
      <w:r>
        <w:rPr>
          <w:color w:val="000000"/>
        </w:rPr>
        <w:t xml:space="preserve">Researchers are advised to assess additional nutritional indices and organ-specific effects (e.g., liver and kidney function tests), to better understand the systemic effects of </w:t>
      </w:r>
      <w:r>
        <w:rPr>
          <w:rStyle w:val="style88"/>
          <w:color w:val="000000"/>
        </w:rPr>
        <w:t>Sida acuta</w:t>
      </w:r>
      <w:r>
        <w:rPr>
          <w:color w:val="000000"/>
        </w:rPr>
        <w:t xml:space="preserve"> and its suitability as a functional food or supplement.</w:t>
      </w:r>
    </w:p>
    <w:p>
      <w:pPr>
        <w:pStyle w:val="style94"/>
        <w:spacing w:lineRule="auto" w:line="480"/>
        <w:jc w:val="both"/>
        <w:rPr>
          <w:color w:val="000000"/>
        </w:rPr>
      </w:pPr>
      <w:r>
        <w:rPr>
          <w:rStyle w:val="style87"/>
          <w:color w:val="000000"/>
        </w:rPr>
        <w:t>Utilize Omics-Based Approaches</w:t>
      </w:r>
    </w:p>
    <w:p>
      <w:pPr>
        <w:pStyle w:val="style94"/>
        <w:spacing w:lineRule="auto" w:line="480"/>
        <w:ind w:firstLine="720"/>
        <w:jc w:val="both"/>
        <w:rPr>
          <w:b/>
          <w:bCs/>
          <w:color w:val="000000"/>
        </w:rPr>
      </w:pPr>
      <w:r>
        <w:rPr>
          <w:color w:val="000000"/>
        </w:rPr>
        <w:t xml:space="preserve">Integrating genomics, proteomics, and metabolomics into future studies may help uncover more comprehensive insights into the biological pathways influenced by </w:t>
      </w:r>
      <w:r>
        <w:rPr>
          <w:rStyle w:val="style88"/>
          <w:color w:val="000000"/>
        </w:rPr>
        <w:t>Sida acuta</w:t>
      </w:r>
      <w:r>
        <w:rPr>
          <w:color w:val="000000"/>
        </w:rPr>
        <w:t>, and identify potential biomarkers of efficacy or toxicity.</w:t>
      </w:r>
    </w:p>
    <w:p>
      <w:pPr>
        <w:pStyle w:val="style94"/>
        <w:spacing w:lineRule="auto" w:line="480"/>
        <w:ind w:firstLine="720"/>
        <w:jc w:val="both"/>
        <w:rPr>
          <w:color w:val="000000"/>
        </w:rPr>
      </w:pPr>
      <w:r>
        <w:rPr>
          <w:color w:val="000000"/>
        </w:rPr>
        <w:t xml:space="preserve">By pursuing these directions, future research can further elucidate the therapeutic potential of </w:t>
      </w:r>
      <w:r>
        <w:rPr>
          <w:rStyle w:val="style88"/>
          <w:color w:val="000000"/>
        </w:rPr>
        <w:t>Sida acuta</w:t>
      </w:r>
      <w:r>
        <w:rPr>
          <w:color w:val="000000"/>
        </w:rPr>
        <w:t>, support its safe application in traditional and modern medicine, and contribute to the development of novel plant-based interventions.</w:t>
      </w:r>
    </w:p>
    <w:p>
      <w:pPr>
        <w:pStyle w:val="style94"/>
        <w:spacing w:lineRule="auto" w:line="480"/>
        <w:jc w:val="both"/>
        <w:rPr>
          <w:color w:val="000000"/>
          <w:szCs w:val="26"/>
        </w:rPr>
      </w:pPr>
    </w:p>
    <w:p>
      <w:pPr>
        <w:pStyle w:val="style94"/>
        <w:spacing w:lineRule="auto" w:line="480"/>
        <w:jc w:val="both"/>
        <w:rPr>
          <w:color w:val="000000"/>
          <w:szCs w:val="26"/>
        </w:rPr>
      </w:pPr>
    </w:p>
    <w:p>
      <w:pPr>
        <w:pStyle w:val="style94"/>
        <w:spacing w:lineRule="auto" w:line="480"/>
        <w:jc w:val="both"/>
        <w:rPr>
          <w:b/>
          <w:color w:val="000000"/>
          <w:szCs w:val="26"/>
        </w:rPr>
      </w:pPr>
      <w:r>
        <w:rPr>
          <w:b/>
          <w:color w:val="000000"/>
          <w:szCs w:val="26"/>
        </w:rPr>
        <w:t>REFERENCE</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Antibacterial and antifungal activities of </w:t>
      </w:r>
      <w:r>
        <w:rPr>
          <w:rStyle w:val="style88"/>
          <w:color w:val="000000"/>
          <w:szCs w:val="26"/>
        </w:rPr>
        <w:t>Sida acuta</w:t>
      </w:r>
      <w:r>
        <w:rPr>
          <w:color w:val="000000"/>
          <w:szCs w:val="26"/>
        </w:rPr>
        <w:t xml:space="preserve"> extracts.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w:t>
      </w:r>
      <w:r>
        <w:rPr>
          <w:color w:val="000000"/>
          <w:szCs w:val="26"/>
        </w:rPr>
        <w:t xml:space="preserve">Mineral composition and nutritional evaluation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Adegboye, M. F., Oladipo, J. O., &amp; Oloyede, F. A. (2021).</w:t>
      </w:r>
      <w:r>
        <w:rPr>
          <w:color w:val="000000"/>
          <w:szCs w:val="26"/>
        </w:rPr>
        <w:t xml:space="preserve"> Antibacterial activity of </w:t>
      </w:r>
      <w:r>
        <w:rPr>
          <w:rStyle w:val="style88"/>
          <w:color w:val="000000"/>
          <w:szCs w:val="26"/>
        </w:rPr>
        <w:t>Sida acuta</w:t>
      </w:r>
      <w:r>
        <w:rPr>
          <w:color w:val="000000"/>
          <w:szCs w:val="26"/>
        </w:rPr>
        <w:t xml:space="preserve"> extracts against clinical pathogens. </w:t>
      </w:r>
      <w:r>
        <w:rPr>
          <w:rStyle w:val="style88"/>
          <w:color w:val="000000"/>
          <w:szCs w:val="26"/>
        </w:rPr>
        <w:t>Journal of Medicinal Plants Research, 15</w:t>
      </w:r>
      <w:r>
        <w:rPr>
          <w:color w:val="000000"/>
          <w:szCs w:val="26"/>
        </w:rPr>
        <w:t>(3), 45-52.</w:t>
      </w:r>
    </w:p>
    <w:p>
      <w:pPr>
        <w:pStyle w:val="style0"/>
        <w:spacing w:after="0" w:lineRule="auto" w:line="480"/>
        <w:ind w:left="720" w:hanging="720"/>
        <w:jc w:val="both"/>
        <w:rPr>
          <w:color w:val="000000"/>
          <w:sz w:val="24"/>
          <w:szCs w:val="26"/>
        </w:rPr>
      </w:pPr>
      <w:r>
        <w:rPr>
          <w:color w:val="000000"/>
          <w:sz w:val="24"/>
          <w:szCs w:val="26"/>
        </w:rPr>
        <w:t>Adeniyi, S., Orjiekwe, C., Ehiagbonare, J. and Arimah, B. (2010).</w:t>
      </w:r>
      <w:r>
        <w:rPr>
          <w:color w:val="000000"/>
          <w:sz w:val="24"/>
          <w:szCs w:val="26"/>
        </w:rPr>
        <w:t xml:space="preserve"> </w:t>
      </w:r>
      <w:r>
        <w:rPr>
          <w:color w:val="000000"/>
          <w:sz w:val="24"/>
          <w:szCs w:val="26"/>
        </w:rPr>
        <w:t>Preliminary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and Telfaria occidentalis</w:t>
      </w:r>
      <w:r>
        <w:rPr>
          <w:color w:val="000000"/>
          <w:sz w:val="24"/>
          <w:szCs w:val="26"/>
        </w:rPr>
        <w:t>) against beans weevil (</w:t>
      </w:r>
      <w:r>
        <w:rPr>
          <w:i/>
          <w:color w:val="000000"/>
          <w:sz w:val="24"/>
          <w:szCs w:val="26"/>
        </w:rPr>
        <w:t>Acanthscelides obtectus</w:t>
      </w:r>
      <w:r>
        <w:rPr>
          <w:color w:val="000000"/>
          <w:sz w:val="24"/>
          <w:szCs w:val="26"/>
        </w:rPr>
        <w:t>).</w:t>
      </w:r>
      <w:r>
        <w:rPr>
          <w:color w:val="000000"/>
          <w:sz w:val="24"/>
          <w:szCs w:val="26"/>
        </w:rPr>
        <w:t xml:space="preserve"> </w:t>
      </w:r>
      <w:r>
        <w:rPr>
          <w:i/>
          <w:color w:val="000000"/>
          <w:sz w:val="24"/>
          <w:szCs w:val="26"/>
        </w:rPr>
        <w:t>Int. J. Phys. Sci.,</w:t>
      </w:r>
      <w:r>
        <w:rPr>
          <w:color w:val="000000"/>
          <w:sz w:val="24"/>
          <w:szCs w:val="26"/>
        </w:rPr>
        <w:t xml:space="preserve"> 5(6):753-762.</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Adepoju, F. G., Tota-Bolarinwa, B. T., Abikoye, P. O., Okeke, G. O., &amp; Alafe, H. S.</w:t>
      </w:r>
      <w:r>
        <w:rPr>
          <w:rFonts w:eastAsia="Times New Roman"/>
          <w:color w:val="000000"/>
          <w:sz w:val="24"/>
          <w:szCs w:val="26"/>
        </w:rPr>
        <w:t xml:space="preserve"> (2023). </w:t>
      </w:r>
      <w:r>
        <w:rPr>
          <w:rFonts w:eastAsia="Times New Roman"/>
          <w:color w:val="000000"/>
          <w:sz w:val="24"/>
          <w:szCs w:val="26"/>
        </w:rPr>
        <w:t>Clinical and demographic review of corneal ulcers in University of Ilorin Teaching Hospital.</w:t>
      </w:r>
      <w:r>
        <w:rPr>
          <w:rFonts w:eastAsia="Times New Roman"/>
          <w:color w:val="000000"/>
          <w:sz w:val="24"/>
          <w:szCs w:val="26"/>
        </w:rPr>
        <w:t> </w:t>
      </w:r>
      <w:r>
        <w:rPr>
          <w:rFonts w:eastAsia="Times New Roman"/>
          <w:i/>
          <w:iCs/>
          <w:color w:val="000000"/>
          <w:sz w:val="24"/>
          <w:szCs w:val="26"/>
          <w:bdr w:val="single" w:sz="2" w:space="0" w:color="e5e7eb" w:frame="true"/>
        </w:rPr>
        <w:t>Nigerian Journal of Ophthalmology</w:t>
      </w:r>
      <w:r>
        <w:rPr>
          <w:rFonts w:eastAsia="Times New Roman"/>
          <w:color w:val="000000"/>
          <w:sz w:val="24"/>
          <w:szCs w:val="26"/>
        </w:rPr>
        <w:t>, 31, 2.</w:t>
      </w:r>
    </w:p>
    <w:p>
      <w:pPr>
        <w:pStyle w:val="style0"/>
        <w:spacing w:after="0" w:lineRule="auto" w:line="480"/>
        <w:ind w:left="720" w:hanging="720"/>
        <w:jc w:val="both"/>
        <w:rPr>
          <w:color w:val="000000"/>
          <w:sz w:val="24"/>
          <w:szCs w:val="26"/>
        </w:rPr>
      </w:pPr>
      <w:r>
        <w:rPr>
          <w:color w:val="000000"/>
          <w:sz w:val="24"/>
          <w:szCs w:val="26"/>
        </w:rPr>
        <w:t xml:space="preserve">Agréus L, Hellström PM, Talley NJ. (2016). </w:t>
      </w:r>
      <w:r>
        <w:rPr>
          <w:color w:val="000000"/>
          <w:sz w:val="24"/>
          <w:szCs w:val="26"/>
        </w:rPr>
        <w:t>Towards</w:t>
      </w:r>
      <w:r>
        <w:rPr>
          <w:color w:val="000000"/>
          <w:sz w:val="24"/>
          <w:szCs w:val="26"/>
        </w:rPr>
        <w:t xml:space="preserve">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pPr>
        <w:pStyle w:val="style94"/>
        <w:spacing w:before="0" w:beforeAutospacing="false" w:after="0" w:afterAutospacing="false" w:lineRule="auto" w:line="480"/>
        <w:ind w:left="720" w:hanging="720"/>
        <w:jc w:val="both"/>
        <w:rPr>
          <w:color w:val="000000"/>
          <w:szCs w:val="26"/>
        </w:rPr>
      </w:pPr>
      <w:r>
        <w:rPr>
          <w:color w:val="000000"/>
          <w:szCs w:val="26"/>
        </w:rPr>
        <w:t>Ajayi, T. O., Adebayo, O. A., &amp; Ojo, A. A. (2022).</w:t>
      </w:r>
      <w:r>
        <w:rPr>
          <w:color w:val="000000"/>
          <w:szCs w:val="26"/>
        </w:rPr>
        <w:t xml:space="preserve"> Toxicological evaluation of </w:t>
      </w:r>
      <w:r>
        <w:rPr>
          <w:rStyle w:val="style88"/>
          <w:color w:val="000000"/>
          <w:szCs w:val="26"/>
        </w:rPr>
        <w:t>Sida acuta</w:t>
      </w:r>
      <w:r>
        <w:rPr>
          <w:color w:val="000000"/>
          <w:szCs w:val="26"/>
        </w:rPr>
        <w:t xml:space="preserve"> leaf extract in rodents. </w:t>
      </w:r>
      <w:r>
        <w:rPr>
          <w:rStyle w:val="style88"/>
          <w:color w:val="000000"/>
          <w:szCs w:val="26"/>
        </w:rPr>
        <w:t>Toxicology Reports, 9</w:t>
      </w:r>
      <w:r>
        <w:rPr>
          <w:color w:val="000000"/>
          <w:szCs w:val="26"/>
        </w:rPr>
        <w:t>, 34-42.</w:t>
      </w:r>
    </w:p>
    <w:p>
      <w:pPr>
        <w:pStyle w:val="style0"/>
        <w:spacing w:after="0" w:lineRule="auto" w:line="480"/>
        <w:ind w:left="720" w:hanging="720"/>
        <w:jc w:val="both"/>
        <w:rPr>
          <w:color w:val="000000"/>
          <w:sz w:val="24"/>
          <w:szCs w:val="26"/>
        </w:rPr>
      </w:pPr>
      <w:r>
        <w:rPr>
          <w:color w:val="000000"/>
          <w:sz w:val="24"/>
          <w:szCs w:val="26"/>
        </w:rPr>
        <w:t xml:space="preserve">Akaneme, F.I. (2008) Identification and Preliminary Phytochemical Analysis of Herbs That Can Arrest Threatened Miscarriage in Orba and Nsukka Towns of Enugu State. </w:t>
      </w:r>
      <w:r>
        <w:rPr>
          <w:i/>
          <w:color w:val="000000"/>
          <w:sz w:val="24"/>
          <w:szCs w:val="26"/>
        </w:rPr>
        <w:t>African Journal of Biotechnology, 7</w:t>
      </w:r>
      <w:r>
        <w:rPr>
          <w:color w:val="000000"/>
          <w:sz w:val="24"/>
          <w:szCs w:val="26"/>
        </w:rPr>
        <w:t xml:space="preserve">, 6-11. </w:t>
      </w:r>
    </w:p>
    <w:p>
      <w:pPr>
        <w:pStyle w:val="style0"/>
        <w:spacing w:after="0" w:lineRule="auto" w:line="480"/>
        <w:ind w:left="720" w:hanging="720"/>
        <w:jc w:val="both"/>
        <w:rPr>
          <w:color w:val="000000"/>
          <w:sz w:val="24"/>
          <w:szCs w:val="26"/>
        </w:rPr>
      </w:pPr>
      <w:r>
        <w:rPr>
          <w:color w:val="000000"/>
          <w:sz w:val="24"/>
          <w:szCs w:val="26"/>
        </w:rPr>
        <w:t>Akilandeswari, S., Senthamarai, R., Valarmathi, R., Shanthi, S., Prema, S., (2010).</w:t>
      </w:r>
      <w:r>
        <w:rPr>
          <w:color w:val="000000"/>
          <w:sz w:val="24"/>
          <w:szCs w:val="26"/>
        </w:rPr>
        <w:t xml:space="preserve"> </w:t>
      </w:r>
      <w:r>
        <w:rPr>
          <w:color w:val="000000"/>
          <w:sz w:val="24"/>
          <w:szCs w:val="26"/>
        </w:rPr>
        <w:t>Screening of gastric antiulcer activity of Sida acuta Burm.</w:t>
      </w:r>
      <w:r>
        <w:rPr>
          <w:color w:val="000000"/>
          <w:sz w:val="24"/>
          <w:szCs w:val="26"/>
        </w:rPr>
        <w:t xml:space="preserve"> International Journal of Pharm Tech Research 2, 1644-1648.</w:t>
      </w:r>
    </w:p>
    <w:p>
      <w:pPr>
        <w:pStyle w:val="style94"/>
        <w:spacing w:before="0" w:beforeAutospacing="false" w:after="0" w:afterAutospacing="false" w:lineRule="auto" w:line="480"/>
        <w:ind w:left="720" w:hanging="720"/>
        <w:jc w:val="both"/>
        <w:rPr>
          <w:color w:val="000000"/>
          <w:szCs w:val="26"/>
        </w:rPr>
      </w:pPr>
      <w:r>
        <w:rPr>
          <w:color w:val="000000"/>
          <w:szCs w:val="26"/>
        </w:rPr>
        <w:t>Akinpelu, B. A., Odetunde, J. A., &amp; Adeyemi, F. O. (2021).</w:t>
      </w:r>
      <w:r>
        <w:rPr>
          <w:color w:val="000000"/>
          <w:szCs w:val="26"/>
        </w:rPr>
        <w:t xml:space="preserve"> Hypoglycemic effect of </w:t>
      </w:r>
      <w:r>
        <w:rPr>
          <w:rStyle w:val="style88"/>
          <w:color w:val="000000"/>
          <w:szCs w:val="26"/>
        </w:rPr>
        <w:t>Sida acuta</w:t>
      </w:r>
      <w:r>
        <w:rPr>
          <w:color w:val="000000"/>
          <w:szCs w:val="26"/>
        </w:rPr>
        <w:t xml:space="preserve"> leaf extract in diabetic rats. </w:t>
      </w:r>
      <w:r>
        <w:rPr>
          <w:rStyle w:val="style88"/>
          <w:color w:val="000000"/>
          <w:szCs w:val="26"/>
        </w:rPr>
        <w:t>African Journal of Traditional, Complementary, and Alternative Medicines, 18</w:t>
      </w:r>
      <w:r>
        <w:rPr>
          <w:color w:val="000000"/>
          <w:szCs w:val="26"/>
        </w:rPr>
        <w:t>(2), 121-130.</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(2020). </w:t>
      </w:r>
      <w:r>
        <w:rPr>
          <w:color w:val="000000"/>
          <w:sz w:val="24"/>
          <w:szCs w:val="26"/>
        </w:rPr>
        <w:t>Diabetic foot ulcers and their recurrence.</w:t>
      </w:r>
      <w:r>
        <w:rPr>
          <w:color w:val="000000"/>
          <w:sz w:val="24"/>
          <w:szCs w:val="26"/>
        </w:rPr>
        <w:t xml:space="preserve"> The New England Journal of Medicine, 382(10), 982-992.</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(2021). </w:t>
      </w:r>
      <w:r>
        <w:rPr>
          <w:color w:val="000000"/>
          <w:sz w:val="24"/>
          <w:szCs w:val="26"/>
        </w:rPr>
        <w:t>Diabetic foot ulcers and their recurrence.</w:t>
      </w:r>
      <w:r>
        <w:rPr>
          <w:color w:val="000000"/>
          <w:sz w:val="24"/>
          <w:szCs w:val="26"/>
        </w:rPr>
        <w:t xml:space="preserve"> New England Journal of Medicine, 376(24), 2367-2375.</w:t>
      </w:r>
    </w:p>
    <w:p>
      <w:pPr>
        <w:pStyle w:val="style0"/>
        <w:spacing w:after="0" w:lineRule="auto" w:line="480"/>
        <w:ind w:left="720" w:hanging="720"/>
        <w:jc w:val="both"/>
        <w:rPr>
          <w:color w:val="000000"/>
          <w:sz w:val="24"/>
          <w:szCs w:val="26"/>
        </w:rPr>
      </w:pPr>
      <w:r>
        <w:rPr>
          <w:color w:val="000000"/>
          <w:sz w:val="24"/>
          <w:szCs w:val="26"/>
        </w:rPr>
        <w:t>Asha A, Farsana S. and Baiju EC.</w:t>
      </w:r>
      <w:r>
        <w:rPr>
          <w:color w:val="000000"/>
          <w:sz w:val="24"/>
          <w:szCs w:val="26"/>
        </w:rPr>
        <w:t xml:space="preserve"> (2018). </w:t>
      </w:r>
      <w:r>
        <w:rPr>
          <w:color w:val="000000"/>
          <w:sz w:val="24"/>
          <w:szCs w:val="26"/>
        </w:rPr>
        <w:t>Phytochemical</w:t>
      </w:r>
      <w:r>
        <w:rPr>
          <w:color w:val="000000"/>
          <w:sz w:val="24"/>
          <w:szCs w:val="26"/>
        </w:rPr>
        <w:t xml:space="preserve">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pPr>
        <w:pStyle w:val="style0"/>
        <w:spacing w:after="0" w:lineRule="auto" w:line="480"/>
        <w:ind w:left="720" w:hanging="720"/>
        <w:jc w:val="both"/>
        <w:rPr>
          <w:color w:val="000000"/>
          <w:sz w:val="24"/>
          <w:szCs w:val="26"/>
        </w:rPr>
      </w:pPr>
      <w:r>
        <w:rPr>
          <w:color w:val="000000"/>
          <w:sz w:val="24"/>
          <w:szCs w:val="26"/>
        </w:rPr>
        <w:t xml:space="preserve">Atkin, L. (2019). </w:t>
      </w:r>
      <w:r>
        <w:rPr>
          <w:color w:val="000000"/>
          <w:sz w:val="24"/>
          <w:szCs w:val="26"/>
        </w:rPr>
        <w:t>Understanding the role of dressings in pressure ulcer prevention and management.</w:t>
      </w:r>
      <w:r>
        <w:rPr>
          <w:color w:val="000000"/>
          <w:sz w:val="24"/>
          <w:szCs w:val="26"/>
        </w:rPr>
        <w:t xml:space="preserve"> </w:t>
      </w:r>
      <w:r>
        <w:rPr>
          <w:i/>
          <w:color w:val="000000"/>
          <w:sz w:val="24"/>
          <w:szCs w:val="26"/>
        </w:rPr>
        <w:t>British Journal of Community Nursing,</w:t>
      </w:r>
      <w:r>
        <w:rPr>
          <w:color w:val="000000"/>
          <w:sz w:val="24"/>
          <w:szCs w:val="26"/>
        </w:rPr>
        <w:t xml:space="preserve"> 24(6), S6-S10.</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Australian Journal of General Practice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(2022). Corneal ulcers.</w:t>
      </w:r>
      <w:r>
        <w:rPr>
          <w:rFonts w:eastAsia="Times New Roman"/>
          <w:color w:val="000000"/>
          <w:sz w:val="24"/>
          <w:szCs w:val="26"/>
        </w:rPr>
        <w:t xml:space="preserve"> Retrieved from </w:t>
      </w:r>
      <w:r>
        <w:rPr/>
        <w:fldChar w:fldCharType="begin"/>
      </w:r>
      <w:r>
        <w:instrText xml:space="preserve"> HYPERLINK "https://www1.racgp.org.au/ajgp/2022/november/corneal-ulcers" \t "_blank" </w:instrText>
      </w:r>
      <w:r>
        <w:rPr/>
        <w:fldChar w:fldCharType="separate"/>
      </w:r>
      <w:r>
        <w:rPr>
          <w:rFonts w:eastAsia="Times New Roman"/>
          <w:color w:val="000000"/>
          <w:sz w:val="24"/>
          <w:szCs w:val="26"/>
          <w:bdr w:val="single" w:sz="2" w:space="0" w:color="e5e7eb" w:frame="true"/>
        </w:rPr>
        <w:t>https://www1.racgp.org.au/ajgp/2022/november/corneal-ulcers</w:t>
      </w:r>
      <w:r>
        <w:rPr/>
        <w:fldChar w:fldCharType="end"/>
      </w:r>
    </w:p>
    <w:p>
      <w:pPr>
        <w:pStyle w:val="style0"/>
        <w:spacing w:after="0" w:lineRule="auto" w:line="480"/>
        <w:ind w:left="720" w:hanging="720"/>
        <w:jc w:val="both"/>
        <w:rPr>
          <w:color w:val="000000"/>
          <w:sz w:val="24"/>
          <w:szCs w:val="26"/>
        </w:rPr>
      </w:pPr>
      <w:r>
        <w:rPr>
          <w:color w:val="000000"/>
          <w:sz w:val="24"/>
          <w:szCs w:val="26"/>
        </w:rPr>
        <w:t>Baranoski, S., &amp; Ayello, E. A. (2020).</w:t>
      </w:r>
      <w:r>
        <w:rPr>
          <w:color w:val="000000"/>
          <w:sz w:val="24"/>
          <w:szCs w:val="26"/>
        </w:rPr>
        <w:t xml:space="preserve"> Wound care essentials: Practice principles. </w:t>
      </w:r>
      <w:r>
        <w:rPr>
          <w:color w:val="000000"/>
          <w:sz w:val="24"/>
          <w:szCs w:val="26"/>
        </w:rPr>
        <w:t>Lippincott Williams &amp; Wilkins.</w:t>
      </w:r>
    </w:p>
    <w:p>
      <w:pPr>
        <w:pStyle w:val="style0"/>
        <w:spacing w:after="0" w:lineRule="auto" w:line="480"/>
        <w:ind w:left="720" w:hanging="720"/>
        <w:jc w:val="both"/>
        <w:rPr>
          <w:color w:val="000000"/>
          <w:sz w:val="24"/>
          <w:szCs w:val="26"/>
        </w:rPr>
      </w:pPr>
      <w:r>
        <w:rPr>
          <w:color w:val="000000"/>
          <w:sz w:val="24"/>
          <w:szCs w:val="26"/>
        </w:rPr>
        <w:t>Bella S, Luzzati R, Mearelli F, Papa G, Spazzapan L, Nunnari A, et al. (2024-06-01). "Antiinfective management of infected skin ulcers" (https://www.ncbi.nlm.nih.gov/pmc/articles/PM Specific typ See also References C11142418</w:t>
      </w:r>
      <w:r>
        <w:rPr>
          <w:color w:val="000000"/>
          <w:sz w:val="24"/>
          <w:szCs w:val="26"/>
        </w:rPr>
        <w:t>) .</w:t>
      </w:r>
      <w:r>
        <w:rPr>
          <w:color w:val="000000"/>
          <w:sz w:val="24"/>
          <w:szCs w:val="26"/>
        </w:rPr>
        <w:t xml:space="preserve"> </w:t>
      </w:r>
      <w:r>
        <w:rPr>
          <w:color w:val="000000"/>
          <w:sz w:val="24"/>
          <w:szCs w:val="26"/>
        </w:rPr>
        <w:t>Le Infezioni in Medicina.</w:t>
      </w:r>
      <w:r>
        <w:rPr>
          <w:color w:val="000000"/>
          <w:sz w:val="24"/>
          <w:szCs w:val="26"/>
        </w:rPr>
        <w:t xml:space="preserve"> 32 (2): 138–147.</w:t>
      </w:r>
    </w:p>
    <w:p>
      <w:pPr>
        <w:pStyle w:val="style94"/>
        <w:spacing w:before="0" w:beforeAutospacing="false" w:after="0" w:afterAutospacing="false" w:lineRule="auto" w:line="480"/>
        <w:ind w:left="720" w:hanging="720"/>
        <w:jc w:val="both"/>
        <w:rPr>
          <w:color w:val="000000"/>
          <w:szCs w:val="26"/>
        </w:rPr>
      </w:pPr>
      <w:r>
        <w:rPr>
          <w:color w:val="000000"/>
          <w:szCs w:val="26"/>
        </w:rPr>
        <w:t>Bennett, R. N., &amp; Wallsgrove, R. M. (2019).</w:t>
      </w:r>
      <w:r>
        <w:rPr>
          <w:color w:val="000000"/>
          <w:szCs w:val="26"/>
        </w:rPr>
        <w:t xml:space="preserve"> Secondary metabolites in plant defense mechanisms. </w:t>
      </w:r>
      <w:r>
        <w:rPr>
          <w:rStyle w:val="style88"/>
          <w:color w:val="000000"/>
          <w:szCs w:val="26"/>
        </w:rPr>
        <w:t>New Phytologist, 146</w:t>
      </w:r>
      <w:r>
        <w:rPr>
          <w:color w:val="000000"/>
          <w:szCs w:val="26"/>
        </w:rPr>
        <w:t>(2), 351-360.</w:t>
      </w:r>
    </w:p>
    <w:p>
      <w:pPr>
        <w:pStyle w:val="style0"/>
        <w:spacing w:after="0" w:lineRule="auto" w:line="480"/>
        <w:ind w:left="720" w:hanging="720"/>
        <w:jc w:val="both"/>
        <w:rPr>
          <w:color w:val="000000"/>
          <w:sz w:val="24"/>
          <w:szCs w:val="26"/>
        </w:rPr>
      </w:pPr>
      <w:r>
        <w:rPr>
          <w:color w:val="000000"/>
          <w:sz w:val="24"/>
          <w:szCs w:val="26"/>
        </w:rPr>
        <w:t>Bergstrom, N., Braden, B. J., &amp; Laguzza, A. (2018).</w:t>
      </w:r>
      <w:r>
        <w:rPr>
          <w:color w:val="000000"/>
          <w:sz w:val="24"/>
          <w:szCs w:val="26"/>
        </w:rPr>
        <w:t xml:space="preserve"> </w:t>
      </w:r>
      <w:r>
        <w:rPr>
          <w:color w:val="000000"/>
          <w:sz w:val="24"/>
          <w:szCs w:val="26"/>
        </w:rPr>
        <w:t>The Braden Scale for Predicting Pressure Sore Risk.</w:t>
      </w:r>
      <w:r>
        <w:rPr>
          <w:color w:val="000000"/>
          <w:sz w:val="24"/>
          <w:szCs w:val="26"/>
        </w:rPr>
        <w:t xml:space="preserve"> </w:t>
      </w:r>
      <w:r>
        <w:rPr>
          <w:color w:val="000000"/>
          <w:sz w:val="24"/>
          <w:szCs w:val="26"/>
        </w:rPr>
        <w:t>Nursing Research, 41(2), 77-84.</w:t>
      </w:r>
    </w:p>
    <w:p>
      <w:pPr>
        <w:pStyle w:val="style0"/>
        <w:spacing w:after="0" w:lineRule="auto" w:line="480"/>
        <w:ind w:left="720" w:hanging="720"/>
        <w:jc w:val="both"/>
        <w:rPr>
          <w:color w:val="000000"/>
          <w:sz w:val="24"/>
          <w:szCs w:val="26"/>
        </w:rPr>
      </w:pPr>
      <w:r>
        <w:rPr>
          <w:color w:val="000000"/>
          <w:sz w:val="24"/>
          <w:szCs w:val="26"/>
        </w:rPr>
        <w:t>Bjarnsholt, T., Kirketerp-Møller, K., Jensen, P. Ø., Madsen, K. G., Phipps, R., Krogfelt, K</w:t>
      </w:r>
      <w:r>
        <w:rPr>
          <w:color w:val="000000"/>
          <w:sz w:val="24"/>
          <w:szCs w:val="26"/>
        </w:rPr>
        <w:t>., ...</w:t>
      </w:r>
      <w:r>
        <w:rPr>
          <w:color w:val="000000"/>
          <w:sz w:val="24"/>
          <w:szCs w:val="26"/>
        </w:rPr>
        <w:t xml:space="preserve"> &amp; Høiby, N. (2008). Why chronic wounds will not heal: A novel hypothesis. Wound Repair and Regeneration, 16(1), 2-10.</w:t>
      </w:r>
    </w:p>
    <w:p>
      <w:pPr>
        <w:pStyle w:val="style0"/>
        <w:spacing w:after="0" w:lineRule="auto" w:line="480"/>
        <w:ind w:left="720" w:hanging="720"/>
        <w:jc w:val="both"/>
        <w:rPr>
          <w:color w:val="000000"/>
          <w:sz w:val="24"/>
          <w:szCs w:val="26"/>
        </w:rPr>
      </w:pPr>
      <w:r>
        <w:rPr>
          <w:color w:val="000000"/>
          <w:sz w:val="24"/>
          <w:szCs w:val="26"/>
        </w:rPr>
        <w:t>Boateng, J. S., &amp; Catanzano, O. (2015).</w:t>
      </w:r>
      <w:r>
        <w:rPr>
          <w:color w:val="000000"/>
          <w:sz w:val="24"/>
          <w:szCs w:val="26"/>
        </w:rPr>
        <w:t xml:space="preserve"> Advanced therapeutic dressings for effective wound healing—a review. Journal of Pharmaceutical Sciences, 104(11), 3653-3680.</w:t>
      </w:r>
    </w:p>
    <w:p>
      <w:pPr>
        <w:pStyle w:val="style0"/>
        <w:spacing w:after="0" w:lineRule="auto" w:line="480"/>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relationships of synthetic protegrin analogues. Biopolymers 2000; 55: 88–98.</w:t>
      </w:r>
    </w:p>
    <w:p>
      <w:pPr>
        <w:pStyle w:val="style0"/>
        <w:spacing w:after="0" w:lineRule="auto" w:line="480"/>
        <w:ind w:left="720" w:hanging="720"/>
        <w:jc w:val="both"/>
        <w:rPr>
          <w:color w:val="000000"/>
          <w:sz w:val="24"/>
          <w:szCs w:val="26"/>
        </w:rPr>
      </w:pPr>
      <w:r>
        <w:rPr>
          <w:color w:val="000000"/>
          <w:sz w:val="24"/>
          <w:szCs w:val="26"/>
        </w:rPr>
        <w:t xml:space="preserve">Conte, M. S., Bradbury, A. W., Kolh, P., White, J. V., Dick, F., Fitridge, R., ... &amp; Mills, J. L. (2019). </w:t>
      </w:r>
      <w:r>
        <w:rPr>
          <w:color w:val="000000"/>
          <w:sz w:val="24"/>
          <w:szCs w:val="26"/>
        </w:rPr>
        <w:t>Global vascular guidelines on chronic limb-threatening ischemia.</w:t>
      </w:r>
      <w:r>
        <w:rPr>
          <w:color w:val="000000"/>
          <w:sz w:val="24"/>
          <w:szCs w:val="26"/>
        </w:rPr>
        <w:t xml:space="preserve"> </w:t>
      </w:r>
      <w:r>
        <w:rPr>
          <w:color w:val="000000"/>
          <w:sz w:val="24"/>
          <w:szCs w:val="26"/>
        </w:rPr>
        <w:t>European Journal of Vascular and Endovascular Surgery, 58(1), S1-S109.</w:t>
      </w:r>
    </w:p>
    <w:p>
      <w:pPr>
        <w:pStyle w:val="style0"/>
        <w:spacing w:after="0" w:lineRule="auto" w:line="480"/>
        <w:ind w:left="720" w:hanging="720"/>
        <w:jc w:val="both"/>
        <w:rPr>
          <w:color w:val="000000"/>
          <w:sz w:val="24"/>
          <w:szCs w:val="26"/>
        </w:rPr>
      </w:pPr>
      <w:r>
        <w:rPr>
          <w:color w:val="000000"/>
          <w:sz w:val="24"/>
          <w:szCs w:val="26"/>
        </w:rPr>
        <w:t>Crispian Scully and Rosemary Shotts (2000).</w:t>
      </w:r>
      <w:r>
        <w:rPr>
          <w:color w:val="000000"/>
          <w:sz w:val="24"/>
          <w:szCs w:val="26"/>
        </w:rPr>
        <w:t xml:space="preserve"> </w:t>
      </w:r>
      <w:r>
        <w:rPr>
          <w:color w:val="000000"/>
          <w:sz w:val="24"/>
          <w:szCs w:val="26"/>
        </w:rPr>
        <w:t>Mouth ulcers and other causes of orofacial soreness and pain.</w:t>
      </w:r>
      <w:r>
        <w:rPr>
          <w:color w:val="000000"/>
          <w:sz w:val="24"/>
          <w:szCs w:val="26"/>
        </w:rPr>
        <w:t xml:space="preserve"> BMJ 321:162-165.</w:t>
      </w:r>
    </w:p>
    <w:p>
      <w:pPr>
        <w:pStyle w:val="style94"/>
        <w:spacing w:before="0" w:beforeAutospacing="false" w:after="0" w:afterAutospacing="false" w:lineRule="auto" w:line="480"/>
        <w:ind w:left="720" w:hanging="720"/>
        <w:jc w:val="both"/>
        <w:rPr>
          <w:color w:val="000000"/>
          <w:szCs w:val="26"/>
        </w:rPr>
      </w:pPr>
      <w:r>
        <w:rPr>
          <w:color w:val="000000"/>
          <w:szCs w:val="26"/>
        </w:rPr>
        <w:t>Daglia, M. (2017).</w:t>
      </w:r>
      <w:r>
        <w:rPr>
          <w:color w:val="000000"/>
          <w:szCs w:val="26"/>
        </w:rPr>
        <w:t xml:space="preserve"> </w:t>
      </w:r>
      <w:r>
        <w:rPr>
          <w:color w:val="000000"/>
          <w:szCs w:val="26"/>
        </w:rPr>
        <w:t>Polyphenols as antimicrobial agents.</w:t>
      </w:r>
      <w:r>
        <w:rPr>
          <w:color w:val="000000"/>
          <w:szCs w:val="26"/>
        </w:rPr>
        <w:t xml:space="preserve"> </w:t>
      </w:r>
      <w:r>
        <w:rPr>
          <w:rStyle w:val="style88"/>
          <w:color w:val="000000"/>
          <w:szCs w:val="26"/>
        </w:rPr>
        <w:t>Current Opinion in Biotechnology, 23</w:t>
      </w:r>
      <w:r>
        <w:rPr>
          <w:color w:val="000000"/>
          <w:szCs w:val="26"/>
        </w:rPr>
        <w:t>(2), 174-181.</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w:t>
      </w:r>
      <w:r>
        <w:rPr>
          <w:color w:val="000000"/>
          <w:sz w:val="24"/>
          <w:szCs w:val="26"/>
          <w:shd w:val="clear" w:color="auto" w:fill="ffffff"/>
        </w:rPr>
        <w:t> </w:t>
      </w:r>
      <w:r>
        <w:rPr>
          <w:i/>
          <w:iCs/>
          <w:color w:val="000000"/>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Edeoga, H. O., Okwu, D. E., &amp; Mbaebie, B. O. (2020). </w:t>
      </w:r>
      <w:r>
        <w:rPr>
          <w:rFonts w:eastAsia="Times New Roman"/>
          <w:color w:val="000000"/>
          <w:sz w:val="24"/>
          <w:szCs w:val="26"/>
        </w:rPr>
        <w:t xml:space="preserve">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w:t>
      </w:r>
      <w:r>
        <w:rPr>
          <w:rFonts w:eastAsia="Times New Roman"/>
          <w:color w:val="000000"/>
          <w:sz w:val="24"/>
          <w:szCs w:val="26"/>
        </w:rPr>
        <w:t xml:space="preserve"> </w:t>
      </w:r>
      <w:r>
        <w:rPr>
          <w:rFonts w:eastAsia="Times New Roman"/>
          <w:i/>
          <w:iCs/>
          <w:color w:val="000000"/>
          <w:sz w:val="24"/>
          <w:szCs w:val="26"/>
        </w:rPr>
        <w:t>African Journal of Biotechnology, 19</w:t>
      </w:r>
      <w:r>
        <w:rPr>
          <w:rFonts w:eastAsia="Times New Roman"/>
          <w:color w:val="000000"/>
          <w:sz w:val="24"/>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of </w:t>
      </w:r>
      <w:r>
        <w:rPr>
          <w:rStyle w:val="style88"/>
          <w:color w:val="000000"/>
          <w:szCs w:val="26"/>
        </w:rPr>
        <w:t>Sida acuta</w:t>
      </w:r>
      <w:r>
        <w:rPr>
          <w:color w:val="000000"/>
          <w:szCs w:val="26"/>
        </w:rPr>
        <w:t xml:space="preserve"> and their antioxidant potential.</w:t>
      </w:r>
      <w:r>
        <w:rPr>
          <w:color w:val="000000"/>
          <w:szCs w:val="26"/>
        </w:rPr>
        <w:t xml:space="preserve"> </w:t>
      </w:r>
      <w:r>
        <w:rPr>
          <w:rStyle w:val="style88"/>
          <w:color w:val="000000"/>
          <w:szCs w:val="26"/>
        </w:rPr>
        <w:t>African Journal of Biotechnology, 19</w:t>
      </w:r>
      <w:r>
        <w:rPr>
          <w:color w:val="000000"/>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and mineral composition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African Journal of Biotechnology, 19</w:t>
      </w:r>
      <w:r>
        <w:rPr>
          <w:color w:val="000000"/>
          <w:szCs w:val="26"/>
        </w:rPr>
        <w:t>(2), 89-97.</w:t>
      </w:r>
    </w:p>
    <w:p>
      <w:pPr>
        <w:pStyle w:val="style0"/>
        <w:spacing w:after="0" w:lineRule="auto" w:line="480"/>
        <w:ind w:left="720" w:hanging="720"/>
        <w:jc w:val="both"/>
        <w:rPr>
          <w:color w:val="000000"/>
          <w:sz w:val="24"/>
          <w:szCs w:val="26"/>
        </w:rPr>
      </w:pPr>
      <w:r>
        <w:rPr>
          <w:color w:val="000000"/>
          <w:sz w:val="24"/>
          <w:szCs w:val="26"/>
        </w:rPr>
        <w:t>Edwards, R., &amp; Harding, K. G. (2020).</w:t>
      </w:r>
      <w:r>
        <w:rPr>
          <w:color w:val="000000"/>
          <w:sz w:val="24"/>
          <w:szCs w:val="26"/>
        </w:rPr>
        <w:t xml:space="preserve"> </w:t>
      </w:r>
      <w:r>
        <w:rPr>
          <w:color w:val="000000"/>
          <w:sz w:val="24"/>
          <w:szCs w:val="26"/>
        </w:rPr>
        <w:t>Bacteria and wound healing.</w:t>
      </w:r>
      <w:r>
        <w:rPr>
          <w:color w:val="000000"/>
          <w:sz w:val="24"/>
          <w:szCs w:val="26"/>
        </w:rPr>
        <w:t xml:space="preserve"> Current Opinion in Infectious Diseases, 17(2), 91-96.</w:t>
      </w:r>
    </w:p>
    <w:p>
      <w:pPr>
        <w:pStyle w:val="style0"/>
        <w:spacing w:after="0" w:lineRule="auto" w:line="480"/>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w:t>
      </w:r>
      <w:r>
        <w:rPr>
          <w:color w:val="000000"/>
          <w:sz w:val="24"/>
          <w:szCs w:val="26"/>
        </w:rPr>
        <w:t>;3</w:t>
      </w:r>
      <w:r>
        <w:rPr>
          <w:color w:val="000000"/>
          <w:sz w:val="24"/>
          <w:szCs w:val="26"/>
        </w:rPr>
        <w:t>(9):621-24.</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Ekwealor, C. C., Okorie, C. C., Ukoha, C. C., &amp; Mba, A. N. (2020). In Vivo Study of Healing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(2014).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(2019).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Emwal A, Kumar MS. Development of quality control parameters for the standardization of Leaves and bark of Sida acuta Burm. f. Indian Journal of Pharmaceutical and Biological Research. 2014 Oct 1</w:t>
      </w:r>
      <w:r>
        <w:rPr>
          <w:color w:val="000000"/>
          <w:sz w:val="24"/>
          <w:szCs w:val="26"/>
        </w:rPr>
        <w:t>;2</w:t>
      </w:r>
      <w:r>
        <w:rPr>
          <w:color w:val="000000"/>
          <w:sz w:val="24"/>
          <w:szCs w:val="26"/>
        </w:rPr>
        <w:t>(4):89.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Ezekwesili, C. N., Nwodo, O. F., Obidoa, O., &amp; Aboh, F. O. (2018).</w:t>
      </w:r>
      <w:r>
        <w:rPr>
          <w:rFonts w:eastAsia="Times New Roman"/>
          <w:color w:val="000000"/>
          <w:sz w:val="24"/>
          <w:szCs w:val="26"/>
        </w:rPr>
        <w:t xml:space="preserve"> Gastroprotective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Gastroprotective effects of </w:t>
      </w:r>
      <w:r>
        <w:rPr>
          <w:rStyle w:val="style88"/>
          <w:color w:val="000000"/>
          <w:szCs w:val="26"/>
        </w:rPr>
        <w:t>Sida acuta</w:t>
      </w:r>
      <w:r>
        <w:rPr>
          <w:color w:val="000000"/>
          <w:szCs w:val="26"/>
        </w:rPr>
        <w:t xml:space="preserve"> phenols.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w:t>
      </w:r>
      <w:r>
        <w:rPr>
          <w:color w:val="000000"/>
          <w:szCs w:val="26"/>
        </w:rPr>
        <w:t xml:space="preserve">Selenium and antioxidant properties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Fitzpatrick, S. G., Cohen, D. M., &amp; Clark, A. N. (2019).</w:t>
      </w:r>
      <w:r>
        <w:rPr>
          <w:rFonts w:eastAsia="Times New Roman"/>
          <w:color w:val="000000"/>
          <w:sz w:val="24"/>
          <w:szCs w:val="26"/>
        </w:rPr>
        <w:t> </w:t>
      </w:r>
      <w:r>
        <w:rPr>
          <w:rFonts w:eastAsia="Times New Roman"/>
          <w:i/>
          <w:iCs/>
          <w:color w:val="000000"/>
          <w:sz w:val="24"/>
          <w:szCs w:val="26"/>
        </w:rPr>
        <w:t>Ulcerated Lesions of the Oral Mucosa: Clinical and Histologic Review. Head and Neck Pathology, 13(1), 91–102.</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systematic review and meta-analysis of randomised controlled trials. BMJ 2014</w:t>
      </w:r>
      <w:r>
        <w:rPr>
          <w:color w:val="000000"/>
          <w:sz w:val="24"/>
          <w:szCs w:val="26"/>
        </w:rPr>
        <w:t>;348:g3174</w:t>
      </w:r>
      <w:r>
        <w:rPr>
          <w:color w:val="000000"/>
          <w:sz w:val="24"/>
          <w:szCs w:val="26"/>
        </w:rPr>
        <w:t>.</w:t>
      </w:r>
    </w:p>
    <w:p>
      <w:pPr>
        <w:pStyle w:val="style0"/>
        <w:spacing w:after="0" w:lineRule="auto" w:line="480"/>
        <w:ind w:left="720" w:hanging="720"/>
        <w:jc w:val="both"/>
        <w:rPr>
          <w:color w:val="000000"/>
          <w:sz w:val="24"/>
          <w:szCs w:val="26"/>
        </w:rPr>
      </w:pPr>
      <w:r>
        <w:rPr>
          <w:color w:val="000000"/>
          <w:sz w:val="24"/>
          <w:szCs w:val="26"/>
        </w:rPr>
        <w:t>Fowkes, F. G., Rudan, D., Rudan, I., Aboyans, V., Denenberg, J. O., McDermott, M. M</w:t>
      </w:r>
      <w:r>
        <w:rPr>
          <w:color w:val="000000"/>
          <w:sz w:val="24"/>
          <w:szCs w:val="26"/>
        </w:rPr>
        <w:t>., ...</w:t>
      </w:r>
      <w:r>
        <w:rPr>
          <w:color w:val="000000"/>
          <w:sz w:val="24"/>
          <w:szCs w:val="26"/>
        </w:rPr>
        <w:t xml:space="preserve"> &amp; Criqui, M. H. (2020). </w:t>
      </w:r>
      <w:r>
        <w:rPr>
          <w:color w:val="000000"/>
          <w:sz w:val="24"/>
          <w:szCs w:val="26"/>
        </w:rPr>
        <w:t>Comparison of global estimates of prevalence and risk factors for peripheral artery disease.</w:t>
      </w:r>
      <w:r>
        <w:rPr>
          <w:color w:val="000000"/>
          <w:sz w:val="24"/>
          <w:szCs w:val="26"/>
        </w:rPr>
        <w:t xml:space="preserve"> Lancet, 382(9901), 1329-1340.</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&amp; Kennedy, D. O. (2019).</w:t>
      </w:r>
      <w:r>
        <w:rPr>
          <w:color w:val="000000"/>
          <w:szCs w:val="26"/>
        </w:rPr>
        <w:t xml:space="preserve"> </w:t>
      </w:r>
      <w:r>
        <w:rPr>
          <w:color w:val="000000"/>
          <w:szCs w:val="26"/>
        </w:rPr>
        <w:t>The role of tannins in health benefits.</w:t>
      </w:r>
      <w:r>
        <w:rPr>
          <w:color w:val="000000"/>
          <w:szCs w:val="26"/>
        </w:rPr>
        <w:t xml:space="preserve"> </w:t>
      </w:r>
      <w:r>
        <w:rPr>
          <w:rStyle w:val="style88"/>
          <w:color w:val="000000"/>
          <w:szCs w:val="26"/>
        </w:rPr>
        <w:t>Molecular Nutrition &amp; Food Research, 63</w:t>
      </w:r>
      <w:r>
        <w:rPr>
          <w:color w:val="000000"/>
          <w:szCs w:val="26"/>
        </w:rPr>
        <w:t>(8), 1801234.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Fraga, C. G., Croft, K. D., Kennedy, D. O., &amp; Tomás-Barberán, F. A. (2019).</w:t>
      </w:r>
      <w:r>
        <w:rPr>
          <w:rFonts w:eastAsia="Times New Roman"/>
          <w:color w:val="000000"/>
          <w:sz w:val="24"/>
          <w:szCs w:val="26"/>
        </w:rPr>
        <w:t xml:space="preserve"> </w:t>
      </w:r>
      <w:r>
        <w:rPr>
          <w:rFonts w:eastAsia="Times New Roman"/>
          <w:color w:val="000000"/>
          <w:sz w:val="24"/>
          <w:szCs w:val="26"/>
        </w:rPr>
        <w:t>The role of flavonoids in disease prevention and health promotion.</w:t>
      </w:r>
      <w:r>
        <w:rPr>
          <w:rFonts w:eastAsia="Times New Roman"/>
          <w:color w:val="000000"/>
          <w:sz w:val="24"/>
          <w:szCs w:val="26"/>
        </w:rPr>
        <w:t xml:space="preserve"> </w:t>
      </w:r>
      <w:r>
        <w:rPr>
          <w:rFonts w:eastAsia="Times New Roman"/>
          <w:i/>
          <w:iCs/>
          <w:color w:val="000000"/>
          <w:sz w:val="24"/>
          <w:szCs w:val="26"/>
        </w:rPr>
        <w:t>BioFactors, 45</w:t>
      </w:r>
      <w:r>
        <w:rPr>
          <w:rFonts w:eastAsia="Times New Roman"/>
          <w:color w:val="000000"/>
          <w:sz w:val="24"/>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The role of phenolic compounds in disease prevention and health promotion.</w:t>
      </w:r>
      <w:r>
        <w:rPr>
          <w:color w:val="000000"/>
          <w:szCs w:val="26"/>
        </w:rPr>
        <w:t xml:space="preserve"> </w:t>
      </w:r>
      <w:r>
        <w:rPr>
          <w:rStyle w:val="style88"/>
          <w:color w:val="000000"/>
          <w:szCs w:val="26"/>
        </w:rPr>
        <w:t>BioFactors, 45</w:t>
      </w:r>
      <w:r>
        <w:rPr>
          <w:color w:val="000000"/>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Role of minerals in plant-derived nutrition and disease prevention.</w:t>
      </w:r>
      <w:r>
        <w:rPr>
          <w:color w:val="000000"/>
          <w:szCs w:val="26"/>
        </w:rPr>
        <w:t xml:space="preserve"> </w:t>
      </w:r>
      <w:r>
        <w:rPr>
          <w:rStyle w:val="style88"/>
          <w:color w:val="000000"/>
          <w:szCs w:val="26"/>
        </w:rPr>
        <w:t>BioFactors, 45</w:t>
      </w:r>
      <w:r>
        <w:rPr>
          <w:color w:val="000000"/>
          <w:szCs w:val="26"/>
        </w:rPr>
        <w:t>(2), 205-217.</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Goren, A., Ruppert, K., Degenholtz, H. B., &amp; Greer, N. (2019).</w:t>
      </w:r>
      <w:r>
        <w:rPr>
          <w:color w:val="000000"/>
          <w:sz w:val="24"/>
          <w:szCs w:val="26"/>
        </w:rPr>
        <w:t xml:space="preserve"> Smoking and wound healing. Advances in Wound Care, 4(7), 471-482.</w:t>
      </w:r>
    </w:p>
    <w:p>
      <w:pPr>
        <w:pStyle w:val="style0"/>
        <w:spacing w:after="0" w:lineRule="auto" w:line="480"/>
        <w:ind w:left="720" w:hanging="720"/>
        <w:jc w:val="both"/>
        <w:rPr>
          <w:color w:val="000000"/>
          <w:sz w:val="24"/>
          <w:szCs w:val="26"/>
        </w:rPr>
      </w:pPr>
      <w:r>
        <w:rPr>
          <w:color w:val="000000"/>
          <w:sz w:val="24"/>
          <w:szCs w:val="26"/>
        </w:rPr>
        <w:t>Guest, J. F., Ayoub, N., McIlwraith, T., Uchegbu, I., Gerrish, A., Weidlich, D</w:t>
      </w:r>
      <w:r>
        <w:rPr>
          <w:color w:val="000000"/>
          <w:sz w:val="24"/>
          <w:szCs w:val="26"/>
        </w:rPr>
        <w:t>., ...</w:t>
      </w:r>
      <w:r>
        <w:rPr>
          <w:color w:val="000000"/>
          <w:sz w:val="24"/>
          <w:szCs w:val="26"/>
        </w:rPr>
        <w:t xml:space="preserve"> &amp; Vowden, P. (2015). </w:t>
      </w:r>
      <w:r>
        <w:rPr>
          <w:color w:val="000000"/>
          <w:sz w:val="24"/>
          <w:szCs w:val="26"/>
        </w:rPr>
        <w:t>Health economic burden that wounds impose on the National Health Service in the UK.</w:t>
      </w:r>
      <w:r>
        <w:rPr>
          <w:color w:val="000000"/>
          <w:sz w:val="24"/>
          <w:szCs w:val="26"/>
        </w:rPr>
        <w:t xml:space="preserve"> </w:t>
      </w:r>
      <w:r>
        <w:rPr>
          <w:color w:val="000000"/>
          <w:sz w:val="24"/>
          <w:szCs w:val="26"/>
        </w:rPr>
        <w:t>BMJ Open, 5(12), e009283.</w:t>
      </w:r>
    </w:p>
    <w:p>
      <w:pPr>
        <w:pStyle w:val="style0"/>
        <w:spacing w:after="0" w:lineRule="auto" w:line="480"/>
        <w:ind w:left="720" w:hanging="720"/>
        <w:jc w:val="both"/>
        <w:rPr>
          <w:color w:val="000000"/>
          <w:sz w:val="24"/>
          <w:szCs w:val="26"/>
        </w:rPr>
      </w:pPr>
      <w:r>
        <w:rPr>
          <w:color w:val="000000"/>
          <w:sz w:val="24"/>
          <w:szCs w:val="26"/>
        </w:rPr>
        <w:t>Guo, S., &amp; DiPietro, L. A. (2010).</w:t>
      </w:r>
      <w:r>
        <w:rPr>
          <w:color w:val="000000"/>
          <w:sz w:val="24"/>
          <w:szCs w:val="26"/>
        </w:rPr>
        <w:t xml:space="preserve"> Factors affecting wound healing. Journal of Dental Research, 89(3), 219-229.</w:t>
      </w:r>
    </w:p>
    <w:p>
      <w:pPr>
        <w:pStyle w:val="style0"/>
        <w:spacing w:after="0" w:lineRule="auto" w:line="480"/>
        <w:ind w:left="720" w:hanging="720"/>
        <w:jc w:val="both"/>
        <w:rPr>
          <w:color w:val="000000"/>
          <w:sz w:val="24"/>
          <w:szCs w:val="26"/>
        </w:rPr>
      </w:pPr>
      <w:r>
        <w:rPr>
          <w:color w:val="000000"/>
          <w:sz w:val="24"/>
          <w:szCs w:val="26"/>
        </w:rPr>
        <w:t>Gupta, S., Baharestani, M. M., &amp; Baranoski, S. (2020). Skin ulcers and their treatment: A clinical perspective. Journal of Clinical Dermatology, 18(4), 523-533.</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Tannins and human health: A review. </w:t>
      </w:r>
      <w:r>
        <w:rPr>
          <w:rStyle w:val="style88"/>
          <w:color w:val="000000"/>
          <w:szCs w:val="26"/>
        </w:rPr>
        <w:t>Phytochemistry, 50</w:t>
      </w:r>
      <w:r>
        <w:rPr>
          <w:color w:val="000000"/>
          <w:szCs w:val="26"/>
        </w:rPr>
        <w:t>(5), 1105-1115.</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Hagerman, A. E., &amp; Butler, L. G. (2020).</w:t>
      </w:r>
      <w:r>
        <w:rPr>
          <w:rFonts w:eastAsia="Times New Roman"/>
          <w:color w:val="000000"/>
          <w:sz w:val="24"/>
          <w:szCs w:val="26"/>
        </w:rPr>
        <w:t xml:space="preserve"> </w:t>
      </w:r>
      <w:r>
        <w:rPr>
          <w:rFonts w:eastAsia="Times New Roman"/>
          <w:color w:val="000000"/>
          <w:sz w:val="24"/>
          <w:szCs w:val="26"/>
        </w:rPr>
        <w:t>The role of flavonoids in cardiovascular health.</w:t>
      </w:r>
      <w:r>
        <w:rPr>
          <w:rFonts w:eastAsia="Times New Roman"/>
          <w:color w:val="000000"/>
          <w:sz w:val="24"/>
          <w:szCs w:val="26"/>
        </w:rPr>
        <w:t xml:space="preserve"> </w:t>
      </w:r>
      <w:r>
        <w:rPr>
          <w:rFonts w:eastAsia="Times New Roman"/>
          <w:i/>
          <w:iCs/>
          <w:color w:val="000000"/>
          <w:sz w:val="24"/>
          <w:szCs w:val="26"/>
        </w:rPr>
        <w:t>Phytochemistry, 24</w:t>
      </w:r>
      <w:r>
        <w:rPr>
          <w:rFonts w:eastAsia="Times New Roman"/>
          <w:color w:val="000000"/>
          <w:sz w:val="24"/>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w:t>
      </w:r>
      <w:r>
        <w:rPr>
          <w:color w:val="000000"/>
          <w:szCs w:val="26"/>
        </w:rPr>
        <w:t>The role of phenols in cardiovascular health.</w:t>
      </w:r>
      <w:r>
        <w:rPr>
          <w:color w:val="000000"/>
          <w:szCs w:val="26"/>
        </w:rPr>
        <w:t xml:space="preserve"> </w:t>
      </w:r>
      <w:r>
        <w:rPr>
          <w:rStyle w:val="style88"/>
          <w:color w:val="000000"/>
          <w:szCs w:val="26"/>
        </w:rPr>
        <w:t>Phytochemistry, 24</w:t>
      </w:r>
      <w:r>
        <w:rPr>
          <w:color w:val="000000"/>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Trace minerals in medicinal plants: The role of iron, zinc, and copper. </w:t>
      </w:r>
      <w:r>
        <w:rPr>
          <w:rStyle w:val="style88"/>
          <w:color w:val="000000"/>
          <w:szCs w:val="26"/>
        </w:rPr>
        <w:t>Phytochemistry, 24</w:t>
      </w:r>
      <w:r>
        <w:rPr>
          <w:color w:val="000000"/>
          <w:szCs w:val="26"/>
        </w:rPr>
        <w:t>(1), 45-59.</w:t>
      </w:r>
    </w:p>
    <w:p>
      <w:pPr>
        <w:pStyle w:val="style0"/>
        <w:spacing w:after="0" w:lineRule="auto" w:line="480"/>
        <w:ind w:left="720" w:hanging="720"/>
        <w:jc w:val="both"/>
        <w:rPr>
          <w:color w:val="000000"/>
          <w:sz w:val="24"/>
          <w:szCs w:val="26"/>
        </w:rPr>
      </w:pPr>
      <w:r>
        <w:rPr>
          <w:color w:val="000000"/>
          <w:sz w:val="24"/>
          <w:szCs w:val="26"/>
        </w:rPr>
        <w:t>Jaul, E., Barron, J., Rosenzweig, J. P., &amp; Menczel, J. (2018).</w:t>
      </w:r>
      <w:r>
        <w:rPr>
          <w:color w:val="000000"/>
          <w:sz w:val="24"/>
          <w:szCs w:val="26"/>
        </w:rPr>
        <w:t xml:space="preserve"> </w:t>
      </w:r>
      <w:r>
        <w:rPr>
          <w:color w:val="000000"/>
          <w:sz w:val="24"/>
          <w:szCs w:val="26"/>
        </w:rPr>
        <w:t>An overview of comorbidities and the development of pressure ulcers among older adults.</w:t>
      </w:r>
      <w:r>
        <w:rPr>
          <w:color w:val="000000"/>
          <w:sz w:val="24"/>
          <w:szCs w:val="26"/>
        </w:rPr>
        <w:t xml:space="preserve"> BMC Geriatrics, 18(1), 1-11.</w:t>
      </w:r>
    </w:p>
    <w:p>
      <w:pPr>
        <w:pStyle w:val="style0"/>
        <w:spacing w:after="0" w:lineRule="auto" w:line="480"/>
        <w:ind w:left="720" w:hanging="720"/>
        <w:jc w:val="both"/>
        <w:rPr>
          <w:color w:val="000000"/>
          <w:sz w:val="24"/>
          <w:szCs w:val="26"/>
        </w:rPr>
      </w:pPr>
      <w:r>
        <w:rPr>
          <w:rStyle w:val="style87"/>
          <w:b w:val="false"/>
          <w:color w:val="000000"/>
          <w:sz w:val="24"/>
          <w:szCs w:val="26"/>
          <w:bdr w:val="single" w:sz="2" w:space="0" w:color="e5e7eb" w:frame="true"/>
        </w:rPr>
        <w:t>Johnson T.R.,</w:t>
      </w:r>
      <w:r>
        <w:rPr>
          <w:rStyle w:val="style87"/>
          <w:color w:val="000000"/>
          <w:sz w:val="24"/>
          <w:szCs w:val="26"/>
          <w:bdr w:val="single" w:sz="2" w:space="0" w:color="e5e7eb" w:frame="true"/>
        </w:rPr>
        <w:t xml:space="preserve"> </w:t>
      </w:r>
      <w:r>
        <w:rPr>
          <w:color w:val="000000"/>
          <w:sz w:val="24"/>
          <w:szCs w:val="26"/>
        </w:rPr>
        <w:t>(2023). Fungal Corneal Ulcers: Epidemiology and Management. </w:t>
      </w:r>
      <w:r>
        <w:rPr>
          <w:rStyle w:val="style88"/>
          <w:color w:val="000000"/>
          <w:sz w:val="24"/>
          <w:szCs w:val="26"/>
          <w:bdr w:val="single" w:sz="2" w:space="0" w:color="e5e7eb" w:frame="true"/>
        </w:rPr>
        <w:t>International Journal of Ophthalmology</w:t>
      </w:r>
      <w:r>
        <w:rPr>
          <w:color w:val="000000"/>
          <w:sz w:val="24"/>
          <w:szCs w:val="26"/>
        </w:rPr>
        <w:t>, Volume 16, Issue 1, pp. 1-8.</w:t>
      </w:r>
    </w:p>
    <w:p>
      <w:pPr>
        <w:pStyle w:val="style0"/>
        <w:spacing w:after="0" w:lineRule="auto" w:line="480"/>
        <w:ind w:left="720" w:hanging="720"/>
        <w:jc w:val="both"/>
        <w:rPr>
          <w:color w:val="000000"/>
          <w:sz w:val="24"/>
          <w:szCs w:val="26"/>
        </w:rPr>
      </w:pPr>
      <w:r>
        <w:rPr>
          <w:color w:val="000000"/>
          <w:sz w:val="24"/>
          <w:szCs w:val="26"/>
        </w:rPr>
        <w:t>KALYANAKRISHNAN RAMAKRISHNAN, MD, FRCSE, and ROBERT C. SALINAS, MD (2007).</w:t>
      </w:r>
      <w:r>
        <w:rPr>
          <w:color w:val="000000"/>
          <w:sz w:val="24"/>
          <w:szCs w:val="26"/>
        </w:rPr>
        <w:t xml:space="preserve"> </w:t>
      </w:r>
      <w:r>
        <w:rPr>
          <w:color w:val="000000"/>
          <w:sz w:val="24"/>
          <w:szCs w:val="26"/>
        </w:rPr>
        <w:t>Peptic Ulcer Disease.</w:t>
      </w:r>
      <w:r>
        <w:rPr>
          <w:color w:val="000000"/>
          <w:sz w:val="24"/>
          <w:szCs w:val="26"/>
        </w:rPr>
        <w:t xml:space="preserve"> American Academy of Family Physicians, 76:1005-1013. </w:t>
      </w:r>
    </w:p>
    <w:p>
      <w:pPr>
        <w:pStyle w:val="style0"/>
        <w:spacing w:after="0" w:lineRule="auto" w:line="480"/>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w:t>
      </w:r>
      <w:r>
        <w:rPr>
          <w:color w:val="000000"/>
          <w:sz w:val="24"/>
          <w:szCs w:val="26"/>
          <w:shd w:val="clear" w:color="auto" w:fill="ffffff"/>
        </w:rPr>
        <w:t xml:space="preserve"> f.: a medicinal plant with numerous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 xml:space="preserve">Kayode, J. (2006). </w:t>
      </w:r>
      <w:r>
        <w:rPr>
          <w:color w:val="000000"/>
          <w:sz w:val="24"/>
          <w:szCs w:val="26"/>
          <w:shd w:val="clear" w:color="auto" w:fill="ffffff"/>
        </w:rPr>
        <w:t>Conservation of indigenous medicinal botanicals in Ekiti State, Nigeria.</w:t>
      </w:r>
      <w:r>
        <w:rPr>
          <w:color w:val="000000"/>
          <w:sz w:val="24"/>
          <w:szCs w:val="26"/>
          <w:shd w:val="clear" w:color="auto" w:fill="ffffff"/>
        </w:rPr>
        <w:t>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pPr>
        <w:pStyle w:val="style0"/>
        <w:spacing w:after="0" w:lineRule="auto" w:line="480"/>
        <w:ind w:left="720" w:hanging="720"/>
        <w:jc w:val="both"/>
        <w:rPr>
          <w:color w:val="000000"/>
          <w:sz w:val="24"/>
          <w:szCs w:val="26"/>
        </w:rPr>
      </w:pPr>
      <w:r>
        <w:rPr>
          <w:color w:val="000000"/>
          <w:sz w:val="24"/>
          <w:szCs w:val="26"/>
        </w:rPr>
        <w:t xml:space="preserve">Khare, C.P. (2008). Indian medicinal plants: an illustrated dictionary (Vol. </w:t>
      </w:r>
      <w:r>
        <w:rPr>
          <w:color w:val="000000"/>
          <w:sz w:val="24"/>
          <w:szCs w:val="26"/>
        </w:rPr>
        <w:t>I). Springer Science and Business Media.</w:t>
      </w:r>
    </w:p>
    <w:p>
      <w:pPr>
        <w:pStyle w:val="style0"/>
        <w:spacing w:after="0" w:lineRule="auto" w:line="480"/>
        <w:ind w:left="720" w:hanging="720"/>
        <w:jc w:val="both"/>
        <w:rPr>
          <w:color w:val="000000"/>
          <w:sz w:val="24"/>
          <w:szCs w:val="26"/>
        </w:rPr>
      </w:pPr>
      <w:r>
        <w:rPr>
          <w:color w:val="000000"/>
          <w:sz w:val="24"/>
          <w:szCs w:val="26"/>
        </w:rPr>
        <w:t>Khare, M., Srivastava, S.K., Singh, A.K., 2002.</w:t>
      </w:r>
      <w:r>
        <w:rPr>
          <w:color w:val="000000"/>
          <w:sz w:val="24"/>
          <w:szCs w:val="26"/>
        </w:rPr>
        <w:t xml:space="preserve"> </w:t>
      </w:r>
      <w:r>
        <w:rPr>
          <w:color w:val="000000"/>
          <w:sz w:val="24"/>
          <w:szCs w:val="26"/>
        </w:rPr>
        <w:t>Chemistry and pharmacology of genus Sida (Malvaceae)—a review.</w:t>
      </w:r>
      <w:r>
        <w:rPr>
          <w:color w:val="000000"/>
          <w:sz w:val="24"/>
          <w:szCs w:val="26"/>
        </w:rPr>
        <w:t xml:space="preserve"> Journal of Medicinal and Aromatic Plant Science 24, 430–440.</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Kurata JH, Nogawa AN. Meta-analysis of risk factors for peptic ulcer. Nonsteroidal anti-inflammatory drugs, Helicobacter pylori, and smoking. J Clin Gastroenterol 1997</w:t>
      </w:r>
      <w:r>
        <w:rPr>
          <w:color w:val="000000"/>
          <w:sz w:val="24"/>
          <w:szCs w:val="26"/>
        </w:rPr>
        <w:t>;24:2</w:t>
      </w:r>
      <w:r>
        <w:rPr>
          <w:color w:val="000000"/>
          <w:sz w:val="24"/>
          <w:szCs w:val="26"/>
        </w:rPr>
        <w:t xml:space="preserve">-17. </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Lauret ME, Rodriguez-Pelaez M, Perez I, Rodrigo L (2015) Peptic Ulcer Disease.</w:t>
      </w:r>
      <w:r>
        <w:rPr>
          <w:color w:val="000000"/>
          <w:sz w:val="24"/>
          <w:szCs w:val="26"/>
        </w:rPr>
        <w:t xml:space="preserve"> J Gastro Hepato Dis 1(1): 105.</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Malairajan, P., Gopalakrishnan, G., Narasimhan, S., JessikalaVeni, K., 2006.</w:t>
      </w:r>
      <w:r>
        <w:rPr>
          <w:color w:val="000000"/>
          <w:sz w:val="24"/>
          <w:szCs w:val="26"/>
        </w:rPr>
        <w:t xml:space="preserve"> </w:t>
      </w:r>
      <w:r>
        <w:rPr>
          <w:color w:val="000000"/>
          <w:sz w:val="24"/>
          <w:szCs w:val="26"/>
        </w:rPr>
        <w:t>Antiulcer activity of Sida acuta Burm.</w:t>
      </w:r>
      <w:r>
        <w:rPr>
          <w:color w:val="000000"/>
          <w:sz w:val="24"/>
          <w:szCs w:val="26"/>
        </w:rPr>
        <w:t xml:space="preserve"> Natural Product Sciences 12, 150-152.</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Mann A, Gbate M, Umar AN (2003).</w:t>
      </w:r>
      <w:r>
        <w:rPr>
          <w:color w:val="000000"/>
          <w:sz w:val="24"/>
          <w:szCs w:val="26"/>
        </w:rPr>
        <w:t xml:space="preserve"> </w:t>
      </w:r>
      <w:r>
        <w:rPr>
          <w:color w:val="000000"/>
          <w:sz w:val="24"/>
          <w:szCs w:val="26"/>
        </w:rPr>
        <w:t>Sida acuta subspecie acuta.</w:t>
      </w:r>
      <w:r>
        <w:rPr>
          <w:color w:val="000000"/>
          <w:sz w:val="24"/>
          <w:szCs w:val="26"/>
        </w:rPr>
        <w:t xml:space="preserve"> </w:t>
      </w:r>
      <w:r>
        <w:rPr>
          <w:color w:val="000000"/>
          <w:sz w:val="24"/>
          <w:szCs w:val="26"/>
        </w:rPr>
        <w:t>Medicinal and economic palnt of Nupeland, Jube Evans Books and Publication, p. 241.</w:t>
      </w:r>
    </w:p>
    <w:p>
      <w:pPr>
        <w:pStyle w:val="style0"/>
        <w:spacing w:after="0" w:lineRule="auto" w:line="480"/>
        <w:ind w:left="720" w:hanging="720"/>
        <w:jc w:val="both"/>
        <w:rPr>
          <w:color w:val="000000"/>
          <w:sz w:val="24"/>
          <w:szCs w:val="26"/>
        </w:rPr>
      </w:pPr>
      <w:r>
        <w:rPr>
          <w:color w:val="000000"/>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pPr>
        <w:pStyle w:val="style0"/>
        <w:spacing w:after="0" w:lineRule="auto" w:line="480"/>
        <w:ind w:left="720" w:hanging="720"/>
        <w:jc w:val="both"/>
        <w:rPr>
          <w:color w:val="000000"/>
          <w:sz w:val="24"/>
          <w:szCs w:val="26"/>
        </w:rPr>
      </w:pPr>
      <w:r>
        <w:rPr>
          <w:color w:val="000000"/>
          <w:sz w:val="24"/>
          <w:szCs w:val="26"/>
        </w:rPr>
        <w:t xml:space="preserve">Martin, P. (1997). </w:t>
      </w:r>
      <w:r>
        <w:rPr>
          <w:color w:val="000000"/>
          <w:sz w:val="24"/>
          <w:szCs w:val="26"/>
        </w:rPr>
        <w:t>Wound healing—aiming for perfect skin regeneration.</w:t>
      </w:r>
      <w:r>
        <w:rPr>
          <w:color w:val="000000"/>
          <w:sz w:val="24"/>
          <w:szCs w:val="26"/>
        </w:rPr>
        <w:t xml:space="preserve"> Science, 276(5309), 75-81.</w:t>
      </w:r>
    </w:p>
    <w:p>
      <w:pPr>
        <w:pStyle w:val="style0"/>
        <w:spacing w:after="0" w:lineRule="auto" w:line="480"/>
        <w:ind w:left="720" w:hanging="720"/>
        <w:jc w:val="both"/>
        <w:rPr>
          <w:color w:val="000000"/>
          <w:sz w:val="24"/>
          <w:szCs w:val="26"/>
        </w:rPr>
      </w:pPr>
      <w:r>
        <w:rPr>
          <w:color w:val="000000"/>
          <w:sz w:val="24"/>
          <w:szCs w:val="26"/>
        </w:rPr>
        <w:t>Máthé, Á. and Khan, I.A. (2022).</w:t>
      </w:r>
      <w:r>
        <w:rPr>
          <w:color w:val="000000"/>
          <w:sz w:val="24"/>
          <w:szCs w:val="26"/>
        </w:rPr>
        <w:t xml:space="preserve"> </w:t>
      </w:r>
      <w:r>
        <w:rPr>
          <w:color w:val="000000"/>
          <w:sz w:val="24"/>
          <w:szCs w:val="26"/>
        </w:rPr>
        <w:t>Introduction to Medicinal and Aromatic Plants in India.</w:t>
      </w:r>
      <w:r>
        <w:rPr>
          <w:color w:val="000000"/>
          <w:sz w:val="24"/>
          <w:szCs w:val="26"/>
        </w:rPr>
        <w:t xml:space="preserve"> In Á. Máthé &amp; I. A. Khan (Eds.), </w:t>
      </w:r>
      <w:r>
        <w:rPr>
          <w:i/>
          <w:color w:val="000000"/>
          <w:sz w:val="24"/>
          <w:szCs w:val="26"/>
        </w:rPr>
        <w:t>Springer International Publishing, 1</w:t>
      </w:r>
      <w:r>
        <w:rPr>
          <w:color w:val="000000"/>
          <w:sz w:val="24"/>
          <w:szCs w:val="26"/>
        </w:rPr>
        <w:t>, 1-34.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Mbagwu, F. N., &amp; Okoro, U. M. (2017).</w:t>
      </w:r>
      <w:r>
        <w:rPr>
          <w:rFonts w:eastAsia="Times New Roman"/>
          <w:color w:val="000000"/>
          <w:sz w:val="24"/>
          <w:szCs w:val="26"/>
        </w:rPr>
        <w:t xml:space="preserve"> </w:t>
      </w:r>
      <w:r>
        <w:rPr>
          <w:rFonts w:eastAsia="Times New Roman"/>
          <w:color w:val="000000"/>
          <w:sz w:val="24"/>
          <w:szCs w:val="26"/>
        </w:rPr>
        <w:t xml:space="preserve">Anti-inflammatory and analgesic effects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w:t>
      </w:r>
      <w:r>
        <w:rPr>
          <w:color w:val="000000"/>
          <w:szCs w:val="26"/>
        </w:rPr>
        <w:t xml:space="preserve">Anti-inflammatory and analgesic effects of </w:t>
      </w:r>
      <w:r>
        <w:rPr>
          <w:rStyle w:val="style88"/>
          <w:color w:val="000000"/>
          <w:szCs w:val="26"/>
        </w:rPr>
        <w:t>Sida acuta</w:t>
      </w:r>
      <w:r>
        <w:rPr>
          <w:color w:val="000000"/>
          <w:szCs w:val="26"/>
        </w:rPr>
        <w:t xml:space="preserve"> phenols.</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Iron content and nutritional significance of </w:t>
      </w:r>
      <w:r>
        <w:rPr>
          <w:rStyle w:val="style88"/>
          <w:color w:val="000000"/>
          <w:szCs w:val="26"/>
        </w:rPr>
        <w:t>Sida acuta</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0"/>
        <w:spacing w:after="0" w:lineRule="auto" w:line="480"/>
        <w:ind w:left="720" w:hanging="720"/>
        <w:jc w:val="both"/>
        <w:rPr>
          <w:color w:val="000000"/>
          <w:sz w:val="24"/>
          <w:szCs w:val="26"/>
        </w:rPr>
      </w:pPr>
      <w:r>
        <w:rPr>
          <w:color w:val="000000"/>
          <w:sz w:val="24"/>
          <w:szCs w:val="26"/>
        </w:rPr>
        <w:t>Mohan M, Natarajan R, Kaur K, Gurnani B. Treatment approach to corneal ulcer. TNOA J Ophthalmic Sci Res 2023</w:t>
      </w:r>
      <w:r>
        <w:rPr>
          <w:color w:val="000000"/>
          <w:sz w:val="24"/>
          <w:szCs w:val="26"/>
        </w:rPr>
        <w:t>;61:396</w:t>
      </w:r>
      <w:r>
        <w:rPr>
          <w:color w:val="000000"/>
          <w:sz w:val="24"/>
          <w:szCs w:val="26"/>
        </w:rPr>
        <w:t>-407.</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Mohideen, S., Sasikala, E., &amp; Gopal, V. (2002).</w:t>
      </w:r>
      <w:r>
        <w:rPr>
          <w:color w:val="000000"/>
          <w:sz w:val="24"/>
          <w:szCs w:val="26"/>
          <w:shd w:val="clear" w:color="auto" w:fill="ffffff"/>
        </w:rPr>
        <w:t xml:space="preserve">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pPr>
        <w:pStyle w:val="style0"/>
        <w:spacing w:after="0" w:lineRule="auto" w:line="480"/>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w:t>
      </w:r>
      <w:r>
        <w:rPr>
          <w:color w:val="000000"/>
          <w:sz w:val="24"/>
          <w:szCs w:val="26"/>
        </w:rPr>
        <w:t>Plastic and Reconstructive Surgery, 117(7S), 35S-41S.</w:t>
      </w:r>
    </w:p>
    <w:p>
      <w:pPr>
        <w:pStyle w:val="style0"/>
        <w:spacing w:after="0" w:lineRule="auto" w:line="480"/>
        <w:ind w:left="720" w:hanging="720"/>
        <w:jc w:val="both"/>
        <w:rPr>
          <w:color w:val="000000"/>
          <w:sz w:val="24"/>
          <w:szCs w:val="26"/>
        </w:rPr>
      </w:pPr>
      <w:r>
        <w:rPr>
          <w:color w:val="000000"/>
          <w:sz w:val="24"/>
          <w:szCs w:val="26"/>
        </w:rPr>
        <w:t>Nilsson C, Sillen A, Eriksson L, Strand ML, Enroth H, Normark S, et al. Correlation between cag pathogenicity island composition and Helicobacter pylori-associated gastroduodenal disease. Infect Immun 2003</w:t>
      </w:r>
      <w:r>
        <w:rPr>
          <w:color w:val="000000"/>
          <w:sz w:val="24"/>
          <w:szCs w:val="26"/>
        </w:rPr>
        <w:t>;71:6573</w:t>
      </w:r>
      <w:r>
        <w:rPr>
          <w:color w:val="000000"/>
          <w:sz w:val="24"/>
          <w:szCs w:val="26"/>
        </w:rPr>
        <w:t>-81.</w:t>
      </w:r>
    </w:p>
    <w:p>
      <w:pPr>
        <w:pStyle w:val="style0"/>
        <w:spacing w:after="0" w:lineRule="auto" w:line="480"/>
        <w:ind w:left="720" w:hanging="720"/>
        <w:jc w:val="both"/>
        <w:rPr>
          <w:color w:val="000000"/>
          <w:sz w:val="24"/>
          <w:szCs w:val="26"/>
        </w:rPr>
      </w:pPr>
      <w:r>
        <w:rPr>
          <w:color w:val="000000"/>
          <w:sz w:val="24"/>
          <w:szCs w:val="26"/>
        </w:rPr>
        <w:t>Nussbaum, S. R., Carter, M. J., Fife, C. E., DaVanzo, J., Haught, R., Nusgart, M., &amp; Cartwright, D. (2018).</w:t>
      </w:r>
      <w:r>
        <w:rPr>
          <w:color w:val="000000"/>
          <w:sz w:val="24"/>
          <w:szCs w:val="26"/>
        </w:rPr>
        <w:t xml:space="preserve"> </w:t>
      </w:r>
      <w:r>
        <w:rPr>
          <w:color w:val="000000"/>
          <w:sz w:val="24"/>
          <w:szCs w:val="26"/>
        </w:rPr>
        <w:t>An economic evaluation of the impact, cost, and Medicare policy implications of chronic nonhealing wounds.</w:t>
      </w:r>
      <w:r>
        <w:rPr>
          <w:color w:val="000000"/>
          <w:sz w:val="24"/>
          <w:szCs w:val="26"/>
        </w:rPr>
        <w:t xml:space="preserve"> Value in Health, 21(1), 27-32.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Ogunyemi, O. M., Adewoyin, F. B., &amp; Olukemi, O. A. (2019).</w:t>
      </w:r>
      <w:r>
        <w:rPr>
          <w:rFonts w:eastAsia="Times New Roman"/>
          <w:color w:val="000000"/>
          <w:sz w:val="24"/>
          <w:szCs w:val="26"/>
        </w:rPr>
        <w:t xml:space="preserve"> </w:t>
      </w:r>
      <w:r>
        <w:rPr>
          <w:rFonts w:eastAsia="Times New Roman"/>
          <w:color w:val="000000"/>
          <w:sz w:val="24"/>
          <w:szCs w:val="26"/>
        </w:rPr>
        <w:t xml:space="preserve">Phytochemical screening and biological activities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biological activities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mineral analysis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Okokon, J. E., Udoh, A. M., &amp; Akpan, A. B. (2018).</w:t>
      </w:r>
      <w:r>
        <w:rPr>
          <w:color w:val="000000"/>
          <w:szCs w:val="26"/>
        </w:rPr>
        <w:t xml:space="preserve"> Medicinal properties of </w:t>
      </w:r>
      <w:r>
        <w:rPr>
          <w:rStyle w:val="style88"/>
          <w:color w:val="000000"/>
          <w:szCs w:val="26"/>
        </w:rPr>
        <w:t>Sida acuta</w:t>
      </w:r>
      <w:r>
        <w:rPr>
          <w:color w:val="000000"/>
          <w:szCs w:val="26"/>
        </w:rPr>
        <w:t xml:space="preserve">: A review. </w:t>
      </w:r>
      <w:r>
        <w:rPr>
          <w:rStyle w:val="style88"/>
          <w:color w:val="000000"/>
          <w:szCs w:val="26"/>
        </w:rPr>
        <w:t>Journal of Natural Products, 81</w:t>
      </w:r>
      <w:r>
        <w:rPr>
          <w:color w:val="000000"/>
          <w:szCs w:val="26"/>
        </w:rPr>
        <w:t>(2), 74-88.</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Olajide, O. A., Awe, S. O., &amp; Makinde, J. M. (2019).</w:t>
      </w:r>
      <w:r>
        <w:rPr>
          <w:rFonts w:eastAsia="Times New Roman"/>
          <w:color w:val="000000"/>
          <w:sz w:val="24"/>
          <w:szCs w:val="26"/>
        </w:rPr>
        <w:t xml:space="preserve">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Antimicrobial activity of </w:t>
      </w:r>
      <w:r>
        <w:rPr>
          <w:rStyle w:val="style88"/>
          <w:color w:val="000000"/>
          <w:szCs w:val="26"/>
        </w:rPr>
        <w:t>Sida acuta</w:t>
      </w:r>
      <w:r>
        <w:rPr>
          <w:color w:val="000000"/>
          <w:szCs w:val="26"/>
        </w:rPr>
        <w:t xml:space="preserve"> extracts.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Sodium and potassium balance in medicinal plants: The case of </w:t>
      </w:r>
      <w:r>
        <w:rPr>
          <w:rStyle w:val="style88"/>
          <w:color w:val="000000"/>
          <w:szCs w:val="26"/>
        </w:rPr>
        <w:t>Sida acuta</w:t>
      </w:r>
      <w:r>
        <w:rPr>
          <w:color w:val="000000"/>
          <w:szCs w:val="26"/>
        </w:rPr>
        <w:t xml:space="preserve">.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0"/>
        <w:spacing w:after="0" w:lineRule="auto" w:line="480"/>
        <w:ind w:left="720" w:hanging="720"/>
        <w:jc w:val="both"/>
        <w:rPr>
          <w:color w:val="000000"/>
          <w:sz w:val="24"/>
          <w:szCs w:val="26"/>
        </w:rPr>
      </w:pPr>
      <w:r>
        <w:rPr>
          <w:color w:val="000000"/>
          <w:sz w:val="24"/>
          <w:szCs w:val="26"/>
        </w:rPr>
        <w:t>Pastar, I., Stojadinovic, O., Yin, N. C., Ramirez, H., Nusbaum, A. G., Sawaya, A</w:t>
      </w:r>
      <w:r>
        <w:rPr>
          <w:color w:val="000000"/>
          <w:sz w:val="24"/>
          <w:szCs w:val="26"/>
        </w:rPr>
        <w:t>., ...</w:t>
      </w:r>
      <w:r>
        <w:rPr>
          <w:color w:val="000000"/>
          <w:sz w:val="24"/>
          <w:szCs w:val="26"/>
        </w:rPr>
        <w:t xml:space="preserve"> &amp; Tomic-Canic, M. (2014). Epithelialization in wound healing: A comprehensive review. Advances in Wound Care, 3(7), 445-464.</w:t>
      </w:r>
    </w:p>
    <w:p>
      <w:pPr>
        <w:pStyle w:val="style0"/>
        <w:spacing w:after="0" w:lineRule="auto" w:line="480"/>
        <w:ind w:left="720" w:hanging="720"/>
        <w:jc w:val="both"/>
        <w:rPr>
          <w:color w:val="000000"/>
          <w:sz w:val="24"/>
          <w:szCs w:val="26"/>
        </w:rPr>
      </w:pPr>
      <w:r>
        <w:rPr>
          <w:color w:val="000000"/>
          <w:sz w:val="24"/>
          <w:szCs w:val="26"/>
        </w:rPr>
        <w:t>Philip, B. K., Muralidharan, A., Natarajan, B., Varadamurthy, S., Venkataraman, S., 2008.</w:t>
      </w:r>
      <w:r>
        <w:rPr>
          <w:color w:val="000000"/>
          <w:sz w:val="24"/>
          <w:szCs w:val="26"/>
        </w:rPr>
        <w:t xml:space="preserve"> </w:t>
      </w:r>
      <w:r>
        <w:rPr>
          <w:color w:val="000000"/>
          <w:sz w:val="24"/>
          <w:szCs w:val="26"/>
        </w:rPr>
        <w:t>Preliminary evaluation of anti-pyretic and anti-ulcerogenic activities of Sida cordifolia methanolic extract.</w:t>
      </w:r>
      <w:r>
        <w:rPr>
          <w:color w:val="000000"/>
          <w:sz w:val="24"/>
          <w:szCs w:val="26"/>
        </w:rPr>
        <w:t xml:space="preserve"> Fitoterapia 79, 229-231.</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PMC</w:t>
      </w:r>
      <w:r>
        <w:rPr>
          <w:rFonts w:eastAsia="Times New Roman"/>
          <w:color w:val="000000"/>
          <w:sz w:val="24"/>
          <w:szCs w:val="26"/>
        </w:rPr>
        <w:t>.</w:t>
      </w:r>
      <w:r>
        <w:rPr>
          <w:rFonts w:eastAsia="Times New Roman"/>
          <w:color w:val="000000"/>
          <w:sz w:val="24"/>
          <w:szCs w:val="26"/>
        </w:rPr>
        <w:t xml:space="preserve"> (2007). Corneal Ulcer: Diagnosis and Management. Retrieved from </w:t>
      </w:r>
      <w:r>
        <w:rPr/>
        <w:fldChar w:fldCharType="begin"/>
      </w:r>
      <w:r>
        <w:instrText xml:space="preserve"> HYPERLINK "https://pmc.ncbi.nlm.nih.gov/articles/PMC1706003/" \t "_blank" </w:instrText>
      </w:r>
      <w:r>
        <w:rPr/>
        <w:fldChar w:fldCharType="separate"/>
      </w:r>
      <w:r>
        <w:rPr>
          <w:rFonts w:eastAsia="Times New Roman"/>
          <w:color w:val="000000"/>
          <w:sz w:val="24"/>
          <w:szCs w:val="26"/>
          <w:bdr w:val="single" w:sz="2" w:space="0" w:color="e5e7eb" w:frame="true"/>
        </w:rPr>
        <w:t>https://pmc.ncbi.nlm.nih.gov/articles/PMC1706003/</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Porter, S. R., &amp; Leao, J. C. (2005).</w:t>
      </w:r>
      <w:r>
        <w:rPr>
          <w:rFonts w:eastAsia="Times New Roman"/>
          <w:color w:val="000000"/>
          <w:sz w:val="24"/>
          <w:szCs w:val="26"/>
        </w:rPr>
        <w:t> </w:t>
      </w:r>
      <w:r>
        <w:rPr>
          <w:rFonts w:eastAsia="Times New Roman"/>
          <w:i/>
          <w:iCs/>
          <w:color w:val="000000"/>
          <w:sz w:val="24"/>
          <w:szCs w:val="26"/>
        </w:rPr>
        <w:t>Review article: oral ulcers and its relevance to systemic disorders. Alimentary Pharmacology and Therapeutics, 21(4), 295–306.</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Raimi, M.M.; Oyekanmi, A.M. and Adegoke, B.M. (2014).</w:t>
      </w:r>
      <w:r>
        <w:rPr>
          <w:color w:val="000000"/>
          <w:sz w:val="24"/>
          <w:szCs w:val="26"/>
        </w:rPr>
        <w:t xml:space="preserve"> </w:t>
      </w:r>
      <w:r>
        <w:rPr>
          <w:color w:val="000000"/>
          <w:sz w:val="24"/>
          <w:szCs w:val="26"/>
        </w:rPr>
        <w:t>Proximate, phytochemical and micronutrient composition of Sida acuta.</w:t>
      </w:r>
      <w:r>
        <w:rPr>
          <w:color w:val="000000"/>
          <w:sz w:val="24"/>
          <w:szCs w:val="26"/>
        </w:rPr>
        <w:t xml:space="preserve"> IOSR J. Appl. Chem., 7(2):93-98.</w:t>
      </w:r>
    </w:p>
    <w:p>
      <w:pPr>
        <w:pStyle w:val="style0"/>
        <w:spacing w:after="0" w:lineRule="auto" w:line="480"/>
        <w:ind w:left="720" w:hanging="720"/>
        <w:jc w:val="both"/>
        <w:rPr>
          <w:color w:val="000000"/>
          <w:sz w:val="24"/>
          <w:szCs w:val="26"/>
        </w:rPr>
      </w:pPr>
      <w:r>
        <w:rPr>
          <w:color w:val="000000"/>
          <w:sz w:val="24"/>
          <w:szCs w:val="26"/>
        </w:rPr>
        <w:t>Raja JM, Maturana MA, Kayali S, Khouzam A, Efeovbokhan N. Diabetic foot ulcer: A comprehensive review of pathophysiology and management modalities. </w:t>
      </w:r>
      <w:r>
        <w:rPr>
          <w:rStyle w:val="style88"/>
          <w:color w:val="000000"/>
          <w:sz w:val="24"/>
          <w:szCs w:val="26"/>
        </w:rPr>
        <w:t>World J Clin Cases</w:t>
      </w:r>
      <w:r>
        <w:rPr>
          <w:color w:val="000000"/>
          <w:sz w:val="24"/>
          <w:szCs w:val="26"/>
        </w:rPr>
        <w:t xml:space="preserve"> 2023; 11(8): 1684-1693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ResearchGate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Treatment approach to corneal ulcer- Major Review.</w:t>
      </w:r>
      <w:r>
        <w:rPr>
          <w:rFonts w:eastAsia="Times New Roman"/>
          <w:color w:val="000000"/>
          <w:sz w:val="24"/>
          <w:szCs w:val="26"/>
        </w:rPr>
        <w:t xml:space="preserve"> Retrieved from </w:t>
      </w:r>
      <w:r>
        <w:rPr/>
        <w:fldChar w:fldCharType="begin"/>
      </w:r>
      <w:r>
        <w:instrText xml:space="preserve"> HYPERLINK "https://www.researchgate.net/publication/376854727_Treatment_approach_to_corneal_ulcer-_Major_Review" \t "_blank" </w:instrText>
      </w:r>
      <w:r>
        <w:rPr/>
        <w:fldChar w:fldCharType="separate"/>
      </w:r>
      <w:r>
        <w:rPr>
          <w:rFonts w:eastAsia="Times New Roman"/>
          <w:color w:val="000000"/>
          <w:sz w:val="24"/>
          <w:szCs w:val="26"/>
          <w:bdr w:val="single" w:sz="2" w:space="0" w:color="e5e7eb" w:frame="true"/>
        </w:rPr>
        <w:t>https://www.researchgate.net/publication/376854727_Treatment_approach_to_corneal_ulcer-_Major_Review</w:t>
      </w:r>
      <w:r>
        <w:rPr/>
        <w:fldChar w:fldCharType="end"/>
      </w:r>
    </w:p>
    <w:p>
      <w:pPr>
        <w:pStyle w:val="style0"/>
        <w:spacing w:after="0" w:lineRule="auto" w:line="480"/>
        <w:ind w:left="720" w:hanging="720"/>
        <w:jc w:val="both"/>
        <w:rPr>
          <w:color w:val="000000"/>
          <w:sz w:val="24"/>
          <w:szCs w:val="26"/>
        </w:rPr>
      </w:pPr>
      <w:r>
        <w:rPr>
          <w:color w:val="000000"/>
          <w:sz w:val="24"/>
          <w:szCs w:val="26"/>
        </w:rPr>
        <w:t>Sadeghian, G., Ziaei, H., &amp; Nilforoushzadeh, M. A. (2020).</w:t>
      </w:r>
      <w:r>
        <w:rPr>
          <w:color w:val="000000"/>
          <w:sz w:val="24"/>
          <w:szCs w:val="26"/>
        </w:rPr>
        <w:t xml:space="preserve"> </w:t>
      </w:r>
      <w:r>
        <w:rPr>
          <w:color w:val="000000"/>
          <w:sz w:val="24"/>
          <w:szCs w:val="26"/>
        </w:rPr>
        <w:t>Cutaneous infections leading to ulceration.</w:t>
      </w:r>
      <w:r>
        <w:rPr>
          <w:color w:val="000000"/>
          <w:sz w:val="24"/>
          <w:szCs w:val="26"/>
        </w:rPr>
        <w:t xml:space="preserve"> Journal of Cutaneous Medicine and Surgery, 24(1), 12-21.</w:t>
      </w:r>
    </w:p>
    <w:p>
      <w:pPr>
        <w:pStyle w:val="style0"/>
        <w:spacing w:after="0" w:lineRule="auto" w:line="480"/>
        <w:ind w:left="720" w:hanging="720"/>
        <w:jc w:val="both"/>
        <w:rPr>
          <w:color w:val="000000"/>
          <w:sz w:val="24"/>
          <w:szCs w:val="26"/>
        </w:rPr>
      </w:pPr>
      <w:r>
        <w:rPr>
          <w:color w:val="000000"/>
          <w:sz w:val="24"/>
          <w:szCs w:val="26"/>
        </w:rPr>
        <w:t xml:space="preserve">Scully C, Epstein J, Sonis S. Oral mucositis: a challenging complication of radiotherapy, chemotherapy, and radiochemotherapy: Part 2. </w:t>
      </w:r>
      <w:r>
        <w:rPr>
          <w:color w:val="000000"/>
          <w:sz w:val="24"/>
          <w:szCs w:val="26"/>
        </w:rPr>
        <w:t>diagnosis</w:t>
      </w:r>
      <w:r>
        <w:rPr>
          <w:color w:val="000000"/>
          <w:sz w:val="24"/>
          <w:szCs w:val="26"/>
        </w:rPr>
        <w:t xml:space="preserve"> and management of mucositis. Head Neck 2004; 26: 77–84.</w:t>
      </w:r>
    </w:p>
    <w:p>
      <w:pPr>
        <w:pStyle w:val="style0"/>
        <w:spacing w:after="0" w:lineRule="auto" w:line="480"/>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pPr>
        <w:pStyle w:val="style0"/>
        <w:spacing w:after="0" w:lineRule="auto" w:line="480"/>
        <w:ind w:left="720" w:hanging="720"/>
        <w:jc w:val="both"/>
        <w:rPr>
          <w:color w:val="000000"/>
          <w:sz w:val="24"/>
          <w:szCs w:val="26"/>
        </w:rPr>
      </w:pPr>
      <w:r>
        <w:rPr>
          <w:color w:val="000000"/>
          <w:sz w:val="24"/>
          <w:szCs w:val="26"/>
        </w:rPr>
        <w:t>Sen, C. K., Gordillo, G. M., Roy, S., Kirsner, R., Lambert, L., Hunt, T. K</w:t>
      </w:r>
      <w:r>
        <w:rPr>
          <w:color w:val="000000"/>
          <w:sz w:val="24"/>
          <w:szCs w:val="26"/>
        </w:rPr>
        <w:t>., ...</w:t>
      </w:r>
      <w:r>
        <w:rPr>
          <w:color w:val="000000"/>
          <w:sz w:val="24"/>
          <w:szCs w:val="26"/>
        </w:rPr>
        <w:t xml:space="preserve"> &amp; Longaker, M. T. (2009). Human skin wounds: A major and snowballing threat to public health and the economy. Wound Repair and Regeneration, 17(6), 763-771.</w:t>
      </w:r>
    </w:p>
    <w:p>
      <w:pPr>
        <w:pStyle w:val="style0"/>
        <w:spacing w:after="0" w:lineRule="auto" w:line="480"/>
        <w:ind w:left="720" w:hanging="720"/>
        <w:jc w:val="both"/>
        <w:rPr>
          <w:color w:val="000000"/>
          <w:sz w:val="24"/>
          <w:szCs w:val="26"/>
        </w:rPr>
      </w:pPr>
      <w:r>
        <w:rPr>
          <w:color w:val="000000"/>
          <w:sz w:val="24"/>
          <w:szCs w:val="26"/>
        </w:rPr>
        <w:t>Shittu, Alagbe JO. Phyto-Nutritional Profiles of Broom Weed (Sida acuta) Leaf Extract. Ann Clin Toxicol. 2020; 3(2): 1032.</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w:t>
      </w:r>
      <w:r>
        <w:rPr>
          <w:i/>
          <w:iCs/>
          <w:color w:val="000000"/>
          <w:sz w:val="24"/>
          <w:szCs w:val="26"/>
          <w:shd w:val="clear" w:color="auto" w:fill="ffffff"/>
        </w:rPr>
        <w:t xml:space="preserve"> f.: a medicinal plant with numerous potencies. African Journal of Biotechnology, 6(25), 2953–2959.</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w:t>
      </w:r>
      <w:r>
        <w:rPr>
          <w:color w:val="000000"/>
          <w:sz w:val="24"/>
          <w:szCs w:val="26"/>
          <w:shd w:val="clear" w:color="auto" w:fill="ffffff"/>
        </w:rPr>
        <w:t>., …</w:t>
      </w:r>
      <w:r>
        <w:rPr>
          <w:color w:val="000000"/>
          <w:sz w:val="24"/>
          <w:szCs w:val="26"/>
          <w:shd w:val="clear" w:color="auto" w:fill="ffffff"/>
        </w:rPr>
        <w:t xml:space="preserve"> Rajasekharan, S. (2009). </w:t>
      </w:r>
      <w:r>
        <w:rPr>
          <w:i/>
          <w:iCs/>
          <w:color w:val="000000"/>
          <w:sz w:val="24"/>
          <w:szCs w:val="26"/>
          <w:shd w:val="clear" w:color="auto" w:fill="ffffff"/>
        </w:rPr>
        <w:t>Hepatoprotective studies on Sida acuta Burm. f. Journal of Ethnopharmacology, 124(2), 171–175.</w:t>
      </w:r>
    </w:p>
    <w:p>
      <w:pPr>
        <w:pStyle w:val="style0"/>
        <w:spacing w:after="0" w:lineRule="auto" w:line="480"/>
        <w:ind w:left="720" w:hanging="720"/>
        <w:jc w:val="both"/>
        <w:rPr>
          <w:color w:val="000000"/>
          <w:sz w:val="24"/>
          <w:szCs w:val="26"/>
        </w:rPr>
      </w:pPr>
      <w:r>
        <w:rPr>
          <w:color w:val="000000"/>
          <w:sz w:val="24"/>
          <w:szCs w:val="26"/>
          <w:shd w:val="clear" w:color="auto" w:fill="ffffff"/>
        </w:rPr>
        <w:t>Srinivasan, N., &amp; Murali, R. (2022).</w:t>
      </w:r>
      <w:r>
        <w:rPr>
          <w:color w:val="000000"/>
          <w:sz w:val="24"/>
          <w:szCs w:val="26"/>
          <w:shd w:val="clear" w:color="auto" w:fill="ffffff"/>
        </w:rPr>
        <w:t xml:space="preserve"> </w:t>
      </w:r>
      <w:r>
        <w:rPr>
          <w:color w:val="000000"/>
          <w:sz w:val="24"/>
          <w:szCs w:val="26"/>
          <w:shd w:val="clear" w:color="auto" w:fill="ffffff"/>
        </w:rPr>
        <w:t>An overview of the traditional importance, phytochemistry, and pharmacological properties of Sida acuta Burm.</w:t>
      </w:r>
      <w:r>
        <w:rPr>
          <w:color w:val="000000"/>
          <w:sz w:val="24"/>
          <w:szCs w:val="26"/>
          <w:shd w:val="clear" w:color="auto" w:fill="ffffff"/>
        </w:rPr>
        <w:t xml:space="preserve">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StatPearls - NCBI Bookshelf</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Corneal Ulcer.</w:t>
      </w:r>
      <w:r>
        <w:rPr>
          <w:rFonts w:eastAsia="Times New Roman"/>
          <w:color w:val="000000"/>
          <w:sz w:val="24"/>
          <w:szCs w:val="26"/>
        </w:rPr>
        <w:t xml:space="preserve"> Retrieved from </w:t>
      </w:r>
      <w:r>
        <w:rPr/>
        <w:fldChar w:fldCharType="begin"/>
      </w:r>
      <w:r>
        <w:instrText xml:space="preserve"> HYPERLINK "https://www.ncbi.nlm.nih.gov/books/NBK539689/" \t "_blank" </w:instrText>
      </w:r>
      <w:r>
        <w:rPr/>
        <w:fldChar w:fldCharType="separate"/>
      </w:r>
      <w:r>
        <w:rPr>
          <w:rFonts w:eastAsia="Times New Roman"/>
          <w:color w:val="000000"/>
          <w:sz w:val="24"/>
          <w:szCs w:val="26"/>
          <w:bdr w:val="single" w:sz="2" w:space="0" w:color="e5e7eb" w:frame="true"/>
        </w:rPr>
        <w:t>https://www.ncbi.nlm.nih.gov/books/NBK539689/</w:t>
      </w:r>
      <w:r>
        <w:rPr/>
        <w:fldChar w:fldCharType="end"/>
      </w:r>
    </w:p>
    <w:p>
      <w:pPr>
        <w:pStyle w:val="style0"/>
        <w:spacing w:after="0" w:lineRule="auto" w:line="480"/>
        <w:ind w:left="720" w:hanging="720"/>
        <w:jc w:val="both"/>
        <w:rPr>
          <w:color w:val="000000"/>
          <w:sz w:val="24"/>
          <w:szCs w:val="26"/>
        </w:rPr>
      </w:pPr>
      <w:r>
        <w:rPr>
          <w:color w:val="000000"/>
          <w:sz w:val="24"/>
          <w:szCs w:val="26"/>
        </w:rPr>
        <w:t>Stern, A., &amp; Neuman, M. (2019).</w:t>
      </w:r>
      <w:r>
        <w:rPr>
          <w:color w:val="000000"/>
          <w:sz w:val="24"/>
          <w:szCs w:val="26"/>
        </w:rPr>
        <w:t xml:space="preserve"> </w:t>
      </w:r>
      <w:r>
        <w:rPr>
          <w:color w:val="000000"/>
          <w:sz w:val="24"/>
          <w:szCs w:val="26"/>
        </w:rPr>
        <w:t>Pathophysiology and prevention of pressure ulcers.</w:t>
      </w:r>
      <w:r>
        <w:rPr>
          <w:color w:val="000000"/>
          <w:sz w:val="24"/>
          <w:szCs w:val="26"/>
        </w:rPr>
        <w:t xml:space="preserve"> International Journal of Nursing Studies, 97, 19-28.</w:t>
      </w:r>
    </w:p>
    <w:p>
      <w:pPr>
        <w:pStyle w:val="style0"/>
        <w:spacing w:after="0" w:lineRule="auto" w:line="480"/>
        <w:ind w:left="720" w:hanging="720"/>
        <w:jc w:val="both"/>
        <w:rPr>
          <w:rFonts w:eastAsia="Times New Roman"/>
          <w:color w:val="000000"/>
          <w:sz w:val="24"/>
          <w:szCs w:val="26"/>
        </w:rPr>
      </w:pPr>
      <w:r>
        <w:rPr>
          <w:color w:val="000000"/>
          <w:sz w:val="24"/>
          <w:szCs w:val="26"/>
        </w:rPr>
        <w:t>Stokman MA, Spijkervet FK, Burlage FR, et al. Oral mucositis and selective elimination of oral flora in head and neck cancer patients receiving radiotherapy: a double-blind randomised clinical trial. Br J Cancer 2003; 88: 1012–6.</w:t>
      </w:r>
    </w:p>
    <w:p>
      <w:pPr>
        <w:pStyle w:val="style0"/>
        <w:spacing w:after="0" w:lineRule="auto" w:line="480"/>
        <w:ind w:left="720" w:hanging="720"/>
        <w:jc w:val="both"/>
        <w:rPr>
          <w:color w:val="000000"/>
          <w:sz w:val="24"/>
          <w:szCs w:val="26"/>
        </w:rPr>
      </w:pPr>
      <w:r>
        <w:rPr>
          <w:color w:val="000000"/>
          <w:sz w:val="24"/>
          <w:szCs w:val="26"/>
        </w:rPr>
        <w:t>Sung JJ, Kuipers EJ, El-Serag HB.</w:t>
      </w:r>
      <w:r>
        <w:rPr>
          <w:color w:val="000000"/>
          <w:sz w:val="24"/>
          <w:szCs w:val="26"/>
        </w:rPr>
        <w:t xml:space="preserve"> Systematic review: the global incidence and prevalence of peptic ulcer disease. Aliment Pharmacol Ther 2009</w:t>
      </w:r>
      <w:r>
        <w:rPr>
          <w:color w:val="000000"/>
          <w:sz w:val="24"/>
          <w:szCs w:val="26"/>
        </w:rPr>
        <w:t>;29:938</w:t>
      </w:r>
      <w:r>
        <w:rPr>
          <w:color w:val="000000"/>
          <w:sz w:val="24"/>
          <w:szCs w:val="26"/>
        </w:rPr>
        <w:t>-46.</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Tcheghebe, O. T., Seukep, A. J., &amp; Tatong, F. N. (2017).</w:t>
      </w:r>
      <w:r>
        <w:rPr>
          <w:color w:val="000000"/>
          <w:sz w:val="24"/>
          <w:szCs w:val="26"/>
          <w:shd w:val="clear" w:color="auto" w:fill="ffffff"/>
        </w:rPr>
        <w:t xml:space="preserve">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pPr>
        <w:pStyle w:val="style0"/>
        <w:spacing w:after="0" w:lineRule="auto" w:line="480"/>
        <w:ind w:left="720" w:hanging="720"/>
        <w:jc w:val="both"/>
        <w:rPr>
          <w:color w:val="000000"/>
          <w:sz w:val="24"/>
          <w:szCs w:val="26"/>
        </w:rPr>
      </w:pPr>
      <w:r>
        <w:rPr>
          <w:color w:val="000000"/>
          <w:sz w:val="24"/>
          <w:szCs w:val="26"/>
        </w:rPr>
        <w:t>Tejas D. Pimple*</w:t>
      </w:r>
      <w:r>
        <w:rPr>
          <w:color w:val="000000"/>
          <w:sz w:val="24"/>
          <w:szCs w:val="26"/>
        </w:rPr>
        <w:t>1 ,</w:t>
      </w:r>
      <w:r>
        <w:rPr>
          <w:color w:val="000000"/>
          <w:sz w:val="24"/>
          <w:szCs w:val="26"/>
        </w:rPr>
        <w:t xml:space="preserve"> Sakshi N. Nagre1 , Bhushan R. Gandhare2 , Sadhana P. Gautam3 , Pooja P. Hulke4 (2024). A Systematic Review </w:t>
      </w:r>
      <w:r>
        <w:rPr>
          <w:color w:val="000000"/>
          <w:sz w:val="24"/>
          <w:szCs w:val="26"/>
        </w:rPr>
        <w:t>On</w:t>
      </w:r>
      <w:r>
        <w:rPr>
          <w:color w:val="000000"/>
          <w:sz w:val="24"/>
          <w:szCs w:val="26"/>
        </w:rPr>
        <w:t xml:space="preserve"> Sida Acuta Burm F.: Morphological Characteristics, Phytoconstituents And Pharmacological Activities. Int. J. of Pharm. Sci., 2024, Vol 2, Issue 2, 256-266.</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Uche, C. Z., Nwafor, I. G., &amp; Ekong, U. S. (2020).</w:t>
      </w:r>
      <w:r>
        <w:rPr>
          <w:rFonts w:eastAsia="Times New Roman"/>
          <w:color w:val="000000"/>
          <w:sz w:val="24"/>
          <w:szCs w:val="26"/>
        </w:rPr>
        <w:t xml:space="preserve"> </w:t>
      </w:r>
      <w:r>
        <w:rPr>
          <w:rFonts w:eastAsia="Times New Roman"/>
          <w:color w:val="000000"/>
          <w:sz w:val="24"/>
          <w:szCs w:val="26"/>
        </w:rPr>
        <w:t xml:space="preserve">Antioxidant properties of flavonoid-rich </w:t>
      </w:r>
      <w:r>
        <w:rPr>
          <w:rFonts w:eastAsia="Times New Roman"/>
          <w:i/>
          <w:iCs/>
          <w:color w:val="000000"/>
          <w:sz w:val="24"/>
          <w:szCs w:val="26"/>
        </w:rPr>
        <w:t>Sida acuta</w:t>
      </w:r>
      <w:r>
        <w:rPr>
          <w:rFonts w:eastAsia="Times New Roman"/>
          <w:color w:val="000000"/>
          <w:sz w:val="24"/>
          <w:szCs w:val="26"/>
        </w:rPr>
        <w:t xml:space="preserve"> extracts.</w:t>
      </w:r>
      <w:r>
        <w:rPr>
          <w:rFonts w:eastAsia="Times New Roman"/>
          <w:color w:val="000000"/>
          <w:sz w:val="24"/>
          <w:szCs w:val="26"/>
        </w:rPr>
        <w:t xml:space="preserve"> </w:t>
      </w:r>
      <w:r>
        <w:rPr>
          <w:rFonts w:eastAsia="Times New Roman"/>
          <w:i/>
          <w:iCs/>
          <w:color w:val="000000"/>
          <w:sz w:val="24"/>
          <w:szCs w:val="26"/>
        </w:rPr>
        <w:t>Biochemical Pharmacology, 28</w:t>
      </w:r>
      <w:r>
        <w:rPr>
          <w:rFonts w:eastAsia="Times New Roman"/>
          <w:color w:val="000000"/>
          <w:sz w:val="24"/>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w:t>
      </w:r>
      <w:r>
        <w:rPr>
          <w:color w:val="000000"/>
          <w:szCs w:val="26"/>
        </w:rPr>
        <w:t xml:space="preserve">Antioxidant properties of phenol-rich </w:t>
      </w:r>
      <w:r>
        <w:rPr>
          <w:rStyle w:val="style88"/>
          <w:color w:val="000000"/>
          <w:szCs w:val="26"/>
        </w:rPr>
        <w:t>Sida acuta</w:t>
      </w:r>
      <w:r>
        <w:rPr>
          <w:color w:val="000000"/>
          <w:szCs w:val="26"/>
        </w:rPr>
        <w:t xml:space="preserve"> extracts.</w:t>
      </w:r>
      <w:r>
        <w:rPr>
          <w:color w:val="000000"/>
          <w:szCs w:val="26"/>
        </w:rPr>
        <w:t xml:space="preserve">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Magnesium and calcium content of </w:t>
      </w:r>
      <w:r>
        <w:rPr>
          <w:rStyle w:val="style88"/>
          <w:color w:val="000000"/>
          <w:szCs w:val="26"/>
        </w:rPr>
        <w:t>Sida acuta</w:t>
      </w:r>
      <w:r>
        <w:rPr>
          <w:color w:val="000000"/>
          <w:szCs w:val="26"/>
        </w:rPr>
        <w:t xml:space="preserve"> and their health implications.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World Health Organization</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(2015). Guidelines for the Management of Corneal Ulcer.</w:t>
      </w:r>
      <w:r>
        <w:rPr>
          <w:rFonts w:eastAsia="Times New Roman"/>
          <w:color w:val="000000"/>
          <w:sz w:val="24"/>
          <w:szCs w:val="26"/>
        </w:rPr>
        <w:t xml:space="preserve"> Retrieved from </w:t>
      </w:r>
      <w:r>
        <w:rPr/>
        <w:fldChar w:fldCharType="begin"/>
      </w:r>
      <w:r>
        <w:instrText xml:space="preserve"> HYPERLINK "https://apps.who.int/iris/bitstream/10665/205174/1/B3516.pdf" \t "_blank" </w:instrText>
      </w:r>
      <w:r>
        <w:rPr/>
        <w:fldChar w:fldCharType="separate"/>
      </w:r>
      <w:r>
        <w:rPr>
          <w:rFonts w:eastAsia="Times New Roman"/>
          <w:color w:val="000000"/>
          <w:sz w:val="24"/>
          <w:szCs w:val="26"/>
          <w:bdr w:val="single" w:sz="2" w:space="0" w:color="e5e7eb" w:frame="true"/>
        </w:rPr>
        <w:t>https://apps.who.int/iris/bitstream/10665/205174/1/B3516.pdf</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Yogarajah, S., &amp; Setterfield, J. (2021).</w:t>
      </w:r>
      <w:r>
        <w:rPr>
          <w:rFonts w:eastAsia="Times New Roman"/>
          <w:color w:val="000000"/>
          <w:sz w:val="24"/>
          <w:szCs w:val="26"/>
        </w:rPr>
        <w:t> </w:t>
      </w:r>
      <w:r>
        <w:rPr>
          <w:rFonts w:eastAsia="Times New Roman"/>
          <w:i/>
          <w:iCs/>
          <w:color w:val="000000"/>
          <w:sz w:val="24"/>
          <w:szCs w:val="26"/>
        </w:rPr>
        <w:t>Mouth ulcers and diseases of the oral cavity.</w:t>
      </w:r>
      <w:r>
        <w:rPr>
          <w:rFonts w:eastAsia="Times New Roman"/>
          <w:i/>
          <w:iCs/>
          <w:color w:val="000000"/>
          <w:sz w:val="24"/>
          <w:szCs w:val="26"/>
        </w:rPr>
        <w:t xml:space="preserve"> </w:t>
      </w:r>
      <w:r>
        <w:rPr>
          <w:rFonts w:eastAsia="Times New Roman"/>
          <w:i/>
          <w:iCs/>
          <w:color w:val="000000"/>
          <w:sz w:val="24"/>
          <w:szCs w:val="26"/>
        </w:rPr>
        <w:t>Medicine.</w:t>
      </w:r>
      <w:r>
        <w:rPr>
          <w:rFonts w:eastAsia="Times New Roman"/>
          <w:color w:val="000000"/>
          <w:sz w:val="24"/>
          <w:szCs w:val="26"/>
        </w:rPr>
        <w:t> doi:10.1016/j.mpmed.2021.04.003 </w:t>
      </w:r>
    </w:p>
    <w:p>
      <w:pPr>
        <w:pStyle w:val="style0"/>
        <w:spacing w:after="0" w:lineRule="auto" w:line="480"/>
        <w:ind w:left="720" w:hanging="720"/>
        <w:jc w:val="both"/>
        <w:rPr>
          <w:color w:val="000000"/>
          <w:sz w:val="24"/>
          <w:szCs w:val="26"/>
        </w:rPr>
      </w:pPr>
      <w:r>
        <w:rPr>
          <w:color w:val="000000"/>
          <w:sz w:val="24"/>
          <w:szCs w:val="26"/>
        </w:rPr>
        <w:t>Zeouk, I. and Bekhti, K. (2020).</w:t>
      </w:r>
      <w:r>
        <w:rPr>
          <w:color w:val="000000"/>
          <w:sz w:val="24"/>
          <w:szCs w:val="26"/>
        </w:rPr>
        <w:t xml:space="preserve"> A critical overview of the traditional, phytochemical and pharmacological aspects of Rhamnus alaternus: A Mediterranean shrub. Adv. Trad. Med., 20(1):1-11.</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center"/>
        <w:rPr>
          <w:b/>
          <w:color w:val="000000"/>
          <w:szCs w:val="26"/>
        </w:rPr>
      </w:pPr>
      <w:r>
        <w:rPr>
          <w:b/>
          <w:color w:val="000000"/>
          <w:szCs w:val="26"/>
        </w:rPr>
        <w:t>APPENDIX</w:t>
      </w:r>
    </w:p>
    <w:p>
      <w:pPr>
        <w:pStyle w:val="style94"/>
        <w:spacing w:lineRule="auto" w:line="480"/>
        <w:rPr>
          <w:b/>
          <w:color w:val="000000"/>
          <w:szCs w:val="26"/>
        </w:rPr>
      </w:pPr>
      <w:r>
        <w:rPr>
          <w:color w:val="000000"/>
          <w:szCs w:val="26"/>
          <w:shd w:val="clear" w:color="auto" w:fill="ffffff"/>
        </w:rPr>
        <w:t>English Name is common wireweed. It's also sometimes referred to as broom weed.</w:t>
      </w:r>
      <w:r>
        <w:rPr>
          <w:rStyle w:val="style4110"/>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3"/>
        <w:gridCol w:w="5886"/>
      </w:tblGrid>
      <w:tr>
        <w:trPr>
          <w:tblHeader/>
        </w:trPr>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tblPrEx/>
        <w:trPr/>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Subkingdom</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Superdivision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Dicotyledons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Dilleniidae</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Order</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Malvales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Family</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Genus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w:t>
            </w:r>
            <w:r>
              <w:rPr>
                <w:rFonts w:eastAsia="Times New Roman"/>
                <w:color w:val="000000"/>
                <w:sz w:val="24"/>
                <w:szCs w:val="26"/>
              </w:rPr>
              <w:t>–</w:t>
            </w:r>
            <w:r>
              <w:rPr>
                <w:rFonts w:eastAsia="Times New Roman"/>
                <w:color w:val="000000"/>
                <w:sz w:val="24"/>
                <w:szCs w:val="26"/>
              </w:rPr>
              <w:t xml:space="preserve"> fanpetals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Species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r>
        <w:rPr>
          <w:b/>
          <w:color w:val="000000"/>
          <w:szCs w:val="26"/>
        </w:rPr>
        <w:t>English Name is Wi</w:t>
      </w:r>
      <w:r>
        <w:rPr>
          <w:b/>
          <w:color w:val="000000"/>
          <w:szCs w:val="26"/>
        </w:rPr>
        <w:t>star Albino Rat</w:t>
      </w:r>
    </w:p>
    <w:p>
      <w:pPr>
        <w:pStyle w:val="style94"/>
        <w:pBdr>
          <w:top w:val="single" w:sz="4" w:space="1" w:color="auto"/>
          <w:bottom w:val="single" w:sz="4" w:space="1" w:color="auto"/>
        </w:pBdr>
        <w:spacing w:lineRule="auto" w:line="480"/>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Scientific Name and Common Name</w:t>
      </w:r>
    </w:p>
    <w:p>
      <w:pPr>
        <w:pStyle w:val="style94"/>
        <w:spacing w:lineRule="auto" w:line="480"/>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Animalia </w:t>
      </w:r>
    </w:p>
    <w:p>
      <w:pPr>
        <w:pStyle w:val="style94"/>
        <w:spacing w:lineRule="auto" w:line="480"/>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Chordata</w:t>
      </w:r>
    </w:p>
    <w:p>
      <w:pPr>
        <w:pStyle w:val="style94"/>
        <w:spacing w:lineRule="auto" w:line="480"/>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Mammalia </w:t>
      </w:r>
    </w:p>
    <w:p>
      <w:pPr>
        <w:pStyle w:val="style94"/>
        <w:spacing w:lineRule="auto" w:line="480"/>
        <w:rPr>
          <w:color w:val="000000"/>
          <w:sz w:val="22"/>
        </w:rPr>
      </w:pPr>
      <w:r>
        <w:rPr>
          <w:color w:val="000000"/>
          <w:sz w:val="22"/>
        </w:rPr>
        <w:t>Order</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Rodentia </w:t>
      </w:r>
    </w:p>
    <w:p>
      <w:pPr>
        <w:pStyle w:val="style94"/>
        <w:spacing w:lineRule="auto" w:line="480"/>
        <w:rPr>
          <w:color w:val="000000"/>
          <w:sz w:val="22"/>
        </w:rPr>
      </w:pPr>
      <w:r>
        <w:rPr>
          <w:color w:val="000000"/>
          <w:sz w:val="22"/>
        </w:rPr>
        <w:t>Family</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Muridae </w:t>
      </w:r>
    </w:p>
    <w:p>
      <w:pPr>
        <w:pStyle w:val="style94"/>
        <w:spacing w:lineRule="auto" w:line="480"/>
        <w:rPr>
          <w:color w:val="000000"/>
          <w:sz w:val="22"/>
        </w:rPr>
      </w:pPr>
      <w:r>
        <w:rPr>
          <w:color w:val="000000"/>
          <w:sz w:val="22"/>
        </w:rPr>
        <w:t>Genus</w:t>
      </w:r>
      <w:r>
        <w:rPr>
          <w:color w:val="000000"/>
          <w:sz w:val="22"/>
        </w:rPr>
        <w:tab/>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Rattus </w:t>
      </w:r>
    </w:p>
    <w:p>
      <w:pPr>
        <w:pStyle w:val="style94"/>
        <w:pBdr>
          <w:bottom w:val="single" w:sz="4" w:space="1" w:color="auto"/>
        </w:pBdr>
        <w:spacing w:lineRule="auto" w:line="480"/>
        <w:rPr>
          <w:color w:val="000000"/>
          <w:sz w:val="22"/>
        </w:rPr>
      </w:pPr>
      <w:r>
        <w:rPr>
          <w:color w:val="000000"/>
          <w:sz w:val="22"/>
        </w:rPr>
        <w:t>Species</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Rattus norvegicus</w:t>
      </w:r>
    </w:p>
    <w:p>
      <w:pPr>
        <w:pStyle w:val="style94"/>
        <w:spacing w:lineRule="auto" w:line="480"/>
        <w:rPr>
          <w:color w:val="000000"/>
          <w:sz w:val="22"/>
        </w:rPr>
      </w:pPr>
    </w:p>
    <w:p>
      <w:pPr>
        <w:pStyle w:val="style94"/>
        <w:spacing w:lineRule="auto" w:line="480"/>
        <w:rPr>
          <w:color w:val="000000"/>
          <w:sz w:val="22"/>
        </w:rPr>
      </w:pPr>
      <w:r>
        <w:rPr>
          <w:noProof/>
          <w:color w:val="000000"/>
          <w:sz w:val="22"/>
        </w:rPr>
        <w:drawing>
          <wp:inline distL="0" distT="0" distB="0" distR="0">
            <wp:extent cx="4486275" cy="3228975"/>
            <wp:effectExtent l="0" t="0" r="9525" b="9525"/>
            <wp:docPr id="1104" name="Picture 6" descr="C:\Users\HP\Downloads\Albino rat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78" cstate="print"/>
                    <a:srcRect l="0" t="0" r="0" b="0"/>
                    <a:stretch/>
                  </pic:blipFill>
                  <pic:spPr>
                    <a:xfrm rot="0">
                      <a:off x="0" y="0"/>
                      <a:ext cx="4486275" cy="3228975"/>
                    </a:xfrm>
                    <a:prstGeom prst="rect"/>
                    <a:ln>
                      <a:noFill/>
                    </a:ln>
                  </pic:spPr>
                </pic:pic>
              </a:graphicData>
            </a:graphic>
          </wp:inline>
        </w:drawing>
      </w:r>
    </w:p>
    <w:p>
      <w:pPr>
        <w:pStyle w:val="style94"/>
        <w:spacing w:lineRule="auto" w:line="480"/>
        <w:rPr>
          <w:color w:val="000000"/>
          <w:sz w:val="22"/>
        </w:rPr>
      </w:pPr>
      <w:r>
        <w:rPr>
          <w:noProof/>
          <w:color w:val="000000"/>
          <w:sz w:val="22"/>
        </w:rPr>
        <w:drawing>
          <wp:inline distL="0" distT="0" distB="0" distR="0">
            <wp:extent cx="4572000" cy="3114675"/>
            <wp:effectExtent l="0" t="0" r="0" b="9525"/>
            <wp:docPr id="1105" name="Picture 4" descr="C:\Users\HP\Downloads\albino rat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79" cstate="print"/>
                    <a:srcRect l="0" t="0" r="0" b="0"/>
                    <a:stretch/>
                  </pic:blipFill>
                  <pic:spPr>
                    <a:xfrm rot="0">
                      <a:off x="0" y="0"/>
                      <a:ext cx="4572000" cy="3114675"/>
                    </a:xfrm>
                    <a:prstGeom prst="rect"/>
                    <a:ln>
                      <a:noFill/>
                    </a:ln>
                  </pic:spPr>
                </pic:pic>
              </a:graphicData>
            </a:graphic>
          </wp:inline>
        </w:drawing>
      </w:r>
    </w:p>
    <w:p>
      <w:pPr>
        <w:pStyle w:val="style94"/>
        <w:spacing w:lineRule="auto" w:line="480"/>
        <w:rPr>
          <w:color w:val="000000"/>
          <w:sz w:val="22"/>
        </w:rPr>
      </w:pPr>
    </w:p>
    <w:p>
      <w:pPr>
        <w:pStyle w:val="style94"/>
        <w:spacing w:lineRule="auto" w:line="480"/>
        <w:jc w:val="center"/>
        <w:rPr>
          <w:b/>
          <w:color w:val="000000"/>
          <w:sz w:val="22"/>
        </w:rPr>
      </w:pPr>
      <w:r>
        <w:rPr>
          <w:b/>
          <w:noProof/>
          <w:color w:val="000000"/>
          <w:sz w:val="22"/>
        </w:rPr>
        <w:drawing>
          <wp:inline distL="0" distT="0" distB="0" distR="0">
            <wp:extent cx="4581525" cy="6667500"/>
            <wp:effectExtent l="0" t="0" r="9525" b="0"/>
            <wp:docPr id="1106" name="Picture 21" descr="C:\Users\HP\Downloads\q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80" cstate="print"/>
                    <a:srcRect l="0" t="0" r="0" b="0"/>
                    <a:stretch/>
                  </pic:blipFill>
                  <pic:spPr>
                    <a:xfrm rot="0">
                      <a:off x="0" y="0"/>
                      <a:ext cx="4581525" cy="6667500"/>
                    </a:xfrm>
                    <a:prstGeom prst="rect"/>
                    <a:ln>
                      <a:noFill/>
                    </a:ln>
                  </pic:spPr>
                </pic:pic>
              </a:graphicData>
            </a:graphic>
          </wp:inline>
        </w:drawing>
      </w:r>
    </w:p>
    <w:p>
      <w:pPr>
        <w:pStyle w:val="style94"/>
        <w:spacing w:lineRule="auto" w:line="480"/>
        <w:jc w:val="center"/>
        <w:rPr>
          <w:b/>
          <w:color w:val="000000"/>
          <w:sz w:val="22"/>
        </w:rPr>
      </w:pPr>
    </w:p>
    <w:p>
      <w:pPr>
        <w:pStyle w:val="style94"/>
        <w:spacing w:lineRule="auto" w:line="480"/>
        <w:jc w:val="center"/>
        <w:rPr>
          <w:b/>
          <w:color w:val="000000"/>
          <w:sz w:val="22"/>
        </w:rPr>
      </w:pPr>
      <w:r>
        <w:rPr>
          <w:b/>
          <w:color w:val="000000"/>
          <w:sz w:val="22"/>
        </w:rPr>
        <w:t>MATERIAL USED</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Weighing balance</w:t>
      </w:r>
      <w:r>
        <w:rPr>
          <w:rFonts w:eastAsia="Times New Roman"/>
          <w:color w:val="000000"/>
          <w:sz w:val="24"/>
          <w:szCs w:val="24"/>
        </w:rPr>
        <w:t xml:space="preserve"> was employed for accurate </w:t>
      </w:r>
      <w:r>
        <w:rPr>
          <w:rFonts w:eastAsia="Times New Roman"/>
          <w:color w:val="000000"/>
          <w:sz w:val="24"/>
          <w:szCs w:val="24"/>
        </w:rPr>
        <w:t>measurement of solid substances.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xml:space="preserve">, along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w:t>
      </w:r>
      <w:r>
        <w:rPr>
          <w:rFonts w:eastAsia="Times New Roman"/>
          <w:color w:val="000000"/>
          <w:sz w:val="24"/>
          <w:szCs w:val="24"/>
        </w:rPr>
        <w:t>ponents based on density.</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microscopic analysis.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Hand gloves</w:t>
      </w:r>
      <w:r>
        <w:rPr>
          <w:rFonts w:eastAsia="Times New Roman"/>
          <w:color w:val="000000"/>
          <w:sz w:val="24"/>
          <w:szCs w:val="24"/>
        </w:rPr>
        <w:t xml:space="preserve"> ensured safety during handling of samples and reagents.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pPr>
        <w:pStyle w:val="style94"/>
        <w:spacing w:lineRule="auto" w:line="480"/>
        <w:jc w:val="both"/>
        <w:rPr>
          <w:b/>
          <w:color w:val="000000"/>
        </w:rPr>
      </w:pPr>
    </w:p>
    <w:sectPr>
      <w:pgSz w:w="11520" w:h="1440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Trebuchet MS">
    <w:altName w:val="Trebuchet MS"/>
    <w:panose1 w:val="020b0603020002020204"/>
    <w:charset w:val="00"/>
    <w:family w:val="swiss"/>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multilevel"/>
    <w:tmpl w:val="9E8A8A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B7B4FB8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EA2C5B82"/>
    <w:lvl w:ilvl="0" w:tplc="E3FA8972">
      <w:start w:val="1"/>
      <w:numFmt w:val="lowerRoman"/>
      <w:lvlText w:val="%1."/>
      <w:lvlJc w:val="righ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667871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ED348D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B8448BB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multilevel"/>
    <w:tmpl w:val="BB4E25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5CA469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Times New Roman" w:cs="Times New Roman" w:hAnsi="Times New Roman"/>
      <w:sz w:val="28"/>
      <w:szCs w:val="28"/>
    </w:rPr>
  </w:style>
  <w:style w:type="paragraph" w:styleId="style3">
    <w:name w:val="heading 3"/>
    <w:basedOn w:val="style0"/>
    <w:next w:val="style0"/>
    <w:link w:val="style410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eastAsia="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rFonts w:ascii="Times New Roman" w:cs="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katex-mathml"/>
    <w:basedOn w:val="style65"/>
    <w:next w:val="style4097"/>
  </w:style>
  <w:style w:type="paragraph" w:customStyle="1" w:styleId="style4098">
    <w:name w:val="Default"/>
    <w:next w:val="style4098"/>
    <w:pPr>
      <w:autoSpaceDE w:val="false"/>
      <w:autoSpaceDN w:val="false"/>
      <w:adjustRightInd w:val="false"/>
      <w:spacing w:after="0" w:lineRule="auto" w:line="240"/>
    </w:pPr>
    <w:rPr>
      <w:rFonts w:ascii="Times New Roman" w:cs="Times New Roman" w:eastAsia="Calibri" w:hAnsi="Times New Roman"/>
      <w:color w:val="000000"/>
      <w:sz w:val="24"/>
      <w:szCs w:val="24"/>
      <w:lang w:val="en-CA"/>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eastAsia="Times New Roman"/>
      <w:sz w:val="24"/>
      <w:szCs w:val="24"/>
    </w:rPr>
  </w:style>
  <w:style w:type="character" w:styleId="style88">
    <w:name w:val="Emphasis"/>
    <w:basedOn w:val="style65"/>
    <w:next w:val="style88"/>
    <w:qFormat/>
    <w:uiPriority w:val="20"/>
    <w:rPr>
      <w:i/>
      <w:iCs/>
    </w:rPr>
  </w:style>
  <w:style w:type="character" w:customStyle="1" w:styleId="style4100">
    <w:name w:val="Heading 4 Char_e2b50490-4816-4c8d-aeba-86bc339d9b70"/>
    <w:basedOn w:val="style65"/>
    <w:next w:val="style4100"/>
    <w:link w:val="style4"/>
    <w:uiPriority w:val="9"/>
    <w:rPr>
      <w:rFonts w:ascii="Times New Roman" w:cs="Times New Roman" w:eastAsia="Times New Roman" w:hAnsi="Times New Roman"/>
      <w:b/>
      <w:bCs/>
      <w:sz w:val="24"/>
      <w:szCs w:val="24"/>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864b3bb3-de5a-4d6d-955f-2d90f590e229"/>
    <w:basedOn w:val="style65"/>
    <w:next w:val="style4101"/>
    <w:link w:val="style31"/>
    <w:uiPriority w:val="99"/>
    <w:rPr>
      <w:rFonts w:ascii="Times New Roman" w:cs="Times New Roman" w:hAnsi="Times New Roman"/>
      <w:sz w:val="28"/>
      <w:szCs w:val="28"/>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acfc431c-c771-4797-9a99-262e536a3c92"/>
    <w:basedOn w:val="style65"/>
    <w:next w:val="style4102"/>
    <w:link w:val="style32"/>
    <w:uiPriority w:val="99"/>
    <w:rPr>
      <w:rFonts w:ascii="Times New Roman" w:cs="Times New Roman" w:hAnsi="Times New Roman"/>
      <w:sz w:val="28"/>
      <w:szCs w:val="28"/>
    </w:rPr>
  </w:style>
  <w:style w:type="character" w:styleId="style85">
    <w:name w:val="Hyperlink"/>
    <w:basedOn w:val="style65"/>
    <w:next w:val="style85"/>
    <w:uiPriority w:val="99"/>
    <w:rPr>
      <w:color w:val="0000ff"/>
      <w:u w:val="single"/>
    </w:rPr>
  </w:style>
  <w:style w:type="character" w:customStyle="1" w:styleId="style4103">
    <w:name w:val="mord"/>
    <w:basedOn w:val="style65"/>
    <w:next w:val="style4103"/>
  </w:style>
  <w:style w:type="character" w:customStyle="1" w:styleId="style4104">
    <w:name w:val="vlist-s"/>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A0"/>
    <w:next w:val="style4107"/>
    <w:uiPriority w:val="99"/>
    <w:rPr>
      <w:rFonts w:cs="Trebuchet MS"/>
      <w:color w:val="000000"/>
      <w:sz w:val="20"/>
      <w:szCs w:val="20"/>
    </w:rPr>
  </w:style>
  <w:style w:type="character" w:customStyle="1" w:styleId="style4108">
    <w:name w:val="A6"/>
    <w:next w:val="style4108"/>
    <w:uiPriority w:val="99"/>
    <w:rPr>
      <w:rFonts w:cs="Trebuchet MS"/>
      <w:color w:val="000000"/>
      <w:sz w:val="11"/>
      <w:szCs w:val="11"/>
    </w:rPr>
  </w:style>
  <w:style w:type="character" w:customStyle="1" w:styleId="style4109">
    <w:name w:val="Heading 3 Char_e8867306-b763-447a-9c51-e494e6d3d706"/>
    <w:basedOn w:val="style65"/>
    <w:next w:val="style4109"/>
    <w:link w:val="style3"/>
    <w:uiPriority w:val="9"/>
    <w:rPr>
      <w:rFonts w:ascii="Cambria" w:cs="宋体" w:eastAsia="宋体" w:hAnsi="Cambria"/>
      <w:b/>
      <w:bCs/>
      <w:color w:val="4f81bd"/>
      <w:sz w:val="28"/>
      <w:szCs w:val="28"/>
    </w:rPr>
  </w:style>
  <w:style w:type="character" w:customStyle="1" w:styleId="style4110">
    <w:name w:val="uv3um"/>
    <w:basedOn w:val="style65"/>
    <w:next w:val="style4110"/>
  </w:style>
</w:styles>
</file>

<file path=word/_rels/document.xml.rels><?xml version="1.0" encoding="UTF-8"?>
<Relationships xmlns="http://schemas.openxmlformats.org/package/2006/relationships"><Relationship Id="rId40" Type="http://schemas.openxmlformats.org/officeDocument/2006/relationships/oleObject" Target="embeddings/oleObject8.bin"/><Relationship Id="rId84" Type="http://schemas.openxmlformats.org/officeDocument/2006/relationships/theme" Target="theme/theme1.xml"/><Relationship Id="rId83" Type="http://schemas.openxmlformats.org/officeDocument/2006/relationships/settings" Target="settings.xml"/><Relationship Id="rId42" Type="http://schemas.openxmlformats.org/officeDocument/2006/relationships/oleObject" Target="embeddings/oleObject9.bin"/><Relationship Id="rId41" Type="http://schemas.openxmlformats.org/officeDocument/2006/relationships/image" Target="media/image10.emf"/><Relationship Id="rId85" Type="http://schemas.openxmlformats.org/officeDocument/2006/relationships/customXml" Target="../customXml/item1.xml"/><Relationship Id="rId44" Type="http://schemas.openxmlformats.org/officeDocument/2006/relationships/oleObject" Target="embeddings/oleObject10.bin"/><Relationship Id="rId43" Type="http://schemas.openxmlformats.org/officeDocument/2006/relationships/image" Target="media/image11.emf"/><Relationship Id="rId46" Type="http://schemas.openxmlformats.org/officeDocument/2006/relationships/oleObject" Target="embeddings/oleObject11.bin"/><Relationship Id="rId45" Type="http://schemas.openxmlformats.org/officeDocument/2006/relationships/image" Target="media/image12.emf"/><Relationship Id="rId80" Type="http://schemas.openxmlformats.org/officeDocument/2006/relationships/image" Target="media/image12.jpeg"/><Relationship Id="rId82" Type="http://schemas.openxmlformats.org/officeDocument/2006/relationships/fontTable" Target="fontTable.xml"/><Relationship Id="rId81"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3.png"/><Relationship Id="rId48" Type="http://schemas.openxmlformats.org/officeDocument/2006/relationships/oleObject" Target="embeddings/oleObject12.bin"/><Relationship Id="rId47" Type="http://schemas.openxmlformats.org/officeDocument/2006/relationships/image" Target="media/image13.emf"/><Relationship Id="rId49" Type="http://schemas.openxmlformats.org/officeDocument/2006/relationships/image" Target="media/image14.em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73" Type="http://schemas.openxmlformats.org/officeDocument/2006/relationships/oleObject" Target="embeddings/oleObject25.bin"/><Relationship Id="rId72" Type="http://schemas.openxmlformats.org/officeDocument/2006/relationships/image" Target="media/image25.emf"/><Relationship Id="rId31" Type="http://schemas.openxmlformats.org/officeDocument/2006/relationships/image" Target="media/image5.emf"/><Relationship Id="rId75" Type="http://schemas.openxmlformats.org/officeDocument/2006/relationships/oleObject" Target="embeddings/oleObject26.bin"/><Relationship Id="rId30" Type="http://schemas.openxmlformats.org/officeDocument/2006/relationships/oleObject" Target="embeddings/oleObject3.bin"/><Relationship Id="rId74" Type="http://schemas.openxmlformats.org/officeDocument/2006/relationships/image" Target="media/image26.emf"/><Relationship Id="rId33" Type="http://schemas.openxmlformats.org/officeDocument/2006/relationships/image" Target="media/image6.emf"/><Relationship Id="rId77" Type="http://schemas.openxmlformats.org/officeDocument/2006/relationships/oleObject" Target="embeddings/oleObject27.bin"/><Relationship Id="rId32" Type="http://schemas.openxmlformats.org/officeDocument/2006/relationships/oleObject" Target="embeddings/oleObject4.bin"/><Relationship Id="rId76" Type="http://schemas.openxmlformats.org/officeDocument/2006/relationships/image" Target="media/image27.emf"/><Relationship Id="rId35" Type="http://schemas.openxmlformats.org/officeDocument/2006/relationships/image" Target="media/image7.emf"/><Relationship Id="rId79" Type="http://schemas.openxmlformats.org/officeDocument/2006/relationships/image" Target="media/image11.jpeg"/><Relationship Id="rId34" Type="http://schemas.openxmlformats.org/officeDocument/2006/relationships/oleObject" Target="embeddings/oleObject5.bin"/><Relationship Id="rId78" Type="http://schemas.openxmlformats.org/officeDocument/2006/relationships/image" Target="media/image10.jpeg"/><Relationship Id="rId71" Type="http://schemas.openxmlformats.org/officeDocument/2006/relationships/oleObject" Target="embeddings/oleObject24.bin"/><Relationship Id="rId70" Type="http://schemas.openxmlformats.org/officeDocument/2006/relationships/image" Target="media/image24.emf"/><Relationship Id="rId37" Type="http://schemas.openxmlformats.org/officeDocument/2006/relationships/image" Target="media/image8.emf"/><Relationship Id="rId36" Type="http://schemas.openxmlformats.org/officeDocument/2006/relationships/oleObject" Target="embeddings/oleObject6.bin"/><Relationship Id="rId39" Type="http://schemas.openxmlformats.org/officeDocument/2006/relationships/image" Target="media/image9.emf"/><Relationship Id="rId38" Type="http://schemas.openxmlformats.org/officeDocument/2006/relationships/oleObject" Target="embeddings/oleObject7.bin"/><Relationship Id="rId62" Type="http://schemas.openxmlformats.org/officeDocument/2006/relationships/oleObject" Target="embeddings/oleObject19.bin"/><Relationship Id="rId61" Type="http://schemas.openxmlformats.org/officeDocument/2006/relationships/image" Target="media/image20.emf"/><Relationship Id="rId20" Type="http://schemas.openxmlformats.org/officeDocument/2006/relationships/image" Target="media/image10.png"/><Relationship Id="rId64" Type="http://schemas.openxmlformats.org/officeDocument/2006/relationships/oleObject" Target="embeddings/oleObject20.bin"/><Relationship Id="rId63" Type="http://schemas.openxmlformats.org/officeDocument/2006/relationships/image" Target="media/image21.emf"/><Relationship Id="rId22" Type="http://schemas.openxmlformats.org/officeDocument/2006/relationships/image" Target="media/image12.png"/><Relationship Id="rId66" Type="http://schemas.openxmlformats.org/officeDocument/2006/relationships/image" Target="media/image22.emf"/><Relationship Id="rId21" Type="http://schemas.openxmlformats.org/officeDocument/2006/relationships/image" Target="media/image11.png"/><Relationship Id="rId65" Type="http://schemas.openxmlformats.org/officeDocument/2006/relationships/oleObject" Target="embeddings/oleObject21.bin"/><Relationship Id="rId24" Type="http://schemas.openxmlformats.org/officeDocument/2006/relationships/chart" Target="charts/chart1.xml"/><Relationship Id="rId68" Type="http://schemas.openxmlformats.org/officeDocument/2006/relationships/image" Target="media/image23.emf"/><Relationship Id="rId23" Type="http://schemas.openxmlformats.org/officeDocument/2006/relationships/image" Target="media/image13.png"/><Relationship Id="rId67" Type="http://schemas.openxmlformats.org/officeDocument/2006/relationships/oleObject" Target="embeddings/oleObject22.bin"/><Relationship Id="rId60" Type="http://schemas.openxmlformats.org/officeDocument/2006/relationships/oleObject" Target="embeddings/oleObject18.bin"/><Relationship Id="rId26" Type="http://schemas.openxmlformats.org/officeDocument/2006/relationships/oleObject" Target="embeddings/oleObject1.bin"/><Relationship Id="rId25" Type="http://schemas.openxmlformats.org/officeDocument/2006/relationships/image" Target="media/image2.emf"/><Relationship Id="rId69" Type="http://schemas.openxmlformats.org/officeDocument/2006/relationships/oleObject" Target="embeddings/oleObject23.bin"/><Relationship Id="rId28" Type="http://schemas.openxmlformats.org/officeDocument/2006/relationships/oleObject" Target="embeddings/oleObject2.bin"/><Relationship Id="rId27" Type="http://schemas.openxmlformats.org/officeDocument/2006/relationships/image" Target="media/image3.emf"/><Relationship Id="rId29" Type="http://schemas.openxmlformats.org/officeDocument/2006/relationships/image" Target="media/image4.emf"/><Relationship Id="rId51" Type="http://schemas.openxmlformats.org/officeDocument/2006/relationships/image" Target="media/image15.emf"/><Relationship Id="rId50" Type="http://schemas.openxmlformats.org/officeDocument/2006/relationships/oleObject" Target="embeddings/oleObject13.bin"/><Relationship Id="rId53" Type="http://schemas.openxmlformats.org/officeDocument/2006/relationships/image" Target="media/image16.emf"/><Relationship Id="rId52" Type="http://schemas.openxmlformats.org/officeDocument/2006/relationships/oleObject" Target="embeddings/oleObject14.bin"/><Relationship Id="rId11" Type="http://schemas.openxmlformats.org/officeDocument/2006/relationships/image" Target="media/image6.jpeg"/><Relationship Id="rId55" Type="http://schemas.openxmlformats.org/officeDocument/2006/relationships/image" Target="media/image17.emf"/><Relationship Id="rId10" Type="http://schemas.openxmlformats.org/officeDocument/2006/relationships/image" Target="media/image4.png"/><Relationship Id="rId54" Type="http://schemas.openxmlformats.org/officeDocument/2006/relationships/oleObject" Target="embeddings/oleObject15.bin"/><Relationship Id="rId13" Type="http://schemas.openxmlformats.org/officeDocument/2006/relationships/image" Target="media/image8.jpeg"/><Relationship Id="rId57" Type="http://schemas.openxmlformats.org/officeDocument/2006/relationships/image" Target="media/image18.emf"/><Relationship Id="rId12" Type="http://schemas.openxmlformats.org/officeDocument/2006/relationships/image" Target="media/image7.jpeg"/><Relationship Id="rId56" Type="http://schemas.openxmlformats.org/officeDocument/2006/relationships/oleObject" Target="embeddings/oleObject16.bin"/><Relationship Id="rId15" Type="http://schemas.openxmlformats.org/officeDocument/2006/relationships/image" Target="media/image6.png"/><Relationship Id="rId59" Type="http://schemas.openxmlformats.org/officeDocument/2006/relationships/image" Target="media/image19.emf"/><Relationship Id="rId14" Type="http://schemas.openxmlformats.org/officeDocument/2006/relationships/image" Target="media/image5.png"/><Relationship Id="rId58" Type="http://schemas.openxmlformats.org/officeDocument/2006/relationships/oleObject" Target="embeddings/oleObject17.bin"/><Relationship Id="rId17" Type="http://schemas.openxmlformats.org/officeDocument/2006/relationships/image" Target="media/image9.jpe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8.pn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HP/Downloads/UCRL0305032025%20Dr.%20HASSAN%20(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1.0</c:v>
                </c:pt>
                <c:pt idx="1">
                  <c:v>2.0</c:v>
                </c:pt>
                <c:pt idx="2">
                  <c:v>3.0</c:v>
                </c:pt>
                <c:pt idx="3">
                  <c:v>4.0</c:v>
                </c:pt>
              </c:numCache>
            </c:numRef>
          </c:xVal>
          <c:yVal>
            <c:numRef>
              <c:f>'[UCRL0305032025 Dr. HASSAN (2).xlsx]Sheet2'!$B$11:$B$14</c:f>
              <c:numCache>
                <c:formatCode>General</c:formatCode>
                <c:ptCount val="4"/>
                <c:pt idx="0">
                  <c:v>0.0804</c:v>
                </c:pt>
                <c:pt idx="1">
                  <c:v>0.1896</c:v>
                </c:pt>
                <c:pt idx="2">
                  <c:v>0.271</c:v>
                </c:pt>
                <c:pt idx="3">
                  <c:v>0.4113</c:v>
                </c:pt>
              </c:numCache>
            </c:numRef>
          </c:yVal>
          <c:smooth val="0"/>
        </c:ser>
        <c:dLbls>
          <c:showLegendKey val="0"/>
          <c:showVal val="0"/>
          <c:showCatName val="0"/>
          <c:showSerName val="0"/>
          <c:showPercent val="0"/>
          <c:showBubbleSize val="0"/>
        </c:dLbls>
        <c:axId val="1133126400"/>
        <c:axId val="1133128320"/>
      </c:scatterChart>
      <c:valAx>
        <c:axId val="1133126400"/>
        <c:scaling>
          <c:orientation val="minMax"/>
        </c:scaling>
        <c:delete val="0"/>
        <c:axPos val="b"/>
        <c:numFmt formatCode="General" sourceLinked="1"/>
        <c:majorTickMark val="out"/>
        <c:minorTickMark val="none"/>
        <c:tickLblPos val="nextTo"/>
        <c:crossAx val="1133128320"/>
        <c:crosses val="autoZero"/>
        <c:crossBetween val="midCat"/>
      </c:valAx>
      <c:valAx>
        <c:axId val="1133128320"/>
        <c:scaling>
          <c:orientation val="minMax"/>
        </c:scaling>
        <c:delete val="0"/>
        <c:axPos val="l"/>
        <c:majorGridlines/>
        <c:numFmt formatCode="General" sourceLinked="1"/>
        <c:majorTickMark val="out"/>
        <c:minorTickMark val="none"/>
        <c:tickLblPos val="nextTo"/>
        <c:crossAx val="11331264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3047-F706-4330-993A-6D3A3733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Words>27249</Words>
  <Pages>168</Pages>
  <Characters>157430</Characters>
  <Application>WPS Office</Application>
  <DocSecurity>0</DocSecurity>
  <Paragraphs>1743</Paragraphs>
  <ScaleCrop>false</ScaleCrop>
  <LinksUpToDate>false</LinksUpToDate>
  <CharactersWithSpaces>185575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2025-07-09T10:08:00Z</dcterms:created>
  <dc:creator>HP</dc:creator>
  <lastModifiedBy>2409BRN2CA</lastModifiedBy>
  <lastPrinted>2025-07-10T10:36:00Z</lastPrinted>
  <dcterms:modified xsi:type="dcterms:W3CDTF">2025-07-14T19:32:34Z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b5730b16d7dd4f67a2a1ae69d293945d</vt:lpwstr>
  </property>
</Properties>
</file>