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508CB" w14:textId="77777777"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w:t>
      </w:r>
      <w:r w:rsidR="00DD5031" w:rsidRPr="00DD5031">
        <w:rPr>
          <w:rFonts w:ascii="Times New Roman" w:hAnsi="Times New Roman" w:cs="Times New Roman"/>
          <w:sz w:val="28"/>
          <w:szCs w:val="28"/>
        </w:rPr>
        <w:lastRenderedPageBreak/>
        <w:t>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Nigeria and similar settings have focused only on isolating the organism and not on evaluating the toxigenic potency or biological effects of SEA. While molecular </w:t>
      </w:r>
      <w:r w:rsidR="00DD5031" w:rsidRPr="00DD5031">
        <w:rPr>
          <w:rFonts w:ascii="Times New Roman" w:hAnsi="Times New Roman" w:cs="Times New Roman"/>
          <w:sz w:val="28"/>
          <w:szCs w:val="28"/>
        </w:rPr>
        <w:lastRenderedPageBreak/>
        <w:t xml:space="preserve">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w:t>
      </w:r>
      <w:r w:rsidRPr="00BA3F0B">
        <w:rPr>
          <w:rFonts w:ascii="Times New Roman" w:hAnsi="Times New Roman" w:cs="Times New Roman"/>
          <w:sz w:val="28"/>
          <w:szCs w:val="28"/>
        </w:rPr>
        <w:lastRenderedPageBreak/>
        <w:t>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temperatures and gastric enzymes. They demonstrated that toxin concentrations as low as 20–100 ng are sufficient to cause acute symptoms such as vomiting, </w:t>
      </w:r>
      <w:r w:rsidRPr="00BA3F0B">
        <w:rPr>
          <w:rFonts w:ascii="Times New Roman" w:hAnsi="Times New Roman" w:cs="Times New Roman"/>
          <w:sz w:val="28"/>
          <w:szCs w:val="28"/>
        </w:rPr>
        <w:lastRenderedPageBreak/>
        <w:t>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catalase and coagulase, the latter being particularly important since most toxigenic strains are coagulase-positive. However, these methods are limited in that they </w:t>
      </w:r>
      <w:r w:rsidRPr="00BA3F0B">
        <w:rPr>
          <w:rFonts w:ascii="Times New Roman" w:hAnsi="Times New Roman" w:cs="Times New Roman"/>
          <w:sz w:val="28"/>
          <w:szCs w:val="28"/>
        </w:rPr>
        <w:lastRenderedPageBreak/>
        <w:t xml:space="preserve">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To confirm active toxin production, immunological methods like enzyme-linked immunosorbent assay (ELISA) have become the gold standard. ELISA detects and quantifies SEA protein concentrations as low as 0.1 ng/mL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offering critical value in processed foods where the bacterium may no longer be viable. Tang et al. (2021) demonstrated ELISA’s reliability in outbreak </w:t>
      </w:r>
      <w:r w:rsidRPr="00BA3F0B">
        <w:rPr>
          <w:rFonts w:ascii="Times New Roman" w:hAnsi="Times New Roman" w:cs="Times New Roman"/>
          <w:sz w:val="28"/>
          <w:szCs w:val="28"/>
        </w:rPr>
        <w:lastRenderedPageBreak/>
        <w:t>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w:t>
      </w:r>
      <w:r w:rsidRPr="00BA3F0B">
        <w:rPr>
          <w:rFonts w:ascii="Times New Roman" w:hAnsi="Times New Roman" w:cs="Times New Roman"/>
          <w:sz w:val="28"/>
          <w:szCs w:val="28"/>
        </w:rPr>
        <w:lastRenderedPageBreak/>
        <w:t xml:space="preserve">(2021)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Balaban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lastRenderedPageBreak/>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he milk was transferred into a</w:t>
      </w:r>
      <w:r>
        <w:rPr>
          <w:rFonts w:ascii="Times New Roman" w:hAnsi="Times New Roman" w:cs="Times New Roman"/>
          <w:sz w:val="28"/>
          <w:szCs w:val="28"/>
        </w:rPr>
        <w:t xml:space="preserve"> </w:t>
      </w:r>
      <w:proofErr w:type="gramStart"/>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xml:space="preserve">, each </w:t>
      </w:r>
      <w:proofErr w:type="gramStart"/>
      <w:r w:rsidRPr="00E36625">
        <w:rPr>
          <w:rFonts w:ascii="Times New Roman" w:hAnsi="Times New Roman" w:cs="Times New Roman"/>
          <w:sz w:val="28"/>
          <w:szCs w:val="28"/>
        </w:rPr>
        <w:t>plates</w:t>
      </w:r>
      <w:proofErr w:type="gramEnd"/>
      <w:r w:rsidRPr="00E36625">
        <w:rPr>
          <w:rFonts w:ascii="Times New Roman" w:hAnsi="Times New Roman" w:cs="Times New Roman"/>
          <w:sz w:val="28"/>
          <w:szCs w:val="28"/>
        </w:rPr>
        <w:t xml:space="preserve">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staphylococcus aureus</w:t>
      </w:r>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7"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 xml:space="preserve">such as α-hemolysin,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bookmarkStart w:id="0" w:name="_GoBack"/>
      <w:r w:rsidRPr="00167B07">
        <w:rPr>
          <w:rFonts w:ascii="Times New Roman" w:hAnsi="Times New Roman" w:cs="Times New Roman"/>
          <w:b/>
          <w:sz w:val="28"/>
          <w:szCs w:val="28"/>
        </w:rPr>
        <w:t>4.3</w:t>
      </w:r>
      <w:bookmarkEnd w:id="0"/>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9"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0"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1"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2"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3"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4"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5"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470549"/>
      <w:docPartObj>
        <w:docPartGallery w:val="Page Numbers (Bottom of Page)"/>
        <w:docPartUnique/>
      </w:docPartObj>
    </w:sdtPr>
    <w:sdtEndPr>
      <w:rPr>
        <w:noProof/>
      </w:rPr>
    </w:sdtEndPr>
    <w:sdtContent>
      <w:p w14:paraId="1D13CDD2" w14:textId="714E4469" w:rsidR="00427289" w:rsidRDefault="00427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3B36F" w14:textId="77777777" w:rsidR="00427289" w:rsidRDefault="00427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15:restartNumberingAfterBreak="0">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0E04"/>
    <w:rsid w:val="00045C23"/>
    <w:rsid w:val="000549E4"/>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85367"/>
    <w:rsid w:val="00496DD3"/>
    <w:rsid w:val="004E2E23"/>
    <w:rsid w:val="00524E15"/>
    <w:rsid w:val="00536D57"/>
    <w:rsid w:val="005A2CBF"/>
    <w:rsid w:val="005A36D3"/>
    <w:rsid w:val="005B70BC"/>
    <w:rsid w:val="005D0E30"/>
    <w:rsid w:val="005D7C8E"/>
    <w:rsid w:val="005F40DB"/>
    <w:rsid w:val="00690A1C"/>
    <w:rsid w:val="00700E04"/>
    <w:rsid w:val="00702477"/>
    <w:rsid w:val="007426E9"/>
    <w:rsid w:val="0075274A"/>
    <w:rsid w:val="007B7968"/>
    <w:rsid w:val="00820328"/>
    <w:rsid w:val="008D304D"/>
    <w:rsid w:val="008D3D3A"/>
    <w:rsid w:val="008E33D9"/>
    <w:rsid w:val="008E623D"/>
    <w:rsid w:val="008F4EE1"/>
    <w:rsid w:val="0095733E"/>
    <w:rsid w:val="009B7662"/>
    <w:rsid w:val="00A74063"/>
    <w:rsid w:val="00A761FD"/>
    <w:rsid w:val="00AF104D"/>
    <w:rsid w:val="00BA0098"/>
    <w:rsid w:val="00BA3F0B"/>
    <w:rsid w:val="00BB675C"/>
    <w:rsid w:val="00BF00B1"/>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15:docId w15:val="{2673933A-3211-4494-9C85-D289F46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jram.1257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micpath.2022.1056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m.2021.103685" TargetMode="External"/><Relationship Id="rId5" Type="http://schemas.openxmlformats.org/officeDocument/2006/relationships/footnotes" Target="footnotes.xml"/><Relationship Id="rId15" Type="http://schemas.openxmlformats.org/officeDocument/2006/relationships/hyperlink" Target="https://doi.org/10.2131/jts.47.85" TargetMode="External"/><Relationship Id="rId10" Type="http://schemas.openxmlformats.org/officeDocument/2006/relationships/hyperlink" Target="https://doi.org/10.1016/S0168-1605(00)00377-9" TargetMode="External"/><Relationship Id="rId4" Type="http://schemas.openxmlformats.org/officeDocument/2006/relationships/webSettings" Target="webSettings.xml"/><Relationship Id="rId9" Type="http://schemas.openxmlformats.org/officeDocument/2006/relationships/hyperlink" Target="https://doi.org/10.1111/jfs.12981" TargetMode="External"/><Relationship Id="rId14" Type="http://schemas.openxmlformats.org/officeDocument/2006/relationships/hyperlink" Target="https://doi.org/10.5897/AJFS2023.224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693265856"/>
        <c:axId val="863971152"/>
      </c:barChart>
      <c:catAx>
        <c:axId val="69326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971152"/>
        <c:crosses val="autoZero"/>
        <c:auto val="1"/>
        <c:lblAlgn val="ctr"/>
        <c:lblOffset val="100"/>
        <c:noMultiLvlLbl val="0"/>
      </c:catAx>
      <c:valAx>
        <c:axId val="86397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26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32</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61</cp:revision>
  <dcterms:created xsi:type="dcterms:W3CDTF">2025-06-01T20:58:00Z</dcterms:created>
  <dcterms:modified xsi:type="dcterms:W3CDTF">2025-07-22T18:30:00Z</dcterms:modified>
</cp:coreProperties>
</file>