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849" w14:textId="07E3D5EC" w:rsidR="00261E28" w:rsidRDefault="004507FB" w:rsidP="009D251A">
      <w:pPr>
        <w:rPr>
          <w:rFonts w:ascii="Bookman Old Style" w:hAnsi="Bookman Old Style"/>
          <w:b/>
          <w:sz w:val="46"/>
        </w:rPr>
      </w:pPr>
      <w:r>
        <w:rPr>
          <w:rFonts w:ascii="Bookman Old Style" w:hAnsi="Bookman Old Style"/>
          <w:b/>
          <w:sz w:val="46"/>
        </w:rPr>
        <w:t xml:space="preserve"> </w:t>
      </w:r>
      <w:r w:rsidR="00FC1A8E">
        <w:rPr>
          <w:rFonts w:ascii="Bookman Old Style" w:hAnsi="Bookman Old Style"/>
          <w:b/>
          <w:sz w:val="46"/>
        </w:rPr>
        <w:t>T</w:t>
      </w:r>
      <w:r w:rsidR="00F17906">
        <w:rPr>
          <w:rFonts w:ascii="Bookman Old Style" w:hAnsi="Bookman Old Style"/>
          <w:b/>
          <w:sz w:val="46"/>
        </w:rPr>
        <w:t>RANING AS A GUIDE TO MANPOWER DEVELOPMENT</w:t>
      </w:r>
      <w:r w:rsidR="00FC1A8E">
        <w:rPr>
          <w:rFonts w:ascii="Bookman Old Style" w:hAnsi="Bookman Old Style"/>
          <w:b/>
          <w:sz w:val="46"/>
        </w:rPr>
        <w:t xml:space="preserve"> </w:t>
      </w:r>
    </w:p>
    <w:p w14:paraId="7A9E78CE" w14:textId="21045E43" w:rsidR="00261E28" w:rsidRDefault="002A3E3E">
      <w:pPr>
        <w:jc w:val="center"/>
        <w:rPr>
          <w:b/>
          <w:i/>
          <w:sz w:val="20"/>
        </w:rPr>
      </w:pPr>
      <w:r>
        <w:rPr>
          <w:b/>
          <w:i/>
          <w:sz w:val="28"/>
        </w:rPr>
        <w:t>(A CASE STUDY O</w:t>
      </w:r>
      <w:r w:rsidR="007C4E8F">
        <w:rPr>
          <w:b/>
          <w:i/>
          <w:sz w:val="28"/>
        </w:rPr>
        <w:t>F</w:t>
      </w:r>
      <w:r w:rsidR="00F17906">
        <w:rPr>
          <w:b/>
          <w:i/>
          <w:sz w:val="28"/>
        </w:rPr>
        <w:t xml:space="preserve"> FEDERAL TRAINING CENTER ILORIN</w:t>
      </w:r>
      <w:r w:rsidR="00426DF4">
        <w:rPr>
          <w:b/>
          <w:i/>
          <w:sz w:val="28"/>
        </w:rPr>
        <w:t>)</w:t>
      </w:r>
    </w:p>
    <w:p w14:paraId="2C8D7132" w14:textId="77777777" w:rsidR="00261E28" w:rsidRDefault="00426DF4">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14:paraId="493C5677" w14:textId="19A146E8" w:rsidR="00261E28" w:rsidRDefault="00F17906">
      <w:pPr>
        <w:shd w:val="clear" w:color="auto" w:fill="FFFFFF"/>
        <w:adjustRightInd w:val="0"/>
        <w:jc w:val="center"/>
        <w:rPr>
          <w:rFonts w:ascii="Arial" w:hAnsi="Arial"/>
          <w:b/>
          <w:color w:val="000000"/>
          <w:sz w:val="48"/>
          <w:szCs w:val="26"/>
        </w:rPr>
      </w:pPr>
      <w:r>
        <w:rPr>
          <w:rFonts w:ascii="Arial" w:hAnsi="Arial"/>
          <w:b/>
          <w:color w:val="000000"/>
          <w:sz w:val="48"/>
          <w:szCs w:val="26"/>
        </w:rPr>
        <w:t>KOLADE RAMOTA ARIKE</w:t>
      </w:r>
    </w:p>
    <w:p w14:paraId="2ACE0220" w14:textId="4BE57D4A" w:rsidR="00261E28" w:rsidRDefault="00F17906">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HND/23/PAD/FT/0802</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3BE56B3B"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FC1A8E">
        <w:rPr>
          <w:rFonts w:ascii="Comic Sans MS" w:hAnsi="Comic Sans MS"/>
          <w:b/>
          <w:color w:val="000000"/>
          <w:szCs w:val="18"/>
        </w:rPr>
        <w:t xml:space="preserve"> HIGHER</w:t>
      </w:r>
      <w:r>
        <w:rPr>
          <w:rFonts w:ascii="Comic Sans MS" w:hAnsi="Comic Sans MS"/>
          <w:b/>
          <w:color w:val="000000"/>
          <w:szCs w:val="18"/>
        </w:rPr>
        <w:t xml:space="preserve"> NATIONAL DIPLOMA (</w:t>
      </w:r>
      <w:r w:rsidR="00FC1A8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24B4969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4507FB" w:rsidRDefault="004507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2B61B" w14:textId="77777777" w:rsidR="00AA2216" w:rsidRDefault="00AA2216">
      <w:pPr>
        <w:spacing w:after="0" w:line="240" w:lineRule="auto"/>
      </w:pPr>
      <w:r>
        <w:separator/>
      </w:r>
    </w:p>
  </w:endnote>
  <w:endnote w:type="continuationSeparator" w:id="0">
    <w:p w14:paraId="25E5B86D" w14:textId="77777777" w:rsidR="00AA2216" w:rsidRDefault="00AA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69A84BFE" w:rsidR="004507FB" w:rsidRDefault="004507FB">
    <w:pPr>
      <w:pStyle w:val="Footer"/>
      <w:jc w:val="center"/>
    </w:pPr>
    <w:r>
      <w:fldChar w:fldCharType="begin"/>
    </w:r>
    <w:r>
      <w:instrText xml:space="preserve"> PAGE   \* MERGEFORMAT </w:instrText>
    </w:r>
    <w:r>
      <w:fldChar w:fldCharType="separate"/>
    </w:r>
    <w:r w:rsidR="00F17906">
      <w:rPr>
        <w:noProof/>
      </w:rPr>
      <w:t>15</w:t>
    </w:r>
    <w:r>
      <w:rPr>
        <w:noProof/>
      </w:rPr>
      <w:fldChar w:fldCharType="end"/>
    </w:r>
  </w:p>
  <w:p w14:paraId="14C7B33E" w14:textId="77777777" w:rsidR="004507FB" w:rsidRDefault="0045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3A0A" w14:textId="77777777" w:rsidR="00AA2216" w:rsidRDefault="00AA2216">
      <w:pPr>
        <w:spacing w:after="0" w:line="240" w:lineRule="auto"/>
      </w:pPr>
      <w:r>
        <w:separator/>
      </w:r>
    </w:p>
  </w:footnote>
  <w:footnote w:type="continuationSeparator" w:id="0">
    <w:p w14:paraId="278F4298" w14:textId="77777777" w:rsidR="00AA2216" w:rsidRDefault="00AA2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4507FB"/>
    <w:rsid w:val="0046730F"/>
    <w:rsid w:val="006A7128"/>
    <w:rsid w:val="007C4E8F"/>
    <w:rsid w:val="00905289"/>
    <w:rsid w:val="00995ECF"/>
    <w:rsid w:val="009C08BE"/>
    <w:rsid w:val="009D251A"/>
    <w:rsid w:val="00A22CD0"/>
    <w:rsid w:val="00AA2216"/>
    <w:rsid w:val="00C755C1"/>
    <w:rsid w:val="00CB1F9F"/>
    <w:rsid w:val="00CF7B40"/>
    <w:rsid w:val="00F17906"/>
    <w:rsid w:val="00FC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3.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4.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5.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6.xml><?xml version="1.0" encoding="utf-8"?>
<ds:datastoreItem xmlns:ds="http://schemas.openxmlformats.org/officeDocument/2006/customXml" ds:itemID="{666ED032-D150-423D-8F68-64F92892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44</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49</cp:revision>
  <cp:lastPrinted>2025-05-14T14:10:00Z</cp:lastPrinted>
  <dcterms:created xsi:type="dcterms:W3CDTF">2025-05-02T13:20:00Z</dcterms:created>
  <dcterms:modified xsi:type="dcterms:W3CDTF">2025-07-24T09:22:00Z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