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8">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281875" w:rsidRPr="00281875" w:rsidRDefault="00281875" w:rsidP="004639C2">
      <w:pPr>
        <w:spacing w:line="240" w:lineRule="auto"/>
        <w:jc w:val="center"/>
        <w:rPr>
          <w:rFonts w:ascii="Times New Roman" w:eastAsia="Times New Roman" w:hAnsi="Times New Roman" w:cs="Times New Roman"/>
          <w:b/>
          <w:bCs/>
          <w:sz w:val="8"/>
          <w:szCs w:val="24"/>
        </w:rPr>
      </w:pPr>
    </w:p>
    <w:p w:rsidR="00005CDB" w:rsidRPr="00281875" w:rsidRDefault="00005CDB" w:rsidP="004639C2">
      <w:pPr>
        <w:spacing w:line="240" w:lineRule="auto"/>
        <w:jc w:val="center"/>
        <w:rPr>
          <w:rFonts w:ascii="Cambria" w:hAnsi="Cambria" w:cs="Times New Roman"/>
          <w:b/>
          <w:bCs/>
          <w:sz w:val="38"/>
          <w:szCs w:val="38"/>
        </w:rPr>
      </w:pPr>
      <w:r w:rsidRPr="00281875">
        <w:rPr>
          <w:rFonts w:ascii="Times New Roman" w:eastAsia="Times New Roman" w:hAnsi="Times New Roman" w:cs="Times New Roman"/>
          <w:b/>
          <w:bCs/>
          <w:sz w:val="38"/>
          <w:szCs w:val="38"/>
        </w:rPr>
        <w:t>INVESTIGATION INTO PROXIMATE AND MINERAL PROPERTIES OF MORINGA OLEIFERA SEED</w:t>
      </w:r>
    </w:p>
    <w:p w:rsidR="00005CDB" w:rsidRPr="00281875" w:rsidRDefault="00005CDB" w:rsidP="004639C2">
      <w:pPr>
        <w:spacing w:line="240" w:lineRule="auto"/>
        <w:jc w:val="center"/>
        <w:rPr>
          <w:rFonts w:ascii="Times New Roman" w:hAnsi="Times New Roman" w:cs="Times New Roman"/>
          <w:b/>
          <w:bCs/>
          <w:sz w:val="14"/>
          <w:szCs w:val="38"/>
        </w:rPr>
      </w:pPr>
    </w:p>
    <w:p w:rsidR="00454368" w:rsidRDefault="00005CDB" w:rsidP="00454368">
      <w:pPr>
        <w:spacing w:line="240" w:lineRule="auto"/>
        <w:jc w:val="center"/>
        <w:rPr>
          <w:rFonts w:ascii="Times New Roman" w:hAnsi="Times New Roman" w:cs="Times New Roman"/>
          <w:b/>
          <w:bCs/>
          <w:sz w:val="32"/>
          <w:szCs w:val="24"/>
        </w:rPr>
      </w:pPr>
      <w:r w:rsidRPr="00281875">
        <w:rPr>
          <w:rFonts w:ascii="Times New Roman" w:hAnsi="Times New Roman" w:cs="Times New Roman"/>
          <w:b/>
          <w:bCs/>
          <w:sz w:val="32"/>
          <w:szCs w:val="24"/>
        </w:rPr>
        <w:t>BY</w:t>
      </w:r>
    </w:p>
    <w:p w:rsidR="00454368" w:rsidRDefault="00454368" w:rsidP="00454368">
      <w:pPr>
        <w:spacing w:line="240" w:lineRule="auto"/>
        <w:jc w:val="center"/>
        <w:rPr>
          <w:rFonts w:ascii="Times New Roman" w:hAnsi="Times New Roman" w:cs="Times New Roman"/>
          <w:b/>
          <w:bCs/>
          <w:sz w:val="32"/>
          <w:szCs w:val="24"/>
        </w:rPr>
      </w:pPr>
    </w:p>
    <w:p w:rsidR="00454368" w:rsidRPr="00454368" w:rsidRDefault="00454368" w:rsidP="00454368">
      <w:pPr>
        <w:spacing w:line="240" w:lineRule="auto"/>
        <w:jc w:val="center"/>
        <w:rPr>
          <w:rFonts w:ascii="Cambria" w:hAnsi="Cambria" w:cs="Times New Roman"/>
          <w:b/>
          <w:bCs/>
          <w:iCs/>
          <w:sz w:val="34"/>
          <w:szCs w:val="34"/>
        </w:rPr>
      </w:pPr>
      <w:r w:rsidRPr="00454368">
        <w:rPr>
          <w:rFonts w:ascii="Cambria" w:hAnsi="Cambria" w:cs="Times New Roman"/>
          <w:b/>
          <w:bCs/>
          <w:iCs/>
          <w:sz w:val="34"/>
          <w:szCs w:val="34"/>
        </w:rPr>
        <w:t>KOLAWOLE, KHARIMAT OYINDAMOLA</w:t>
      </w:r>
    </w:p>
    <w:p w:rsidR="00005CDB" w:rsidRPr="00454368" w:rsidRDefault="00005CDB" w:rsidP="00454368">
      <w:pPr>
        <w:spacing w:line="240" w:lineRule="auto"/>
        <w:jc w:val="center"/>
        <w:rPr>
          <w:rFonts w:ascii="Times New Roman" w:hAnsi="Times New Roman" w:cs="Times New Roman"/>
          <w:b/>
          <w:bCs/>
          <w:sz w:val="32"/>
          <w:szCs w:val="24"/>
        </w:rPr>
      </w:pPr>
      <w:r w:rsidRPr="00454368">
        <w:rPr>
          <w:rFonts w:ascii="Cambria" w:hAnsi="Cambria" w:cs="Times New Roman"/>
          <w:b/>
          <w:bCs/>
          <w:sz w:val="34"/>
          <w:szCs w:val="34"/>
        </w:rPr>
        <w:t>HND/23/SLT/FT/</w:t>
      </w:r>
      <w:r w:rsidR="00281875" w:rsidRPr="00454368">
        <w:rPr>
          <w:rFonts w:ascii="Cambria" w:hAnsi="Cambria" w:cs="Times New Roman"/>
          <w:b/>
          <w:bCs/>
          <w:sz w:val="34"/>
          <w:szCs w:val="34"/>
        </w:rPr>
        <w:t>0115</w:t>
      </w:r>
    </w:p>
    <w:p w:rsidR="00281875" w:rsidRDefault="00281875" w:rsidP="004639C2">
      <w:pPr>
        <w:spacing w:line="240" w:lineRule="auto"/>
        <w:ind w:left="90"/>
        <w:rPr>
          <w:rFonts w:ascii="Cambria" w:hAnsi="Cambria" w:cs="Times New Roman"/>
          <w:b/>
          <w:bCs/>
          <w:sz w:val="32"/>
          <w:szCs w:val="24"/>
        </w:rPr>
      </w:pPr>
      <w:r w:rsidRPr="004639C2">
        <w:rPr>
          <w:rFonts w:ascii="Cambria" w:hAnsi="Cambria" w:cs="Times New Roman"/>
          <w:b/>
          <w:bCs/>
          <w:sz w:val="34"/>
          <w:szCs w:val="34"/>
        </w:rPr>
        <w:t xml:space="preserve">  </w:t>
      </w:r>
      <w:r w:rsidR="004639C2">
        <w:rPr>
          <w:rFonts w:ascii="Cambria" w:hAnsi="Cambria" w:cs="Times New Roman"/>
          <w:b/>
          <w:bCs/>
          <w:sz w:val="34"/>
          <w:szCs w:val="34"/>
        </w:rPr>
        <w:t xml:space="preserve"> </w:t>
      </w:r>
      <w:r w:rsidRPr="004639C2">
        <w:rPr>
          <w:rFonts w:ascii="Cambria" w:hAnsi="Cambria" w:cs="Times New Roman"/>
          <w:b/>
          <w:bCs/>
          <w:sz w:val="34"/>
          <w:szCs w:val="34"/>
        </w:rPr>
        <w:t xml:space="preserve"> </w:t>
      </w:r>
      <w:r w:rsidRPr="004639C2">
        <w:rPr>
          <w:rFonts w:ascii="Cambria" w:hAnsi="Cambria" w:cs="Times New Roman"/>
          <w:b/>
          <w:bCs/>
          <w:sz w:val="34"/>
          <w:szCs w:val="34"/>
        </w:rPr>
        <w:tab/>
      </w:r>
      <w:r w:rsidRPr="004639C2">
        <w:rPr>
          <w:rFonts w:ascii="Cambria" w:hAnsi="Cambria" w:cs="Times New Roman"/>
          <w:b/>
          <w:bCs/>
          <w:sz w:val="34"/>
          <w:szCs w:val="34"/>
        </w:rPr>
        <w:tab/>
      </w:r>
      <w:r w:rsidR="00005CDB" w:rsidRPr="004639C2">
        <w:rPr>
          <w:rFonts w:ascii="Cambria" w:hAnsi="Cambria" w:cs="Times New Roman"/>
          <w:b/>
          <w:bCs/>
          <w:sz w:val="34"/>
          <w:szCs w:val="34"/>
        </w:rPr>
        <w:tab/>
      </w:r>
      <w:r w:rsidRPr="00281875">
        <w:rPr>
          <w:rFonts w:ascii="Cambria" w:hAnsi="Cambria" w:cs="Times New Roman"/>
          <w:b/>
          <w:bCs/>
          <w:sz w:val="36"/>
          <w:szCs w:val="24"/>
        </w:rPr>
        <w:tab/>
      </w:r>
      <w:r w:rsidRPr="00281875">
        <w:rPr>
          <w:rFonts w:ascii="Cambria" w:hAnsi="Cambria" w:cs="Times New Roman"/>
          <w:b/>
          <w:bCs/>
          <w:sz w:val="36"/>
          <w:szCs w:val="24"/>
        </w:rPr>
        <w:tab/>
      </w:r>
      <w:r>
        <w:rPr>
          <w:rFonts w:ascii="Cambria" w:hAnsi="Cambria" w:cs="Times New Roman"/>
          <w:b/>
          <w:bCs/>
          <w:sz w:val="28"/>
          <w:szCs w:val="24"/>
        </w:rPr>
        <w:tab/>
      </w:r>
      <w:r>
        <w:rPr>
          <w:rFonts w:ascii="Cambria" w:hAnsi="Cambria" w:cs="Times New Roman"/>
          <w:b/>
          <w:bCs/>
          <w:sz w:val="28"/>
          <w:szCs w:val="24"/>
        </w:rPr>
        <w:tab/>
      </w:r>
    </w:p>
    <w:p w:rsidR="00005CDB" w:rsidRDefault="00005CDB" w:rsidP="004639C2">
      <w:pPr>
        <w:spacing w:line="240" w:lineRule="auto"/>
        <w:jc w:val="center"/>
        <w:rPr>
          <w:rFonts w:ascii="Times New Roman" w:hAnsi="Times New Roman" w:cs="Times New Roman"/>
          <w:b/>
          <w:bCs/>
          <w:sz w:val="24"/>
          <w:szCs w:val="24"/>
        </w:rPr>
      </w:pPr>
    </w:p>
    <w:p w:rsidR="00005CDB" w:rsidRPr="00281875" w:rsidRDefault="00005CDB" w:rsidP="004639C2">
      <w:pPr>
        <w:spacing w:line="240" w:lineRule="auto"/>
        <w:jc w:val="center"/>
        <w:rPr>
          <w:rFonts w:ascii="Times New Roman" w:hAnsi="Times New Roman" w:cs="Times New Roman"/>
          <w:b/>
          <w:bCs/>
          <w:sz w:val="28"/>
          <w:szCs w:val="24"/>
        </w:rPr>
      </w:pPr>
      <w:r w:rsidRPr="00281875">
        <w:rPr>
          <w:rFonts w:ascii="Times New Roman" w:hAnsi="Times New Roman" w:cs="Times New Roman"/>
          <w:b/>
          <w:bCs/>
          <w:sz w:val="28"/>
          <w:szCs w:val="24"/>
        </w:rPr>
        <w:t>SUBMITTED TO</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DEPARTMENT OF SCIENCE LABORATORY TECHNOLOGY,</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(BIOCHEMISTRY UNIT)</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INSTITUTE OF APPLIED SCIENCES (I.A.S),</w:t>
      </w: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KWARA STATE POLYTECHNIC, ILORIN</w:t>
      </w:r>
    </w:p>
    <w:p w:rsidR="00005CDB" w:rsidRPr="004639C2" w:rsidRDefault="00005CDB" w:rsidP="004639C2">
      <w:pPr>
        <w:spacing w:line="240" w:lineRule="auto"/>
        <w:jc w:val="center"/>
        <w:rPr>
          <w:rFonts w:ascii="Times New Roman" w:hAnsi="Times New Roman" w:cs="Times New Roman"/>
          <w:b/>
          <w:bCs/>
          <w:szCs w:val="28"/>
        </w:rPr>
      </w:pPr>
    </w:p>
    <w:p w:rsidR="00005CDB" w:rsidRPr="00281875" w:rsidRDefault="00005CDB" w:rsidP="004639C2">
      <w:pPr>
        <w:spacing w:line="240" w:lineRule="auto"/>
        <w:jc w:val="center"/>
        <w:rPr>
          <w:rFonts w:ascii="Times New Roman" w:hAnsi="Times New Roman" w:cs="Times New Roman"/>
          <w:b/>
          <w:bCs/>
          <w:sz w:val="28"/>
          <w:szCs w:val="28"/>
        </w:rPr>
      </w:pPr>
      <w:r w:rsidRPr="00281875">
        <w:rPr>
          <w:rFonts w:ascii="Times New Roman" w:hAnsi="Times New Roman" w:cs="Times New Roman"/>
          <w:b/>
          <w:bCs/>
          <w:sz w:val="28"/>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261A93" w:rsidRDefault="00005CDB" w:rsidP="00005CDB">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B8599C">
        <w:rPr>
          <w:rFonts w:ascii="Times New Roman" w:hAnsi="Times New Roman" w:cs="Times New Roman"/>
          <w:b/>
          <w:bCs/>
          <w:sz w:val="24"/>
          <w:szCs w:val="24"/>
        </w:rPr>
        <w:lastRenderedPageBreak/>
        <w:t>CERTIFICATION</w:t>
      </w:r>
    </w:p>
    <w:p w:rsidR="00005CDB" w:rsidRPr="00D0639D" w:rsidRDefault="00005CDB" w:rsidP="004639C2">
      <w:pPr>
        <w:spacing w:line="360" w:lineRule="auto"/>
        <w:jc w:val="both"/>
        <w:rPr>
          <w:rFonts w:ascii="Times New Roman" w:hAnsi="Times New Roman" w:cs="Times New Roman"/>
          <w:bCs/>
          <w:iCs/>
          <w:sz w:val="24"/>
          <w:szCs w:val="24"/>
        </w:rPr>
      </w:pPr>
      <w:r w:rsidRPr="006B1446">
        <w:rPr>
          <w:rFonts w:ascii="Times New Roman" w:hAnsi="Times New Roman" w:cs="Times New Roman"/>
          <w:sz w:val="24"/>
          <w:szCs w:val="24"/>
        </w:rPr>
        <w:t xml:space="preserve">This is to </w:t>
      </w:r>
      <w:r w:rsidR="00D0639D">
        <w:rPr>
          <w:rFonts w:ascii="Times New Roman" w:hAnsi="Times New Roman" w:cs="Times New Roman"/>
          <w:sz w:val="24"/>
          <w:szCs w:val="24"/>
        </w:rPr>
        <w:t xml:space="preserve">certify that </w:t>
      </w:r>
      <w:r w:rsidR="00AF6DE5">
        <w:rPr>
          <w:rFonts w:ascii="Times New Roman" w:hAnsi="Times New Roman" w:cs="Times New Roman"/>
          <w:sz w:val="24"/>
          <w:szCs w:val="24"/>
        </w:rPr>
        <w:t xml:space="preserve">this is </w:t>
      </w:r>
      <w:r w:rsidR="00D0639D">
        <w:rPr>
          <w:rFonts w:ascii="Times New Roman" w:hAnsi="Times New Roman" w:cs="Times New Roman"/>
          <w:sz w:val="24"/>
          <w:szCs w:val="24"/>
        </w:rPr>
        <w:t xml:space="preserve">the original work carried out and reported by </w:t>
      </w:r>
      <w:r w:rsidR="00D0639D" w:rsidRPr="00D0639D">
        <w:rPr>
          <w:rFonts w:ascii="Times New Roman" w:hAnsi="Times New Roman" w:cs="Times New Roman"/>
          <w:b/>
          <w:bCs/>
          <w:iCs/>
          <w:sz w:val="24"/>
          <w:szCs w:val="24"/>
        </w:rPr>
        <w:t>KOLAWOLE, KHARIMAT OYINDAMOLA</w:t>
      </w:r>
      <w:r w:rsidR="00D0639D">
        <w:rPr>
          <w:rFonts w:ascii="Times New Roman" w:hAnsi="Times New Roman" w:cs="Times New Roman"/>
          <w:b/>
          <w:bCs/>
          <w:iCs/>
          <w:sz w:val="24"/>
          <w:szCs w:val="24"/>
        </w:rPr>
        <w:t xml:space="preserve"> </w:t>
      </w:r>
      <w:r w:rsidR="00D0639D">
        <w:rPr>
          <w:rFonts w:ascii="Times New Roman" w:hAnsi="Times New Roman" w:cs="Times New Roman"/>
          <w:bCs/>
          <w:iCs/>
          <w:sz w:val="24"/>
          <w:szCs w:val="24"/>
        </w:rPr>
        <w:t xml:space="preserve">with matric number </w:t>
      </w:r>
      <w:r w:rsidR="00D0639D" w:rsidRPr="00D0639D">
        <w:rPr>
          <w:rFonts w:ascii="Times New Roman" w:hAnsi="Times New Roman" w:cs="Times New Roman"/>
          <w:b/>
          <w:bCs/>
          <w:iCs/>
          <w:sz w:val="24"/>
          <w:szCs w:val="24"/>
        </w:rPr>
        <w:t>HND/23/SLT/FT/0115</w:t>
      </w:r>
      <w:r w:rsidR="00AF6DE5">
        <w:rPr>
          <w:rFonts w:ascii="Times New Roman" w:hAnsi="Times New Roman" w:cs="Times New Roman"/>
          <w:sz w:val="24"/>
          <w:szCs w:val="24"/>
        </w:rPr>
        <w:t xml:space="preserve"> </w:t>
      </w:r>
      <w:r w:rsidRPr="006B1446">
        <w:rPr>
          <w:rFonts w:ascii="Times New Roman" w:hAnsi="Times New Roman" w:cs="Times New Roman"/>
          <w:sz w:val="24"/>
          <w:szCs w:val="24"/>
        </w:rPr>
        <w:t>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sidR="00AF6DE5">
        <w:rPr>
          <w:rFonts w:ascii="Times New Roman" w:hAnsi="Times New Roman" w:cs="Times New Roman"/>
          <w:sz w:val="24"/>
          <w:szCs w:val="24"/>
        </w:rPr>
        <w:t xml:space="preserve">Biochemistry Unit, </w:t>
      </w:r>
      <w:proofErr w:type="gramStart"/>
      <w:r w:rsidR="00AF6DE5">
        <w:rPr>
          <w:rFonts w:ascii="Times New Roman" w:hAnsi="Times New Roman" w:cs="Times New Roman"/>
          <w:sz w:val="24"/>
          <w:szCs w:val="24"/>
        </w:rPr>
        <w:t>Inst</w:t>
      </w:r>
      <w:bookmarkStart w:id="0" w:name="_GoBack"/>
      <w:bookmarkEnd w:id="0"/>
      <w:r w:rsidR="00AF6DE5">
        <w:rPr>
          <w:rFonts w:ascii="Times New Roman" w:hAnsi="Times New Roman" w:cs="Times New Roman"/>
          <w:sz w:val="24"/>
          <w:szCs w:val="24"/>
        </w:rPr>
        <w:t>itute</w:t>
      </w:r>
      <w:proofErr w:type="gramEnd"/>
      <w:r w:rsidR="00AF6DE5">
        <w:rPr>
          <w:rFonts w:ascii="Times New Roman" w:hAnsi="Times New Roman" w:cs="Times New Roman"/>
          <w:sz w:val="24"/>
          <w:szCs w:val="24"/>
        </w:rPr>
        <w:t xml:space="preserve"> of Applied Sciences (IAS)</w:t>
      </w:r>
      <w:r w:rsidR="00AF6DE5">
        <w:rPr>
          <w:rFonts w:ascii="Times New Roman" w:hAnsi="Times New Roman" w:cs="Times New Roman"/>
          <w:sz w:val="24"/>
          <w:szCs w:val="24"/>
        </w:rPr>
        <w:t xml:space="preserve"> </w:t>
      </w:r>
      <w:r w:rsidR="00AF6DE5" w:rsidRPr="006B1446">
        <w:rPr>
          <w:rFonts w:ascii="Times New Roman" w:hAnsi="Times New Roman" w:cs="Times New Roman"/>
          <w:sz w:val="24"/>
          <w:szCs w:val="24"/>
        </w:rPr>
        <w:t>Kwara State Polytechnic</w:t>
      </w:r>
      <w:r w:rsidR="00AF6DE5">
        <w:rPr>
          <w:rFonts w:ascii="Times New Roman" w:hAnsi="Times New Roman" w:cs="Times New Roman"/>
          <w:sz w:val="24"/>
          <w:szCs w:val="24"/>
        </w:rPr>
        <w:t xml:space="preserve">. And it has been approved in Partial Fulfillment of the Requirement of the award of Higher National Diploma in </w:t>
      </w:r>
      <w:r w:rsidR="00AF6DE5" w:rsidRPr="006B1446">
        <w:rPr>
          <w:rFonts w:ascii="Times New Roman" w:hAnsi="Times New Roman" w:cs="Times New Roman"/>
          <w:sz w:val="24"/>
          <w:szCs w:val="24"/>
        </w:rPr>
        <w:t>Science Laboratory Technology</w:t>
      </w:r>
      <w:r w:rsidR="00AF6DE5">
        <w:rPr>
          <w:rFonts w:ascii="Times New Roman" w:hAnsi="Times New Roman" w:cs="Times New Roman"/>
          <w:sz w:val="24"/>
          <w:szCs w:val="24"/>
        </w:rPr>
        <w:t>.</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454368" w:rsidRDefault="00454368"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005CDB" w:rsidRDefault="00454368" w:rsidP="00281875">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005CDB">
        <w:rPr>
          <w:rFonts w:ascii="Times New Roman" w:hAnsi="Times New Roman" w:cs="Times New Roman"/>
          <w:sz w:val="24"/>
          <w:szCs w:val="24"/>
        </w:rPr>
        <w:t xml:space="preserve"> dedicate this research work to Almighty God for hi</w:t>
      </w:r>
      <w:r>
        <w:rPr>
          <w:rFonts w:ascii="Times New Roman" w:hAnsi="Times New Roman" w:cs="Times New Roman"/>
          <w:sz w:val="24"/>
          <w:szCs w:val="24"/>
        </w:rPr>
        <w:t xml:space="preserve">s grace and guidance, and to my family </w:t>
      </w:r>
      <w:r w:rsidR="00005CDB">
        <w:rPr>
          <w:rFonts w:ascii="Times New Roman" w:hAnsi="Times New Roman" w:cs="Times New Roman"/>
          <w:sz w:val="24"/>
          <w:szCs w:val="24"/>
        </w:rPr>
        <w:t>for their constant support and encouragement throughout the duration of this project.</w:t>
      </w:r>
    </w:p>
    <w:p w:rsidR="004639C2" w:rsidRDefault="004639C2">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005CDB">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 xml:space="preserve">My sincere heart of gratitude goes to Almighty Allah who gave me the knowledge and strength for the successful completion of this </w:t>
      </w:r>
      <w:r w:rsidRPr="00454368">
        <w:rPr>
          <w:rFonts w:ascii="Times New Roman" w:hAnsi="Times New Roman" w:cs="Times New Roman"/>
          <w:sz w:val="24"/>
          <w:szCs w:val="24"/>
        </w:rPr>
        <w:t>higher</w:t>
      </w:r>
      <w:r w:rsidRPr="00454368">
        <w:rPr>
          <w:rFonts w:ascii="Times New Roman" w:hAnsi="Times New Roman" w:cs="Times New Roman"/>
          <w:sz w:val="24"/>
          <w:szCs w:val="24"/>
        </w:rPr>
        <w:t xml:space="preserve"> national diploma.</w:t>
      </w:r>
    </w:p>
    <w:p w:rsidR="00454368" w:rsidRP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This project work wouldn’t have been possible without the support of a large number of people .my greatest debt in this regard however is to my supervisor in person of Mr</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454368">
        <w:rPr>
          <w:rFonts w:ascii="Times New Roman" w:hAnsi="Times New Roman" w:cs="Times New Roman"/>
          <w:sz w:val="24"/>
          <w:szCs w:val="24"/>
        </w:rPr>
        <w:t>seni</w:t>
      </w:r>
      <w:proofErr w:type="spellEnd"/>
      <w:r w:rsidRPr="00454368">
        <w:rPr>
          <w:rFonts w:ascii="Times New Roman" w:hAnsi="Times New Roman" w:cs="Times New Roman"/>
          <w:sz w:val="24"/>
          <w:szCs w:val="24"/>
        </w:rPr>
        <w:t xml:space="preserve"> T.O</w:t>
      </w:r>
      <w:r>
        <w:rPr>
          <w:rFonts w:ascii="Times New Roman" w:hAnsi="Times New Roman" w:cs="Times New Roman"/>
          <w:sz w:val="24"/>
          <w:szCs w:val="24"/>
        </w:rPr>
        <w:t>.</w:t>
      </w:r>
      <w:r w:rsidRPr="00454368">
        <w:rPr>
          <w:rFonts w:ascii="Times New Roman" w:hAnsi="Times New Roman" w:cs="Times New Roman"/>
          <w:sz w:val="24"/>
          <w:szCs w:val="24"/>
        </w:rPr>
        <w:t xml:space="preserve"> whose patient criticisms and comment played a big role towards the completion of this project work.</w:t>
      </w:r>
      <w:r>
        <w:rPr>
          <w:rFonts w:ascii="Times New Roman" w:hAnsi="Times New Roman" w:cs="Times New Roman"/>
          <w:sz w:val="24"/>
          <w:szCs w:val="24"/>
        </w:rPr>
        <w:t xml:space="preserve"> I am extremely grateful to him</w:t>
      </w:r>
      <w:r w:rsidRPr="00454368">
        <w:rPr>
          <w:rFonts w:ascii="Times New Roman" w:hAnsi="Times New Roman" w:cs="Times New Roman"/>
          <w:sz w:val="24"/>
          <w:szCs w:val="24"/>
        </w:rPr>
        <w:t>.</w:t>
      </w:r>
    </w:p>
    <w:p w:rsidR="00454368" w:rsidRPr="00454368"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An Immeasurable debt and appreciation is due to my godly parent, Mr</w:t>
      </w:r>
      <w:r>
        <w:rPr>
          <w:rFonts w:ascii="Times New Roman" w:hAnsi="Times New Roman" w:cs="Times New Roman"/>
          <w:sz w:val="24"/>
          <w:szCs w:val="24"/>
        </w:rPr>
        <w:t>.</w:t>
      </w:r>
      <w:r w:rsidRPr="00454368">
        <w:rPr>
          <w:rFonts w:ascii="Times New Roman" w:hAnsi="Times New Roman" w:cs="Times New Roman"/>
          <w:sz w:val="24"/>
          <w:szCs w:val="24"/>
        </w:rPr>
        <w:t xml:space="preserve"> and Mrs</w:t>
      </w:r>
      <w:r>
        <w:rPr>
          <w:rFonts w:ascii="Times New Roman" w:hAnsi="Times New Roman" w:cs="Times New Roman"/>
          <w:sz w:val="24"/>
          <w:szCs w:val="24"/>
        </w:rPr>
        <w:t>.</w:t>
      </w:r>
      <w:r w:rsidRPr="00454368">
        <w:rPr>
          <w:rFonts w:ascii="Times New Roman" w:hAnsi="Times New Roman" w:cs="Times New Roman"/>
          <w:sz w:val="24"/>
          <w:szCs w:val="24"/>
        </w:rPr>
        <w:t xml:space="preserve"> </w:t>
      </w:r>
      <w:proofErr w:type="spellStart"/>
      <w:r w:rsidRPr="00454368">
        <w:rPr>
          <w:rFonts w:ascii="Times New Roman" w:hAnsi="Times New Roman" w:cs="Times New Roman"/>
          <w:sz w:val="24"/>
          <w:szCs w:val="24"/>
        </w:rPr>
        <w:t>Kolawole</w:t>
      </w:r>
      <w:proofErr w:type="spellEnd"/>
      <w:r w:rsidRPr="00454368">
        <w:rPr>
          <w:rFonts w:ascii="Times New Roman" w:hAnsi="Times New Roman" w:cs="Times New Roman"/>
          <w:sz w:val="24"/>
          <w:szCs w:val="24"/>
        </w:rPr>
        <w:t xml:space="preserve">, without their long time patience and encouragement through many vicissitudes of life, this project could never have been completed. I pray you live long to eat the fruit of your labor over </w:t>
      </w:r>
      <w:proofErr w:type="gramStart"/>
      <w:r w:rsidRPr="00454368">
        <w:rPr>
          <w:rFonts w:ascii="Times New Roman" w:hAnsi="Times New Roman" w:cs="Times New Roman"/>
          <w:sz w:val="24"/>
          <w:szCs w:val="24"/>
        </w:rPr>
        <w:t>me ,may</w:t>
      </w:r>
      <w:proofErr w:type="gramEnd"/>
      <w:r w:rsidRPr="00454368">
        <w:rPr>
          <w:rFonts w:ascii="Times New Roman" w:hAnsi="Times New Roman" w:cs="Times New Roman"/>
          <w:sz w:val="24"/>
          <w:szCs w:val="24"/>
        </w:rPr>
        <w:t xml:space="preserve"> the Almighty Allah bless and protect you ( Amin). My appreciation goes to my </w:t>
      </w:r>
      <w:proofErr w:type="gramStart"/>
      <w:r w:rsidRPr="00454368">
        <w:rPr>
          <w:rFonts w:ascii="Times New Roman" w:hAnsi="Times New Roman" w:cs="Times New Roman"/>
          <w:sz w:val="24"/>
          <w:szCs w:val="24"/>
        </w:rPr>
        <w:t>siblings ,</w:t>
      </w:r>
      <w:proofErr w:type="gramEnd"/>
      <w:r w:rsidRPr="00454368">
        <w:rPr>
          <w:rFonts w:ascii="Times New Roman" w:hAnsi="Times New Roman" w:cs="Times New Roman"/>
          <w:sz w:val="24"/>
          <w:szCs w:val="24"/>
        </w:rPr>
        <w:t xml:space="preserve"> my uncles and aunties , May the Almighty Allah bless and be with you all.</w:t>
      </w:r>
    </w:p>
    <w:p w:rsidR="00005CDB" w:rsidRDefault="00454368" w:rsidP="00454368">
      <w:pPr>
        <w:spacing w:line="360" w:lineRule="auto"/>
        <w:jc w:val="both"/>
        <w:rPr>
          <w:rFonts w:ascii="Times New Roman" w:hAnsi="Times New Roman" w:cs="Times New Roman"/>
          <w:sz w:val="24"/>
          <w:szCs w:val="24"/>
        </w:rPr>
      </w:pPr>
      <w:r w:rsidRPr="00454368">
        <w:rPr>
          <w:rFonts w:ascii="Times New Roman" w:hAnsi="Times New Roman" w:cs="Times New Roman"/>
          <w:sz w:val="24"/>
          <w:szCs w:val="24"/>
        </w:rPr>
        <w:t xml:space="preserve">Our appreciation goes to the Head of Department of S.L.T, Head of Biochemistry Unit and all our lectures for their kind gesture and </w:t>
      </w:r>
      <w:r w:rsidRPr="00454368">
        <w:rPr>
          <w:rFonts w:ascii="Times New Roman" w:hAnsi="Times New Roman" w:cs="Times New Roman"/>
          <w:sz w:val="24"/>
          <w:szCs w:val="24"/>
        </w:rPr>
        <w:t>academicals</w:t>
      </w:r>
      <w:r w:rsidRPr="00454368">
        <w:rPr>
          <w:rFonts w:ascii="Times New Roman" w:hAnsi="Times New Roman" w:cs="Times New Roman"/>
          <w:sz w:val="24"/>
          <w:szCs w:val="24"/>
        </w:rPr>
        <w:t xml:space="preserve"> support. May God Almighty continue to bless you </w:t>
      </w:r>
      <w:proofErr w:type="gramStart"/>
      <w:r w:rsidRPr="00454368">
        <w:rPr>
          <w:rFonts w:ascii="Times New Roman" w:hAnsi="Times New Roman" w:cs="Times New Roman"/>
          <w:sz w:val="24"/>
          <w:szCs w:val="24"/>
        </w:rPr>
        <w:t>all.</w:t>
      </w:r>
      <w:proofErr w:type="gramEnd"/>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r w:rsidR="00005CDB">
        <w:rPr>
          <w:rFonts w:ascii="Times New Roman" w:hAnsi="Times New Roman" w:cs="Times New Roman"/>
          <w:sz w:val="24"/>
          <w:szCs w:val="24"/>
        </w:rPr>
        <w:tab/>
      </w:r>
    </w:p>
    <w:p w:rsidR="00005CDB" w:rsidRDefault="00005CDB" w:rsidP="00005C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 xml:space="preserve">2.3 Taxonomical Classification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2.4 Nutritional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2.5 Medicinal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 xml:space="preserve">2.7 Previous Studies on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 xml:space="preserve">3.1.1 Collection and Preparation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 xml:space="preserve">4.1.1 Result of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 xml:space="preserve">Table 4.1.2 Result of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w:t>
      </w: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w:t>
      </w:r>
      <w:proofErr w:type="spellStart"/>
      <w:r w:rsidRPr="00F236F4">
        <w:rPr>
          <w:rFonts w:ascii="Times New Roman" w:eastAsia="Times New Roman" w:hAnsi="Times New Roman" w:cs="Times New Roman"/>
          <w:i/>
          <w:sz w:val="24"/>
          <w:szCs w:val="24"/>
        </w:rPr>
        <w:t>Soxhlet</w:t>
      </w:r>
      <w:proofErr w:type="spellEnd"/>
      <w:r w:rsidRPr="00F236F4">
        <w:rPr>
          <w:rFonts w:ascii="Times New Roman" w:eastAsia="Times New Roman" w:hAnsi="Times New Roman" w:cs="Times New Roman"/>
          <w:i/>
          <w:sz w:val="24"/>
          <w:szCs w:val="24"/>
        </w:rPr>
        <w:t xml:space="preserve"> extraction with petroleum ether for lipids, </w:t>
      </w:r>
      <w:proofErr w:type="spellStart"/>
      <w:r w:rsidRPr="00F236F4">
        <w:rPr>
          <w:rFonts w:ascii="Times New Roman" w:eastAsia="Times New Roman" w:hAnsi="Times New Roman" w:cs="Times New Roman"/>
          <w:i/>
          <w:sz w:val="24"/>
          <w:szCs w:val="24"/>
        </w:rPr>
        <w:t>Kjeldahl</w:t>
      </w:r>
      <w:proofErr w:type="spellEnd"/>
      <w:r w:rsidRPr="00F236F4">
        <w:rPr>
          <w:rFonts w:ascii="Times New Roman" w:eastAsia="Times New Roman" w:hAnsi="Times New Roman" w:cs="Times New Roman"/>
          <w:i/>
          <w:sz w:val="24"/>
          <w:szCs w:val="24"/>
        </w:rPr>
        <w:t xml:space="preserve">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9"/>
          <w:footerReference w:type="default" r:id="rId10"/>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w:t>
      </w:r>
      <w:proofErr w:type="gramStart"/>
      <w:r w:rsidRPr="008739A2">
        <w:rPr>
          <w:rFonts w:ascii="Times New Roman" w:eastAsia="Times New Roman" w:hAnsi="Times New Roman" w:cs="Times New Roman"/>
          <w:sz w:val="24"/>
          <w:szCs w:val="24"/>
        </w:rPr>
        <w:t>are</w:t>
      </w:r>
      <w:proofErr w:type="gramEnd"/>
      <w:r w:rsidRPr="008739A2">
        <w:rPr>
          <w:rFonts w:ascii="Times New Roman" w:eastAsia="Times New Roman" w:hAnsi="Times New Roman" w:cs="Times New Roman"/>
          <w:sz w:val="24"/>
          <w:szCs w:val="24"/>
        </w:rPr>
        <w:t xml:space="preserv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encompass a broad spectrum of essential elements like calcium and iron, which are vital for addressing micronutrient deficiencies (Leone et al., 2016). Understanding these mineral attributes is </w:t>
      </w:r>
      <w:proofErr w:type="gramStart"/>
      <w:r w:rsidRPr="008739A2">
        <w:rPr>
          <w:rFonts w:ascii="Times New Roman" w:eastAsia="Times New Roman" w:hAnsi="Times New Roman" w:cs="Times New Roman"/>
          <w:sz w:val="24"/>
          <w:szCs w:val="24"/>
        </w:rPr>
        <w:t>key</w:t>
      </w:r>
      <w:proofErr w:type="gramEnd"/>
      <w:r w:rsidRPr="008739A2">
        <w:rPr>
          <w:rFonts w:ascii="Times New Roman" w:eastAsia="Times New Roman" w:hAnsi="Times New Roman" w:cs="Times New Roman"/>
          <w:sz w:val="24"/>
          <w:szCs w:val="24"/>
        </w:rPr>
        <w:t xml:space="preserve"> to unlocking the seeds' potential in improving health outcomes, particularly in populations </w:t>
      </w:r>
      <w:r w:rsidRPr="008739A2">
        <w:rPr>
          <w:rFonts w:ascii="Times New Roman" w:eastAsia="Times New Roman" w:hAnsi="Times New Roman" w:cs="Times New Roman"/>
          <w:sz w:val="24"/>
          <w:szCs w:val="24"/>
        </w:rPr>
        <w:lastRenderedPageBreak/>
        <w:t>vulnerable 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This research seeks to provide a detailed nutritional profile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significance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 xml:space="preserve">investigation into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seeds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Malnutrition continues to be a pressing public health challenge in many developing countries, where deficiencies in protein, iron, and other minerals contribute to stunted growth, weakened immunity, and higher mortality rates.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this potential, the 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adaptability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Previous studies have highlighted the nutritional value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through oil extraction, adds another layer to their significance. The oil market provides an additional revenue stream for farmers, while 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background of this study highlights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oleifera's</w:t>
      </w:r>
      <w:proofErr w:type="spellEnd"/>
      <w:r w:rsidR="008739A2" w:rsidRPr="008739A2">
        <w:rPr>
          <w:rFonts w:ascii="Times New Roman" w:eastAsia="Times New Roman" w:hAnsi="Times New Roman" w:cs="Times New Roman"/>
          <w:sz w:val="24"/>
          <w:szCs w:val="24"/>
        </w:rPr>
        <w:t xml:space="preserve"> historical use, nutritional </w:t>
      </w:r>
      <w:proofErr w:type="gramStart"/>
      <w:r w:rsidR="008739A2" w:rsidRPr="008739A2">
        <w:rPr>
          <w:rFonts w:ascii="Times New Roman" w:eastAsia="Times New Roman" w:hAnsi="Times New Roman" w:cs="Times New Roman"/>
          <w:sz w:val="24"/>
          <w:szCs w:val="24"/>
        </w:rPr>
        <w:t>potential,</w:t>
      </w:r>
      <w:proofErr w:type="gramEnd"/>
      <w:r w:rsidR="008739A2" w:rsidRPr="008739A2">
        <w:rPr>
          <w:rFonts w:ascii="Times New Roman" w:eastAsia="Times New Roman" w:hAnsi="Times New Roman" w:cs="Times New Roman"/>
          <w:sz w:val="24"/>
          <w:szCs w:val="24"/>
        </w:rPr>
        <w:t xml:space="preserve">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the acknowledged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 regions where malnutrition is widespread. While the leaves are commonly consumed, the seeds are often overlooked, despite </w:t>
      </w:r>
      <w:r w:rsidRPr="008739A2">
        <w:rPr>
          <w:rFonts w:ascii="Times New Roman" w:eastAsia="Times New Roman" w:hAnsi="Times New Roman" w:cs="Times New Roman"/>
          <w:sz w:val="24"/>
          <w:szCs w:val="24"/>
        </w:rPr>
        <w:lastRenderedPageBreak/>
        <w:t>their superior nutrient content. This may stem from a lack of awareness about their benefits or the absence of accessible methods for incorporating them into diets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remains a significant issue in many developing regions, yet the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Public health initiatives could benefit from incorporating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problem lies in the lack of detailed, standardized, and region-specific data on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aim of this study is to investigate the proximate and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To determine 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texts, which document its application for over 300 health conditions, highlighting its deep integration into early healthcare systems (Fahey, 2005). This long-standing use underscores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became known for its seeds, which were used not only for food but also for water purification, a practice that gained prominence in areas with limited clean water sources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had reached sub-Saharan Africa, where it was embraced by local communities for its resilience and utility. In countries like Ethiopia and </w:t>
      </w:r>
      <w:r w:rsidRPr="006575C6">
        <w:rPr>
          <w:rFonts w:ascii="Times New Roman" w:eastAsia="Times New Roman" w:hAnsi="Times New Roman" w:cs="Times New Roman"/>
          <w:sz w:val="24"/>
          <w:szCs w:val="24"/>
        </w:rPr>
        <w:lastRenderedPageBreak/>
        <w:t>Sudan, the seeds were employed as natural coagulants to clarify water, a technique that remains in use today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xml:space="preserve">, 1988). The tree's leaves and pods were also incorporated into traditional diets, providing a reliable source of nutrients in regions prone to food scarcity. This period solidified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w:t>
      </w:r>
      <w:proofErr w:type="spellStart"/>
      <w:r w:rsidRPr="006575C6">
        <w:rPr>
          <w:rFonts w:ascii="Times New Roman" w:eastAsia="Times New Roman" w:hAnsi="Times New Roman" w:cs="Times New Roman"/>
          <w:sz w:val="24"/>
          <w:szCs w:val="24"/>
        </w:rPr>
        <w:t>Ogbe</w:t>
      </w:r>
      <w:proofErr w:type="spellEnd"/>
      <w:r w:rsidRPr="006575C6">
        <w:rPr>
          <w:rFonts w:ascii="Times New Roman" w:eastAsia="Times New Roman" w:hAnsi="Times New Roman" w:cs="Times New Roman"/>
          <w:sz w:val="24"/>
          <w:szCs w:val="24"/>
        </w:rPr>
        <w:t xml:space="preserve"> &amp; </w:t>
      </w:r>
      <w:proofErr w:type="spellStart"/>
      <w:r w:rsidRPr="006575C6">
        <w:rPr>
          <w:rFonts w:ascii="Times New Roman" w:eastAsia="Times New Roman" w:hAnsi="Times New Roman" w:cs="Times New Roman"/>
          <w:sz w:val="24"/>
          <w:szCs w:val="24"/>
        </w:rPr>
        <w:t>Affiku</w:t>
      </w:r>
      <w:proofErr w:type="spellEnd"/>
      <w:r w:rsidRPr="006575C6">
        <w:rPr>
          <w:rFonts w:ascii="Times New Roman" w:eastAsia="Times New Roman" w:hAnsi="Times New Roman" w:cs="Times New Roman"/>
          <w:sz w:val="24"/>
          <w:szCs w:val="24"/>
        </w:rPr>
        <w:t xml:space="preserve">, 2011). This shift toward scientific inquiry laid the foundation for modern research, as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In traditional settings across its range,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particularly in developing countries facing malnutrition and water scarcity. Organizations like the Church World Service promoted its cultivation as part of food security initiatives, emphasizing its high protein and mineral content (</w:t>
      </w:r>
      <w:proofErr w:type="spellStart"/>
      <w:r w:rsidRPr="006575C6">
        <w:rPr>
          <w:rFonts w:ascii="Times New Roman" w:eastAsia="Times New Roman" w:hAnsi="Times New Roman" w:cs="Times New Roman"/>
          <w:sz w:val="24"/>
          <w:szCs w:val="24"/>
        </w:rPr>
        <w:t>Fuglie</w:t>
      </w:r>
      <w:proofErr w:type="spellEnd"/>
      <w:r w:rsidRPr="006575C6">
        <w:rPr>
          <w:rFonts w:ascii="Times New Roman" w:eastAsia="Times New Roman" w:hAnsi="Times New Roman" w:cs="Times New Roman"/>
          <w:sz w:val="24"/>
          <w:szCs w:val="24"/>
        </w:rPr>
        <w:t xml:space="preserv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Historically,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seeds played a dual role, serving both nutritional and medicinal purposes.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and African traditional medicine utilized seed extracts to treat inflammation and infections, while their oil was applied to skin conditions (Gupta et al., 2012). This dual utility contributed to the plant's enduring legacy, as communities recognized its ability to address </w:t>
      </w:r>
      <w:proofErr w:type="gramStart"/>
      <w:r w:rsidRPr="006575C6">
        <w:rPr>
          <w:rFonts w:ascii="Times New Roman" w:eastAsia="Times New Roman" w:hAnsi="Times New Roman" w:cs="Times New Roman"/>
          <w:sz w:val="24"/>
          <w:szCs w:val="24"/>
        </w:rPr>
        <w:t>both health</w:t>
      </w:r>
      <w:proofErr w:type="gramEnd"/>
      <w:r w:rsidRPr="006575C6">
        <w:rPr>
          <w:rFonts w:ascii="Times New Roman" w:eastAsia="Times New Roman" w:hAnsi="Times New Roman" w:cs="Times New Roman"/>
          <w:sz w:val="24"/>
          <w:szCs w:val="24"/>
        </w:rPr>
        <w:t xml:space="preserve">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history of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It grows best in well-drained sandy or loamy soils with a pH range of 6.0 to 7.5 and requires full sunlight for optimal development. This adaptability allows cultivation in arid and semi-arid areas </w:t>
      </w:r>
      <w:r w:rsidRPr="006575C6">
        <w:rPr>
          <w:rFonts w:ascii="Times New Roman" w:eastAsia="Times New Roman" w:hAnsi="Times New Roman" w:cs="Times New Roman"/>
          <w:sz w:val="24"/>
          <w:szCs w:val="24"/>
        </w:rPr>
        <w:lastRenderedPageBreak/>
        <w:t xml:space="preserve">where food security is a concern, positioning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Cultivation begins with the selection of high-quality seeds, which are soaked for 24 hours to enhance germination rates. These seeds can be sown directly into the field or raised in nurseries before transplantation, depending on local practices and soil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Organic fertilizers play a significant role in enhancing soil fertility and supporting sustainable farming practices for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The application of compost or manure improves nutrient availability, promoting vigorous growth and higher seed yields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growth cycle is relatively short, with seeds ready for harvest within 6 to 8 months under optimal conditions.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a perennial, allowing multiple harvests from the same tree over several years, provided pruning is conducted to encourage new growth (</w:t>
      </w:r>
      <w:proofErr w:type="spellStart"/>
      <w:r w:rsidRPr="006575C6">
        <w:rPr>
          <w:rFonts w:ascii="Times New Roman" w:eastAsia="Times New Roman" w:hAnsi="Times New Roman" w:cs="Times New Roman"/>
          <w:sz w:val="24"/>
          <w:szCs w:val="24"/>
        </w:rPr>
        <w:t>Foidl</w:t>
      </w:r>
      <w:proofErr w:type="spellEnd"/>
      <w:r w:rsidRPr="006575C6">
        <w:rPr>
          <w:rFonts w:ascii="Times New Roman" w:eastAsia="Times New Roman" w:hAnsi="Times New Roman" w:cs="Times New Roman"/>
          <w:sz w:val="24"/>
          <w:szCs w:val="24"/>
        </w:rPr>
        <w:t xml:space="preserve">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Harvesting involves collecting mature pods when they turn brown and dry, typically done manually to avoid damaging the seeds. The pods are then sun-dried to facilitate seed release, a process that can take several days depending on weather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Proper timing is essential to ensure seed quality, as overripe pods may lead to reduced oil content or viability, while </w:t>
      </w:r>
      <w:proofErr w:type="spellStart"/>
      <w:r w:rsidRPr="006575C6">
        <w:rPr>
          <w:rFonts w:ascii="Times New Roman" w:eastAsia="Times New Roman" w:hAnsi="Times New Roman" w:cs="Times New Roman"/>
          <w:sz w:val="24"/>
          <w:szCs w:val="24"/>
        </w:rPr>
        <w:t>underripe</w:t>
      </w:r>
      <w:proofErr w:type="spellEnd"/>
      <w:r w:rsidRPr="006575C6">
        <w:rPr>
          <w:rFonts w:ascii="Times New Roman" w:eastAsia="Times New Roman" w:hAnsi="Times New Roman" w:cs="Times New Roman"/>
          <w:sz w:val="24"/>
          <w:szCs w:val="24"/>
        </w:rPr>
        <w:t xml:space="preserv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w:t>
      </w:r>
      <w:proofErr w:type="spellStart"/>
      <w:r w:rsidR="006575C6" w:rsidRPr="006575C6">
        <w:rPr>
          <w:rFonts w:ascii="Times New Roman" w:eastAsia="Times New Roman" w:hAnsi="Times New Roman" w:cs="Times New Roman"/>
          <w:sz w:val="24"/>
          <w:szCs w:val="24"/>
        </w:rPr>
        <w:t>Moringa</w:t>
      </w:r>
      <w:proofErr w:type="spellEnd"/>
      <w:r w:rsidR="006575C6" w:rsidRPr="006575C6">
        <w:rPr>
          <w:rFonts w:ascii="Times New Roman" w:eastAsia="Times New Roman" w:hAnsi="Times New Roman" w:cs="Times New Roman"/>
          <w:sz w:val="24"/>
          <w:szCs w:val="24"/>
        </w:rPr>
        <w:t xml:space="preserve"> </w:t>
      </w:r>
      <w:proofErr w:type="spellStart"/>
      <w:r w:rsidR="006575C6" w:rsidRPr="006575C6">
        <w:rPr>
          <w:rFonts w:ascii="Times New Roman" w:eastAsia="Times New Roman" w:hAnsi="Times New Roman" w:cs="Times New Roman"/>
          <w:sz w:val="24"/>
          <w:szCs w:val="24"/>
        </w:rPr>
        <w:t>oleifera</w:t>
      </w:r>
      <w:proofErr w:type="spellEnd"/>
      <w:r w:rsidR="006575C6" w:rsidRPr="006575C6">
        <w:rPr>
          <w:rFonts w:ascii="Times New Roman" w:eastAsia="Times New Roman" w:hAnsi="Times New Roman" w:cs="Times New Roman"/>
          <w:sz w:val="24"/>
          <w:szCs w:val="24"/>
        </w:rPr>
        <w:t xml:space="preserve"> are straightforward yet require attention to detail to maximize yield and quality. From seed preparation to post-harvest storage, each step contributes to the plant’s role as a resilient crop. Its ability to thrive in diverse conditions and </w:t>
      </w:r>
      <w:r w:rsidR="006575C6" w:rsidRPr="006575C6">
        <w:rPr>
          <w:rFonts w:ascii="Times New Roman" w:eastAsia="Times New Roman" w:hAnsi="Times New Roman" w:cs="Times New Roman"/>
          <w:sz w:val="24"/>
          <w:szCs w:val="24"/>
        </w:rPr>
        <w:lastRenderedPageBreak/>
        <w:t>provide multiple harvests makes it a valuable resource, with ongoing research into cultivation practices likely to enhance its contribution to food security and nutrition (Leone et al., 2016). As 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belongs to the </w:t>
      </w:r>
      <w:proofErr w:type="spellStart"/>
      <w:r>
        <w:t>Moringaceae</w:t>
      </w:r>
      <w:proofErr w:type="spellEnd"/>
      <w:r>
        <w:t xml:space="preserve"> family, a small but distinctive group of plants recognized for their fast-growing, deciduous trees. This family comprises 13 species, with </w:t>
      </w:r>
      <w:proofErr w:type="spellStart"/>
      <w:r>
        <w:t>Moringa</w:t>
      </w:r>
      <w:proofErr w:type="spellEnd"/>
      <w:r>
        <w:t xml:space="preserve"> </w:t>
      </w:r>
      <w:proofErr w:type="spellStart"/>
      <w:r>
        <w:t>oleifera</w:t>
      </w:r>
      <w:proofErr w:type="spellEnd"/>
      <w:r>
        <w:t xml:space="preserve">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 xml:space="preserve">The binomial nomenclature for </w:t>
      </w:r>
      <w:proofErr w:type="spellStart"/>
      <w:r>
        <w:t>Moringa</w:t>
      </w:r>
      <w:proofErr w:type="spellEnd"/>
      <w:r>
        <w:t xml:space="preserve"> </w:t>
      </w:r>
      <w:proofErr w:type="spellStart"/>
      <w:r>
        <w:t>oleifera</w:t>
      </w:r>
      <w:proofErr w:type="spellEnd"/>
      <w:r>
        <w:t xml:space="preserve"> is </w:t>
      </w:r>
      <w:proofErr w:type="spellStart"/>
      <w:r>
        <w:t>Moringa</w:t>
      </w:r>
      <w:proofErr w:type="spellEnd"/>
      <w:r>
        <w:t xml:space="preserve"> </w:t>
      </w:r>
      <w:proofErr w:type="spellStart"/>
      <w:r>
        <w:t>oleifera</w:t>
      </w:r>
      <w:proofErr w:type="spellEnd"/>
      <w:r>
        <w:t xml:space="preserve"> Lam., named by the French botanist Jean-Baptiste Lamarck in 1785. This scientific name reflects its classification, with "</w:t>
      </w:r>
      <w:proofErr w:type="spellStart"/>
      <w:r>
        <w:t>Moringa</w:t>
      </w:r>
      <w:proofErr w:type="spellEnd"/>
      <w:r>
        <w:t>" derived from the Tamil word "</w:t>
      </w:r>
      <w:proofErr w:type="spellStart"/>
      <w:r>
        <w:t>murungai</w:t>
      </w:r>
      <w:proofErr w:type="spellEnd"/>
      <w:r>
        <w:t>," indicating its historical roots in South India (Olson, 2002). The species name "</w:t>
      </w:r>
      <w:proofErr w:type="spellStart"/>
      <w:r>
        <w:t>oleifera</w:t>
      </w:r>
      <w:proofErr w:type="spellEnd"/>
      <w:r>
        <w:t>"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is classified as a perennial species, capable of thriving for multiple years under suitable conditions. Its taxonomic placement within the </w:t>
      </w:r>
      <w:proofErr w:type="spellStart"/>
      <w:r>
        <w:t>Moringaceae</w:t>
      </w:r>
      <w:proofErr w:type="spellEnd"/>
      <w:r>
        <w:t xml:space="preserve"> family distinguishes it from </w:t>
      </w:r>
      <w:r>
        <w:lastRenderedPageBreak/>
        <w:t xml:space="preserve">other genera, such as </w:t>
      </w:r>
      <w:proofErr w:type="spellStart"/>
      <w:r>
        <w:t>Moringa</w:t>
      </w:r>
      <w:proofErr w:type="spellEnd"/>
      <w:r>
        <w:t xml:space="preserve"> </w:t>
      </w:r>
      <w:proofErr w:type="spellStart"/>
      <w:r>
        <w:t>peregrina</w:t>
      </w:r>
      <w:proofErr w:type="spellEnd"/>
      <w:r>
        <w:t>, which is adapted to more arid environments. This distinction is based on morphological and genetic differences, including leaf structure and seed 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 xml:space="preserve">The </w:t>
      </w:r>
      <w:proofErr w:type="spellStart"/>
      <w:r>
        <w:t>Moringaceae</w:t>
      </w:r>
      <w:proofErr w:type="spellEnd"/>
      <w:r>
        <w:t xml:space="preserve"> family is monophyletic, meaning all its species share a common ancestor, a trait confirmed by phylogenetic studies. </w:t>
      </w:r>
      <w:proofErr w:type="spellStart"/>
      <w:r>
        <w:t>Moringa</w:t>
      </w:r>
      <w:proofErr w:type="spellEnd"/>
      <w:r>
        <w:t xml:space="preserve"> </w:t>
      </w:r>
      <w:proofErr w:type="spellStart"/>
      <w:r>
        <w:t>oleifera’s</w:t>
      </w:r>
      <w:proofErr w:type="spellEnd"/>
      <w:r>
        <w:t xml:space="preserve"> classification includes the kingdom Plantae, phylum </w:t>
      </w:r>
      <w:proofErr w:type="spellStart"/>
      <w:r>
        <w:t>Magnoliophyta</w:t>
      </w:r>
      <w:proofErr w:type="spellEnd"/>
      <w:r>
        <w:t xml:space="preserve">, class </w:t>
      </w:r>
      <w:proofErr w:type="spellStart"/>
      <w:r>
        <w:t>Magnoliopsida</w:t>
      </w:r>
      <w:proofErr w:type="spellEnd"/>
      <w:r>
        <w:t xml:space="preserve">, and order </w:t>
      </w:r>
      <w:proofErr w:type="spellStart"/>
      <w:r>
        <w:t>Brassicales</w:t>
      </w:r>
      <w:proofErr w:type="spellEnd"/>
      <w:r>
        <w:t>,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 xml:space="preserve">Morphologically, </w:t>
      </w:r>
      <w:proofErr w:type="spellStart"/>
      <w:r>
        <w:t>Moringa</w:t>
      </w:r>
      <w:proofErr w:type="spellEnd"/>
      <w:r>
        <w:t xml:space="preserve"> </w:t>
      </w:r>
      <w:proofErr w:type="spellStart"/>
      <w:r>
        <w:t>oleifera</w:t>
      </w:r>
      <w:proofErr w:type="spellEnd"/>
      <w:r>
        <w:t xml:space="preserve"> is characterized by its </w:t>
      </w:r>
      <w:proofErr w:type="spellStart"/>
      <w:r>
        <w:t>tripinnate</w:t>
      </w:r>
      <w:proofErr w:type="spellEnd"/>
      <w:r>
        <w:t xml:space="preserve"> leaves, elongated pods, and small, round seeds with a winged appearance. These features differentiate it from other </w:t>
      </w:r>
      <w:proofErr w:type="spellStart"/>
      <w:r>
        <w:t>Moringa</w:t>
      </w:r>
      <w:proofErr w:type="spellEnd"/>
      <w:r>
        <w:t xml:space="preserve"> species, such as </w:t>
      </w:r>
      <w:proofErr w:type="spellStart"/>
      <w:r>
        <w:t>Moringa</w:t>
      </w:r>
      <w:proofErr w:type="spellEnd"/>
      <w:r>
        <w:t xml:space="preserve"> </w:t>
      </w:r>
      <w:proofErr w:type="spellStart"/>
      <w:r>
        <w:t>stenopetala</w:t>
      </w:r>
      <w:proofErr w:type="spellEnd"/>
      <w:r>
        <w:t xml:space="preserve">, which has broader leaves and is more common in East Africa (Leone et al., 2016). The taxonomic classification based on these traits helps in identifying </w:t>
      </w:r>
      <w:proofErr w:type="spellStart"/>
      <w:r>
        <w:t>Moringa</w:t>
      </w:r>
      <w:proofErr w:type="spellEnd"/>
      <w:r>
        <w:t xml:space="preserve"> </w:t>
      </w:r>
      <w:proofErr w:type="spellStart"/>
      <w:r>
        <w:t>oleifera</w:t>
      </w:r>
      <w:proofErr w:type="spellEnd"/>
      <w:r>
        <w:t xml:space="preserve"> in diverse ecosystems and supports its cultivation in regions where it has been introduced.</w:t>
      </w:r>
    </w:p>
    <w:p w:rsidR="00894247" w:rsidRDefault="00894247" w:rsidP="00894247">
      <w:pPr>
        <w:pStyle w:val="NormalWeb"/>
        <w:spacing w:line="480" w:lineRule="auto"/>
        <w:jc w:val="both"/>
      </w:pPr>
      <w:r>
        <w:t xml:space="preserve">Genetic diversity within </w:t>
      </w:r>
      <w:proofErr w:type="spellStart"/>
      <w:r>
        <w:t>Moringa</w:t>
      </w:r>
      <w:proofErr w:type="spellEnd"/>
      <w:r>
        <w:t xml:space="preserve"> </w:t>
      </w:r>
      <w:proofErr w:type="spellStart"/>
      <w:r>
        <w:t>oleifera</w:t>
      </w:r>
      <w:proofErr w:type="spellEnd"/>
      <w:r>
        <w:t xml:space="preserve"> is limited compared to other crops, but variations exist due to geographical distribution and natural selection. This diversity influences seed composition, including proximate and mineral content, which varies across regions (Olson, </w:t>
      </w:r>
      <w:r>
        <w:lastRenderedPageBreak/>
        <w:t>2002). Taxonomic studies continue to explore these differences, aiding in the development of cultivars with enhanced 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 xml:space="preserve">The taxonomic classification of </w:t>
      </w:r>
      <w:proofErr w:type="spellStart"/>
      <w:r>
        <w:t>Moringa</w:t>
      </w:r>
      <w:proofErr w:type="spellEnd"/>
      <w:r>
        <w:t xml:space="preserve"> </w:t>
      </w:r>
      <w:proofErr w:type="spellStart"/>
      <w:r>
        <w:t>oleifera</w:t>
      </w:r>
      <w:proofErr w:type="spellEnd"/>
      <w:r>
        <w:t xml:space="preserve">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proofErr w:type="spellStart"/>
      <w:r>
        <w:t>Moringa</w:t>
      </w:r>
      <w:proofErr w:type="spellEnd"/>
      <w:r>
        <w:t xml:space="preserve"> </w:t>
      </w:r>
      <w:proofErr w:type="spellStart"/>
      <w:r>
        <w:t>oleifera</w:t>
      </w:r>
      <w:proofErr w:type="spellEnd"/>
      <w:r>
        <w:t xml:space="preserve">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w:t>
      </w:r>
      <w:proofErr w:type="spellStart"/>
      <w:r>
        <w:t>Ogbe</w:t>
      </w:r>
      <w:proofErr w:type="spellEnd"/>
      <w:r>
        <w:t xml:space="preserve"> &amp; </w:t>
      </w:r>
      <w:proofErr w:type="spellStart"/>
      <w:r>
        <w:t>Affiku</w:t>
      </w:r>
      <w:proofErr w:type="spellEnd"/>
      <w:r>
        <w:t xml:space="preserve">, 2011). This protein is rich in essential amino acids such as </w:t>
      </w:r>
      <w:proofErr w:type="spellStart"/>
      <w:r>
        <w:t>leucine</w:t>
      </w:r>
      <w:proofErr w:type="spellEnd"/>
      <w:r>
        <w:t xml:space="preserv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w:t>
      </w:r>
      <w:proofErr w:type="spellStart"/>
      <w:r>
        <w:t>Moringa</w:t>
      </w:r>
      <w:proofErr w:type="spellEnd"/>
      <w:r>
        <w:t xml:space="preserve"> </w:t>
      </w:r>
      <w:proofErr w:type="spellStart"/>
      <w:r>
        <w:t>oleifera</w:t>
      </w:r>
      <w:proofErr w:type="spellEnd"/>
      <w:r>
        <w:t xml:space="preserve">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w:t>
      </w:r>
      <w:r>
        <w:lastRenderedPageBreak/>
        <w:t>2303.4965 ± 7.049 kJ/100g. The presence of healthy fats supports energy needs and cardiovascular health, making the seeds a beneficial addition to diets in food-insecure areas where energy intake is often inadequate.</w:t>
      </w:r>
    </w:p>
    <w:p w:rsidR="000D1E07" w:rsidRDefault="000D1E07" w:rsidP="000D1E07">
      <w:pPr>
        <w:pStyle w:val="NormalWeb"/>
        <w:spacing w:line="480" w:lineRule="auto"/>
        <w:jc w:val="both"/>
      </w:pPr>
      <w:r>
        <w:t xml:space="preserve">Minerals in </w:t>
      </w:r>
      <w:proofErr w:type="spellStart"/>
      <w:r>
        <w:t>Moringa</w:t>
      </w:r>
      <w:proofErr w:type="spellEnd"/>
      <w:r>
        <w:t xml:space="preserve"> </w:t>
      </w:r>
      <w:proofErr w:type="spellStart"/>
      <w:r>
        <w:t>oleifera</w:t>
      </w:r>
      <w:proofErr w:type="spellEnd"/>
      <w:r>
        <w:t xml:space="preserve">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w:t>
      </w:r>
      <w:proofErr w:type="spellStart"/>
      <w:r>
        <w:t>Compaoré</w:t>
      </w:r>
      <w:proofErr w:type="spellEnd"/>
      <w:r>
        <w:t xml:space="preserve">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 xml:space="preserve">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w:t>
      </w:r>
      <w:r>
        <w:lastRenderedPageBreak/>
        <w:t>ensures the seeds can meet diverse nutritional needs, making them a practical option for food security programs.</w:t>
      </w:r>
    </w:p>
    <w:p w:rsidR="000D1E07" w:rsidRDefault="000D1E07" w:rsidP="000D1E07">
      <w:pPr>
        <w:pStyle w:val="NormalWeb"/>
        <w:spacing w:line="480" w:lineRule="auto"/>
        <w:jc w:val="both"/>
      </w:pPr>
      <w:r>
        <w:t>The low moisture content (7.627554 ± 0.141808%) and moderate crude fiber (3.4834755 ± 0.283865%) further underscore the seeds' nutritional importance by ensuring storage stability and supporting digestive health (</w:t>
      </w:r>
      <w:proofErr w:type="spellStart"/>
      <w:r>
        <w:t>Ogbe</w:t>
      </w:r>
      <w:proofErr w:type="spellEnd"/>
      <w:r>
        <w:t xml:space="preserve"> &amp; </w:t>
      </w:r>
      <w:proofErr w:type="spellStart"/>
      <w:r>
        <w:t>Affiku</w:t>
      </w:r>
      <w:proofErr w:type="spellEnd"/>
      <w:r>
        <w:t>,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 xml:space="preserve">The nutritional importance of </w:t>
      </w:r>
      <w:proofErr w:type="spellStart"/>
      <w:r>
        <w:t>Moringa</w:t>
      </w:r>
      <w:proofErr w:type="spellEnd"/>
      <w:r>
        <w:t xml:space="preserve"> </w:t>
      </w:r>
      <w:proofErr w:type="spellStart"/>
      <w:r>
        <w:t>oleifera</w:t>
      </w:r>
      <w:proofErr w:type="spellEnd"/>
      <w:r>
        <w:t xml:space="preserve">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w:t>
      </w:r>
      <w:r>
        <w:lastRenderedPageBreak/>
        <w:t>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t xml:space="preserve">The antimicrobial properties of </w:t>
      </w:r>
      <w:proofErr w:type="spellStart"/>
      <w:r>
        <w:t>Moringa</w:t>
      </w:r>
      <w:proofErr w:type="spellEnd"/>
      <w:r>
        <w:t xml:space="preserve"> </w:t>
      </w:r>
      <w:proofErr w:type="spellStart"/>
      <w:r>
        <w:t>oleifera</w:t>
      </w:r>
      <w:proofErr w:type="spellEnd"/>
      <w:r>
        <w:t xml:space="preserve"> seeds have been widely recognized, particularly in water purification. The seeds contain natural coagulants that remove bacteria and impurities from water, reducing the incidence of waterborne diseases such as cholera and dysentery (</w:t>
      </w:r>
      <w:proofErr w:type="spellStart"/>
      <w:r>
        <w:t>Jahn</w:t>
      </w:r>
      <w:proofErr w:type="spellEnd"/>
      <w:r>
        <w:t>,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 xml:space="preserve">The oil extracted from </w:t>
      </w:r>
      <w:proofErr w:type="spellStart"/>
      <w:r>
        <w:t>Moringa</w:t>
      </w:r>
      <w:proofErr w:type="spellEnd"/>
      <w:r>
        <w:t xml:space="preserve"> </w:t>
      </w:r>
      <w:proofErr w:type="spellStart"/>
      <w:r>
        <w:t>oleifera</w:t>
      </w:r>
      <w:proofErr w:type="spellEnd"/>
      <w:r>
        <w:t xml:space="preserve">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lastRenderedPageBreak/>
        <w:t xml:space="preserve">Research has also explored the anti-diabetic potential of </w:t>
      </w:r>
      <w:proofErr w:type="spellStart"/>
      <w:r>
        <w:t>Moringa</w:t>
      </w:r>
      <w:proofErr w:type="spellEnd"/>
      <w:r>
        <w:t xml:space="preserve"> </w:t>
      </w:r>
      <w:proofErr w:type="spellStart"/>
      <w:r>
        <w:t>oleifera</w:t>
      </w:r>
      <w:proofErr w:type="spellEnd"/>
      <w:r>
        <w:t xml:space="preserve">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 xml:space="preserve">The seeds’ antioxidant properties contribute to their medicinal importance by neutralizing free radicals, which can damage cells and lead to chronic diseases such as cancer and heart disease. Compounds like </w:t>
      </w:r>
      <w:proofErr w:type="spellStart"/>
      <w:r>
        <w:t>quercetin</w:t>
      </w:r>
      <w:proofErr w:type="spellEnd"/>
      <w:r>
        <w:t xml:space="preserve"> and </w:t>
      </w:r>
      <w:proofErr w:type="spellStart"/>
      <w:r>
        <w:t>chlorogenic</w:t>
      </w:r>
      <w:proofErr w:type="spellEnd"/>
      <w:r>
        <w:t xml:space="preserve">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 xml:space="preserve">In African and Asian traditional medicine, </w:t>
      </w:r>
      <w:proofErr w:type="spellStart"/>
      <w:r>
        <w:t>Moringa</w:t>
      </w:r>
      <w:proofErr w:type="spellEnd"/>
      <w:r>
        <w:t xml:space="preserve"> </w:t>
      </w:r>
      <w:proofErr w:type="spellStart"/>
      <w:r>
        <w:t>oleifera</w:t>
      </w:r>
      <w:proofErr w:type="spellEnd"/>
      <w:r>
        <w:t xml:space="preserve">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 xml:space="preserve">The medicinal importance of </w:t>
      </w:r>
      <w:proofErr w:type="spellStart"/>
      <w:r>
        <w:t>Moringa</w:t>
      </w:r>
      <w:proofErr w:type="spellEnd"/>
      <w:r>
        <w:t xml:space="preserve"> </w:t>
      </w:r>
      <w:proofErr w:type="spellStart"/>
      <w:r>
        <w:t>oleifera</w:t>
      </w:r>
      <w:proofErr w:type="spellEnd"/>
      <w:r>
        <w:t xml:space="preserve">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w:t>
      </w:r>
      <w:r>
        <w:lastRenderedPageBreak/>
        <w:t>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2.6 NUTRITIONAL ANALYSIS OF SEEDS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 xml:space="preserve">Moisture content is a key parameter in the nutritional analysis, typically measured by oven-drying the seeds at 105°C until a constant weight is achieved. For </w:t>
      </w:r>
      <w:proofErr w:type="spellStart"/>
      <w:r>
        <w:t>Moringa</w:t>
      </w:r>
      <w:proofErr w:type="spellEnd"/>
      <w:r>
        <w:t xml:space="preserve"> </w:t>
      </w:r>
      <w:proofErr w:type="spellStart"/>
      <w:r>
        <w:t>oleifera</w:t>
      </w:r>
      <w:proofErr w:type="spellEnd"/>
      <w:r>
        <w:t xml:space="preserve"> seeds, this value is often low, around 7.627554 ± 0.141808%, indicating good storage stability by reducing the risk of microbial spoilage (</w:t>
      </w:r>
      <w:proofErr w:type="spellStart"/>
      <w:r>
        <w:t>Ogbe</w:t>
      </w:r>
      <w:proofErr w:type="spellEnd"/>
      <w:r>
        <w:t xml:space="preserve"> &amp; </w:t>
      </w:r>
      <w:proofErr w:type="spellStart"/>
      <w:r>
        <w:t>Affiku</w:t>
      </w:r>
      <w:proofErr w:type="spellEnd"/>
      <w:r>
        <w:t>,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 xml:space="preserve">Ash content, determined by incinerating the seeds at 550°C, reflects the mineral content and is typically moderate in </w:t>
      </w:r>
      <w:proofErr w:type="spellStart"/>
      <w:r>
        <w:t>Moringa</w:t>
      </w:r>
      <w:proofErr w:type="spellEnd"/>
      <w:r>
        <w:t xml:space="preserve"> </w:t>
      </w:r>
      <w:proofErr w:type="spellStart"/>
      <w:r>
        <w:t>oleifera</w:t>
      </w:r>
      <w:proofErr w:type="spellEnd"/>
      <w:r>
        <w:t xml:space="preserve"> seeds, around 3.2560955 ± 0.010345% (</w:t>
      </w:r>
      <w:proofErr w:type="spellStart"/>
      <w:r>
        <w:t>Compaoré</w:t>
      </w:r>
      <w:proofErr w:type="spellEnd"/>
      <w:r>
        <w:t xml:space="preserve"> et al., </w:t>
      </w:r>
      <w:r>
        <w:lastRenderedPageBreak/>
        <w:t>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t xml:space="preserve">Crude fat, assessed through </w:t>
      </w:r>
      <w:proofErr w:type="spellStart"/>
      <w:r>
        <w:t>Soxhlet</w:t>
      </w:r>
      <w:proofErr w:type="spellEnd"/>
      <w:r>
        <w:t xml:space="preserve"> extraction with petroleum ether, is a significant component of </w:t>
      </w:r>
      <w:proofErr w:type="spellStart"/>
      <w:r>
        <w:t>Moringa</w:t>
      </w:r>
      <w:proofErr w:type="spellEnd"/>
      <w:r>
        <w:t xml:space="preserve"> </w:t>
      </w:r>
      <w:proofErr w:type="spellStart"/>
      <w:r>
        <w:t>oleifera</w:t>
      </w:r>
      <w:proofErr w:type="spellEnd"/>
      <w:r>
        <w:t xml:space="preserve">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 xml:space="preserve">Crude protein content, measured using the </w:t>
      </w:r>
      <w:proofErr w:type="spellStart"/>
      <w:r>
        <w:t>Kjeldahl</w:t>
      </w:r>
      <w:proofErr w:type="spellEnd"/>
      <w:r>
        <w:t xml:space="preserve"> method, highlights the seeds' status as a high-quality protein source, with levels around 25.9671 ± 0% (</w:t>
      </w:r>
      <w:proofErr w:type="spellStart"/>
      <w:r>
        <w:t>Compaoré</w:t>
      </w:r>
      <w:proofErr w:type="spellEnd"/>
      <w:r>
        <w:t xml:space="preserve"> et al., 2011). This method involves digesting the seeds with sulfuric acid, distilling the ammonia, and multiplying the nitrogen content by 6.25 to estimate protein. The presence of essential amino acids like </w:t>
      </w:r>
      <w:proofErr w:type="spellStart"/>
      <w:r>
        <w:t>leucine</w:t>
      </w:r>
      <w:proofErr w:type="spellEnd"/>
      <w:r>
        <w:t xml:space="preserv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 xml:space="preserve">Carbohydrate content is calculated by difference, subtracting the percentages of moisture, ash, fat, and protein from 100%, yielding approximately 18.074 ± 0.447% for </w:t>
      </w:r>
      <w:proofErr w:type="spellStart"/>
      <w:r>
        <w:t>Moringa</w:t>
      </w:r>
      <w:proofErr w:type="spellEnd"/>
      <w:r>
        <w:t xml:space="preserve"> </w:t>
      </w:r>
      <w:proofErr w:type="spellStart"/>
      <w:r>
        <w:t>oleifera</w:t>
      </w:r>
      <w:proofErr w:type="spellEnd"/>
      <w:r>
        <w:t xml:space="preserve"> seeds (AOAC, 2019). This moderate level, primarily consisting of starches and sugars, complements the high protein and fat content, contributing to the seeds' role as an energy source. The </w:t>
      </w:r>
      <w:r>
        <w:lastRenderedPageBreak/>
        <w:t>calculation method ensures a balanced macronutrient profile, supporting their integration into fortified foods.</w:t>
      </w:r>
    </w:p>
    <w:p w:rsidR="00894247" w:rsidRDefault="00894247" w:rsidP="00894247">
      <w:pPr>
        <w:pStyle w:val="NormalWeb"/>
        <w:spacing w:line="480" w:lineRule="auto"/>
        <w:jc w:val="both"/>
      </w:pPr>
      <w:r>
        <w:t>Mineral analysis, conducted using techniques like Atomic Absorption Spectrophotometry, reveals significant levels of potassium (5950 ± 20 ppm) and iron (120.1 ± 0.99 ppm), alongside trace amounts of magnesium, calcium, zinc, manganese, and copper (Leone et al., 2016). This analysis 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 xml:space="preserve">Previous studies on the seed composition of </w:t>
      </w:r>
      <w:proofErr w:type="spellStart"/>
      <w:r>
        <w:t>Moringa</w:t>
      </w:r>
      <w:proofErr w:type="spellEnd"/>
      <w:r>
        <w:t xml:space="preserve"> </w:t>
      </w:r>
      <w:proofErr w:type="spellStart"/>
      <w:r>
        <w:t>oleifera</w:t>
      </w:r>
      <w:proofErr w:type="spellEnd"/>
      <w:r>
        <w:t xml:space="preserve">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w:t>
      </w:r>
      <w:proofErr w:type="spellStart"/>
      <w:r>
        <w:t>Moringa</w:t>
      </w:r>
      <w:proofErr w:type="spellEnd"/>
      <w:r>
        <w:t xml:space="preserve"> </w:t>
      </w:r>
      <w:proofErr w:type="spellStart"/>
      <w:r>
        <w:t>oleifera</w:t>
      </w:r>
      <w:proofErr w:type="spellEnd"/>
      <w:r>
        <w:t xml:space="preserve"> as a promising resource for combating </w:t>
      </w:r>
      <w:r>
        <w:lastRenderedPageBreak/>
        <w:t>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w:t>
      </w:r>
      <w:proofErr w:type="spellStart"/>
      <w:r>
        <w:t>Ogbe</w:t>
      </w:r>
      <w:proofErr w:type="spellEnd"/>
      <w:r>
        <w:t xml:space="preserve"> and </w:t>
      </w:r>
      <w:proofErr w:type="spellStart"/>
      <w:r>
        <w:t>Affiku</w:t>
      </w:r>
      <w:proofErr w:type="spellEnd"/>
      <w:r>
        <w:t xml:space="preserve"> (2011) focused on the proximate composition of </w:t>
      </w:r>
      <w:proofErr w:type="spellStart"/>
      <w:r>
        <w:t>Moringa</w:t>
      </w:r>
      <w:proofErr w:type="spellEnd"/>
      <w:r>
        <w:t xml:space="preserve"> </w:t>
      </w:r>
      <w:proofErr w:type="spellStart"/>
      <w:r>
        <w:t>oleifera</w:t>
      </w:r>
      <w:proofErr w:type="spellEnd"/>
      <w:r>
        <w:t xml:space="preserve"> seeds from Nigeria, reporting moisture content between 5% and 10% and ash content around 3% to 5%. These findings align with the need for low moisture to ensure storage stability and suggest 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 xml:space="preserve">Leone et al. (2016) conducted a comprehensive analysis of </w:t>
      </w:r>
      <w:proofErr w:type="spellStart"/>
      <w:r>
        <w:t>Moringa</w:t>
      </w:r>
      <w:proofErr w:type="spellEnd"/>
      <w:r>
        <w:t xml:space="preserve"> </w:t>
      </w:r>
      <w:proofErr w:type="spellStart"/>
      <w:r>
        <w:t>oleifera</w:t>
      </w:r>
      <w:proofErr w:type="spellEnd"/>
      <w:r>
        <w:t xml:space="preserve">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 xml:space="preserve">Studies like those by </w:t>
      </w:r>
      <w:proofErr w:type="spellStart"/>
      <w:r>
        <w:t>Compaoré</w:t>
      </w:r>
      <w:proofErr w:type="spellEnd"/>
      <w:r>
        <w:t xml:space="preserve">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proofErr w:type="spellStart"/>
      <w:r>
        <w:lastRenderedPageBreak/>
        <w:t>Aslam</w:t>
      </w:r>
      <w:proofErr w:type="spellEnd"/>
      <w:r>
        <w:t xml:space="preserve"> et al. (2005) investigated the mineral composition of </w:t>
      </w:r>
      <w:proofErr w:type="spellStart"/>
      <w:r>
        <w:t>Moringa</w:t>
      </w:r>
      <w:proofErr w:type="spellEnd"/>
      <w:r>
        <w:t xml:space="preserve"> </w:t>
      </w:r>
      <w:proofErr w:type="spellStart"/>
      <w:r>
        <w:t>oleifera</w:t>
      </w:r>
      <w:proofErr w:type="spellEnd"/>
      <w:r>
        <w:t xml:space="preserve">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role in enhancing dietary mineral intake but called for standardized analytical methods to improve comparability.</w:t>
      </w:r>
    </w:p>
    <w:p w:rsidR="00CD23C0" w:rsidRDefault="00CD23C0" w:rsidP="00CD23C0">
      <w:pPr>
        <w:pStyle w:val="NormalWeb"/>
        <w:spacing w:line="480" w:lineRule="auto"/>
        <w:jc w:val="both"/>
      </w:pPr>
      <w:proofErr w:type="spellStart"/>
      <w:r>
        <w:t>Tsaknis</w:t>
      </w:r>
      <w:proofErr w:type="spellEnd"/>
      <w:r>
        <w:t xml:space="preserve"> et al. (1999) focused on the lipid fraction, reporting oleic acid as the dominant fatty acid in </w:t>
      </w:r>
      <w:proofErr w:type="spellStart"/>
      <w:r>
        <w:t>Moringa</w:t>
      </w:r>
      <w:proofErr w:type="spellEnd"/>
      <w:r>
        <w:t xml:space="preserve"> </w:t>
      </w:r>
      <w:proofErr w:type="spellStart"/>
      <w:r>
        <w:t>oleifera</w:t>
      </w:r>
      <w:proofErr w:type="spellEnd"/>
      <w:r>
        <w:t xml:space="preserve">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w:t>
      </w:r>
      <w:proofErr w:type="spellStart"/>
      <w:r>
        <w:t>antinutritional</w:t>
      </w:r>
      <w:proofErr w:type="spellEnd"/>
      <w:r>
        <w:t xml:space="preserve"> factors like </w:t>
      </w:r>
      <w:proofErr w:type="spellStart"/>
      <w:r>
        <w:t>phytates</w:t>
      </w:r>
      <w:proofErr w:type="spellEnd"/>
      <w:r>
        <w:t>,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 xml:space="preserve">Previous studies on </w:t>
      </w:r>
      <w:proofErr w:type="spellStart"/>
      <w:r>
        <w:t>Moringa</w:t>
      </w:r>
      <w:proofErr w:type="spellEnd"/>
      <w:r>
        <w:t xml:space="preserve"> </w:t>
      </w:r>
      <w:proofErr w:type="spellStart"/>
      <w:r>
        <w:t>oleifera</w:t>
      </w:r>
      <w:proofErr w:type="spellEnd"/>
      <w:r>
        <w:t xml:space="preserve"> seed composition have established a robust baseline, revealing high protein, lipid, and mineral contents with regional variations. While these investigations have advanced the understanding of the seeds' nutritional value, inconsistencies </w:t>
      </w:r>
      <w:r>
        <w:lastRenderedPageBreak/>
        <w:t>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063F">
        <w:rPr>
          <w:rFonts w:ascii="Times New Roman" w:eastAsia="Times New Roman" w:hAnsi="Times New Roman" w:cs="Times New Roman"/>
          <w:sz w:val="24"/>
          <w:szCs w:val="24"/>
        </w:rPr>
        <w:t>Soxhlet</w:t>
      </w:r>
      <w:proofErr w:type="spellEnd"/>
      <w:r w:rsidRPr="0094063F">
        <w:rPr>
          <w:rFonts w:ascii="Times New Roman" w:eastAsia="Times New Roman" w:hAnsi="Times New Roman" w:cs="Times New Roman"/>
          <w:sz w:val="24"/>
          <w:szCs w:val="24"/>
        </w:rPr>
        <w:t xml:space="preserve">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Atomic Absorption Spectrophotometer (AAS).</w:t>
      </w:r>
      <w:proofErr w:type="gramEnd"/>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4063F">
        <w:rPr>
          <w:rFonts w:ascii="Times New Roman" w:eastAsia="Times New Roman" w:hAnsi="Times New Roman" w:cs="Times New Roman"/>
          <w:sz w:val="24"/>
          <w:szCs w:val="24"/>
        </w:rPr>
        <w:t>Reagents includes</w:t>
      </w:r>
      <w:proofErr w:type="gramEnd"/>
      <w:r w:rsidRPr="0094063F">
        <w:rPr>
          <w:rFonts w:ascii="Times New Roman" w:eastAsia="Times New Roman" w:hAnsi="Times New Roman" w:cs="Times New Roman"/>
          <w:sz w:val="24"/>
          <w:szCs w:val="24"/>
        </w:rPr>
        <w:t xml:space="preserve">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dishes were washed dried in oven and in desiccators for cooling. The weight of each dish was taken. 5.0 g of ground samples of were weighed into a sterile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w:t>
      </w:r>
      <w:proofErr w:type="gramStart"/>
      <w:r w:rsidRPr="0094063F">
        <w:rPr>
          <w:rFonts w:ascii="Times New Roman" w:hAnsi="Times New Roman" w:cs="Times New Roman"/>
          <w:sz w:val="24"/>
          <w:szCs w:val="24"/>
        </w:rPr>
        <w:t>dish,</w:t>
      </w:r>
      <w:proofErr w:type="gramEnd"/>
      <w:r w:rsidRPr="0094063F">
        <w:rPr>
          <w:rFonts w:ascii="Times New Roman" w:hAnsi="Times New Roman" w:cs="Times New Roman"/>
          <w:sz w:val="24"/>
          <w:szCs w:val="24"/>
        </w:rPr>
        <w:t xml:space="preserve">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Where W1 = weight of empty crucible, W2 = weight of crucible + sample before drying and or </w:t>
      </w:r>
      <w:proofErr w:type="spellStart"/>
      <w:r w:rsidRPr="0094063F">
        <w:rPr>
          <w:rFonts w:ascii="Times New Roman" w:hAnsi="Times New Roman" w:cs="Times New Roman"/>
          <w:sz w:val="24"/>
          <w:szCs w:val="24"/>
        </w:rPr>
        <w:t>ashing</w:t>
      </w:r>
      <w:proofErr w:type="spellEnd"/>
      <w:r w:rsidRPr="0094063F">
        <w:rPr>
          <w:rFonts w:ascii="Times New Roman" w:hAnsi="Times New Roman" w:cs="Times New Roman"/>
          <w:sz w:val="24"/>
          <w:szCs w:val="24"/>
        </w:rPr>
        <w:t>,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extraction technique. 15 g of the samples were weighed and carefully placed inside a fat free thimble. This was covered with cotton wool to avoid the loss of sample. Loaded thimble was put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extractor, about 200 ml of petroleum ether was poured into a weighed fat free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flask and the flask was attached to the extractor. The flask was placed on a heating mantle so the petroleum ether in the flask refluxed. Cooling was </w:t>
      </w:r>
      <w:r w:rsidRPr="0094063F">
        <w:rPr>
          <w:rFonts w:ascii="Times New Roman" w:hAnsi="Times New Roman" w:cs="Times New Roman"/>
          <w:sz w:val="24"/>
          <w:szCs w:val="24"/>
        </w:rPr>
        <w:lastRenderedPageBreak/>
        <w:t xml:space="preserve">achieved by a running tap connected to the extractor for at least 6hrs after which the solvent was completely siphoned into the flask. Rotary vacuum evaporator was used to evaporate the solvent leaving behind the extracted lipids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1.0g of the sample was weighed and transferred to the digestion flask. 3.4g of potassium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and 0.4g of copper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was added to the content and this was immediately distilled and the distillates collected into 10ml of 1M </w:t>
      </w:r>
      <w:proofErr w:type="spellStart"/>
      <w:r w:rsidRPr="0094063F">
        <w:rPr>
          <w:rFonts w:ascii="Times New Roman" w:hAnsi="Times New Roman" w:cs="Times New Roman"/>
          <w:sz w:val="24"/>
          <w:szCs w:val="24"/>
        </w:rPr>
        <w:t>HCl</w:t>
      </w:r>
      <w:proofErr w:type="spellEnd"/>
      <w:r w:rsidRPr="0094063F">
        <w:rPr>
          <w:rFonts w:ascii="Times New Roman" w:hAnsi="Times New Roman" w:cs="Times New Roman"/>
          <w:sz w:val="24"/>
          <w:szCs w:val="24"/>
        </w:rPr>
        <w:t xml:space="preserve"> containing 5 drops of mixed indicator solution. The excess acid was titrated with 1M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solution until a color change is observed. Percentage N= (ml of standard acid*molarity-ml of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proofErr w:type="spellStart"/>
      <w:r w:rsidRPr="0094063F">
        <w:rPr>
          <w:rFonts w:ascii="Times New Roman" w:hAnsi="Times New Roman" w:cs="Times New Roman"/>
          <w:sz w:val="24"/>
          <w:szCs w:val="24"/>
        </w:rPr>
        <w:t>CrudeProtein</w:t>
      </w:r>
      <w:proofErr w:type="spellEnd"/>
      <w:r w:rsidRPr="0094063F">
        <w:rPr>
          <w:rFonts w:ascii="Times New Roman" w:hAnsi="Times New Roman" w:cs="Times New Roman"/>
          <w:sz w:val="24"/>
          <w:szCs w:val="24"/>
        </w:rPr>
        <w:t xml:space="preserve"> General Factor=6.25 </w:t>
      </w:r>
      <w:proofErr w:type="spellStart"/>
      <w:r w:rsidRPr="0094063F">
        <w:rPr>
          <w:rFonts w:ascii="Times New Roman" w:hAnsi="Times New Roman" w:cs="Times New Roman"/>
          <w:sz w:val="24"/>
          <w:szCs w:val="24"/>
        </w:rPr>
        <w:t>e.g</w:t>
      </w:r>
      <w:proofErr w:type="spellEnd"/>
      <w:r w:rsidRPr="0094063F">
        <w:rPr>
          <w:rFonts w:ascii="Times New Roman" w:hAnsi="Times New Roman" w:cs="Times New Roman"/>
          <w:sz w:val="24"/>
          <w:szCs w:val="24"/>
        </w:rPr>
        <w:t xml:space="preserve">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Available carbohydrate (%) = 100- (protein (%) + Moisture (%) + Ash (%) + </w:t>
      </w:r>
      <w:proofErr w:type="spellStart"/>
      <w:r w:rsidRPr="0094063F">
        <w:rPr>
          <w:rFonts w:ascii="Times New Roman" w:hAnsi="Times New Roman" w:cs="Times New Roman"/>
          <w:sz w:val="24"/>
          <w:szCs w:val="24"/>
        </w:rPr>
        <w:t>Fibre</w:t>
      </w:r>
      <w:proofErr w:type="spellEnd"/>
      <w:r w:rsidRPr="0094063F">
        <w:rPr>
          <w:rFonts w:ascii="Times New Roman" w:hAnsi="Times New Roman" w:cs="Times New Roman"/>
          <w:sz w:val="24"/>
          <w:szCs w:val="24"/>
        </w:rPr>
        <w:t xml:space="preserv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w:t>
      </w:r>
      <w:proofErr w:type="spellStart"/>
      <w:r w:rsidRPr="000D1E07">
        <w:rPr>
          <w:rFonts w:ascii="Times New Roman" w:hAnsi="Times New Roman" w:cs="Times New Roman"/>
          <w:sz w:val="24"/>
          <w:szCs w:val="24"/>
        </w:rPr>
        <w:t>Mehlich</w:t>
      </w:r>
      <w:proofErr w:type="spellEnd"/>
      <w:r w:rsidRPr="000D1E07">
        <w:rPr>
          <w:rFonts w:ascii="Times New Roman" w:hAnsi="Times New Roman" w:cs="Times New Roman"/>
          <w:sz w:val="24"/>
          <w:szCs w:val="24"/>
        </w:rPr>
        <w:t xml:space="preserve">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w:t>
            </w:r>
            <w:proofErr w:type="spellStart"/>
            <w:r w:rsidRPr="008739A2">
              <w:rPr>
                <w:rFonts w:ascii="Times New Roman" w:eastAsia="Times New Roman" w:hAnsi="Times New Roman" w:cs="Times New Roman"/>
                <w:sz w:val="24"/>
                <w:szCs w:val="24"/>
              </w:rPr>
              <w:t>kj</w:t>
            </w:r>
            <w:proofErr w:type="spellEnd"/>
            <w:r w:rsidRPr="008739A2">
              <w:rPr>
                <w:rFonts w:ascii="Times New Roman" w:eastAsia="Times New Roman" w:hAnsi="Times New Roman" w:cs="Times New Roman"/>
                <w:sz w:val="24"/>
                <w:szCs w:val="24"/>
              </w:rPr>
              <w:t>/100g)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Crude </w:t>
            </w:r>
            <w:proofErr w:type="spellStart"/>
            <w:r w:rsidRPr="008739A2">
              <w:rPr>
                <w:rFonts w:ascii="Times New Roman" w:eastAsia="Times New Roman" w:hAnsi="Times New Roman" w:cs="Times New Roman"/>
                <w:sz w:val="24"/>
                <w:szCs w:val="24"/>
              </w:rPr>
              <w:t>Fibre</w:t>
            </w:r>
            <w:proofErr w:type="spellEnd"/>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presented in Table 4.1.1, reveals a comprehensive nutritional profile. The moisture content of 7.627554 ± 0.14% is relatively low, aligning with values reported in the literature, typically ranging from 5% to 10%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This low moisture level indicates good storage stability, reducing the risk of microbial growth and spoilage, which is advantageous for both dietary and industrial applications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value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contain essential minerals, which are further detailed in the mineral analysis (Table 4.1.2). The ash content provides insight into the inorganic components, supporting the seeds' role as a mineral source in nutrient-deficient diets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falls within the expected range of 10% to 20% for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This high energy content is largely attributable to the substantial lipid and protein fractions, making the seeds a valuable food source for populations requiring energy-rich diets, particularly in food-insecure regions (</w:t>
      </w: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w:t>
      </w: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et al., 1999). This high lipid content, primarily composed of oleic acid-rich oil (ben oil), highlights the seeds’ potential for oil extraction for culinary, cosmetic, and industrial purposes. The </w:t>
      </w:r>
      <w:proofErr w:type="spellStart"/>
      <w:r w:rsidRPr="008739A2">
        <w:rPr>
          <w:rFonts w:ascii="Times New Roman" w:eastAsia="Times New Roman" w:hAnsi="Times New Roman" w:cs="Times New Roman"/>
          <w:sz w:val="24"/>
          <w:szCs w:val="24"/>
        </w:rPr>
        <w:t>Soxhlet</w:t>
      </w:r>
      <w:proofErr w:type="spellEnd"/>
      <w:r w:rsidRPr="008739A2">
        <w:rPr>
          <w:rFonts w:ascii="Times New Roman" w:eastAsia="Times New Roman" w:hAnsi="Times New Roman" w:cs="Times New Roman"/>
          <w:sz w:val="24"/>
          <w:szCs w:val="24"/>
        </w:rPr>
        <w:t xml:space="preserve">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w:t>
      </w: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crude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of 3.4834755 ± 0.28% is relatively low compared to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leaves but still significant for dietary health.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levels in seeds typically range from 5% to 10%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high protein level, rich in essential amino acids such as </w:t>
      </w:r>
      <w:proofErr w:type="spellStart"/>
      <w:r w:rsidRPr="008739A2">
        <w:rPr>
          <w:rFonts w:ascii="Times New Roman" w:eastAsia="Times New Roman" w:hAnsi="Times New Roman" w:cs="Times New Roman"/>
          <w:sz w:val="24"/>
          <w:szCs w:val="24"/>
        </w:rPr>
        <w:t>leucine</w:t>
      </w:r>
      <w:proofErr w:type="spellEnd"/>
      <w:r w:rsidRPr="008739A2">
        <w:rPr>
          <w:rFonts w:ascii="Times New Roman" w:eastAsia="Times New Roman" w:hAnsi="Times New Roman" w:cs="Times New Roman"/>
          <w:sz w:val="24"/>
          <w:szCs w:val="24"/>
        </w:rPr>
        <w:t xml:space="preserve">,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viable plant-based protein source, comparable to legumes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w:t>
      </w: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who documented approximately 345 mg/100g of calcium but did not emphasize potassium. Potassium is crucial for maintaining fluid and electrolyte </w:t>
      </w:r>
      <w:r w:rsidRPr="008739A2">
        <w:rPr>
          <w:rFonts w:ascii="Times New Roman" w:eastAsia="Times New Roman" w:hAnsi="Times New Roman" w:cs="Times New Roman"/>
          <w:sz w:val="24"/>
          <w:szCs w:val="24"/>
        </w:rPr>
        <w:lastRenderedPageBreak/>
        <w:t>balance, supporting nerve function, and regulating blood pressure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The elevated potassium content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reported magnesium levels around 150 mg/100g. Magnesium supports muscle function, energy metabolism, and bone health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Calcium is essential for bone and teeth formation, muscle contraction, and nerve signaling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Iron, with a concentration of 120.1 ± 0.99 ppm (12.01 mg/100g), is a standout feature of the seeds’ mineral profile. This value aligns closely with findings by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who noted significant iron content in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Iron is vital for oxygen transport, red blood cell formation, and preventing anemia, particularly in populations with iron deficiency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The high iron content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Zinc,</w:t>
      </w:r>
      <w:proofErr w:type="gramEnd"/>
      <w:r w:rsidRPr="008739A2">
        <w:rPr>
          <w:rFonts w:ascii="Times New Roman" w:eastAsia="Times New Roman" w:hAnsi="Times New Roman" w:cs="Times New Roman"/>
          <w:sz w:val="24"/>
          <w:szCs w:val="24"/>
        </w:rPr>
        <w:t xml:space="preserve">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While this concentration is lower than some reported values, such as 5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w:t>
      </w:r>
      <w:r w:rsidRPr="008739A2">
        <w:rPr>
          <w:rFonts w:ascii="Times New Roman" w:eastAsia="Times New Roman" w:hAnsi="Times New Roman" w:cs="Times New Roman"/>
          <w:sz w:val="24"/>
          <w:szCs w:val="24"/>
        </w:rPr>
        <w:lastRenderedPageBreak/>
        <w:t xml:space="preserve">standards, as high lead levels can be toxic (Fahey, 2005). The negligible lead content supports the suitability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 xml:space="preserve">The investigation into the proximate and mineral properties of </w:t>
      </w:r>
      <w:proofErr w:type="spellStart"/>
      <w:r>
        <w:t>Moringa</w:t>
      </w:r>
      <w:proofErr w:type="spellEnd"/>
      <w:r>
        <w:t xml:space="preserve"> </w:t>
      </w:r>
      <w:proofErr w:type="spellStart"/>
      <w:r>
        <w:t>oleifera</w:t>
      </w:r>
      <w:proofErr w:type="spellEnd"/>
      <w:r>
        <w:t xml:space="preserve">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w:t>
      </w:r>
      <w:proofErr w:type="spellStart"/>
      <w:r>
        <w:t>Moringa</w:t>
      </w:r>
      <w:proofErr w:type="spellEnd"/>
      <w:r>
        <w:t xml:space="preserve"> </w:t>
      </w:r>
      <w:proofErr w:type="spellStart"/>
      <w:r>
        <w:t>oleifera</w:t>
      </w:r>
      <w:proofErr w:type="spellEnd"/>
      <w:r>
        <w:t xml:space="preserve">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 xml:space="preserve">The findings of this study contribute to the growing body of knowledge on </w:t>
      </w:r>
      <w:proofErr w:type="spellStart"/>
      <w:r>
        <w:t>Moringa</w:t>
      </w:r>
      <w:proofErr w:type="spellEnd"/>
      <w:r>
        <w:t xml:space="preserve"> </w:t>
      </w:r>
      <w:proofErr w:type="spellStart"/>
      <w:r>
        <w:t>oleifera</w:t>
      </w:r>
      <w:proofErr w:type="spellEnd"/>
      <w:r>
        <w:t>,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proofErr w:type="spellStart"/>
      <w:r>
        <w:t>Moringa</w:t>
      </w:r>
      <w:proofErr w:type="spellEnd"/>
      <w:r>
        <w:t xml:space="preserve"> </w:t>
      </w:r>
      <w:proofErr w:type="spellStart"/>
      <w:r>
        <w:t>oleifera</w:t>
      </w:r>
      <w:proofErr w:type="spellEnd"/>
      <w:r>
        <w:t xml:space="preserve"> seeds stand out as a promising asset in the quest for sustainable nutrition and food security. Their potential to improve dietary diversity and combat micronutrient deficiencies positions them as a valuable tool for future nutritional programs. Continued research and </w:t>
      </w:r>
      <w:r>
        <w:lastRenderedPageBreak/>
        <w:t>practical 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Based on the findings of this study, the following recommendations are proposed to maximize the utility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high protein (25.9671%) and lipid (41.59177%) content suggest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Although not quantified in this study, </w:t>
      </w:r>
      <w:proofErr w:type="spellStart"/>
      <w:r w:rsidRPr="008739A2">
        <w:rPr>
          <w:rFonts w:ascii="Times New Roman" w:eastAsia="Times New Roman" w:hAnsi="Times New Roman" w:cs="Times New Roman"/>
          <w:sz w:val="24"/>
          <w:szCs w:val="24"/>
        </w:rPr>
        <w:t>antinutritional</w:t>
      </w:r>
      <w:proofErr w:type="spellEnd"/>
      <w:r w:rsidRPr="008739A2">
        <w:rPr>
          <w:rFonts w:ascii="Times New Roman" w:eastAsia="Times New Roman" w:hAnsi="Times New Roman" w:cs="Times New Roman"/>
          <w:sz w:val="24"/>
          <w:szCs w:val="24"/>
        </w:rPr>
        <w:t xml:space="preserve"> factors such as </w:t>
      </w:r>
      <w:proofErr w:type="spellStart"/>
      <w:r w:rsidRPr="008739A2">
        <w:rPr>
          <w:rFonts w:ascii="Times New Roman" w:eastAsia="Times New Roman" w:hAnsi="Times New Roman" w:cs="Times New Roman"/>
          <w:sz w:val="24"/>
          <w:szCs w:val="24"/>
        </w:rPr>
        <w:t>phytates</w:t>
      </w:r>
      <w:proofErr w:type="spellEnd"/>
      <w:r w:rsidRPr="008739A2">
        <w:rPr>
          <w:rFonts w:ascii="Times New Roman" w:eastAsia="Times New Roman" w:hAnsi="Times New Roman" w:cs="Times New Roman"/>
          <w:sz w:val="24"/>
          <w:szCs w:val="24"/>
        </w:rPr>
        <w:t xml:space="preserve">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Ghazali</w:t>
      </w:r>
      <w:proofErr w:type="spellEnd"/>
      <w:r w:rsidRPr="008739A2">
        <w:rPr>
          <w:rFonts w:ascii="Times New Roman" w:eastAsia="Times New Roman" w:hAnsi="Times New Roman" w:cs="Times New Roman"/>
          <w:sz w:val="24"/>
          <w:szCs w:val="24"/>
        </w:rPr>
        <w:t xml:space="preserve">, H. M. (2005). </w:t>
      </w:r>
      <w:r w:rsidRPr="008739A2">
        <w:rPr>
          <w:rFonts w:ascii="Times New Roman" w:eastAsia="Times New Roman" w:hAnsi="Times New Roman" w:cs="Times New Roman"/>
          <w:i/>
          <w:sz w:val="24"/>
          <w:szCs w:val="24"/>
        </w:rPr>
        <w:t xml:space="preserve">Some </w:t>
      </w:r>
      <w:proofErr w:type="spellStart"/>
      <w:r w:rsidRPr="008739A2">
        <w:rPr>
          <w:rFonts w:ascii="Times New Roman" w:eastAsia="Times New Roman" w:hAnsi="Times New Roman" w:cs="Times New Roman"/>
          <w:i/>
          <w:sz w:val="24"/>
          <w:szCs w:val="24"/>
        </w:rPr>
        <w:t>physico</w:t>
      </w:r>
      <w:proofErr w:type="spellEnd"/>
      <w:r w:rsidRPr="008739A2">
        <w:rPr>
          <w:rFonts w:ascii="Times New Roman" w:eastAsia="Times New Roman" w:hAnsi="Times New Roman" w:cs="Times New Roman"/>
          <w:i/>
          <w:sz w:val="24"/>
          <w:szCs w:val="24"/>
        </w:rPr>
        <w:t xml:space="preserve">-chemical properties of </w:t>
      </w:r>
      <w:proofErr w:type="spellStart"/>
      <w:r w:rsidRPr="008739A2">
        <w:rPr>
          <w:rFonts w:ascii="Times New Roman" w:eastAsia="Times New Roman" w:hAnsi="Times New Roman" w:cs="Times New Roman"/>
          <w:i/>
          <w:sz w:val="24"/>
          <w:szCs w:val="24"/>
        </w:rPr>
        <w:t>Moringa</w:t>
      </w:r>
      <w:proofErr w:type="spellEnd"/>
      <w:r w:rsidRPr="008739A2">
        <w:rPr>
          <w:rFonts w:ascii="Times New Roman" w:eastAsia="Times New Roman" w:hAnsi="Times New Roman" w:cs="Times New Roman"/>
          <w:i/>
          <w:sz w:val="24"/>
          <w:szCs w:val="24"/>
        </w:rPr>
        <w:t xml:space="preserve"> </w:t>
      </w:r>
      <w:proofErr w:type="spellStart"/>
      <w:r w:rsidRPr="008739A2">
        <w:rPr>
          <w:rFonts w:ascii="Times New Roman" w:eastAsia="Times New Roman" w:hAnsi="Times New Roman" w:cs="Times New Roman"/>
          <w:i/>
          <w:sz w:val="24"/>
          <w:szCs w:val="24"/>
        </w:rPr>
        <w:t>oleifera</w:t>
      </w:r>
      <w:proofErr w:type="spellEnd"/>
      <w:r w:rsidRPr="008739A2">
        <w:rPr>
          <w:rFonts w:ascii="Times New Roman" w:eastAsia="Times New Roman" w:hAnsi="Times New Roman" w:cs="Times New Roman"/>
          <w:i/>
          <w:sz w:val="24"/>
          <w:szCs w:val="24"/>
        </w:rPr>
        <w:t xml:space="preserve">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gramStart"/>
      <w:r w:rsidRPr="008739A2">
        <w:rPr>
          <w:rFonts w:ascii="Times New Roman" w:eastAsia="Times New Roman" w:hAnsi="Times New Roman" w:cs="Times New Roman"/>
          <w:sz w:val="24"/>
          <w:szCs w:val="24"/>
        </w:rPr>
        <w:t xml:space="preserve">Anwar, F., </w:t>
      </w:r>
      <w:proofErr w:type="spellStart"/>
      <w:r w:rsidRPr="008739A2">
        <w:rPr>
          <w:rFonts w:ascii="Times New Roman" w:eastAsia="Times New Roman" w:hAnsi="Times New Roman" w:cs="Times New Roman"/>
          <w:sz w:val="24"/>
          <w:szCs w:val="24"/>
        </w:rPr>
        <w:t>Latif</w:t>
      </w:r>
      <w:proofErr w:type="spellEnd"/>
      <w:r w:rsidRPr="008739A2">
        <w:rPr>
          <w:rFonts w:ascii="Times New Roman" w:eastAsia="Times New Roman" w:hAnsi="Times New Roman" w:cs="Times New Roman"/>
          <w:sz w:val="24"/>
          <w:szCs w:val="24"/>
        </w:rPr>
        <w:t xml:space="preserve">,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Gilani</w:t>
      </w:r>
      <w:proofErr w:type="spellEnd"/>
      <w:r w:rsidRPr="008739A2">
        <w:rPr>
          <w:rFonts w:ascii="Times New Roman" w:eastAsia="Times New Roman" w:hAnsi="Times New Roman" w:cs="Times New Roman"/>
          <w:sz w:val="24"/>
          <w:szCs w:val="24"/>
        </w:rPr>
        <w:t>, A. H. (2007).</w:t>
      </w:r>
      <w:proofErr w:type="gram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food plant with multiple medicinal uses.</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sz w:val="24"/>
          <w:szCs w:val="24"/>
        </w:rPr>
        <w:t>Phytotherapy</w:t>
      </w:r>
      <w:proofErr w:type="spellEnd"/>
      <w:r w:rsidRPr="008739A2">
        <w:rPr>
          <w:rFonts w:ascii="Times New Roman" w:eastAsia="Times New Roman" w:hAnsi="Times New Roman" w:cs="Times New Roman"/>
          <w:i/>
          <w:sz w:val="24"/>
          <w:szCs w:val="24"/>
        </w:rPr>
        <w:t xml:space="preserve">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proofErr w:type="gram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M., Anwar, F.,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R., Rashid, U., </w:t>
      </w:r>
      <w:proofErr w:type="spellStart"/>
      <w:r w:rsidRPr="008739A2">
        <w:rPr>
          <w:rFonts w:ascii="Times New Roman" w:eastAsia="Times New Roman" w:hAnsi="Times New Roman" w:cs="Times New Roman"/>
          <w:sz w:val="24"/>
          <w:szCs w:val="24"/>
        </w:rPr>
        <w:t>Kazi</w:t>
      </w:r>
      <w:proofErr w:type="spellEnd"/>
      <w:r w:rsidRPr="008739A2">
        <w:rPr>
          <w:rFonts w:ascii="Times New Roman" w:eastAsia="Times New Roman" w:hAnsi="Times New Roman" w:cs="Times New Roman"/>
          <w:sz w:val="24"/>
          <w:szCs w:val="24"/>
        </w:rPr>
        <w:t xml:space="preserve">,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M. (2005).</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 xml:space="preserve">Mineral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proofErr w:type="gramStart"/>
      <w:r w:rsidRPr="00CF29AF">
        <w:rPr>
          <w:rFonts w:ascii="Times New Roman" w:hAnsi="Times New Roman" w:cs="Times New Roman"/>
          <w:sz w:val="24"/>
          <w:szCs w:val="24"/>
        </w:rPr>
        <w:t>Association of Official Analytical Chemists (2019).</w:t>
      </w:r>
      <w:proofErr w:type="gramEnd"/>
      <w:r w:rsidRPr="00CF29AF">
        <w:rPr>
          <w:rFonts w:ascii="Times New Roman" w:hAnsi="Times New Roman" w:cs="Times New Roman"/>
          <w:sz w:val="24"/>
          <w:szCs w:val="24"/>
        </w:rPr>
        <w:t xml:space="preserve"> </w:t>
      </w:r>
      <w:proofErr w:type="gramStart"/>
      <w:r w:rsidRPr="00CF29AF">
        <w:rPr>
          <w:rFonts w:ascii="Times New Roman" w:hAnsi="Times New Roman" w:cs="Times New Roman"/>
          <w:i/>
          <w:sz w:val="24"/>
          <w:szCs w:val="24"/>
        </w:rPr>
        <w:t>Determination of proximate parameters of food sample.</w:t>
      </w:r>
      <w:proofErr w:type="gramEnd"/>
      <w:r w:rsidRPr="00CF29AF">
        <w:rPr>
          <w:rFonts w:ascii="Times New Roman" w:hAnsi="Times New Roman" w:cs="Times New Roman"/>
          <w:i/>
          <w:sz w:val="24"/>
          <w:szCs w:val="24"/>
        </w:rPr>
        <w:t xml:space="preserve"> </w:t>
      </w:r>
      <w:proofErr w:type="gramStart"/>
      <w:r w:rsidRPr="00CF29AF">
        <w:rPr>
          <w:rFonts w:ascii="Times New Roman" w:hAnsi="Times New Roman" w:cs="Times New Roman"/>
          <w:i/>
          <w:sz w:val="24"/>
          <w:szCs w:val="24"/>
        </w:rPr>
        <w:t>Official Method of Analysis.</w:t>
      </w:r>
      <w:proofErr w:type="gramEnd"/>
      <w:r w:rsidRPr="00CF29AF">
        <w:rPr>
          <w:rFonts w:ascii="Times New Roman" w:hAnsi="Times New Roman" w:cs="Times New Roman"/>
          <w:i/>
          <w:sz w:val="24"/>
          <w:szCs w:val="24"/>
        </w:rPr>
        <w:t xml:space="preserve"> </w:t>
      </w:r>
      <w:proofErr w:type="gramStart"/>
      <w:r w:rsidRPr="00CF29AF">
        <w:rPr>
          <w:rFonts w:ascii="Times New Roman" w:hAnsi="Times New Roman" w:cs="Times New Roman"/>
          <w:i/>
          <w:sz w:val="24"/>
          <w:szCs w:val="24"/>
        </w:rPr>
        <w:t>21st Edition.</w:t>
      </w:r>
      <w:proofErr w:type="gramEnd"/>
      <w:r w:rsidRPr="00CF29AF">
        <w:rPr>
          <w:rFonts w:ascii="Times New Roman" w:hAnsi="Times New Roman" w:cs="Times New Roman"/>
          <w:i/>
          <w:sz w:val="24"/>
          <w:szCs w:val="24"/>
        </w:rPr>
        <w:t xml:space="preserve">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proofErr w:type="gramStart"/>
      <w:r w:rsidRPr="00E97805">
        <w:rPr>
          <w:rFonts w:ascii="Times New Roman" w:hAnsi="Times New Roman" w:cs="Times New Roman"/>
          <w:sz w:val="24"/>
        </w:rPr>
        <w:t>Association of Official Analytical Chemists (2019).</w:t>
      </w:r>
      <w:proofErr w:type="gramEnd"/>
      <w:r w:rsidRPr="00E97805">
        <w:rPr>
          <w:rFonts w:ascii="Times New Roman" w:hAnsi="Times New Roman" w:cs="Times New Roman"/>
          <w:sz w:val="24"/>
        </w:rPr>
        <w:t xml:space="preserve"> </w:t>
      </w:r>
      <w:proofErr w:type="gramStart"/>
      <w:r w:rsidRPr="00E97805">
        <w:rPr>
          <w:rFonts w:ascii="Times New Roman" w:hAnsi="Times New Roman" w:cs="Times New Roman"/>
          <w:i/>
          <w:sz w:val="24"/>
        </w:rPr>
        <w:t>Mineral Determination in Soil Matrixes.</w:t>
      </w:r>
      <w:proofErr w:type="gramEnd"/>
      <w:r w:rsidRPr="00E97805">
        <w:rPr>
          <w:rFonts w:ascii="Times New Roman" w:hAnsi="Times New Roman" w:cs="Times New Roman"/>
          <w:i/>
          <w:sz w:val="24"/>
        </w:rPr>
        <w:t xml:space="preserve"> </w:t>
      </w:r>
      <w:proofErr w:type="gramStart"/>
      <w:r w:rsidRPr="00E97805">
        <w:rPr>
          <w:rFonts w:ascii="Times New Roman" w:hAnsi="Times New Roman" w:cs="Times New Roman"/>
          <w:i/>
          <w:sz w:val="24"/>
        </w:rPr>
        <w:t>Official Method of Analysis.</w:t>
      </w:r>
      <w:proofErr w:type="gramEnd"/>
      <w:r w:rsidRPr="00E97805">
        <w:rPr>
          <w:rFonts w:ascii="Times New Roman" w:hAnsi="Times New Roman" w:cs="Times New Roman"/>
          <w:i/>
          <w:sz w:val="24"/>
        </w:rPr>
        <w:t xml:space="preserve"> </w:t>
      </w:r>
      <w:proofErr w:type="gramStart"/>
      <w:r w:rsidRPr="00E97805">
        <w:rPr>
          <w:rFonts w:ascii="Times New Roman" w:hAnsi="Times New Roman" w:cs="Times New Roman"/>
          <w:i/>
          <w:sz w:val="24"/>
        </w:rPr>
        <w:t>21st Edition.</w:t>
      </w:r>
      <w:proofErr w:type="gramEnd"/>
      <w:r w:rsidRPr="00E97805">
        <w:rPr>
          <w:rFonts w:ascii="Times New Roman" w:hAnsi="Times New Roman" w:cs="Times New Roman"/>
          <w:i/>
          <w:sz w:val="24"/>
        </w:rPr>
        <w:t xml:space="preserve">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W. R., </w:t>
      </w:r>
      <w:proofErr w:type="spellStart"/>
      <w:r w:rsidRPr="008739A2">
        <w:rPr>
          <w:rFonts w:ascii="Times New Roman" w:eastAsia="Times New Roman" w:hAnsi="Times New Roman" w:cs="Times New Roman"/>
          <w:sz w:val="24"/>
          <w:szCs w:val="24"/>
        </w:rPr>
        <w:t>Nikiéma</w:t>
      </w:r>
      <w:proofErr w:type="spellEnd"/>
      <w:r w:rsidRPr="008739A2">
        <w:rPr>
          <w:rFonts w:ascii="Times New Roman" w:eastAsia="Times New Roman" w:hAnsi="Times New Roman" w:cs="Times New Roman"/>
          <w:sz w:val="24"/>
          <w:szCs w:val="24"/>
        </w:rPr>
        <w:t xml:space="preserve">, P. A., </w:t>
      </w:r>
      <w:proofErr w:type="spellStart"/>
      <w:r w:rsidRPr="008739A2">
        <w:rPr>
          <w:rFonts w:ascii="Times New Roman" w:eastAsia="Times New Roman" w:hAnsi="Times New Roman" w:cs="Times New Roman"/>
          <w:sz w:val="24"/>
          <w:szCs w:val="24"/>
        </w:rPr>
        <w:t>Bassolé</w:t>
      </w:r>
      <w:proofErr w:type="spellEnd"/>
      <w:r w:rsidRPr="008739A2">
        <w:rPr>
          <w:rFonts w:ascii="Times New Roman" w:eastAsia="Times New Roman" w:hAnsi="Times New Roman" w:cs="Times New Roman"/>
          <w:sz w:val="24"/>
          <w:szCs w:val="24"/>
        </w:rPr>
        <w:t xml:space="preserve">, H. I. N., </w:t>
      </w:r>
      <w:proofErr w:type="spellStart"/>
      <w:r w:rsidRPr="008739A2">
        <w:rPr>
          <w:rFonts w:ascii="Times New Roman" w:eastAsia="Times New Roman" w:hAnsi="Times New Roman" w:cs="Times New Roman"/>
          <w:sz w:val="24"/>
          <w:szCs w:val="24"/>
        </w:rPr>
        <w:t>Savadogo</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Mouecoucou</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Hounhouigan</w:t>
      </w:r>
      <w:proofErr w:type="spellEnd"/>
      <w:r w:rsidRPr="008739A2">
        <w:rPr>
          <w:rFonts w:ascii="Times New Roman" w:eastAsia="Times New Roman" w:hAnsi="Times New Roman" w:cs="Times New Roman"/>
          <w:sz w:val="24"/>
          <w:szCs w:val="24"/>
        </w:rPr>
        <w:t xml:space="preserve">,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Traoré</w:t>
      </w:r>
      <w:proofErr w:type="spellEnd"/>
      <w:r w:rsidRPr="008739A2">
        <w:rPr>
          <w:rFonts w:ascii="Times New Roman" w:eastAsia="Times New Roman" w:hAnsi="Times New Roman" w:cs="Times New Roman"/>
          <w:sz w:val="24"/>
          <w:szCs w:val="24"/>
        </w:rPr>
        <w:t xml:space="preserve">, S. A. (2011). </w:t>
      </w:r>
      <w:r w:rsidRPr="008739A2">
        <w:rPr>
          <w:rFonts w:ascii="Times New Roman" w:eastAsia="Times New Roman" w:hAnsi="Times New Roman" w:cs="Times New Roman"/>
          <w:i/>
          <w:iCs/>
          <w:sz w:val="24"/>
          <w:szCs w:val="24"/>
        </w:rPr>
        <w:t xml:space="preserve">Chemical composition and </w:t>
      </w:r>
      <w:proofErr w:type="spellStart"/>
      <w:r w:rsidRPr="008739A2">
        <w:rPr>
          <w:rFonts w:ascii="Times New Roman" w:eastAsia="Times New Roman" w:hAnsi="Times New Roman" w:cs="Times New Roman"/>
          <w:i/>
          <w:iCs/>
          <w:sz w:val="24"/>
          <w:szCs w:val="24"/>
        </w:rPr>
        <w:t>antioxidative</w:t>
      </w:r>
      <w:proofErr w:type="spellEnd"/>
      <w:r w:rsidRPr="008739A2">
        <w:rPr>
          <w:rFonts w:ascii="Times New Roman" w:eastAsia="Times New Roman" w:hAnsi="Times New Roman" w:cs="Times New Roman"/>
          <w:i/>
          <w:iCs/>
          <w:sz w:val="24"/>
          <w:szCs w:val="24"/>
        </w:rPr>
        <w:t xml:space="preserve"> properties of seeds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and pulps of </w:t>
      </w:r>
      <w:proofErr w:type="spellStart"/>
      <w:r w:rsidRPr="008739A2">
        <w:rPr>
          <w:rFonts w:ascii="Times New Roman" w:eastAsia="Times New Roman" w:hAnsi="Times New Roman" w:cs="Times New Roman"/>
          <w:i/>
          <w:iCs/>
          <w:sz w:val="24"/>
          <w:szCs w:val="24"/>
        </w:rPr>
        <w:t>Parkia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biglobosa</w:t>
      </w:r>
      <w:proofErr w:type="spellEnd"/>
      <w:r w:rsidRPr="008739A2">
        <w:rPr>
          <w:rFonts w:ascii="Times New Roman" w:eastAsia="Times New Roman" w:hAnsi="Times New Roman" w:cs="Times New Roman"/>
          <w:i/>
          <w:iCs/>
          <w:sz w:val="24"/>
          <w:szCs w:val="24"/>
        </w:rPr>
        <w:t xml:space="preserve"> and </w:t>
      </w:r>
      <w:proofErr w:type="spellStart"/>
      <w:r w:rsidRPr="008739A2">
        <w:rPr>
          <w:rFonts w:ascii="Times New Roman" w:eastAsia="Times New Roman" w:hAnsi="Times New Roman" w:cs="Times New Roman"/>
          <w:i/>
          <w:iCs/>
          <w:sz w:val="24"/>
          <w:szCs w:val="24"/>
        </w:rPr>
        <w:t>Adansonia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lastRenderedPageBreak/>
        <w:t>digitata</w:t>
      </w:r>
      <w:proofErr w:type="spellEnd"/>
      <w:r w:rsidRPr="008739A2">
        <w:rPr>
          <w:rFonts w:ascii="Times New Roman" w:eastAsia="Times New Roman" w:hAnsi="Times New Roman" w:cs="Times New Roman"/>
          <w:i/>
          <w:iCs/>
          <w:sz w:val="24"/>
          <w:szCs w:val="24"/>
        </w:rPr>
        <w:t xml:space="preserve"> commonly used 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N.,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Becker, K. (2001).</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The potential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for agricultural and industrial uses.</w:t>
      </w:r>
      <w:proofErr w:type="gramEnd"/>
      <w:r w:rsidRPr="008739A2">
        <w:rPr>
          <w:rFonts w:ascii="Times New Roman" w:eastAsia="Times New Roman" w:hAnsi="Times New Roman" w:cs="Times New Roman"/>
          <w:sz w:val="24"/>
          <w:szCs w:val="24"/>
        </w:rPr>
        <w:t xml:space="preserve"> In L. J. </w:t>
      </w: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sz w:val="24"/>
          <w:szCs w:val="24"/>
        </w:rPr>
        <w:t xml:space="preserve"> (pp. 45-76). </w:t>
      </w:r>
      <w:proofErr w:type="gramStart"/>
      <w:r w:rsidRPr="008739A2">
        <w:rPr>
          <w:rFonts w:ascii="Times New Roman" w:eastAsia="Times New Roman" w:hAnsi="Times New Roman" w:cs="Times New Roman"/>
          <w:sz w:val="24"/>
          <w:szCs w:val="24"/>
        </w:rPr>
        <w:t>CTA.</w:t>
      </w:r>
      <w:proofErr w:type="gramEnd"/>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L. J. (2001). </w:t>
      </w:r>
      <w:r w:rsidRPr="008739A2">
        <w:rPr>
          <w:rFonts w:ascii="Times New Roman" w:eastAsia="Times New Roman" w:hAnsi="Times New Roman" w:cs="Times New Roman"/>
          <w:i/>
          <w:iCs/>
          <w:sz w:val="24"/>
          <w:szCs w:val="24"/>
        </w:rPr>
        <w:t xml:space="preserve">The miracle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natural nutrition for the tropics</w:t>
      </w:r>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Church World Service.</w:t>
      </w:r>
      <w:proofErr w:type="gramEnd"/>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 xml:space="preserve">Gupta, R., </w:t>
      </w:r>
      <w:proofErr w:type="spellStart"/>
      <w:r w:rsidRPr="008739A2">
        <w:rPr>
          <w:rFonts w:ascii="Times New Roman" w:eastAsia="Times New Roman" w:hAnsi="Times New Roman" w:cs="Times New Roman"/>
          <w:sz w:val="24"/>
          <w:szCs w:val="24"/>
        </w:rPr>
        <w:t>Dubey</w:t>
      </w:r>
      <w:proofErr w:type="spellEnd"/>
      <w:r w:rsidRPr="008739A2">
        <w:rPr>
          <w:rFonts w:ascii="Times New Roman" w:eastAsia="Times New Roman" w:hAnsi="Times New Roman" w:cs="Times New Roman"/>
          <w:sz w:val="24"/>
          <w:szCs w:val="24"/>
        </w:rPr>
        <w:t xml:space="preserve">, D. K., </w:t>
      </w:r>
      <w:proofErr w:type="spellStart"/>
      <w:r w:rsidRPr="008739A2">
        <w:rPr>
          <w:rFonts w:ascii="Times New Roman" w:eastAsia="Times New Roman" w:hAnsi="Times New Roman" w:cs="Times New Roman"/>
          <w:sz w:val="24"/>
          <w:szCs w:val="24"/>
        </w:rPr>
        <w:t>Kannan</w:t>
      </w:r>
      <w:proofErr w:type="spellEnd"/>
      <w:r w:rsidRPr="008739A2">
        <w:rPr>
          <w:rFonts w:ascii="Times New Roman" w:eastAsia="Times New Roman" w:hAnsi="Times New Roman" w:cs="Times New Roman"/>
          <w:sz w:val="24"/>
          <w:szCs w:val="24"/>
        </w:rPr>
        <w:t xml:space="preserve">,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 xml:space="preserve">Concomitant administration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powder in the remediation of arsenic-induced oxidative stress in mouse.</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Jahn</w:t>
      </w:r>
      <w:proofErr w:type="spellEnd"/>
      <w:r w:rsidRPr="008739A2">
        <w:rPr>
          <w:rFonts w:ascii="Times New Roman" w:eastAsia="Times New Roman" w:hAnsi="Times New Roman" w:cs="Times New Roman"/>
          <w:sz w:val="24"/>
          <w:szCs w:val="24"/>
        </w:rPr>
        <w:t xml:space="preserve">, S. A. A. (1988). </w:t>
      </w:r>
      <w:proofErr w:type="gramStart"/>
      <w:r w:rsidRPr="008739A2">
        <w:rPr>
          <w:rFonts w:ascii="Times New Roman" w:eastAsia="Times New Roman" w:hAnsi="Times New Roman" w:cs="Times New Roman"/>
          <w:sz w:val="24"/>
          <w:szCs w:val="24"/>
        </w:rPr>
        <w:t xml:space="preserve">Using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as coagulants in developing countries.</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w:t>
      </w:r>
      <w:proofErr w:type="spellStart"/>
      <w:r w:rsidRPr="008739A2">
        <w:rPr>
          <w:rFonts w:ascii="Times New Roman" w:eastAsia="Times New Roman" w:hAnsi="Times New Roman" w:cs="Times New Roman"/>
          <w:sz w:val="24"/>
          <w:szCs w:val="24"/>
        </w:rPr>
        <w:t>Spada</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Battezzati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Schiraldi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Aristil</w:t>
      </w:r>
      <w:proofErr w:type="spellEnd"/>
      <w:r w:rsidRPr="008739A2">
        <w:rPr>
          <w:rFonts w:ascii="Times New Roman" w:eastAsia="Times New Roman" w:hAnsi="Times New Roman" w:cs="Times New Roman"/>
          <w:sz w:val="24"/>
          <w:szCs w:val="24"/>
        </w:rPr>
        <w:t xml:space="preserve">,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Bertoli</w:t>
      </w:r>
      <w:proofErr w:type="spellEnd"/>
      <w:r w:rsidRPr="008739A2">
        <w:rPr>
          <w:rFonts w:ascii="Times New Roman" w:eastAsia="Times New Roman" w:hAnsi="Times New Roman" w:cs="Times New Roman"/>
          <w:sz w:val="24"/>
          <w:szCs w:val="24"/>
        </w:rPr>
        <w:t xml:space="preserve">, S. (2016).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lastRenderedPageBreak/>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Nutrients and </w:t>
      </w:r>
      <w:proofErr w:type="spellStart"/>
      <w:r w:rsidRPr="008739A2">
        <w:rPr>
          <w:rFonts w:ascii="Times New Roman" w:eastAsia="Times New Roman" w:hAnsi="Times New Roman" w:cs="Times New Roman"/>
          <w:i/>
          <w:iCs/>
          <w:sz w:val="24"/>
          <w:szCs w:val="24"/>
        </w:rPr>
        <w:t>antiquality</w:t>
      </w:r>
      <w:proofErr w:type="spellEnd"/>
      <w:r w:rsidRPr="008739A2">
        <w:rPr>
          <w:rFonts w:ascii="Times New Roman" w:eastAsia="Times New Roman" w:hAnsi="Times New Roman" w:cs="Times New Roman"/>
          <w:i/>
          <w:iCs/>
          <w:sz w:val="24"/>
          <w:szCs w:val="24"/>
        </w:rPr>
        <w:t xml:space="preserve"> factors in different morphological parts of the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tree.</w:t>
      </w:r>
      <w:proofErr w:type="gramEnd"/>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M. (2012).</w:t>
      </w:r>
      <w:proofErr w:type="gramEnd"/>
      <w:r w:rsidRPr="008739A2">
        <w:rPr>
          <w:rFonts w:ascii="Times New Roman" w:eastAsia="Times New Roman" w:hAnsi="Times New Roman" w:cs="Times New Roman"/>
          <w:sz w:val="24"/>
          <w:szCs w:val="24"/>
        </w:rPr>
        <w:t xml:space="preserve"> Therapeutic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 xml:space="preserve">The horseradish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pterygosperma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J. P. (2011).</w:t>
      </w:r>
      <w:proofErr w:type="gramEnd"/>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iCs/>
          <w:sz w:val="24"/>
          <w:szCs w:val="24"/>
        </w:rPr>
        <w:t xml:space="preserve">Proximate study, mineral and anti-nutrient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harvested from </w:t>
      </w:r>
      <w:proofErr w:type="spellStart"/>
      <w:r w:rsidRPr="008739A2">
        <w:rPr>
          <w:rFonts w:ascii="Times New Roman" w:eastAsia="Times New Roman" w:hAnsi="Times New Roman" w:cs="Times New Roman"/>
          <w:i/>
          <w:iCs/>
          <w:sz w:val="24"/>
          <w:szCs w:val="24"/>
        </w:rPr>
        <w:t>Lafia</w:t>
      </w:r>
      <w:proofErr w:type="spellEnd"/>
      <w:r w:rsidRPr="008739A2">
        <w:rPr>
          <w:rFonts w:ascii="Times New Roman" w:eastAsia="Times New Roman" w:hAnsi="Times New Roman" w:cs="Times New Roman"/>
          <w:i/>
          <w:iCs/>
          <w:sz w:val="24"/>
          <w:szCs w:val="24"/>
        </w:rPr>
        <w:t>,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proofErr w:type="gramStart"/>
      <w:r w:rsidRPr="008739A2">
        <w:rPr>
          <w:rFonts w:ascii="Times New Roman" w:eastAsia="Times New Roman" w:hAnsi="Times New Roman" w:cs="Times New Roman"/>
          <w:i/>
          <w:iCs/>
          <w:sz w:val="24"/>
          <w:szCs w:val="24"/>
        </w:rPr>
        <w:t xml:space="preserve">Combining data from DNA sequences and morphology for a phylogeny of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Brassicales</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proofErr w:type="gramStart"/>
      <w:r w:rsidRPr="008739A2">
        <w:rPr>
          <w:rFonts w:ascii="Times New Roman" w:eastAsia="Times New Roman" w:hAnsi="Times New Roman" w:cs="Times New Roman"/>
          <w:sz w:val="24"/>
          <w:szCs w:val="24"/>
        </w:rPr>
        <w:t>Palada</w:t>
      </w:r>
      <w:proofErr w:type="spellEnd"/>
      <w:r w:rsidRPr="008739A2">
        <w:rPr>
          <w:rFonts w:ascii="Times New Roman" w:eastAsia="Times New Roman" w:hAnsi="Times New Roman" w:cs="Times New Roman"/>
          <w:sz w:val="24"/>
          <w:szCs w:val="24"/>
        </w:rPr>
        <w:t xml:space="preserve">,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i/>
          <w:iCs/>
          <w:sz w:val="24"/>
          <w:szCs w:val="24"/>
        </w:rPr>
        <w:t xml:space="preserve">Suggested cultural practices for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gramStart"/>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Knothe</w:t>
      </w:r>
      <w:proofErr w:type="spellEnd"/>
      <w:r w:rsidRPr="008739A2">
        <w:rPr>
          <w:rFonts w:ascii="Times New Roman" w:eastAsia="Times New Roman" w:hAnsi="Times New Roman" w:cs="Times New Roman"/>
          <w:sz w:val="24"/>
          <w:szCs w:val="24"/>
        </w:rPr>
        <w:t>, G. (2008).</w:t>
      </w:r>
      <w:proofErr w:type="gram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oil: A possible source of biodiesel.</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Bioresource</w:t>
      </w:r>
      <w:proofErr w:type="spellEnd"/>
      <w:r w:rsidRPr="008739A2">
        <w:rPr>
          <w:rFonts w:ascii="Times New Roman" w:eastAsia="Times New Roman" w:hAnsi="Times New Roman" w:cs="Times New Roman"/>
          <w:sz w:val="24"/>
          <w:szCs w:val="24"/>
        </w:rPr>
        <w:t xml:space="preserv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w:t>
      </w:r>
      <w:proofErr w:type="spellStart"/>
      <w:r w:rsidRPr="008739A2">
        <w:rPr>
          <w:rFonts w:ascii="Times New Roman" w:eastAsia="Times New Roman" w:hAnsi="Times New Roman" w:cs="Times New Roman"/>
          <w:sz w:val="24"/>
          <w:szCs w:val="24"/>
        </w:rPr>
        <w:t>Prakash</w:t>
      </w:r>
      <w:proofErr w:type="spellEnd"/>
      <w:r w:rsidRPr="008739A2">
        <w:rPr>
          <w:rFonts w:ascii="Times New Roman" w:eastAsia="Times New Roman" w:hAnsi="Times New Roman" w:cs="Times New Roman"/>
          <w:sz w:val="24"/>
          <w:szCs w:val="24"/>
        </w:rPr>
        <w:t xml:space="preserve">, D., </w:t>
      </w:r>
      <w:proofErr w:type="spellStart"/>
      <w:r w:rsidRPr="008739A2">
        <w:rPr>
          <w:rFonts w:ascii="Times New Roman" w:eastAsia="Times New Roman" w:hAnsi="Times New Roman" w:cs="Times New Roman"/>
          <w:sz w:val="24"/>
          <w:szCs w:val="24"/>
        </w:rPr>
        <w:t>Sarma</w:t>
      </w:r>
      <w:proofErr w:type="spellEnd"/>
      <w:r w:rsidRPr="008739A2">
        <w:rPr>
          <w:rFonts w:ascii="Times New Roman" w:eastAsia="Times New Roman" w:hAnsi="Times New Roman" w:cs="Times New Roman"/>
          <w:sz w:val="24"/>
          <w:szCs w:val="24"/>
        </w:rPr>
        <w:t xml:space="preserve">,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proofErr w:type="gramStart"/>
      <w:r w:rsidRPr="008739A2">
        <w:rPr>
          <w:rFonts w:ascii="Times New Roman" w:eastAsia="Times New Roman" w:hAnsi="Times New Roman" w:cs="Times New Roman"/>
          <w:i/>
          <w:iCs/>
          <w:sz w:val="24"/>
          <w:szCs w:val="24"/>
        </w:rPr>
        <w:t xml:space="preserve">Antioxidant and anti-inflammatory activity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proofErr w:type="gramEnd"/>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Spiliotis</w:t>
      </w:r>
      <w:proofErr w:type="spellEnd"/>
      <w:r w:rsidRPr="008739A2">
        <w:rPr>
          <w:rFonts w:ascii="Times New Roman" w:eastAsia="Times New Roman" w:hAnsi="Times New Roman" w:cs="Times New Roman"/>
          <w:sz w:val="24"/>
          <w:szCs w:val="24"/>
        </w:rPr>
        <w:t xml:space="preserve">, V., Lalas, S., </w:t>
      </w:r>
      <w:proofErr w:type="spellStart"/>
      <w:r w:rsidRPr="008739A2">
        <w:rPr>
          <w:rFonts w:ascii="Times New Roman" w:eastAsia="Times New Roman" w:hAnsi="Times New Roman" w:cs="Times New Roman"/>
          <w:sz w:val="24"/>
          <w:szCs w:val="24"/>
        </w:rPr>
        <w:t>Gergis</w:t>
      </w:r>
      <w:proofErr w:type="spellEnd"/>
      <w:r w:rsidRPr="008739A2">
        <w:rPr>
          <w:rFonts w:ascii="Times New Roman" w:eastAsia="Times New Roman" w:hAnsi="Times New Roman" w:cs="Times New Roman"/>
          <w:sz w:val="24"/>
          <w:szCs w:val="24"/>
        </w:rPr>
        <w:t xml:space="preserve">,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Dourtoglou</w:t>
      </w:r>
      <w:proofErr w:type="spellEnd"/>
      <w:r w:rsidRPr="008739A2">
        <w:rPr>
          <w:rFonts w:ascii="Times New Roman" w:eastAsia="Times New Roman" w:hAnsi="Times New Roman" w:cs="Times New Roman"/>
          <w:sz w:val="24"/>
          <w:szCs w:val="24"/>
        </w:rPr>
        <w:t xml:space="preserve">, V. (1999). </w:t>
      </w:r>
      <w:r w:rsidRPr="008739A2">
        <w:rPr>
          <w:rFonts w:ascii="Times New Roman" w:eastAsia="Times New Roman" w:hAnsi="Times New Roman" w:cs="Times New Roman"/>
          <w:i/>
          <w:iCs/>
          <w:sz w:val="24"/>
          <w:szCs w:val="24"/>
        </w:rPr>
        <w:t xml:space="preserve">Quality changes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gramStart"/>
      <w:r w:rsidRPr="008739A2">
        <w:rPr>
          <w:rFonts w:ascii="Times New Roman" w:eastAsia="Times New Roman" w:hAnsi="Times New Roman" w:cs="Times New Roman"/>
          <w:sz w:val="24"/>
          <w:szCs w:val="24"/>
        </w:rPr>
        <w:t>USDA.</w:t>
      </w:r>
      <w:proofErr w:type="gramEnd"/>
      <w:r w:rsidRPr="008739A2">
        <w:rPr>
          <w:rFonts w:ascii="Times New Roman" w:eastAsia="Times New Roman" w:hAnsi="Times New Roman" w:cs="Times New Roman"/>
          <w:sz w:val="24"/>
          <w:szCs w:val="24"/>
        </w:rPr>
        <w:t xml:space="preserve"> </w:t>
      </w:r>
      <w:proofErr w:type="gramStart"/>
      <w:r w:rsidRPr="008739A2">
        <w:rPr>
          <w:rFonts w:ascii="Times New Roman" w:eastAsia="Times New Roman" w:hAnsi="Times New Roman" w:cs="Times New Roman"/>
          <w:sz w:val="24"/>
          <w:szCs w:val="24"/>
        </w:rPr>
        <w:t xml:space="preserve">(2020).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w:t>
      </w:r>
      <w:proofErr w:type="gramEnd"/>
      <w:r w:rsidR="00627EA3">
        <w:rPr>
          <w:rFonts w:ascii="Times New Roman" w:eastAsia="Times New Roman" w:hAnsi="Times New Roman" w:cs="Times New Roman"/>
          <w:i/>
          <w:sz w:val="24"/>
          <w:szCs w:val="24"/>
        </w:rPr>
        <w:t xml:space="preserv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9F" w:rsidRDefault="0064549F" w:rsidP="00281875">
      <w:pPr>
        <w:spacing w:after="0" w:line="240" w:lineRule="auto"/>
      </w:pPr>
      <w:r>
        <w:separator/>
      </w:r>
    </w:p>
  </w:endnote>
  <w:endnote w:type="continuationSeparator" w:id="0">
    <w:p w:rsidR="0064549F" w:rsidRDefault="0064549F"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AF6DE5">
          <w:rPr>
            <w:noProof/>
          </w:rPr>
          <w:t>ii</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64549F">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9F" w:rsidRDefault="0064549F" w:rsidP="00281875">
      <w:pPr>
        <w:spacing w:after="0" w:line="240" w:lineRule="auto"/>
      </w:pPr>
      <w:r>
        <w:separator/>
      </w:r>
    </w:p>
  </w:footnote>
  <w:footnote w:type="continuationSeparator" w:id="0">
    <w:p w:rsidR="0064549F" w:rsidRDefault="0064549F"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A2"/>
    <w:rsid w:val="00003F7B"/>
    <w:rsid w:val="00005CDB"/>
    <w:rsid w:val="000064C7"/>
    <w:rsid w:val="000223F8"/>
    <w:rsid w:val="00096168"/>
    <w:rsid w:val="000D1E07"/>
    <w:rsid w:val="00281875"/>
    <w:rsid w:val="00382F5E"/>
    <w:rsid w:val="00423172"/>
    <w:rsid w:val="00454368"/>
    <w:rsid w:val="004639C2"/>
    <w:rsid w:val="004C736F"/>
    <w:rsid w:val="005D7102"/>
    <w:rsid w:val="00627EA3"/>
    <w:rsid w:val="0064549F"/>
    <w:rsid w:val="006575C6"/>
    <w:rsid w:val="007A3895"/>
    <w:rsid w:val="008114B9"/>
    <w:rsid w:val="008739A2"/>
    <w:rsid w:val="00894247"/>
    <w:rsid w:val="0094063F"/>
    <w:rsid w:val="00AF6DE5"/>
    <w:rsid w:val="00B8599C"/>
    <w:rsid w:val="00CD23C0"/>
    <w:rsid w:val="00CF29AF"/>
    <w:rsid w:val="00D0639D"/>
    <w:rsid w:val="00E97805"/>
    <w:rsid w:val="00F236F4"/>
    <w:rsid w:val="00F2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53</Pages>
  <Words>10081</Words>
  <Characters>57462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PEACE OLUWASEYIFUNMI</cp:lastModifiedBy>
  <cp:revision>6</cp:revision>
  <dcterms:created xsi:type="dcterms:W3CDTF">2025-07-23T16:51:00Z</dcterms:created>
  <dcterms:modified xsi:type="dcterms:W3CDTF">2025-07-24T12:58:00Z</dcterms:modified>
</cp:coreProperties>
</file>