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A740BB" w:rsidP="00D004E2">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ABDULRAHAMAN</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AMINAT</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OPEYEMI</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A740BB">
              <w:rPr>
                <w:rFonts w:ascii="Times New Roman" w:eastAsia="Calibri" w:hAnsi="Times New Roman"/>
                <w:b/>
                <w:sz w:val="30"/>
                <w:szCs w:val="30"/>
              </w:rPr>
              <w:t>23/</w:t>
            </w:r>
            <w:proofErr w:type="spellStart"/>
            <w:r w:rsidR="00A740BB">
              <w:rPr>
                <w:rFonts w:ascii="Times New Roman" w:eastAsia="Calibri" w:hAnsi="Times New Roman"/>
                <w:b/>
                <w:sz w:val="30"/>
                <w:szCs w:val="30"/>
              </w:rPr>
              <w:t>SLT</w:t>
            </w:r>
            <w:proofErr w:type="spellEnd"/>
            <w:r w:rsidR="00A740BB">
              <w:rPr>
                <w:rFonts w:ascii="Times New Roman" w:eastAsia="Calibri" w:hAnsi="Times New Roman"/>
                <w:b/>
                <w:sz w:val="30"/>
                <w:szCs w:val="30"/>
              </w:rPr>
              <w:t>/PT/0285</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882756">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A740BB" w:rsidRPr="00A740BB">
        <w:rPr>
          <w:rFonts w:ascii="Times New Roman" w:eastAsia="Calibri" w:hAnsi="Times New Roman"/>
          <w:sz w:val="30"/>
          <w:szCs w:val="30"/>
        </w:rPr>
        <w:t>ABDULRAHAMAN</w:t>
      </w:r>
      <w:proofErr w:type="spellEnd"/>
      <w:r w:rsidR="00A740BB" w:rsidRPr="00A740BB">
        <w:rPr>
          <w:rFonts w:ascii="Times New Roman" w:eastAsia="Calibri" w:hAnsi="Times New Roman"/>
          <w:sz w:val="30"/>
          <w:szCs w:val="30"/>
        </w:rPr>
        <w:t xml:space="preserve"> </w:t>
      </w:r>
      <w:proofErr w:type="spellStart"/>
      <w:r w:rsidR="00A740BB" w:rsidRPr="00A740BB">
        <w:rPr>
          <w:rFonts w:ascii="Times New Roman" w:eastAsia="Calibri" w:hAnsi="Times New Roman"/>
          <w:sz w:val="30"/>
          <w:szCs w:val="30"/>
        </w:rPr>
        <w:t>AMINAT</w:t>
      </w:r>
      <w:proofErr w:type="spellEnd"/>
      <w:r w:rsidR="00A740BB" w:rsidRPr="00A740BB">
        <w:rPr>
          <w:rFonts w:ascii="Times New Roman" w:eastAsia="Calibri" w:hAnsi="Times New Roman"/>
          <w:sz w:val="30"/>
          <w:szCs w:val="30"/>
        </w:rPr>
        <w:t xml:space="preserve"> </w:t>
      </w:r>
      <w:proofErr w:type="spellStart"/>
      <w:r w:rsidR="00A740BB" w:rsidRPr="00A740BB">
        <w:rPr>
          <w:rFonts w:ascii="Times New Roman" w:eastAsia="Calibri" w:hAnsi="Times New Roman"/>
          <w:sz w:val="30"/>
          <w:szCs w:val="30"/>
        </w:rPr>
        <w:t>OPEYEMI</w:t>
      </w:r>
      <w:proofErr w:type="spellEnd"/>
      <w:r w:rsidR="00A740BB" w:rsidRPr="008F0102">
        <w:rPr>
          <w:rFonts w:ascii="Times New Roman" w:eastAsia="Calibri" w:hAnsi="Times New Roman"/>
          <w:sz w:val="30"/>
          <w:szCs w:val="30"/>
        </w:rPr>
        <w:t xml:space="preserve"> </w:t>
      </w:r>
      <w:r w:rsidR="008F0102" w:rsidRPr="008F0102">
        <w:rPr>
          <w:rFonts w:ascii="Times New Roman" w:eastAsia="Calibri" w:hAnsi="Times New Roman"/>
          <w:sz w:val="30"/>
          <w:szCs w:val="30"/>
        </w:rPr>
        <w:t>with matric Number ND/</w:t>
      </w:r>
      <w:r w:rsidR="00A740BB">
        <w:rPr>
          <w:rFonts w:ascii="Times New Roman" w:eastAsia="Calibri" w:hAnsi="Times New Roman"/>
          <w:sz w:val="30"/>
          <w:szCs w:val="30"/>
        </w:rPr>
        <w:t>23/</w:t>
      </w:r>
      <w:proofErr w:type="spellStart"/>
      <w:r w:rsidR="00A740BB">
        <w:rPr>
          <w:rFonts w:ascii="Times New Roman" w:eastAsia="Calibri" w:hAnsi="Times New Roman"/>
          <w:sz w:val="30"/>
          <w:szCs w:val="30"/>
        </w:rPr>
        <w:t>SLT</w:t>
      </w:r>
      <w:proofErr w:type="spellEnd"/>
      <w:r w:rsidR="00A740BB">
        <w:rPr>
          <w:rFonts w:ascii="Times New Roman" w:eastAsia="Calibri" w:hAnsi="Times New Roman"/>
          <w:sz w:val="30"/>
          <w:szCs w:val="30"/>
        </w:rPr>
        <w:t>/PT/0285</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A740BB">
        <w:rPr>
          <w:b/>
          <w:sz w:val="26"/>
          <w:szCs w:val="26"/>
        </w:rPr>
        <w:tab/>
      </w:r>
      <w:bookmarkStart w:id="0" w:name="_GoBack"/>
      <w:bookmarkEnd w:id="0"/>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65" w:rsidRDefault="00D22865" w:rsidP="00AF56CD">
      <w:pPr>
        <w:spacing w:after="0" w:line="240" w:lineRule="auto"/>
      </w:pPr>
      <w:r>
        <w:separator/>
      </w:r>
    </w:p>
  </w:endnote>
  <w:endnote w:type="continuationSeparator" w:id="0">
    <w:p w:rsidR="00D22865" w:rsidRDefault="00D22865"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A740BB">
          <w:rPr>
            <w:noProof/>
          </w:rPr>
          <w:t>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65" w:rsidRDefault="00D22865" w:rsidP="00AF56CD">
      <w:pPr>
        <w:spacing w:after="0" w:line="240" w:lineRule="auto"/>
      </w:pPr>
      <w:r>
        <w:separator/>
      </w:r>
    </w:p>
  </w:footnote>
  <w:footnote w:type="continuationSeparator" w:id="0">
    <w:p w:rsidR="00D22865" w:rsidRDefault="00D22865"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F047C"/>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51C24"/>
    <w:rsid w:val="006A328F"/>
    <w:rsid w:val="006D7577"/>
    <w:rsid w:val="006F3B29"/>
    <w:rsid w:val="007352C2"/>
    <w:rsid w:val="0073771B"/>
    <w:rsid w:val="007B3BCB"/>
    <w:rsid w:val="008045B7"/>
    <w:rsid w:val="008172D7"/>
    <w:rsid w:val="00863471"/>
    <w:rsid w:val="0087015A"/>
    <w:rsid w:val="00882756"/>
    <w:rsid w:val="00890C15"/>
    <w:rsid w:val="008B0C4A"/>
    <w:rsid w:val="008C2EE8"/>
    <w:rsid w:val="008C7549"/>
    <w:rsid w:val="008E463D"/>
    <w:rsid w:val="008F0102"/>
    <w:rsid w:val="00904132"/>
    <w:rsid w:val="0091339B"/>
    <w:rsid w:val="00967919"/>
    <w:rsid w:val="00A22529"/>
    <w:rsid w:val="00A740BB"/>
    <w:rsid w:val="00A976A6"/>
    <w:rsid w:val="00AA122B"/>
    <w:rsid w:val="00AB20A8"/>
    <w:rsid w:val="00AB33C0"/>
    <w:rsid w:val="00AF56CD"/>
    <w:rsid w:val="00B051D9"/>
    <w:rsid w:val="00B056CF"/>
    <w:rsid w:val="00B349D5"/>
    <w:rsid w:val="00BF0EE6"/>
    <w:rsid w:val="00BF1274"/>
    <w:rsid w:val="00C35011"/>
    <w:rsid w:val="00CB5906"/>
    <w:rsid w:val="00CC4824"/>
    <w:rsid w:val="00CF5ACF"/>
    <w:rsid w:val="00D004E2"/>
    <w:rsid w:val="00D01C6D"/>
    <w:rsid w:val="00D22865"/>
    <w:rsid w:val="00D607C0"/>
    <w:rsid w:val="00D8259C"/>
    <w:rsid w:val="00DD07DC"/>
    <w:rsid w:val="00DF2D6C"/>
    <w:rsid w:val="00E30973"/>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5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5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2025-07-24T12:12:00Z</dcterms:created>
  <dcterms:modified xsi:type="dcterms:W3CDTF">2025-07-24T12:12:00Z</dcterms:modified>
</cp:coreProperties>
</file>