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0E0" w:rsidRPr="007438B0" w:rsidRDefault="007310E0" w:rsidP="007310E0">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sidRPr="007438B0">
        <w:rPr>
          <w:rFonts w:ascii="Arial Black" w:hAnsi="Arial Black" w:cs="Arial"/>
          <w:b/>
          <w:bCs/>
          <w:sz w:val="32"/>
          <w:szCs w:val="40"/>
        </w:rPr>
        <w:t>ON INDOMETHACIN-INDUCED ULCEROGENIC RATS</w:t>
      </w:r>
    </w:p>
    <w:p w:rsidR="007310E0" w:rsidRPr="009768EC" w:rsidRDefault="007310E0" w:rsidP="007310E0">
      <w:pPr>
        <w:spacing w:after="0" w:line="480" w:lineRule="auto"/>
        <w:jc w:val="center"/>
        <w:rPr>
          <w:rFonts w:ascii="Algerian" w:hAnsi="Algerian"/>
          <w:b/>
          <w:bCs/>
        </w:rPr>
      </w:pPr>
    </w:p>
    <w:p w:rsidR="007310E0" w:rsidRDefault="007310E0" w:rsidP="007310E0">
      <w:pPr>
        <w:spacing w:after="0" w:line="480" w:lineRule="auto"/>
        <w:jc w:val="center"/>
        <w:rPr>
          <w:rFonts w:ascii="Algerian" w:hAnsi="Algerian"/>
          <w:b/>
          <w:bCs/>
          <w:sz w:val="36"/>
          <w:szCs w:val="24"/>
        </w:rPr>
      </w:pPr>
      <w:r w:rsidRPr="009768EC">
        <w:rPr>
          <w:rFonts w:ascii="Algerian" w:hAnsi="Algerian"/>
          <w:b/>
          <w:bCs/>
          <w:sz w:val="36"/>
          <w:szCs w:val="24"/>
        </w:rPr>
        <w:t>BY</w:t>
      </w:r>
    </w:p>
    <w:p w:rsidR="007310E0" w:rsidRPr="007310E0" w:rsidRDefault="007310E0" w:rsidP="007310E0">
      <w:pPr>
        <w:spacing w:after="0" w:line="240" w:lineRule="auto"/>
        <w:jc w:val="center"/>
        <w:rPr>
          <w:rFonts w:ascii="Arial Black" w:hAnsi="Arial Black"/>
          <w:b/>
          <w:bCs/>
          <w:sz w:val="32"/>
          <w:szCs w:val="24"/>
        </w:rPr>
      </w:pPr>
      <w:r w:rsidRPr="007310E0">
        <w:rPr>
          <w:rFonts w:ascii="Arial Black" w:hAnsi="Arial Black"/>
          <w:b/>
          <w:bCs/>
          <w:sz w:val="32"/>
          <w:szCs w:val="24"/>
        </w:rPr>
        <w:t>OKUNLOLA HANNAH TEMITOPE</w:t>
      </w:r>
      <w:r w:rsidRPr="007310E0">
        <w:rPr>
          <w:rFonts w:ascii="Arial Black" w:hAnsi="Arial Black"/>
          <w:b/>
          <w:bCs/>
          <w:sz w:val="32"/>
          <w:szCs w:val="24"/>
        </w:rPr>
        <w:tab/>
      </w:r>
      <w:r w:rsidRPr="007310E0">
        <w:rPr>
          <w:rFonts w:ascii="Arial Black" w:hAnsi="Arial Black"/>
          <w:b/>
          <w:bCs/>
          <w:sz w:val="32"/>
          <w:szCs w:val="24"/>
        </w:rPr>
        <w:tab/>
        <w:t>HND/23/SLT/FT/0211</w:t>
      </w: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
    <w:p w:rsidR="007310E0" w:rsidRPr="00A013B4" w:rsidRDefault="007310E0" w:rsidP="007310E0">
      <w:pPr>
        <w:spacing w:after="0" w:line="240" w:lineRule="auto"/>
        <w:jc w:val="center"/>
        <w:rPr>
          <w:b/>
          <w:bCs/>
          <w:szCs w:val="24"/>
        </w:rPr>
      </w:pPr>
      <w:proofErr w:type="gramStart"/>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roofErr w:type="gramEnd"/>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 w:val="24"/>
          <w:szCs w:val="24"/>
        </w:rPr>
      </w:pPr>
    </w:p>
    <w:p w:rsidR="007310E0" w:rsidRDefault="007310E0" w:rsidP="007310E0">
      <w:pPr>
        <w:spacing w:after="0" w:line="240" w:lineRule="auto"/>
        <w:jc w:val="center"/>
        <w:rPr>
          <w:b/>
          <w:bCs/>
          <w:sz w:val="24"/>
          <w:szCs w:val="24"/>
        </w:rPr>
      </w:pPr>
    </w:p>
    <w:p w:rsidR="007310E0" w:rsidRDefault="007310E0" w:rsidP="007310E0">
      <w:pPr>
        <w:spacing w:after="0" w:line="480" w:lineRule="auto"/>
        <w:ind w:left="2160"/>
        <w:jc w:val="both"/>
        <w:rPr>
          <w:b/>
          <w:bCs/>
          <w:sz w:val="24"/>
          <w:szCs w:val="24"/>
        </w:rPr>
      </w:pPr>
      <w:r w:rsidRPr="00611489">
        <w:rPr>
          <w:b/>
          <w:bCs/>
          <w:sz w:val="24"/>
          <w:szCs w:val="24"/>
        </w:rPr>
        <w:tab/>
      </w:r>
    </w:p>
    <w:p w:rsidR="007310E0" w:rsidRPr="00A013B4" w:rsidRDefault="007310E0" w:rsidP="007310E0">
      <w:pPr>
        <w:spacing w:after="0" w:line="480" w:lineRule="auto"/>
        <w:jc w:val="center"/>
        <w:rPr>
          <w:b/>
          <w:bCs/>
        </w:rPr>
      </w:pPr>
      <w:r w:rsidRPr="00A013B4">
        <w:rPr>
          <w:b/>
          <w:bCs/>
        </w:rPr>
        <w:t>JULY, 2025</w:t>
      </w:r>
    </w:p>
    <w:p w:rsidR="007310E0" w:rsidRDefault="007310E0" w:rsidP="007310E0">
      <w:pPr>
        <w:spacing w:after="0" w:line="480" w:lineRule="auto"/>
        <w:ind w:left="2160"/>
        <w:jc w:val="both"/>
        <w:rPr>
          <w:b/>
          <w:bCs/>
          <w:sz w:val="24"/>
          <w:szCs w:val="24"/>
        </w:rPr>
      </w:pPr>
      <w:r w:rsidRPr="00611489">
        <w:rPr>
          <w:b/>
          <w:bCs/>
          <w:sz w:val="24"/>
          <w:szCs w:val="24"/>
        </w:rPr>
        <w:tab/>
      </w:r>
    </w:p>
    <w:p w:rsidR="007310E0" w:rsidRDefault="007310E0" w:rsidP="007310E0">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7310E0" w:rsidRPr="00611489" w:rsidRDefault="007310E0" w:rsidP="007310E0">
      <w:pPr>
        <w:spacing w:line="278" w:lineRule="auto"/>
        <w:jc w:val="center"/>
        <w:rPr>
          <w:b/>
          <w:bCs/>
          <w:sz w:val="24"/>
          <w:szCs w:val="24"/>
        </w:rPr>
      </w:pPr>
      <w:r>
        <w:rPr>
          <w:b/>
          <w:bCs/>
          <w:sz w:val="24"/>
          <w:szCs w:val="24"/>
        </w:rPr>
        <w:br w:type="page"/>
      </w:r>
      <w:r w:rsidRPr="00611489">
        <w:rPr>
          <w:b/>
          <w:bCs/>
          <w:sz w:val="24"/>
          <w:szCs w:val="24"/>
        </w:rPr>
        <w:lastRenderedPageBreak/>
        <w:t>CERTIFICATION</w:t>
      </w:r>
    </w:p>
    <w:p w:rsidR="007310E0" w:rsidRPr="000A2363" w:rsidRDefault="007310E0" w:rsidP="007310E0">
      <w:pPr>
        <w:spacing w:after="0" w:line="360" w:lineRule="auto"/>
        <w:jc w:val="both"/>
        <w:rPr>
          <w:b/>
          <w:bCs/>
          <w:sz w:val="24"/>
          <w:szCs w:val="24"/>
        </w:rPr>
      </w:pPr>
      <w:r w:rsidRPr="000A2363">
        <w:rPr>
          <w:sz w:val="24"/>
          <w:szCs w:val="24"/>
        </w:rPr>
        <w:t xml:space="preserve">This is to certify that the project work was successfully carried out by </w:t>
      </w:r>
      <w:r w:rsidRPr="000A2363">
        <w:rPr>
          <w:b/>
          <w:bCs/>
          <w:sz w:val="24"/>
          <w:szCs w:val="24"/>
        </w:rPr>
        <w:t xml:space="preserve">OKUNLOLA HANNAH TEMITOPE </w:t>
      </w:r>
      <w:r w:rsidRPr="007310E0">
        <w:rPr>
          <w:bCs/>
          <w:sz w:val="24"/>
          <w:szCs w:val="24"/>
        </w:rPr>
        <w:t>with matriculation number</w:t>
      </w:r>
      <w:r>
        <w:rPr>
          <w:b/>
          <w:bCs/>
          <w:sz w:val="24"/>
          <w:szCs w:val="24"/>
        </w:rPr>
        <w:t xml:space="preserve"> </w:t>
      </w:r>
      <w:r w:rsidRPr="000A2363">
        <w:rPr>
          <w:b/>
          <w:bCs/>
          <w:sz w:val="24"/>
          <w:szCs w:val="24"/>
        </w:rPr>
        <w:t>HND/23/SLT/FT/0211</w:t>
      </w:r>
      <w:r w:rsidRPr="000A2363">
        <w:rPr>
          <w:sz w:val="24"/>
          <w:szCs w:val="24"/>
        </w:rPr>
        <w:t xml:space="preserve"> it was read and approved as meeting the requirements of Department of Science Laboratory Technology and has been prepared in accordance with the regulation governing the preparation and presentation of Kwara State Polytechnic, Ilorin.</w:t>
      </w:r>
    </w:p>
    <w:p w:rsidR="007310E0" w:rsidRPr="00611489" w:rsidRDefault="007310E0" w:rsidP="007310E0">
      <w:pPr>
        <w:spacing w:after="0" w:line="480" w:lineRule="auto"/>
        <w:jc w:val="both"/>
        <w:rPr>
          <w:sz w:val="24"/>
          <w:szCs w:val="24"/>
        </w:rPr>
      </w:pPr>
    </w:p>
    <w:p w:rsidR="007310E0" w:rsidRDefault="007310E0" w:rsidP="007310E0">
      <w:pPr>
        <w:spacing w:after="0" w:line="240" w:lineRule="auto"/>
        <w:jc w:val="both"/>
        <w:rPr>
          <w:sz w:val="24"/>
          <w:szCs w:val="24"/>
        </w:rPr>
      </w:pPr>
    </w:p>
    <w:p w:rsidR="007310E0" w:rsidRPr="00611489" w:rsidRDefault="007310E0" w:rsidP="007310E0">
      <w:pPr>
        <w:spacing w:after="0" w:line="240" w:lineRule="auto"/>
        <w:jc w:val="both"/>
        <w:rPr>
          <w:sz w:val="24"/>
          <w:szCs w:val="24"/>
        </w:rPr>
      </w:pPr>
    </w:p>
    <w:p w:rsidR="007310E0" w:rsidRDefault="007310E0" w:rsidP="007310E0">
      <w:pPr>
        <w:spacing w:after="0" w:line="240" w:lineRule="auto"/>
        <w:jc w:val="both"/>
        <w:rPr>
          <w:sz w:val="24"/>
          <w:szCs w:val="24"/>
        </w:rPr>
      </w:pPr>
    </w:p>
    <w:p w:rsidR="007310E0" w:rsidRPr="00B64E8F" w:rsidRDefault="007310E0" w:rsidP="007310E0">
      <w:pPr>
        <w:spacing w:after="0" w:line="240" w:lineRule="auto"/>
        <w:jc w:val="both"/>
        <w:rPr>
          <w:b/>
          <w:sz w:val="24"/>
          <w:szCs w:val="24"/>
        </w:rPr>
      </w:pPr>
      <w:r w:rsidRPr="00B64E8F">
        <w:rPr>
          <w:b/>
          <w:sz w:val="24"/>
          <w:szCs w:val="24"/>
        </w:rPr>
        <w:t xml:space="preserve">_________________                                                                   </w:t>
      </w:r>
      <w:r w:rsidRPr="00B64E8F">
        <w:rPr>
          <w:b/>
          <w:sz w:val="24"/>
          <w:szCs w:val="24"/>
        </w:rPr>
        <w:tab/>
        <w:t xml:space="preserve">  __________________</w:t>
      </w:r>
    </w:p>
    <w:p w:rsidR="007310E0" w:rsidRPr="00B64E8F" w:rsidRDefault="007310E0" w:rsidP="007310E0">
      <w:pPr>
        <w:spacing w:after="0" w:line="360" w:lineRule="auto"/>
        <w:contextualSpacing/>
        <w:rPr>
          <w:b/>
          <w:sz w:val="24"/>
          <w:szCs w:val="24"/>
        </w:rPr>
      </w:pPr>
      <w:bookmarkStart w:id="1" w:name="_Hlk140698966"/>
      <w:r>
        <w:rPr>
          <w:b/>
          <w:sz w:val="24"/>
          <w:szCs w:val="24"/>
        </w:rPr>
        <w:t>Dr. (Mrs). Hassan, I. R.</w:t>
      </w:r>
      <w:r w:rsidRPr="00B64E8F">
        <w:rPr>
          <w:b/>
          <w:sz w:val="24"/>
          <w:szCs w:val="24"/>
        </w:rPr>
        <w:tab/>
      </w:r>
      <w:r w:rsidRPr="00B64E8F">
        <w:rPr>
          <w:b/>
          <w:sz w:val="24"/>
          <w:szCs w:val="24"/>
        </w:rPr>
        <w:tab/>
      </w:r>
      <w:r w:rsidRPr="00B64E8F">
        <w:rPr>
          <w:b/>
          <w:sz w:val="24"/>
          <w:szCs w:val="24"/>
        </w:rPr>
        <w:tab/>
      </w:r>
      <w:r w:rsidRPr="00B64E8F">
        <w:rPr>
          <w:b/>
          <w:sz w:val="24"/>
          <w:szCs w:val="24"/>
        </w:rPr>
        <w:tab/>
      </w:r>
      <w:r w:rsidRPr="00B64E8F">
        <w:rPr>
          <w:b/>
          <w:sz w:val="24"/>
          <w:szCs w:val="24"/>
        </w:rPr>
        <w:tab/>
      </w:r>
      <w:r>
        <w:rPr>
          <w:b/>
          <w:sz w:val="24"/>
          <w:szCs w:val="24"/>
        </w:rPr>
        <w:tab/>
      </w:r>
      <w:r w:rsidRPr="00B64E8F">
        <w:rPr>
          <w:b/>
          <w:sz w:val="24"/>
          <w:szCs w:val="24"/>
        </w:rPr>
        <w:tab/>
      </w:r>
      <w:r w:rsidRPr="00B64E8F">
        <w:rPr>
          <w:b/>
          <w:bCs/>
          <w:sz w:val="24"/>
          <w:szCs w:val="24"/>
        </w:rPr>
        <w:t>DATE</w:t>
      </w:r>
    </w:p>
    <w:bookmarkEnd w:id="1"/>
    <w:p w:rsidR="007310E0" w:rsidRPr="00B64E8F" w:rsidRDefault="007310E0" w:rsidP="007310E0">
      <w:pPr>
        <w:spacing w:after="0" w:line="240" w:lineRule="auto"/>
        <w:jc w:val="both"/>
        <w:rPr>
          <w:b/>
          <w:bCs/>
          <w:sz w:val="24"/>
          <w:szCs w:val="24"/>
        </w:rPr>
      </w:pPr>
      <w:r w:rsidRPr="00B64E8F">
        <w:rPr>
          <w:b/>
          <w:bCs/>
          <w:sz w:val="24"/>
          <w:szCs w:val="24"/>
        </w:rPr>
        <w:t>(P</w:t>
      </w:r>
      <w:r w:rsidRPr="00B64E8F">
        <w:rPr>
          <w:b/>
          <w:bCs/>
          <w:i/>
          <w:iCs/>
          <w:sz w:val="24"/>
          <w:szCs w:val="24"/>
        </w:rPr>
        <w:t>roject Supervisor</w:t>
      </w:r>
      <w:r w:rsidRPr="00B64E8F">
        <w:rPr>
          <w:b/>
          <w:bCs/>
          <w:sz w:val="24"/>
          <w:szCs w:val="24"/>
        </w:rPr>
        <w:t xml:space="preserve">) </w:t>
      </w: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proofErr w:type="gramStart"/>
      <w:r w:rsidRPr="000A2363">
        <w:rPr>
          <w:b/>
          <w:bCs/>
          <w:sz w:val="24"/>
          <w:szCs w:val="24"/>
        </w:rPr>
        <w:t>Mrs .</w:t>
      </w:r>
      <w:proofErr w:type="gramEnd"/>
      <w:r w:rsidRPr="000A2363">
        <w:rPr>
          <w:b/>
          <w:bCs/>
          <w:sz w:val="24"/>
          <w:szCs w:val="24"/>
        </w:rPr>
        <w:t xml:space="preserve"> Salaudeen</w:t>
      </w:r>
      <w:r>
        <w:rPr>
          <w:b/>
          <w:bCs/>
          <w:sz w:val="24"/>
          <w:szCs w:val="24"/>
        </w:rPr>
        <w:t>,</w:t>
      </w:r>
      <w:r w:rsidRPr="000A2363">
        <w:rPr>
          <w:b/>
          <w:bCs/>
          <w:sz w:val="24"/>
          <w:szCs w:val="24"/>
        </w:rPr>
        <w:t xml:space="preserve"> K. A</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 xml:space="preserve">DATE </w:t>
      </w:r>
    </w:p>
    <w:p w:rsidR="007310E0" w:rsidRPr="00B64E8F" w:rsidRDefault="007310E0" w:rsidP="007310E0">
      <w:pPr>
        <w:spacing w:after="0" w:line="240" w:lineRule="auto"/>
        <w:jc w:val="both"/>
        <w:rPr>
          <w:b/>
          <w:bCs/>
          <w:sz w:val="24"/>
          <w:szCs w:val="24"/>
        </w:rPr>
      </w:pPr>
      <w:r>
        <w:rPr>
          <w:b/>
          <w:bCs/>
          <w:i/>
          <w:iCs/>
          <w:sz w:val="24"/>
          <w:szCs w:val="24"/>
        </w:rPr>
        <w:t>Head of Unit (Biochemistry Unit)</w:t>
      </w: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sidRPr="00B64E8F">
        <w:rPr>
          <w:b/>
          <w:bCs/>
          <w:sz w:val="24"/>
          <w:szCs w:val="24"/>
        </w:rPr>
        <w:t xml:space="preserve">DR. </w:t>
      </w:r>
      <w:r>
        <w:rPr>
          <w:b/>
          <w:bCs/>
          <w:sz w:val="24"/>
          <w:szCs w:val="24"/>
        </w:rPr>
        <w:t>USMAN, ABDULKAREEM.</w:t>
      </w:r>
      <w:r w:rsidRPr="00B64E8F">
        <w:rPr>
          <w:b/>
          <w:bCs/>
          <w:sz w:val="24"/>
          <w:szCs w:val="24"/>
        </w:rPr>
        <w:t>DATE</w:t>
      </w:r>
    </w:p>
    <w:p w:rsidR="007310E0" w:rsidRPr="00B64E8F" w:rsidRDefault="007310E0" w:rsidP="007310E0">
      <w:pPr>
        <w:spacing w:after="0" w:line="240" w:lineRule="auto"/>
        <w:jc w:val="both"/>
        <w:rPr>
          <w:b/>
          <w:bCs/>
          <w:sz w:val="24"/>
          <w:szCs w:val="24"/>
        </w:rPr>
      </w:pPr>
      <w:r w:rsidRPr="00B64E8F">
        <w:rPr>
          <w:b/>
          <w:bCs/>
          <w:sz w:val="24"/>
          <w:szCs w:val="24"/>
        </w:rPr>
        <w:t>(</w:t>
      </w:r>
      <w:r w:rsidRPr="00B64E8F">
        <w:rPr>
          <w:b/>
          <w:bCs/>
          <w:i/>
          <w:iCs/>
          <w:sz w:val="24"/>
          <w:szCs w:val="24"/>
        </w:rPr>
        <w:t>Head of Department</w:t>
      </w:r>
      <w:r w:rsidRPr="00B64E8F">
        <w:rPr>
          <w:b/>
          <w:bCs/>
          <w:sz w:val="24"/>
          <w:szCs w:val="24"/>
        </w:rPr>
        <w:t>)</w:t>
      </w:r>
    </w:p>
    <w:p w:rsidR="007310E0" w:rsidRPr="00B64E8F"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240" w:lineRule="auto"/>
        <w:jc w:val="both"/>
        <w:rPr>
          <w:b/>
          <w:bCs/>
          <w:sz w:val="24"/>
          <w:szCs w:val="24"/>
        </w:rPr>
      </w:pPr>
    </w:p>
    <w:p w:rsidR="007310E0" w:rsidRPr="00611489" w:rsidRDefault="007310E0" w:rsidP="007310E0">
      <w:pPr>
        <w:spacing w:after="0" w:line="480" w:lineRule="auto"/>
        <w:jc w:val="both"/>
        <w:rPr>
          <w:b/>
          <w:bCs/>
          <w:sz w:val="24"/>
          <w:szCs w:val="24"/>
        </w:rPr>
      </w:pPr>
    </w:p>
    <w:p w:rsidR="007310E0" w:rsidRPr="00B64E8F" w:rsidRDefault="007310E0" w:rsidP="007310E0">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7310E0" w:rsidRPr="00B64E8F" w:rsidRDefault="007310E0" w:rsidP="007310E0">
      <w:pPr>
        <w:spacing w:after="0" w:line="240" w:lineRule="auto"/>
        <w:jc w:val="both"/>
        <w:rPr>
          <w:b/>
          <w:bCs/>
          <w:sz w:val="24"/>
          <w:szCs w:val="24"/>
        </w:rPr>
      </w:pPr>
      <w:r>
        <w:rPr>
          <w:b/>
          <w:bCs/>
          <w:sz w:val="24"/>
          <w:szCs w:val="24"/>
        </w:rPr>
        <w:t xml:space="preserve">EXTERNAL EXAMINER </w:t>
      </w:r>
      <w:r w:rsidRPr="00B64E8F">
        <w:rPr>
          <w:b/>
          <w:bCs/>
          <w:sz w:val="24"/>
          <w:szCs w:val="24"/>
        </w:rPr>
        <w:t>DATE</w:t>
      </w:r>
    </w:p>
    <w:p w:rsidR="007310E0" w:rsidRPr="00611489" w:rsidRDefault="007310E0" w:rsidP="007310E0">
      <w:pPr>
        <w:spacing w:after="0" w:line="480" w:lineRule="auto"/>
        <w:jc w:val="both"/>
        <w:rPr>
          <w:b/>
          <w:bCs/>
          <w:sz w:val="24"/>
          <w:szCs w:val="24"/>
        </w:rPr>
      </w:pPr>
    </w:p>
    <w:p w:rsidR="007310E0" w:rsidRDefault="007310E0" w:rsidP="007310E0">
      <w:pPr>
        <w:spacing w:after="0" w:line="480" w:lineRule="auto"/>
        <w:ind w:left="2880" w:firstLine="720"/>
        <w:jc w:val="both"/>
        <w:rPr>
          <w:b/>
          <w:bCs/>
          <w:sz w:val="24"/>
          <w:szCs w:val="24"/>
        </w:rPr>
      </w:pPr>
    </w:p>
    <w:p w:rsidR="007310E0" w:rsidRDefault="007310E0" w:rsidP="007310E0">
      <w:pPr>
        <w:spacing w:after="0" w:line="480" w:lineRule="auto"/>
        <w:ind w:left="2880" w:firstLine="720"/>
        <w:jc w:val="both"/>
        <w:rPr>
          <w:b/>
          <w:bCs/>
          <w:sz w:val="24"/>
          <w:szCs w:val="24"/>
        </w:rPr>
      </w:pPr>
    </w:p>
    <w:p w:rsidR="007310E0" w:rsidRPr="00611489" w:rsidRDefault="007310E0" w:rsidP="007310E0">
      <w:pPr>
        <w:spacing w:after="0" w:line="480" w:lineRule="auto"/>
        <w:ind w:left="2880" w:firstLine="720"/>
        <w:jc w:val="both"/>
        <w:rPr>
          <w:b/>
          <w:bCs/>
          <w:sz w:val="24"/>
          <w:szCs w:val="24"/>
        </w:rPr>
      </w:pPr>
      <w:r w:rsidRPr="00611489">
        <w:rPr>
          <w:b/>
          <w:bCs/>
          <w:sz w:val="24"/>
          <w:szCs w:val="24"/>
        </w:rPr>
        <w:lastRenderedPageBreak/>
        <w:t>DEDICATION</w:t>
      </w:r>
    </w:p>
    <w:p w:rsidR="007310E0" w:rsidRDefault="007310E0" w:rsidP="007310E0">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7310E0" w:rsidRPr="00611489" w:rsidRDefault="007310E0" w:rsidP="007310E0">
      <w:pPr>
        <w:spacing w:after="0" w:line="480" w:lineRule="auto"/>
        <w:ind w:firstLine="720"/>
        <w:jc w:val="both"/>
        <w:rPr>
          <w:sz w:val="24"/>
          <w:szCs w:val="24"/>
        </w:rPr>
      </w:pPr>
      <w:r>
        <w:rPr>
          <w:sz w:val="24"/>
          <w:szCs w:val="24"/>
        </w:rPr>
        <w:t xml:space="preserve">And also to our lovely </w:t>
      </w:r>
      <w:r w:rsidRPr="006A22C8">
        <w:rPr>
          <w:sz w:val="24"/>
          <w:szCs w:val="24"/>
        </w:rPr>
        <w:t>parents</w:t>
      </w:r>
      <w:proofErr w:type="gramStart"/>
      <w:r>
        <w:rPr>
          <w:sz w:val="24"/>
          <w:szCs w:val="24"/>
        </w:rPr>
        <w:t>,sisters</w:t>
      </w:r>
      <w:proofErr w:type="gramEnd"/>
      <w:r>
        <w:rPr>
          <w:sz w:val="24"/>
          <w:szCs w:val="24"/>
        </w:rPr>
        <w:t xml:space="preserve"> and brothers </w:t>
      </w:r>
      <w:r w:rsidRPr="006A22C8">
        <w:rPr>
          <w:sz w:val="24"/>
          <w:szCs w:val="24"/>
        </w:rPr>
        <w:t>whose unwavering support and en</w:t>
      </w:r>
      <w:r>
        <w:rPr>
          <w:sz w:val="24"/>
          <w:szCs w:val="24"/>
        </w:rPr>
        <w:t>couragement mean the world to us</w:t>
      </w:r>
      <w:r w:rsidRPr="006A22C8">
        <w:rPr>
          <w:sz w:val="24"/>
          <w:szCs w:val="24"/>
        </w:rPr>
        <w:t>.</w:t>
      </w: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Default="007310E0" w:rsidP="007310E0">
      <w:pPr>
        <w:spacing w:after="0" w:line="480" w:lineRule="auto"/>
        <w:jc w:val="both"/>
        <w:rPr>
          <w:sz w:val="24"/>
          <w:szCs w:val="24"/>
        </w:rPr>
      </w:pPr>
    </w:p>
    <w:p w:rsidR="007310E0" w:rsidRPr="00611489" w:rsidRDefault="007310E0" w:rsidP="007310E0">
      <w:pPr>
        <w:spacing w:after="0" w:line="480" w:lineRule="auto"/>
        <w:jc w:val="both"/>
        <w:rPr>
          <w:sz w:val="24"/>
          <w:szCs w:val="24"/>
        </w:rPr>
      </w:pPr>
    </w:p>
    <w:p w:rsidR="007310E0" w:rsidRDefault="007310E0" w:rsidP="007310E0">
      <w:pPr>
        <w:rPr>
          <w:b/>
          <w:bCs/>
          <w:sz w:val="24"/>
          <w:szCs w:val="24"/>
        </w:rPr>
      </w:pPr>
      <w:r>
        <w:rPr>
          <w:b/>
          <w:bCs/>
          <w:sz w:val="24"/>
          <w:szCs w:val="24"/>
        </w:rPr>
        <w:br w:type="page"/>
      </w:r>
    </w:p>
    <w:p w:rsidR="007310E0" w:rsidRPr="00611489" w:rsidRDefault="007310E0" w:rsidP="007310E0">
      <w:pPr>
        <w:spacing w:after="0" w:line="480" w:lineRule="auto"/>
        <w:ind w:left="2160" w:firstLine="720"/>
        <w:jc w:val="both"/>
        <w:rPr>
          <w:b/>
          <w:bCs/>
          <w:sz w:val="24"/>
          <w:szCs w:val="24"/>
        </w:rPr>
      </w:pPr>
      <w:r w:rsidRPr="00611489">
        <w:rPr>
          <w:b/>
          <w:bCs/>
          <w:sz w:val="24"/>
          <w:szCs w:val="24"/>
        </w:rPr>
        <w:lastRenderedPageBreak/>
        <w:t>ACKNOWLEDGEMENT</w:t>
      </w:r>
    </w:p>
    <w:p w:rsidR="007310E0" w:rsidRPr="000A2363" w:rsidRDefault="007310E0" w:rsidP="007310E0">
      <w:pPr>
        <w:spacing w:after="0" w:line="480" w:lineRule="auto"/>
        <w:jc w:val="both"/>
        <w:rPr>
          <w:sz w:val="24"/>
          <w:szCs w:val="24"/>
        </w:rPr>
      </w:pPr>
      <w:r w:rsidRPr="000A2363">
        <w:rPr>
          <w:sz w:val="24"/>
          <w:szCs w:val="24"/>
        </w:rPr>
        <w:t xml:space="preserve">     </w:t>
      </w:r>
      <w:proofErr w:type="gramStart"/>
      <w:r w:rsidRPr="000A2363">
        <w:rPr>
          <w:sz w:val="24"/>
          <w:szCs w:val="24"/>
        </w:rPr>
        <w:t>Special thanks goes</w:t>
      </w:r>
      <w:proofErr w:type="gramEnd"/>
      <w:r w:rsidRPr="000A2363">
        <w:rPr>
          <w:sz w:val="24"/>
          <w:szCs w:val="24"/>
        </w:rPr>
        <w:t xml:space="preserve"> to God almighty the author of success, wisdom and knowledge for His sustenance, provision and guidance during the period of this work.</w:t>
      </w:r>
    </w:p>
    <w:p w:rsidR="007310E0" w:rsidRPr="000A2363" w:rsidRDefault="007310E0" w:rsidP="007310E0">
      <w:pPr>
        <w:spacing w:after="0" w:line="480" w:lineRule="auto"/>
        <w:jc w:val="both"/>
        <w:rPr>
          <w:sz w:val="24"/>
          <w:szCs w:val="24"/>
        </w:rPr>
      </w:pPr>
      <w:r w:rsidRPr="000A2363">
        <w:rPr>
          <w:sz w:val="24"/>
          <w:szCs w:val="24"/>
        </w:rPr>
        <w:t xml:space="preserve">      </w:t>
      </w:r>
      <w:proofErr w:type="gramStart"/>
      <w:r>
        <w:rPr>
          <w:sz w:val="24"/>
          <w:szCs w:val="24"/>
        </w:rPr>
        <w:t>my</w:t>
      </w:r>
      <w:proofErr w:type="gramEnd"/>
      <w:r w:rsidRPr="000A2363">
        <w:rPr>
          <w:sz w:val="24"/>
          <w:szCs w:val="24"/>
        </w:rPr>
        <w:t xml:space="preserve"> inestimable appreciation goes to </w:t>
      </w:r>
      <w:r>
        <w:rPr>
          <w:sz w:val="24"/>
          <w:szCs w:val="24"/>
        </w:rPr>
        <w:t xml:space="preserve">my </w:t>
      </w:r>
      <w:r w:rsidRPr="000A2363">
        <w:rPr>
          <w:sz w:val="24"/>
          <w:szCs w:val="24"/>
        </w:rPr>
        <w:t>supervisor DR. (MRS) HASSAN</w:t>
      </w:r>
      <w:r>
        <w:rPr>
          <w:sz w:val="24"/>
          <w:szCs w:val="24"/>
        </w:rPr>
        <w:t>,</w:t>
      </w:r>
      <w:r w:rsidRPr="000A2363">
        <w:rPr>
          <w:sz w:val="24"/>
          <w:szCs w:val="24"/>
        </w:rPr>
        <w:t xml:space="preserve"> I.R. whose tolerance and perseverance made it possible for </w:t>
      </w:r>
      <w:r>
        <w:rPr>
          <w:sz w:val="24"/>
          <w:szCs w:val="24"/>
        </w:rPr>
        <w:t xml:space="preserve">me </w:t>
      </w:r>
      <w:r w:rsidRPr="000A2363">
        <w:rPr>
          <w:sz w:val="24"/>
          <w:szCs w:val="24"/>
        </w:rPr>
        <w:t>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w:t>
      </w:r>
      <w:proofErr w:type="gramStart"/>
      <w:r w:rsidRPr="000A2363">
        <w:rPr>
          <w:sz w:val="24"/>
          <w:szCs w:val="24"/>
        </w:rPr>
        <w:t>for</w:t>
      </w:r>
      <w:proofErr w:type="gramEnd"/>
      <w:r w:rsidRPr="000A2363">
        <w:rPr>
          <w:sz w:val="24"/>
          <w:szCs w:val="24"/>
        </w:rPr>
        <w:t xml:space="preserve"> his assistance and contributions to the success of this work. </w:t>
      </w:r>
      <w:r>
        <w:rPr>
          <w:sz w:val="24"/>
          <w:szCs w:val="24"/>
        </w:rPr>
        <w:t xml:space="preserve">I </w:t>
      </w:r>
      <w:r w:rsidRPr="000A2363">
        <w:rPr>
          <w:sz w:val="24"/>
          <w:szCs w:val="24"/>
        </w:rPr>
        <w:t>also appreciate our H.O.U in person of Mrs</w:t>
      </w:r>
      <w:r>
        <w:rPr>
          <w:sz w:val="24"/>
          <w:szCs w:val="24"/>
        </w:rPr>
        <w:t xml:space="preserve">. </w:t>
      </w:r>
      <w:r w:rsidRPr="000A2363">
        <w:rPr>
          <w:sz w:val="24"/>
          <w:szCs w:val="24"/>
        </w:rPr>
        <w:t>SALAUDEEN</w:t>
      </w:r>
      <w:r>
        <w:rPr>
          <w:sz w:val="24"/>
          <w:szCs w:val="24"/>
        </w:rPr>
        <w:t xml:space="preserve">, </w:t>
      </w:r>
      <w:r w:rsidRPr="000A2363">
        <w:rPr>
          <w:sz w:val="24"/>
          <w:szCs w:val="24"/>
        </w:rPr>
        <w:t xml:space="preserve">K.A. and all </w:t>
      </w:r>
      <w:r>
        <w:rPr>
          <w:sz w:val="24"/>
          <w:szCs w:val="24"/>
        </w:rPr>
        <w:t xml:space="preserve">my </w:t>
      </w:r>
      <w:r w:rsidRPr="000A2363">
        <w:rPr>
          <w:sz w:val="24"/>
          <w:szCs w:val="24"/>
        </w:rPr>
        <w:t>lecturers for an excellent impact of knowledge.</w:t>
      </w:r>
    </w:p>
    <w:p w:rsidR="007310E0" w:rsidRPr="000A2363" w:rsidRDefault="007310E0" w:rsidP="007310E0">
      <w:pPr>
        <w:spacing w:after="0" w:line="480" w:lineRule="auto"/>
        <w:jc w:val="both"/>
        <w:rPr>
          <w:sz w:val="24"/>
          <w:szCs w:val="24"/>
        </w:rPr>
      </w:pPr>
      <w:r w:rsidRPr="000A2363">
        <w:rPr>
          <w:sz w:val="24"/>
          <w:szCs w:val="24"/>
        </w:rPr>
        <w:t xml:space="preserve">      </w:t>
      </w:r>
      <w:proofErr w:type="gramStart"/>
      <w:r>
        <w:rPr>
          <w:sz w:val="24"/>
          <w:szCs w:val="24"/>
        </w:rPr>
        <w:t>i</w:t>
      </w:r>
      <w:proofErr w:type="gramEnd"/>
      <w:r w:rsidRPr="000A2363">
        <w:rPr>
          <w:sz w:val="24"/>
          <w:szCs w:val="24"/>
        </w:rPr>
        <w:t xml:space="preserve"> will not forget to appreciate </w:t>
      </w:r>
      <w:r>
        <w:rPr>
          <w:sz w:val="24"/>
          <w:szCs w:val="24"/>
        </w:rPr>
        <w:t xml:space="preserve">my </w:t>
      </w:r>
      <w:r w:rsidRPr="000A2363">
        <w:rPr>
          <w:sz w:val="24"/>
          <w:szCs w:val="24"/>
        </w:rPr>
        <w:t xml:space="preserve">lovely parents who has been supporting us financially and through their word of encouragement, </w:t>
      </w:r>
      <w:r>
        <w:rPr>
          <w:sz w:val="24"/>
          <w:szCs w:val="24"/>
        </w:rPr>
        <w:t xml:space="preserve">I </w:t>
      </w:r>
      <w:r w:rsidRPr="000A2363">
        <w:rPr>
          <w:sz w:val="24"/>
          <w:szCs w:val="24"/>
        </w:rPr>
        <w:t>say a big thanks to you all.</w:t>
      </w:r>
    </w:p>
    <w:p w:rsidR="007310E0" w:rsidRDefault="007310E0" w:rsidP="007310E0">
      <w:pPr>
        <w:spacing w:after="0" w:line="480" w:lineRule="auto"/>
        <w:jc w:val="both"/>
        <w:rPr>
          <w:sz w:val="24"/>
          <w:szCs w:val="24"/>
        </w:rPr>
      </w:pPr>
      <w:r w:rsidRPr="000A2363">
        <w:rPr>
          <w:sz w:val="24"/>
          <w:szCs w:val="24"/>
        </w:rPr>
        <w:t xml:space="preserve">        And finally, to all </w:t>
      </w:r>
      <w:proofErr w:type="gramStart"/>
      <w:r>
        <w:rPr>
          <w:sz w:val="24"/>
          <w:szCs w:val="24"/>
        </w:rPr>
        <w:t xml:space="preserve">my </w:t>
      </w:r>
      <w:r w:rsidRPr="000A2363">
        <w:rPr>
          <w:sz w:val="24"/>
          <w:szCs w:val="24"/>
        </w:rPr>
        <w:t xml:space="preserve"> friends</w:t>
      </w:r>
      <w:proofErr w:type="gramEnd"/>
      <w:r w:rsidRPr="000A2363">
        <w:rPr>
          <w:sz w:val="24"/>
          <w:szCs w:val="24"/>
        </w:rPr>
        <w:t xml:space="preserve"> who contributed immensely to the success of this work, </w:t>
      </w:r>
      <w:r>
        <w:rPr>
          <w:sz w:val="24"/>
          <w:szCs w:val="24"/>
        </w:rPr>
        <w:t xml:space="preserve">I </w:t>
      </w:r>
      <w:r w:rsidRPr="000A2363">
        <w:rPr>
          <w:sz w:val="24"/>
          <w:szCs w:val="24"/>
        </w:rPr>
        <w:t>say thank you.</w:t>
      </w: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Default="007310E0" w:rsidP="007310E0">
      <w:pPr>
        <w:spacing w:line="240" w:lineRule="auto"/>
        <w:jc w:val="center"/>
        <w:rPr>
          <w:b/>
          <w:sz w:val="24"/>
          <w:szCs w:val="24"/>
        </w:rPr>
      </w:pPr>
    </w:p>
    <w:p w:rsidR="007310E0" w:rsidRPr="00C662D9" w:rsidRDefault="007310E0" w:rsidP="007310E0">
      <w:pPr>
        <w:spacing w:line="240" w:lineRule="auto"/>
        <w:jc w:val="center"/>
        <w:rPr>
          <w:b/>
          <w:sz w:val="24"/>
          <w:szCs w:val="24"/>
        </w:rPr>
      </w:pPr>
      <w:r w:rsidRPr="00C662D9">
        <w:rPr>
          <w:b/>
          <w:sz w:val="24"/>
          <w:szCs w:val="24"/>
        </w:rPr>
        <w:t>TABLE OF CONTENTS</w:t>
      </w:r>
    </w:p>
    <w:p w:rsidR="007310E0" w:rsidRPr="00C662D9" w:rsidRDefault="007310E0" w:rsidP="007310E0">
      <w:pPr>
        <w:spacing w:line="240" w:lineRule="auto"/>
        <w:rPr>
          <w:bCs/>
          <w:sz w:val="24"/>
          <w:szCs w:val="24"/>
        </w:rPr>
      </w:pPr>
      <w:r w:rsidRPr="00C662D9">
        <w:rPr>
          <w:bCs/>
          <w:sz w:val="24"/>
          <w:szCs w:val="24"/>
        </w:rPr>
        <w:lastRenderedPageBreak/>
        <w:t>Title page</w:t>
      </w:r>
    </w:p>
    <w:p w:rsidR="007310E0" w:rsidRPr="00C662D9" w:rsidRDefault="007310E0" w:rsidP="007310E0">
      <w:pPr>
        <w:spacing w:line="240" w:lineRule="auto"/>
        <w:rPr>
          <w:bCs/>
          <w:sz w:val="24"/>
          <w:szCs w:val="24"/>
        </w:rPr>
      </w:pPr>
      <w:r w:rsidRPr="00C662D9">
        <w:rPr>
          <w:bCs/>
          <w:sz w:val="24"/>
          <w:szCs w:val="24"/>
        </w:rPr>
        <w:t>Certification</w:t>
      </w:r>
    </w:p>
    <w:p w:rsidR="007310E0" w:rsidRPr="00C662D9" w:rsidRDefault="007310E0" w:rsidP="007310E0">
      <w:pPr>
        <w:spacing w:line="240" w:lineRule="auto"/>
        <w:rPr>
          <w:bCs/>
          <w:sz w:val="24"/>
          <w:szCs w:val="24"/>
        </w:rPr>
      </w:pPr>
      <w:r w:rsidRPr="00C662D9">
        <w:rPr>
          <w:bCs/>
          <w:sz w:val="24"/>
          <w:szCs w:val="24"/>
        </w:rPr>
        <w:t>Dedication</w:t>
      </w:r>
    </w:p>
    <w:p w:rsidR="007310E0" w:rsidRPr="00C662D9" w:rsidRDefault="007310E0" w:rsidP="007310E0">
      <w:pPr>
        <w:spacing w:line="240" w:lineRule="auto"/>
        <w:rPr>
          <w:bCs/>
          <w:sz w:val="24"/>
          <w:szCs w:val="24"/>
        </w:rPr>
      </w:pPr>
      <w:r w:rsidRPr="00C662D9">
        <w:rPr>
          <w:bCs/>
          <w:sz w:val="24"/>
          <w:szCs w:val="24"/>
        </w:rPr>
        <w:t>Acknowledgement</w:t>
      </w:r>
    </w:p>
    <w:p w:rsidR="007310E0" w:rsidRPr="00C662D9" w:rsidRDefault="007310E0" w:rsidP="007310E0">
      <w:pPr>
        <w:spacing w:line="240" w:lineRule="auto"/>
        <w:rPr>
          <w:bCs/>
          <w:sz w:val="24"/>
          <w:szCs w:val="24"/>
        </w:rPr>
      </w:pPr>
      <w:r w:rsidRPr="00C662D9">
        <w:rPr>
          <w:bCs/>
          <w:sz w:val="24"/>
          <w:szCs w:val="24"/>
        </w:rPr>
        <w:t>Table of contents</w:t>
      </w:r>
    </w:p>
    <w:p w:rsidR="007310E0" w:rsidRPr="00C662D9" w:rsidRDefault="007310E0" w:rsidP="007310E0">
      <w:pPr>
        <w:spacing w:line="240" w:lineRule="auto"/>
        <w:rPr>
          <w:bCs/>
          <w:sz w:val="24"/>
          <w:szCs w:val="24"/>
        </w:rPr>
      </w:pPr>
      <w:r w:rsidRPr="00C662D9">
        <w:rPr>
          <w:bCs/>
          <w:sz w:val="24"/>
          <w:szCs w:val="24"/>
        </w:rPr>
        <w:t>Abstracts</w:t>
      </w:r>
    </w:p>
    <w:bookmarkEnd w:id="0"/>
    <w:p w:rsidR="007310E0" w:rsidRPr="00D1711F" w:rsidRDefault="007310E0" w:rsidP="007310E0">
      <w:pPr>
        <w:spacing w:after="0" w:line="480" w:lineRule="auto"/>
        <w:rPr>
          <w:b/>
          <w:bCs/>
        </w:rPr>
      </w:pPr>
      <w:r w:rsidRPr="00D1711F">
        <w:rPr>
          <w:b/>
          <w:bCs/>
        </w:rPr>
        <w:t>CHAPTER ONE</w:t>
      </w:r>
    </w:p>
    <w:p w:rsidR="007310E0" w:rsidRPr="00D1711F" w:rsidRDefault="007310E0" w:rsidP="007310E0">
      <w:pPr>
        <w:spacing w:after="0" w:line="480" w:lineRule="auto"/>
        <w:jc w:val="both"/>
        <w:rPr>
          <w:bCs/>
        </w:rPr>
      </w:pPr>
      <w:r w:rsidRPr="00D1711F">
        <w:rPr>
          <w:bCs/>
        </w:rPr>
        <w:t>1.0</w:t>
      </w:r>
      <w:r w:rsidRPr="00D1711F">
        <w:rPr>
          <w:bCs/>
        </w:rPr>
        <w:tab/>
        <w:t xml:space="preserve">INTRODUCTION </w:t>
      </w:r>
    </w:p>
    <w:p w:rsidR="007310E0" w:rsidRPr="00D1711F" w:rsidRDefault="007310E0" w:rsidP="007310E0">
      <w:pPr>
        <w:spacing w:before="100" w:beforeAutospacing="1" w:after="0" w:line="480" w:lineRule="auto"/>
        <w:outlineLvl w:val="1"/>
        <w:rPr>
          <w:rFonts w:eastAsia="Times New Roman"/>
          <w:bCs/>
        </w:rPr>
      </w:pPr>
      <w:r w:rsidRPr="00D1711F">
        <w:rPr>
          <w:rFonts w:eastAsia="Times New Roman"/>
          <w:bCs/>
        </w:rPr>
        <w:t>1.1 Background of the Study</w:t>
      </w:r>
    </w:p>
    <w:p w:rsidR="007310E0" w:rsidRPr="00D1711F" w:rsidRDefault="007310E0" w:rsidP="007310E0">
      <w:pPr>
        <w:spacing w:before="100" w:beforeAutospacing="1" w:after="0" w:line="480" w:lineRule="auto"/>
        <w:outlineLvl w:val="1"/>
        <w:rPr>
          <w:rFonts w:eastAsia="Times New Roman"/>
          <w:bCs/>
        </w:rPr>
      </w:pPr>
      <w:r w:rsidRPr="00D1711F">
        <w:rPr>
          <w:rFonts w:eastAsia="Times New Roman"/>
          <w:bCs/>
        </w:rPr>
        <w:t>1.2 Statement of the Problem</w:t>
      </w:r>
    </w:p>
    <w:p w:rsidR="007310E0" w:rsidRPr="00D1711F" w:rsidRDefault="007310E0" w:rsidP="007310E0">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7310E0" w:rsidRPr="00D1711F" w:rsidRDefault="007310E0" w:rsidP="007310E0">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7310E0" w:rsidRPr="00D1711F" w:rsidRDefault="007310E0" w:rsidP="007310E0">
      <w:pPr>
        <w:spacing w:after="0" w:line="480" w:lineRule="auto"/>
        <w:rPr>
          <w:b/>
          <w:bCs/>
        </w:rPr>
      </w:pPr>
      <w:r w:rsidRPr="00D1711F">
        <w:rPr>
          <w:b/>
          <w:bCs/>
        </w:rPr>
        <w:t>CHAPTER TWO</w:t>
      </w:r>
    </w:p>
    <w:p w:rsidR="007310E0" w:rsidRPr="00D1711F" w:rsidRDefault="007310E0" w:rsidP="007310E0">
      <w:pPr>
        <w:spacing w:after="0" w:line="480" w:lineRule="auto"/>
        <w:rPr>
          <w:bCs/>
        </w:rPr>
      </w:pPr>
      <w:r w:rsidRPr="00D1711F">
        <w:rPr>
          <w:bCs/>
        </w:rPr>
        <w:t>2.0 LITERATURE REVIEW</w:t>
      </w:r>
    </w:p>
    <w:p w:rsidR="007310E0" w:rsidRPr="00D1711F" w:rsidRDefault="007310E0" w:rsidP="007310E0">
      <w:pPr>
        <w:spacing w:after="0" w:line="480" w:lineRule="auto"/>
        <w:jc w:val="both"/>
      </w:pPr>
      <w:r w:rsidRPr="00D1711F">
        <w:t>2.1 Ulcer</w:t>
      </w:r>
    </w:p>
    <w:p w:rsidR="007310E0" w:rsidRPr="00D1711F" w:rsidRDefault="007310E0" w:rsidP="007310E0">
      <w:pPr>
        <w:spacing w:after="0" w:line="480" w:lineRule="auto"/>
        <w:jc w:val="both"/>
      </w:pPr>
      <w:r w:rsidRPr="00D1711F">
        <w:t>2.2 Types of Ulcer</w:t>
      </w:r>
    </w:p>
    <w:p w:rsidR="007310E0" w:rsidRPr="00D1711F" w:rsidRDefault="007310E0" w:rsidP="007310E0">
      <w:pPr>
        <w:spacing w:after="0" w:line="480" w:lineRule="auto"/>
        <w:jc w:val="both"/>
      </w:pPr>
      <w:r w:rsidRPr="00D1711F">
        <w:t>2.2.1 Peptic Ulcer</w:t>
      </w:r>
    </w:p>
    <w:p w:rsidR="007310E0" w:rsidRPr="00D1711F" w:rsidRDefault="007310E0" w:rsidP="007310E0">
      <w:pPr>
        <w:spacing w:after="0" w:line="480" w:lineRule="auto"/>
        <w:jc w:val="both"/>
      </w:pPr>
      <w:r w:rsidRPr="00D1711F">
        <w:t>2.2.2 Skin Ulcer</w:t>
      </w:r>
    </w:p>
    <w:p w:rsidR="007310E0" w:rsidRPr="00D1711F" w:rsidRDefault="007310E0" w:rsidP="007310E0">
      <w:pPr>
        <w:spacing w:after="0" w:line="480" w:lineRule="auto"/>
        <w:jc w:val="both"/>
      </w:pPr>
      <w:r w:rsidRPr="00D1711F">
        <w:t>2.2.3 Mouth Ulcer</w:t>
      </w:r>
    </w:p>
    <w:p w:rsidR="007310E0" w:rsidRPr="00D1711F" w:rsidRDefault="007310E0" w:rsidP="007310E0">
      <w:pPr>
        <w:spacing w:after="0" w:line="480" w:lineRule="auto"/>
        <w:jc w:val="both"/>
      </w:pPr>
      <w:r w:rsidRPr="00D1711F">
        <w:t>2.2.4 Corneal Ulcer</w:t>
      </w:r>
    </w:p>
    <w:p w:rsidR="007310E0" w:rsidRPr="00D1711F" w:rsidRDefault="007310E0" w:rsidP="007310E0">
      <w:pPr>
        <w:spacing w:after="0" w:line="480" w:lineRule="auto"/>
        <w:jc w:val="both"/>
      </w:pPr>
      <w:r w:rsidRPr="00D1711F">
        <w:lastRenderedPageBreak/>
        <w:t>2.2.5 Diabetic Ulcer</w:t>
      </w:r>
    </w:p>
    <w:p w:rsidR="007310E0" w:rsidRPr="00D1711F" w:rsidRDefault="007310E0" w:rsidP="007310E0">
      <w:pPr>
        <w:spacing w:after="0" w:line="480" w:lineRule="auto"/>
        <w:jc w:val="both"/>
      </w:pPr>
      <w:r w:rsidRPr="00D1711F">
        <w:t>2.2.6 Stomach Ulcer</w:t>
      </w:r>
    </w:p>
    <w:p w:rsidR="007310E0" w:rsidRPr="00D1711F" w:rsidRDefault="007310E0" w:rsidP="007310E0">
      <w:pPr>
        <w:spacing w:after="0" w:line="480" w:lineRule="auto"/>
        <w:jc w:val="both"/>
        <w:rPr>
          <w:bCs/>
        </w:rPr>
      </w:pPr>
      <w:r w:rsidRPr="00D1711F">
        <w:rPr>
          <w:bCs/>
        </w:rPr>
        <w:t>2.3 Causes of Ulcer</w:t>
      </w:r>
    </w:p>
    <w:p w:rsidR="007310E0" w:rsidRPr="00D1711F" w:rsidRDefault="007310E0" w:rsidP="007310E0">
      <w:pPr>
        <w:spacing w:after="0" w:line="480" w:lineRule="auto"/>
        <w:jc w:val="both"/>
        <w:rPr>
          <w:bCs/>
        </w:rPr>
      </w:pPr>
      <w:r w:rsidRPr="00D1711F">
        <w:rPr>
          <w:bCs/>
        </w:rPr>
        <w:t>2.3.1 Psychological Causes</w:t>
      </w:r>
    </w:p>
    <w:p w:rsidR="007310E0" w:rsidRPr="00D1711F" w:rsidRDefault="007310E0" w:rsidP="007310E0">
      <w:pPr>
        <w:spacing w:after="0" w:line="480" w:lineRule="auto"/>
        <w:jc w:val="both"/>
        <w:rPr>
          <w:bCs/>
        </w:rPr>
      </w:pPr>
      <w:r w:rsidRPr="00D1711F">
        <w:rPr>
          <w:bCs/>
        </w:rPr>
        <w:t>2.3.2 Medication</w:t>
      </w:r>
    </w:p>
    <w:p w:rsidR="007310E0" w:rsidRPr="00D1711F" w:rsidRDefault="007310E0" w:rsidP="007310E0">
      <w:pPr>
        <w:spacing w:after="0" w:line="480" w:lineRule="auto"/>
        <w:jc w:val="both"/>
        <w:rPr>
          <w:bCs/>
        </w:rPr>
      </w:pPr>
      <w:r w:rsidRPr="00D1711F">
        <w:rPr>
          <w:bCs/>
        </w:rPr>
        <w:t>2.3.3 Dietary Factors</w:t>
      </w:r>
    </w:p>
    <w:p w:rsidR="007310E0" w:rsidRPr="00D1711F" w:rsidRDefault="007310E0" w:rsidP="007310E0">
      <w:pPr>
        <w:spacing w:after="0" w:line="480" w:lineRule="auto"/>
        <w:jc w:val="both"/>
        <w:rPr>
          <w:bCs/>
        </w:rPr>
      </w:pPr>
      <w:r w:rsidRPr="00D1711F">
        <w:rPr>
          <w:bCs/>
        </w:rPr>
        <w:t>2.4 Pathophysiology of Ulcer</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2.5 Antioxidants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 Types of antioxidant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 Non enzymatic antioxidant</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2.6.1.1 Total phenolic content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2.6.1.2 Total flavonoid content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2.6.1.3 Ferric reducing antioxidant power (FRAP)</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2.6.1.4 2</w:t>
      </w:r>
      <w:proofErr w:type="gramStart"/>
      <w:r w:rsidRPr="00D1711F">
        <w:rPr>
          <w:bCs/>
          <w:sz w:val="28"/>
          <w:szCs w:val="28"/>
        </w:rPr>
        <w:t>,2</w:t>
      </w:r>
      <w:proofErr w:type="gramEnd"/>
      <w:r w:rsidRPr="00D1711F">
        <w:rPr>
          <w:bCs/>
          <w:sz w:val="28"/>
          <w:szCs w:val="28"/>
        </w:rPr>
        <w:t>-azino-bis C3 ethylbenzothiazoline-b-sulphonic acid (ABTS)</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2.6.1.5 2</w:t>
      </w:r>
      <w:proofErr w:type="gramStart"/>
      <w:r w:rsidRPr="00D1711F">
        <w:rPr>
          <w:bCs/>
          <w:sz w:val="28"/>
          <w:szCs w:val="28"/>
        </w:rPr>
        <w:t>,2</w:t>
      </w:r>
      <w:proofErr w:type="gramEnd"/>
      <w:r w:rsidRPr="00D1711F">
        <w:rPr>
          <w:bCs/>
          <w:sz w:val="28"/>
          <w:szCs w:val="28"/>
        </w:rPr>
        <w:t>-diphenyl-1-pycrylhydraxyl (DPPH)</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2.6.2 Enzymatic antioxidant</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2.6.2.2 Catalase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 Lipid peroxidation parameters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2.7.1 Glutathione transferase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2.7.2 Glutathione peroxidase</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2.7.3 Glutathione reductase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2.7.4 Reduced glutathione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2.7.5 Malondialdehyde </w:t>
      </w:r>
    </w:p>
    <w:p w:rsidR="007310E0" w:rsidRPr="00D1711F" w:rsidRDefault="007310E0" w:rsidP="007310E0">
      <w:pPr>
        <w:pStyle w:val="NormalWeb"/>
        <w:spacing w:after="0" w:afterAutospacing="0" w:line="480" w:lineRule="auto"/>
        <w:jc w:val="both"/>
        <w:rPr>
          <w:bCs/>
          <w:sz w:val="28"/>
          <w:szCs w:val="28"/>
        </w:rPr>
      </w:pPr>
      <w:r w:rsidRPr="00D1711F">
        <w:rPr>
          <w:bCs/>
          <w:sz w:val="28"/>
          <w:szCs w:val="28"/>
        </w:rPr>
        <w:t xml:space="preserve">2.7.6 Mycloperoxidase </w:t>
      </w:r>
    </w:p>
    <w:p w:rsidR="007310E0" w:rsidRPr="00D1711F" w:rsidRDefault="007310E0" w:rsidP="007310E0">
      <w:pPr>
        <w:spacing w:after="0" w:line="480" w:lineRule="auto"/>
        <w:rPr>
          <w:b/>
          <w:bCs/>
        </w:rPr>
      </w:pPr>
      <w:r w:rsidRPr="00D1711F">
        <w:rPr>
          <w:b/>
          <w:bCs/>
        </w:rPr>
        <w:t>CHAPTER THREE</w:t>
      </w:r>
    </w:p>
    <w:p w:rsidR="007310E0" w:rsidRPr="00D1711F" w:rsidRDefault="007310E0" w:rsidP="007310E0">
      <w:pPr>
        <w:spacing w:after="0" w:line="480" w:lineRule="auto"/>
      </w:pPr>
      <w:r w:rsidRPr="00D1711F">
        <w:rPr>
          <w:bCs/>
        </w:rPr>
        <w:t>3.0</w:t>
      </w:r>
      <w:r w:rsidRPr="00D1711F">
        <w:rPr>
          <w:bCs/>
        </w:rPr>
        <w:tab/>
        <w:t>MATERIALS AND METHODS</w:t>
      </w:r>
    </w:p>
    <w:p w:rsidR="007310E0" w:rsidRPr="00D1711F" w:rsidRDefault="007310E0" w:rsidP="007310E0">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7310E0" w:rsidRPr="00D1711F" w:rsidRDefault="007310E0" w:rsidP="007310E0">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7310E0" w:rsidRPr="00D1711F" w:rsidRDefault="007310E0" w:rsidP="007310E0">
      <w:pPr>
        <w:spacing w:after="0" w:line="480" w:lineRule="auto"/>
        <w:jc w:val="both"/>
        <w:rPr>
          <w:bCs/>
        </w:rPr>
      </w:pPr>
      <w:r w:rsidRPr="00D1711F">
        <w:rPr>
          <w:bCs/>
        </w:rPr>
        <w:t xml:space="preserve">3.3 Experimental design </w:t>
      </w:r>
    </w:p>
    <w:p w:rsidR="007310E0" w:rsidRPr="00D1711F" w:rsidRDefault="007310E0" w:rsidP="007310E0">
      <w:pPr>
        <w:spacing w:after="0" w:line="480" w:lineRule="auto"/>
        <w:jc w:val="both"/>
        <w:rPr>
          <w:bCs/>
        </w:rPr>
      </w:pPr>
      <w:r w:rsidRPr="00D1711F">
        <w:rPr>
          <w:bCs/>
        </w:rPr>
        <w:t xml:space="preserve">3.3.1 Determination of antioxidant properties </w:t>
      </w:r>
    </w:p>
    <w:p w:rsidR="007310E0" w:rsidRPr="00D1711F" w:rsidRDefault="007310E0" w:rsidP="007310E0">
      <w:pPr>
        <w:spacing w:after="0" w:line="480" w:lineRule="auto"/>
        <w:jc w:val="both"/>
        <w:rPr>
          <w:bCs/>
        </w:rPr>
      </w:pPr>
      <w:r w:rsidRPr="00D1711F">
        <w:rPr>
          <w:bCs/>
        </w:rPr>
        <w:t>3.3.2 Determination of Ferric Reducing Antioxidant Power (FRAP)</w:t>
      </w:r>
    </w:p>
    <w:p w:rsidR="007310E0" w:rsidRPr="00D1711F" w:rsidRDefault="007310E0" w:rsidP="007310E0">
      <w:pPr>
        <w:spacing w:after="0" w:line="480" w:lineRule="auto"/>
        <w:jc w:val="both"/>
        <w:rPr>
          <w:bCs/>
        </w:rPr>
      </w:pPr>
      <w:r w:rsidRPr="00D1711F">
        <w:rPr>
          <w:bCs/>
        </w:rPr>
        <w:lastRenderedPageBreak/>
        <w:t>3.3.2 Determination of Azino-bis C3 ethyl Benzothiazoline-b- sulphonic acid (ABTs)</w:t>
      </w:r>
    </w:p>
    <w:p w:rsidR="007310E0" w:rsidRPr="00D1711F" w:rsidRDefault="007310E0" w:rsidP="007310E0">
      <w:pPr>
        <w:spacing w:after="0" w:line="480" w:lineRule="auto"/>
        <w:jc w:val="both"/>
        <w:rPr>
          <w:bCs/>
        </w:rPr>
      </w:pPr>
      <w:r w:rsidRPr="00D1711F">
        <w:rPr>
          <w:bCs/>
        </w:rPr>
        <w:t xml:space="preserve">3.3.3 Determination of Diphenyl -1 </w:t>
      </w:r>
      <w:proofErr w:type="gramStart"/>
      <w:r w:rsidRPr="00D1711F">
        <w:rPr>
          <w:bCs/>
        </w:rPr>
        <w:t>pycrylhydraxyl  (</w:t>
      </w:r>
      <w:proofErr w:type="gramEnd"/>
      <w:r w:rsidRPr="00D1711F">
        <w:rPr>
          <w:bCs/>
        </w:rPr>
        <w:t>DPPH)</w:t>
      </w:r>
    </w:p>
    <w:p w:rsidR="007310E0" w:rsidRPr="00D1711F" w:rsidRDefault="007310E0" w:rsidP="007310E0">
      <w:pPr>
        <w:spacing w:after="0" w:line="480" w:lineRule="auto"/>
        <w:jc w:val="both"/>
        <w:rPr>
          <w:bCs/>
        </w:rPr>
      </w:pPr>
      <w:r w:rsidRPr="00D1711F">
        <w:rPr>
          <w:bCs/>
        </w:rPr>
        <w:t>3.3.4 Determination of total flavonoid content (TFC)</w:t>
      </w:r>
    </w:p>
    <w:p w:rsidR="007310E0" w:rsidRPr="00D1711F" w:rsidRDefault="007310E0" w:rsidP="007310E0">
      <w:pPr>
        <w:spacing w:after="0" w:line="480" w:lineRule="auto"/>
        <w:jc w:val="both"/>
        <w:rPr>
          <w:bCs/>
        </w:rPr>
      </w:pPr>
      <w:r w:rsidRPr="00D1711F">
        <w:rPr>
          <w:bCs/>
        </w:rPr>
        <w:t>3.3.5 Determination of total phenolic content (TPC)</w:t>
      </w:r>
    </w:p>
    <w:p w:rsidR="007310E0" w:rsidRPr="00D1711F" w:rsidRDefault="007310E0" w:rsidP="007310E0">
      <w:pPr>
        <w:spacing w:after="0" w:line="480" w:lineRule="auto"/>
        <w:jc w:val="both"/>
      </w:pPr>
      <w:r w:rsidRPr="00D1711F">
        <w:t>3.3.6</w:t>
      </w:r>
      <w:r w:rsidRPr="00D1711F">
        <w:tab/>
        <w:t>Determination of Enzymatic Antioxidant</w:t>
      </w:r>
    </w:p>
    <w:p w:rsidR="007310E0" w:rsidRPr="00D1711F" w:rsidRDefault="007310E0" w:rsidP="007310E0">
      <w:pPr>
        <w:spacing w:after="0" w:line="480" w:lineRule="auto"/>
        <w:jc w:val="both"/>
      </w:pPr>
      <w:r w:rsidRPr="00D1711F">
        <w:t>3.4 Malondialdehyde</w:t>
      </w:r>
    </w:p>
    <w:p w:rsidR="007310E0" w:rsidRPr="00D1711F" w:rsidRDefault="007310E0" w:rsidP="007310E0">
      <w:pPr>
        <w:spacing w:after="0" w:line="480" w:lineRule="auto"/>
        <w:outlineLvl w:val="1"/>
        <w:rPr>
          <w:rFonts w:eastAsia="Times New Roman"/>
          <w:b/>
          <w:bCs/>
        </w:rPr>
      </w:pPr>
      <w:r w:rsidRPr="00D1711F">
        <w:rPr>
          <w:rFonts w:eastAsia="Times New Roman"/>
          <w:b/>
          <w:bCs/>
        </w:rPr>
        <w:t>CHAPTER FOUR</w:t>
      </w:r>
    </w:p>
    <w:p w:rsidR="007310E0" w:rsidRPr="00D1711F" w:rsidRDefault="007310E0" w:rsidP="007310E0">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7310E0" w:rsidRPr="00D1711F" w:rsidRDefault="007310E0" w:rsidP="007310E0">
      <w:pPr>
        <w:spacing w:after="0" w:line="480" w:lineRule="auto"/>
        <w:jc w:val="both"/>
        <w:outlineLvl w:val="3"/>
        <w:rPr>
          <w:rFonts w:eastAsia="Times New Roman"/>
          <w:bCs/>
        </w:rPr>
      </w:pPr>
      <w:r w:rsidRPr="00D1711F">
        <w:rPr>
          <w:rFonts w:eastAsia="Times New Roman"/>
          <w:bCs/>
        </w:rPr>
        <w:t>4.1 BIOCHEMICAL RESULTS</w:t>
      </w:r>
    </w:p>
    <w:p w:rsidR="007310E0" w:rsidRPr="00D1711F" w:rsidRDefault="007310E0" w:rsidP="007310E0">
      <w:pPr>
        <w:spacing w:after="0" w:line="480" w:lineRule="auto"/>
        <w:jc w:val="both"/>
        <w:outlineLvl w:val="2"/>
        <w:rPr>
          <w:rFonts w:eastAsia="Times New Roman"/>
          <w:bCs/>
        </w:rPr>
      </w:pPr>
      <w:r w:rsidRPr="00D1711F">
        <w:rPr>
          <w:rFonts w:eastAsia="Times New Roman"/>
          <w:bCs/>
        </w:rPr>
        <w:t>4.2 INTERPRETATION OF RESULTS</w:t>
      </w:r>
    </w:p>
    <w:p w:rsidR="007310E0" w:rsidRPr="00D1711F" w:rsidRDefault="007310E0" w:rsidP="007310E0">
      <w:pPr>
        <w:spacing w:after="0" w:line="480" w:lineRule="auto"/>
        <w:jc w:val="both"/>
        <w:outlineLvl w:val="2"/>
        <w:rPr>
          <w:rFonts w:eastAsia="Times New Roman"/>
          <w:bCs/>
        </w:rPr>
      </w:pPr>
      <w:r w:rsidRPr="00D1711F">
        <w:rPr>
          <w:rFonts w:eastAsia="Times New Roman"/>
          <w:bCs/>
        </w:rPr>
        <w:t>4.3 Histopathological Findings</w:t>
      </w:r>
    </w:p>
    <w:p w:rsidR="007310E0" w:rsidRPr="00D1711F" w:rsidRDefault="007310E0" w:rsidP="007310E0">
      <w:pPr>
        <w:spacing w:after="0" w:line="480" w:lineRule="auto"/>
        <w:rPr>
          <w:rFonts w:eastAsia="Times New Roman"/>
          <w:bCs/>
        </w:rPr>
      </w:pPr>
      <w:r w:rsidRPr="00D1711F">
        <w:rPr>
          <w:rFonts w:eastAsia="Times New Roman"/>
          <w:bCs/>
        </w:rPr>
        <w:t>CHAPTER FIVE</w:t>
      </w:r>
    </w:p>
    <w:p w:rsidR="007310E0" w:rsidRPr="00D1711F" w:rsidRDefault="007310E0" w:rsidP="007310E0">
      <w:pPr>
        <w:spacing w:after="0" w:line="480" w:lineRule="auto"/>
        <w:outlineLvl w:val="2"/>
        <w:rPr>
          <w:rFonts w:eastAsia="Times New Roman"/>
          <w:bCs/>
        </w:rPr>
      </w:pPr>
      <w:bookmarkStart w:id="2" w:name="_GoBack"/>
      <w:bookmarkEnd w:id="2"/>
      <w:r w:rsidRPr="00D1711F">
        <w:rPr>
          <w:rFonts w:eastAsia="Times New Roman"/>
          <w:bCs/>
        </w:rPr>
        <w:t>5.1 SUMMARY</w:t>
      </w:r>
    </w:p>
    <w:p w:rsidR="007310E0" w:rsidRPr="00D1711F" w:rsidRDefault="007310E0" w:rsidP="007310E0">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7310E0" w:rsidRPr="00D1711F" w:rsidRDefault="007310E0" w:rsidP="007310E0">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7310E0" w:rsidRPr="00D1711F" w:rsidRDefault="007310E0" w:rsidP="007310E0">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7310E0" w:rsidRPr="00D1711F" w:rsidRDefault="007310E0" w:rsidP="007310E0">
      <w:pPr>
        <w:pStyle w:val="Heading2"/>
        <w:spacing w:before="0" w:beforeAutospacing="0" w:afterAutospacing="0" w:line="480" w:lineRule="auto"/>
        <w:rPr>
          <w:b w:val="0"/>
          <w:sz w:val="28"/>
          <w:szCs w:val="28"/>
        </w:rPr>
      </w:pPr>
      <w:r w:rsidRPr="00D1711F">
        <w:rPr>
          <w:rStyle w:val="Strong"/>
          <w:sz w:val="28"/>
          <w:szCs w:val="28"/>
        </w:rPr>
        <w:t>REFERENCES</w:t>
      </w:r>
    </w:p>
    <w:p w:rsidR="007310E0" w:rsidRDefault="007310E0" w:rsidP="007310E0">
      <w:pPr>
        <w:spacing w:after="0" w:line="360" w:lineRule="auto"/>
        <w:jc w:val="center"/>
        <w:rPr>
          <w:b/>
          <w:i/>
          <w:sz w:val="24"/>
          <w:szCs w:val="24"/>
        </w:rPr>
      </w:pPr>
    </w:p>
    <w:p w:rsidR="007310E0" w:rsidRDefault="007310E0" w:rsidP="007310E0">
      <w:pPr>
        <w:spacing w:after="0" w:line="360" w:lineRule="auto"/>
        <w:jc w:val="center"/>
        <w:rPr>
          <w:b/>
          <w:i/>
          <w:sz w:val="24"/>
          <w:szCs w:val="24"/>
        </w:rPr>
      </w:pPr>
      <w:r>
        <w:rPr>
          <w:b/>
          <w:i/>
          <w:sz w:val="24"/>
          <w:szCs w:val="24"/>
        </w:rPr>
        <w:t>ABSTRACT</w:t>
      </w:r>
    </w:p>
    <w:p w:rsidR="007310E0" w:rsidRPr="008D4738" w:rsidRDefault="007310E0" w:rsidP="007310E0">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7310E0" w:rsidRPr="008D4738" w:rsidRDefault="007310E0" w:rsidP="007310E0">
      <w:pPr>
        <w:spacing w:after="0" w:line="360" w:lineRule="auto"/>
        <w:jc w:val="both"/>
        <w:rPr>
          <w:i/>
        </w:rPr>
      </w:pPr>
      <w:r w:rsidRPr="008D4738">
        <w:rPr>
          <w:i/>
        </w:rPr>
        <w:t xml:space="preserve">Fifty two (52) adult Wistar rats were divided into seven groups: a normal control, </w:t>
      </w:r>
      <w:proofErr w:type="gramStart"/>
      <w:r w:rsidRPr="008D4738">
        <w:rPr>
          <w:i/>
        </w:rPr>
        <w:t>an ulcer control</w:t>
      </w:r>
      <w:proofErr w:type="gramEnd"/>
      <w:r w:rsidRPr="008D4738">
        <w:rPr>
          <w:i/>
        </w:rPr>
        <w:t xml:space="preserve">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7310E0" w:rsidRDefault="007310E0" w:rsidP="007310E0">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7310E0" w:rsidRPr="008D4738" w:rsidRDefault="007310E0" w:rsidP="007310E0">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7310E0" w:rsidRDefault="007310E0" w:rsidP="007310E0">
      <w:pPr>
        <w:rPr>
          <w:b/>
          <w:bCs/>
          <w:color w:val="000000" w:themeColor="text1"/>
        </w:rPr>
      </w:pPr>
      <w:r>
        <w:rPr>
          <w:b/>
          <w:bCs/>
          <w:color w:val="000000" w:themeColor="text1"/>
        </w:rPr>
        <w:br w:type="page"/>
      </w:r>
    </w:p>
    <w:p w:rsidR="007310E0" w:rsidRPr="00D7082F" w:rsidRDefault="007310E0" w:rsidP="007310E0">
      <w:pPr>
        <w:spacing w:line="360" w:lineRule="auto"/>
        <w:jc w:val="center"/>
        <w:rPr>
          <w:b/>
          <w:bCs/>
          <w:color w:val="000000" w:themeColor="text1"/>
        </w:rPr>
      </w:pPr>
      <w:r w:rsidRPr="00D7082F">
        <w:rPr>
          <w:b/>
          <w:bCs/>
          <w:color w:val="000000" w:themeColor="text1"/>
        </w:rPr>
        <w:lastRenderedPageBreak/>
        <w:t>CHAPTER ONE</w:t>
      </w:r>
    </w:p>
    <w:p w:rsidR="007310E0" w:rsidRPr="00D7082F" w:rsidRDefault="007310E0" w:rsidP="007310E0">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 xml:space="preserve">-induced gastric ulcer models. Understanding these effects may provide insights into the therapeutic potential of the plant as a natural alternative or adjunct in ulcer </w:t>
      </w:r>
      <w:proofErr w:type="gramStart"/>
      <w:r w:rsidRPr="00D7082F">
        <w:rPr>
          <w:rFonts w:eastAsia="Times New Roman"/>
          <w:color w:val="000000" w:themeColor="text1"/>
        </w:rPr>
        <w:t>management</w:t>
      </w:r>
      <w:r w:rsidRPr="00E96164">
        <w:rPr>
          <w:rFonts w:eastAsia="Times New Roman"/>
          <w:i/>
          <w:color w:val="000000" w:themeColor="text1"/>
        </w:rPr>
        <w:t>(</w:t>
      </w:r>
      <w:proofErr w:type="gramEnd"/>
      <w:r w:rsidRPr="00E96164">
        <w:rPr>
          <w:rFonts w:eastAsia="Times New Roman"/>
          <w:i/>
          <w:color w:val="000000" w:themeColor="text1"/>
        </w:rPr>
        <w:t>Femoe et al., 2022).</w:t>
      </w:r>
    </w:p>
    <w:p w:rsidR="007310E0" w:rsidRPr="00D7082F" w:rsidRDefault="007310E0" w:rsidP="007310E0">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infection, and nonsteroidal anti-inflammatory drugs (NSAIDs</w:t>
      </w:r>
      <w:proofErr w:type="gramStart"/>
      <w:r w:rsidRPr="00D7082F">
        <w:rPr>
          <w:rFonts w:eastAsia="Times New Roman"/>
          <w:color w:val="000000" w:themeColor="text1"/>
        </w:rPr>
        <w:t>)and</w:t>
      </w:r>
      <w:proofErr w:type="gramEnd"/>
      <w:r w:rsidRPr="00D7082F">
        <w:rPr>
          <w:rFonts w:eastAsia="Times New Roman"/>
          <w:color w:val="000000" w:themeColor="text1"/>
        </w:rPr>
        <w:t xml:space="preserve">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7310E0"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w:t>
      </w:r>
      <w:proofErr w:type="gramStart"/>
      <w:r w:rsidRPr="00D7082F">
        <w:rPr>
          <w:rFonts w:eastAsia="Times New Roman"/>
          <w:color w:val="000000" w:themeColor="text1"/>
        </w:rPr>
        <w:t>strains</w:t>
      </w:r>
      <w:r w:rsidRPr="00E96164">
        <w:rPr>
          <w:rFonts w:eastAsia="Times New Roman"/>
          <w:i/>
          <w:color w:val="000000" w:themeColor="text1"/>
        </w:rPr>
        <w:t>(</w:t>
      </w:r>
      <w:proofErr w:type="gramEnd"/>
      <w:r w:rsidRPr="00E96164">
        <w:rPr>
          <w:rFonts w:eastAsia="Times New Roman"/>
          <w:i/>
          <w:color w:val="000000" w:themeColor="text1"/>
        </w:rPr>
        <w:t>Zatorski, 2017).</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w:t>
      </w:r>
      <w:r w:rsidRPr="00D7082F">
        <w:rPr>
          <w:color w:val="000000" w:themeColor="text1"/>
        </w:rPr>
        <w:lastRenderedPageBreak/>
        <w:t xml:space="preserve">damage in gastric tissue, even gastrointestinal bleeding when combined with antithrombotic 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7310E0" w:rsidRPr="00E96164" w:rsidRDefault="007310E0" w:rsidP="007310E0">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proofErr w:type="gramStart"/>
      <w:r w:rsidRPr="00E96164">
        <w:rPr>
          <w:color w:val="000000" w:themeColor="text1"/>
        </w:rPr>
        <w:t>enzyme</w:t>
      </w:r>
      <w:r w:rsidRPr="00E96164">
        <w:rPr>
          <w:i/>
          <w:color w:val="000000" w:themeColor="text1"/>
        </w:rPr>
        <w:t>(</w:t>
      </w:r>
      <w:proofErr w:type="gramEnd"/>
      <w:r w:rsidRPr="00E96164">
        <w:rPr>
          <w:i/>
          <w:color w:val="000000" w:themeColor="text1"/>
          <w:shd w:val="clear" w:color="auto" w:fill="FFFFFF"/>
        </w:rPr>
        <w:t>Adewoye and Salami, 2013</w:t>
      </w:r>
      <w:r w:rsidRPr="00E96164">
        <w:rPr>
          <w:i/>
          <w:color w:val="000000" w:themeColor="text1"/>
        </w:rPr>
        <w:t>).</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w:t>
      </w:r>
      <w:proofErr w:type="gramStart"/>
      <w:r w:rsidRPr="00D7082F">
        <w:rPr>
          <w:rFonts w:eastAsia="Times New Roman"/>
          <w:color w:val="000000" w:themeColor="text1"/>
        </w:rPr>
        <w:t>complaints</w:t>
      </w:r>
      <w:r w:rsidRPr="00E96164">
        <w:rPr>
          <w:rFonts w:eastAsia="Times New Roman"/>
          <w:i/>
          <w:color w:val="000000" w:themeColor="text1"/>
        </w:rPr>
        <w:t>(</w:t>
      </w:r>
      <w:proofErr w:type="gramEnd"/>
      <w:r w:rsidRPr="00E96164">
        <w:rPr>
          <w:rFonts w:eastAsia="Times New Roman"/>
          <w:i/>
          <w:color w:val="000000" w:themeColor="text1"/>
        </w:rPr>
        <w:t>Asusheyi et al., 2010)</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w:t>
      </w:r>
      <w:r w:rsidRPr="00D7082F">
        <w:rPr>
          <w:rFonts w:eastAsia="Times New Roman"/>
          <w:color w:val="000000" w:themeColor="text1"/>
        </w:rPr>
        <w:lastRenderedPageBreak/>
        <w:t xml:space="preserve">antiulcerogenic effects by reinforcing the mucosal barrier, inhibiting inflammatory cytokines, and modulating gastric acid secretion.Several in vivo studies have demonstrated the efficacy of plant extracts in protecting against NSAID-induced 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w:t>
      </w:r>
      <w:proofErr w:type="gramStart"/>
      <w:r w:rsidRPr="00D7082F">
        <w:rPr>
          <w:rFonts w:eastAsia="Times New Roman"/>
          <w:color w:val="000000" w:themeColor="text1"/>
        </w:rPr>
        <w:t>systems</w:t>
      </w:r>
      <w:r w:rsidRPr="00E96164">
        <w:rPr>
          <w:rFonts w:eastAsia="Times New Roman"/>
          <w:i/>
          <w:color w:val="000000" w:themeColor="text1"/>
        </w:rPr>
        <w:t>(</w:t>
      </w:r>
      <w:proofErr w:type="gramEnd"/>
      <w:r w:rsidRPr="00E96164">
        <w:rPr>
          <w:rFonts w:eastAsia="Times New Roman"/>
          <w:i/>
          <w:color w:val="000000" w:themeColor="text1"/>
        </w:rPr>
        <w:t>Yousef et al., 2019).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7310E0" w:rsidRPr="00D7082F" w:rsidRDefault="007310E0" w:rsidP="007310E0">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w:t>
      </w:r>
      <w:r w:rsidRPr="00D7082F">
        <w:rPr>
          <w:rFonts w:eastAsia="Times New Roman"/>
          <w:color w:val="000000" w:themeColor="text1"/>
        </w:rPr>
        <w:lastRenderedPageBreak/>
        <w:t xml:space="preserve">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7310E0"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7310E0"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1.4 Aim and objectives of the Study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7310E0" w:rsidRPr="00D7082F" w:rsidRDefault="007310E0" w:rsidP="007310E0">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7310E0" w:rsidRPr="00D7082F" w:rsidRDefault="007310E0" w:rsidP="007310E0">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rPr>
          <w:b/>
          <w:bCs/>
          <w:color w:val="000000" w:themeColor="text1"/>
        </w:rPr>
      </w:pPr>
    </w:p>
    <w:p w:rsidR="007310E0" w:rsidRDefault="007310E0" w:rsidP="007310E0">
      <w:pPr>
        <w:spacing w:line="360" w:lineRule="auto"/>
        <w:jc w:val="center"/>
        <w:rPr>
          <w:b/>
          <w:bCs/>
          <w:color w:val="000000" w:themeColor="text1"/>
        </w:rPr>
      </w:pPr>
    </w:p>
    <w:p w:rsidR="007310E0" w:rsidRDefault="007310E0" w:rsidP="007310E0">
      <w:pPr>
        <w:rPr>
          <w:b/>
          <w:bCs/>
          <w:color w:val="000000" w:themeColor="text1"/>
        </w:rPr>
      </w:pPr>
      <w:r>
        <w:rPr>
          <w:b/>
          <w:bCs/>
          <w:color w:val="000000" w:themeColor="text1"/>
        </w:rPr>
        <w:lastRenderedPageBreak/>
        <w:br w:type="page"/>
      </w:r>
    </w:p>
    <w:p w:rsidR="007310E0" w:rsidRPr="00D7082F" w:rsidRDefault="007310E0" w:rsidP="007310E0">
      <w:pPr>
        <w:spacing w:line="360" w:lineRule="auto"/>
        <w:jc w:val="center"/>
        <w:rPr>
          <w:b/>
          <w:bCs/>
          <w:color w:val="000000" w:themeColor="text1"/>
        </w:rPr>
      </w:pPr>
      <w:r w:rsidRPr="00D7082F">
        <w:rPr>
          <w:b/>
          <w:bCs/>
          <w:color w:val="000000" w:themeColor="text1"/>
        </w:rPr>
        <w:lastRenderedPageBreak/>
        <w:t>CHAPTER TWO</w:t>
      </w:r>
    </w:p>
    <w:p w:rsidR="007310E0" w:rsidRPr="00D7082F" w:rsidRDefault="007310E0" w:rsidP="007310E0">
      <w:pPr>
        <w:spacing w:line="360" w:lineRule="auto"/>
        <w:rPr>
          <w:b/>
          <w:bCs/>
          <w:color w:val="000000" w:themeColor="text1"/>
        </w:rPr>
      </w:pPr>
      <w:r w:rsidRPr="00D7082F">
        <w:rPr>
          <w:b/>
          <w:bCs/>
          <w:color w:val="000000" w:themeColor="text1"/>
        </w:rPr>
        <w:t>2.0 LITERATURE REVIEW</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w:t>
      </w:r>
      <w:r w:rsidRPr="00D7082F">
        <w:rPr>
          <w:rFonts w:eastAsia="Times New Roman"/>
          <w:color w:val="000000" w:themeColor="text1"/>
        </w:rPr>
        <w:lastRenderedPageBreak/>
        <w:t xml:space="preserve">a pressing public health issue globally, particularly in low-resource settings where 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7310E0" w:rsidRPr="00D7082F" w:rsidRDefault="007310E0" w:rsidP="007310E0">
      <w:pPr>
        <w:spacing w:line="360" w:lineRule="auto"/>
        <w:jc w:val="both"/>
        <w:rPr>
          <w:b/>
          <w:color w:val="000000" w:themeColor="text1"/>
        </w:rPr>
      </w:pPr>
      <w:r w:rsidRPr="00D7082F">
        <w:rPr>
          <w:b/>
          <w:color w:val="000000" w:themeColor="text1"/>
        </w:rPr>
        <w:t>2.1 Ulcer</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w:t>
      </w:r>
      <w:r w:rsidRPr="00D7082F">
        <w:rPr>
          <w:rFonts w:eastAsia="Times New Roman"/>
          <w:color w:val="000000" w:themeColor="text1"/>
        </w:rPr>
        <w:lastRenderedPageBreak/>
        <w:t xml:space="preserve">dietary practices, the availability of healthcare services, and the rate of </w:t>
      </w:r>
      <w:r w:rsidRPr="00D7082F">
        <w:rPr>
          <w:rFonts w:eastAsia="Times New Roman"/>
          <w:i/>
          <w:iCs/>
          <w:color w:val="000000" w:themeColor="text1"/>
        </w:rPr>
        <w:t>Helicobacter 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7310E0" w:rsidRPr="00E96164"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w:t>
      </w:r>
      <w:proofErr w:type="gramStart"/>
      <w:r w:rsidRPr="00D7082F">
        <w:rPr>
          <w:rFonts w:eastAsia="Times New Roman"/>
          <w:color w:val="000000" w:themeColor="text1"/>
        </w:rPr>
        <w:t>medicine approaches—particularly those involving stem cell therapy—have</w:t>
      </w:r>
      <w:proofErr w:type="gramEnd"/>
      <w:r w:rsidRPr="00D7082F">
        <w:rPr>
          <w:rFonts w:eastAsia="Times New Roman"/>
          <w:color w:val="000000" w:themeColor="text1"/>
        </w:rPr>
        <w:t xml:space="preserve"> been explored for managing chronic ulcers, demonstrating encouraging outcomes in terms of tissue regeneration and recovery </w:t>
      </w:r>
      <w:r w:rsidRPr="00D7082F">
        <w:rPr>
          <w:rFonts w:eastAsia="Times New Roman"/>
          <w:color w:val="000000" w:themeColor="text1"/>
        </w:rPr>
        <w:lastRenderedPageBreak/>
        <w:t xml:space="preserve">(Liesegang, 2019). The field of phytomedicine has also advanced, leading to studies 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7310E0" w:rsidRPr="00D7082F" w:rsidRDefault="007310E0" w:rsidP="007310E0">
      <w:pPr>
        <w:spacing w:line="360" w:lineRule="auto"/>
        <w:jc w:val="both"/>
        <w:rPr>
          <w:b/>
          <w:color w:val="000000" w:themeColor="text1"/>
        </w:rPr>
      </w:pPr>
      <w:r w:rsidRPr="00D7082F">
        <w:rPr>
          <w:b/>
          <w:color w:val="000000" w:themeColor="text1"/>
        </w:rPr>
        <w:t>2.2 Types of Ulcer</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7310E0" w:rsidRPr="00D7082F"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2.2.1 Peptic Ulcer</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w:t>
      </w:r>
      <w:r w:rsidRPr="00D7082F">
        <w:rPr>
          <w:rFonts w:eastAsia="Times New Roman"/>
          <w:color w:val="000000" w:themeColor="text1"/>
        </w:rPr>
        <w:lastRenderedPageBreak/>
        <w:t xml:space="preserve">cytotoxin-associated gene (cag) island within its genome, both of which contribute to its ulcerogenic potential (Nilsson et al., 2003). Infected individuals typically exhibit elevated basal and meal-induced gastrin secretion, along with diminished production of gastric mucus and duodenal bicarbonate—conditions that collectively promote ulcer development </w:t>
      </w:r>
      <w:r w:rsidRPr="00B811FF">
        <w:rPr>
          <w:rFonts w:eastAsia="Times New Roman"/>
          <w:i/>
          <w:color w:val="000000" w:themeColor="text1"/>
        </w:rPr>
        <w:t>(Nilsson et al., 2003).</w:t>
      </w: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drawing>
          <wp:inline distT="0" distB="0" distL="0" distR="0">
            <wp:extent cx="2926899" cy="2800350"/>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27"/>
                    <a:stretch/>
                  </pic:blipFill>
                  <pic:spPr bwMode="auto">
                    <a:xfrm>
                      <a:off x="0" y="0"/>
                      <a:ext cx="2929971" cy="2803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Cs/>
          <w:color w:val="000000" w:themeColor="text1"/>
        </w:rPr>
      </w:pPr>
      <w:r>
        <w:rPr>
          <w:bCs/>
          <w:color w:val="000000" w:themeColor="text1"/>
        </w:rPr>
        <w:t>Source: lauret (2015)</w:t>
      </w:r>
    </w:p>
    <w:p w:rsidR="007310E0" w:rsidRPr="00D7082F" w:rsidRDefault="007310E0" w:rsidP="007310E0">
      <w:pPr>
        <w:spacing w:line="360" w:lineRule="auto"/>
        <w:jc w:val="both"/>
        <w:rPr>
          <w:b/>
          <w:color w:val="000000" w:themeColor="text1"/>
        </w:rPr>
      </w:pPr>
      <w:r w:rsidRPr="00D7082F">
        <w:rPr>
          <w:b/>
          <w:color w:val="000000" w:themeColor="text1"/>
        </w:rPr>
        <w:t>2.2.2 Skin Ulcer</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w:t>
      </w:r>
      <w:r w:rsidRPr="00D7082F">
        <w:rPr>
          <w:color w:val="000000" w:themeColor="text1"/>
        </w:rPr>
        <w:lastRenderedPageBreak/>
        <w:t xml:space="preserve">significant health concern globally, affecting individuals across various age groups and socioeconomic backgrounds. These chronic wounds result from multiple underlying conditions, including vascular insufficiency, prolonged pressure, infection, and 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w:t>
      </w:r>
      <w:r w:rsidRPr="00D7082F">
        <w:rPr>
          <w:color w:val="000000" w:themeColor="text1"/>
        </w:rPr>
        <w:lastRenderedPageBreak/>
        <w:t xml:space="preserve">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w:t>
      </w:r>
      <w:proofErr w:type="gramStart"/>
      <w:r w:rsidRPr="00D7082F">
        <w:rPr>
          <w:color w:val="000000" w:themeColor="text1"/>
        </w:rPr>
        <w:t>acute,</w:t>
      </w:r>
      <w:proofErr w:type="gramEnd"/>
      <w:r w:rsidRPr="00D7082F">
        <w:rPr>
          <w:color w:val="000000" w:themeColor="text1"/>
        </w:rPr>
        <w:t xml:space="preserv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7310E0" w:rsidRPr="00B811FF" w:rsidRDefault="007310E0" w:rsidP="007310E0">
      <w:pPr>
        <w:spacing w:line="360" w:lineRule="auto"/>
        <w:jc w:val="both"/>
        <w:rPr>
          <w:b/>
          <w:i/>
          <w:color w:val="000000" w:themeColor="text1"/>
        </w:rPr>
      </w:pP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lastRenderedPageBreak/>
        <w:drawing>
          <wp:inline distT="0" distB="0" distL="0" distR="0">
            <wp:extent cx="3357677" cy="2069293"/>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Cs/>
          <w:color w:val="000000" w:themeColor="text1"/>
          <w:lang w:val="fr-FR"/>
        </w:rPr>
      </w:pPr>
      <w:r>
        <w:rPr>
          <w:bCs/>
          <w:color w:val="000000" w:themeColor="text1"/>
          <w:lang w:val="fr-FR"/>
        </w:rPr>
        <w:t xml:space="preserve">Source: kuma (2004) </w:t>
      </w:r>
    </w:p>
    <w:p w:rsidR="007310E0" w:rsidRDefault="007310E0" w:rsidP="007310E0">
      <w:pPr>
        <w:spacing w:line="360" w:lineRule="auto"/>
        <w:jc w:val="both"/>
        <w:rPr>
          <w:b/>
          <w:color w:val="000000" w:themeColor="text1"/>
        </w:rPr>
      </w:pPr>
    </w:p>
    <w:p w:rsidR="007310E0"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2.2.3 Mouth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w:t>
      </w:r>
      <w:r w:rsidRPr="00D7082F">
        <w:rPr>
          <w:rFonts w:eastAsia="Times New Roman"/>
          <w:color w:val="000000" w:themeColor="text1"/>
        </w:rPr>
        <w:lastRenderedPageBreak/>
        <w:t xml:space="preserve">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w:t>
      </w:r>
      <w:r w:rsidRPr="00D7082F">
        <w:rPr>
          <w:rFonts w:eastAsia="Times New Roman"/>
          <w:color w:val="000000" w:themeColor="text1"/>
        </w:rPr>
        <w:lastRenderedPageBreak/>
        <w:t xml:space="preserve">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7310E0" w:rsidRPr="00D7082F" w:rsidRDefault="007310E0" w:rsidP="007310E0">
      <w:pPr>
        <w:spacing w:line="360" w:lineRule="auto"/>
        <w:jc w:val="center"/>
        <w:rPr>
          <w:b/>
          <w:color w:val="000000" w:themeColor="text1"/>
        </w:rPr>
      </w:pPr>
      <w:r w:rsidRPr="00D7082F">
        <w:rPr>
          <w:b/>
          <w:noProof/>
          <w:color w:val="000000" w:themeColor="text1"/>
        </w:rPr>
        <w:lastRenderedPageBreak/>
        <w:drawing>
          <wp:inline distT="0" distB="0" distL="0" distR="0">
            <wp:extent cx="2794000" cy="2717800"/>
            <wp:effectExtent l="0" t="0" r="6350" b="635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2717800"/>
                    </a:xfrm>
                    <a:prstGeom prst="rect">
                      <a:avLst/>
                    </a:prstGeom>
                  </pic:spPr>
                </pic:pic>
              </a:graphicData>
            </a:graphic>
          </wp:inline>
        </w:drawing>
      </w:r>
    </w:p>
    <w:p w:rsidR="007310E0" w:rsidRPr="00D7082F" w:rsidRDefault="007310E0" w:rsidP="007310E0">
      <w:pPr>
        <w:spacing w:line="360" w:lineRule="auto"/>
        <w:jc w:val="center"/>
        <w:rPr>
          <w:b/>
          <w:color w:val="000000" w:themeColor="text1"/>
        </w:rPr>
      </w:pPr>
      <w:r>
        <w:rPr>
          <w:bCs/>
          <w:color w:val="000000" w:themeColor="text1"/>
        </w:rPr>
        <w:t>Source: Crispian and Rosemary (2000)</w:t>
      </w: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2.2.4 Corneal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w:t>
      </w:r>
      <w:r w:rsidRPr="00D7082F">
        <w:rPr>
          <w:rFonts w:eastAsia="Times New Roman"/>
          <w:color w:val="000000" w:themeColor="text1"/>
        </w:rPr>
        <w:lastRenderedPageBreak/>
        <w:t xml:space="preserve">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w:t>
      </w:r>
      <w:r w:rsidRPr="00D7082F">
        <w:rPr>
          <w:rFonts w:eastAsia="Times New Roman"/>
          <w:color w:val="000000" w:themeColor="text1"/>
        </w:rPr>
        <w:lastRenderedPageBreak/>
        <w:t xml:space="preserv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7310E0" w:rsidRPr="00D7082F" w:rsidRDefault="007310E0" w:rsidP="007310E0">
      <w:pPr>
        <w:spacing w:line="360" w:lineRule="auto"/>
        <w:jc w:val="center"/>
        <w:rPr>
          <w:rFonts w:eastAsia="Times New Roman"/>
          <w:color w:val="000000" w:themeColor="text1"/>
        </w:rPr>
      </w:pPr>
      <w:r w:rsidRPr="00D7082F">
        <w:rPr>
          <w:rFonts w:eastAsia="Times New Roman"/>
          <w:noProof/>
          <w:color w:val="000000" w:themeColor="text1"/>
        </w:rPr>
        <w:drawing>
          <wp:inline distT="0" distB="0" distL="0" distR="0">
            <wp:extent cx="3204057" cy="1945843"/>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114" cy="1954987"/>
                    </a:xfrm>
                    <a:prstGeom prst="rect">
                      <a:avLst/>
                    </a:prstGeom>
                  </pic:spPr>
                </pic:pic>
              </a:graphicData>
            </a:graphic>
          </wp:inline>
        </w:drawing>
      </w:r>
    </w:p>
    <w:p w:rsidR="007310E0" w:rsidRPr="00D7082F" w:rsidRDefault="007310E0" w:rsidP="007310E0">
      <w:pPr>
        <w:spacing w:line="360" w:lineRule="auto"/>
        <w:jc w:val="center"/>
        <w:rPr>
          <w:bCs/>
          <w:color w:val="000000" w:themeColor="text1"/>
        </w:rPr>
      </w:pPr>
      <w:r>
        <w:rPr>
          <w:bCs/>
          <w:color w:val="000000" w:themeColor="text1"/>
        </w:rPr>
        <w:t>Source: WHO (2015)</w:t>
      </w:r>
    </w:p>
    <w:p w:rsidR="007310E0" w:rsidRPr="00D7082F" w:rsidRDefault="007310E0" w:rsidP="007310E0">
      <w:pPr>
        <w:spacing w:line="360" w:lineRule="auto"/>
        <w:jc w:val="both"/>
        <w:rPr>
          <w:b/>
          <w:color w:val="000000" w:themeColor="text1"/>
        </w:rPr>
      </w:pPr>
    </w:p>
    <w:p w:rsidR="007310E0" w:rsidRPr="00D7082F" w:rsidRDefault="007310E0" w:rsidP="007310E0">
      <w:pPr>
        <w:spacing w:line="360" w:lineRule="auto"/>
        <w:jc w:val="both"/>
        <w:rPr>
          <w:b/>
          <w:color w:val="000000" w:themeColor="text1"/>
        </w:rPr>
      </w:pPr>
      <w:r w:rsidRPr="00D7082F">
        <w:rPr>
          <w:b/>
          <w:color w:val="000000" w:themeColor="text1"/>
        </w:rPr>
        <w:t>2.2.5 Diabetic Ulcer</w:t>
      </w:r>
    </w:p>
    <w:p w:rsidR="007310E0" w:rsidRPr="00B811FF" w:rsidRDefault="007310E0" w:rsidP="007310E0">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w:t>
      </w:r>
      <w:r w:rsidRPr="00D7082F">
        <w:rPr>
          <w:color w:val="000000" w:themeColor="text1"/>
        </w:rPr>
        <w:lastRenderedPageBreak/>
        <w:t xml:space="preserve">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w:t>
      </w:r>
      <w:proofErr w:type="gramStart"/>
      <w:r w:rsidRPr="00D7082F">
        <w:rPr>
          <w:color w:val="000000" w:themeColor="text1"/>
        </w:rPr>
        <w:t>an ulceration</w:t>
      </w:r>
      <w:proofErr w:type="gramEnd"/>
      <w:r w:rsidRPr="00D7082F">
        <w:rPr>
          <w:color w:val="000000" w:themeColor="text1"/>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7310E0" w:rsidRPr="00D7082F" w:rsidRDefault="007310E0" w:rsidP="007310E0">
      <w:pPr>
        <w:spacing w:line="360" w:lineRule="auto"/>
        <w:jc w:val="both"/>
        <w:rPr>
          <w:rFonts w:eastAsia="Times New Roman"/>
          <w:noProof/>
          <w:color w:val="000000" w:themeColor="text1"/>
        </w:rPr>
      </w:pPr>
    </w:p>
    <w:p w:rsidR="007310E0" w:rsidRPr="00D7082F" w:rsidRDefault="007310E0" w:rsidP="007310E0">
      <w:pPr>
        <w:spacing w:line="360" w:lineRule="auto"/>
        <w:jc w:val="both"/>
        <w:rPr>
          <w:rFonts w:eastAsia="Times New Roman"/>
          <w:color w:val="000000" w:themeColor="text1"/>
        </w:rPr>
      </w:pPr>
      <w:r w:rsidRPr="00D7082F">
        <w:rPr>
          <w:rFonts w:eastAsia="Times New Roman"/>
          <w:noProof/>
          <w:color w:val="000000" w:themeColor="text1"/>
        </w:rPr>
        <w:lastRenderedPageBreak/>
        <w:drawing>
          <wp:inline distT="0" distB="0" distL="0" distR="0">
            <wp:extent cx="5800534" cy="343852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line="360" w:lineRule="auto"/>
        <w:jc w:val="center"/>
        <w:rPr>
          <w:b/>
          <w:color w:val="000000" w:themeColor="text1"/>
        </w:rPr>
      </w:pPr>
      <w:r>
        <w:rPr>
          <w:bCs/>
          <w:color w:val="000000" w:themeColor="text1"/>
        </w:rPr>
        <w:t>Source: Raja (2023)</w:t>
      </w: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both"/>
        <w:rPr>
          <w:b/>
          <w:noProof/>
          <w:color w:val="000000" w:themeColor="text1"/>
        </w:rPr>
      </w:pPr>
    </w:p>
    <w:p w:rsidR="007310E0" w:rsidRPr="00D7082F" w:rsidRDefault="007310E0" w:rsidP="007310E0">
      <w:pPr>
        <w:spacing w:line="360" w:lineRule="auto"/>
        <w:jc w:val="center"/>
        <w:rPr>
          <w:b/>
          <w:color w:val="000000" w:themeColor="text1"/>
        </w:rPr>
      </w:pPr>
      <w:r w:rsidRPr="00D7082F">
        <w:rPr>
          <w:b/>
          <w:noProof/>
          <w:color w:val="000000" w:themeColor="text1"/>
        </w:rPr>
        <w:drawing>
          <wp:inline distT="0" distB="0" distL="0" distR="0">
            <wp:extent cx="2633472" cy="3352551"/>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Default="007310E0" w:rsidP="007310E0">
      <w:pPr>
        <w:spacing w:line="360" w:lineRule="auto"/>
        <w:jc w:val="center"/>
        <w:rPr>
          <w:rFonts w:eastAsia="Times New Roman"/>
          <w:color w:val="000000" w:themeColor="text1"/>
        </w:rPr>
      </w:pPr>
      <w:r>
        <w:rPr>
          <w:rFonts w:eastAsia="Times New Roman"/>
          <w:color w:val="000000" w:themeColor="text1"/>
        </w:rPr>
        <w:lastRenderedPageBreak/>
        <w:t>Source: RACGP (2022)</w:t>
      </w:r>
    </w:p>
    <w:p w:rsidR="007310E0" w:rsidRPr="00D7082F" w:rsidRDefault="007310E0" w:rsidP="007310E0">
      <w:pPr>
        <w:spacing w:line="360" w:lineRule="auto"/>
        <w:jc w:val="both"/>
        <w:rPr>
          <w:b/>
          <w:color w:val="000000" w:themeColor="text1"/>
        </w:rPr>
      </w:pPr>
      <w:r w:rsidRPr="00D7082F">
        <w:rPr>
          <w:b/>
          <w:color w:val="000000" w:themeColor="text1"/>
        </w:rPr>
        <w:t>2.2.6 Stomach Ulcer</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contributing factors include smoking, heavy alcohol use, stress, and poor dietary habits </w:t>
      </w:r>
      <w:r w:rsidRPr="00B811FF">
        <w:rPr>
          <w:rFonts w:eastAsia="Times New Roman"/>
          <w:i/>
          <w:color w:val="000000" w:themeColor="text1"/>
        </w:rPr>
        <w:t>(Sung et al., 2020).</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i/>
          <w:iCs/>
          <w:color w:val="000000" w:themeColor="text1"/>
        </w:rPr>
        <w:t>H. pylori</w:t>
      </w:r>
      <w:r w:rsidRPr="00D7082F">
        <w:rPr>
          <w:rFonts w:eastAsia="Times New Roman"/>
          <w:color w:val="000000" w:themeColor="text1"/>
        </w:rPr>
        <w:t xml:space="preserve"> produces </w:t>
      </w:r>
      <w:r w:rsidRPr="00D7082F">
        <w:rPr>
          <w:rFonts w:eastAsia="Times New Roman"/>
          <w:color w:val="000000" w:themeColor="text1"/>
        </w:rPr>
        <w:lastRenderedPageBreak/>
        <w:t xml:space="preserve">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7310E0" w:rsidRPr="00D7082F" w:rsidRDefault="007310E0" w:rsidP="007310E0">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extent cx="2342278" cy="2327564"/>
            <wp:effectExtent l="0" t="0" r="127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339053"/>
                    </a:xfrm>
                    <a:prstGeom prst="rect">
                      <a:avLst/>
                    </a:prstGeom>
                    <a:noFill/>
                    <a:ln>
                      <a:noFill/>
                    </a:ln>
                  </pic:spPr>
                </pic:pic>
              </a:graphicData>
            </a:graphic>
          </wp:inline>
        </w:drawing>
      </w:r>
    </w:p>
    <w:p w:rsidR="007310E0" w:rsidRPr="00D7082F" w:rsidRDefault="007310E0" w:rsidP="007310E0">
      <w:pPr>
        <w:spacing w:before="100" w:beforeAutospacing="1" w:after="100" w:afterAutospacing="1" w:line="360" w:lineRule="auto"/>
        <w:jc w:val="center"/>
        <w:rPr>
          <w:color w:val="000000" w:themeColor="text1"/>
        </w:rPr>
      </w:pPr>
      <w:r>
        <w:rPr>
          <w:color w:val="000000" w:themeColor="text1"/>
        </w:rPr>
        <w:t xml:space="preserve">Source: Nagm (2011) </w:t>
      </w:r>
    </w:p>
    <w:p w:rsidR="007310E0" w:rsidRDefault="007310E0" w:rsidP="007310E0">
      <w:pPr>
        <w:spacing w:line="360" w:lineRule="auto"/>
        <w:jc w:val="both"/>
        <w:rPr>
          <w:b/>
          <w:bCs/>
          <w:color w:val="000000" w:themeColor="text1"/>
        </w:rPr>
      </w:pPr>
    </w:p>
    <w:p w:rsidR="007310E0" w:rsidRPr="00D7082F" w:rsidRDefault="007310E0" w:rsidP="007310E0">
      <w:pPr>
        <w:spacing w:line="360" w:lineRule="auto"/>
        <w:jc w:val="both"/>
        <w:rPr>
          <w:b/>
          <w:bCs/>
          <w:color w:val="000000" w:themeColor="text1"/>
        </w:rPr>
      </w:pPr>
      <w:r w:rsidRPr="00D7082F">
        <w:rPr>
          <w:b/>
          <w:bCs/>
          <w:color w:val="000000" w:themeColor="text1"/>
        </w:rPr>
        <w:t>2.3 Causes of Ulcer</w:t>
      </w:r>
    </w:p>
    <w:p w:rsidR="007310E0" w:rsidRPr="00D7082F" w:rsidRDefault="007310E0" w:rsidP="007310E0">
      <w:pPr>
        <w:spacing w:line="360" w:lineRule="auto"/>
        <w:jc w:val="both"/>
        <w:rPr>
          <w:b/>
          <w:bCs/>
          <w:color w:val="000000" w:themeColor="text1"/>
        </w:rPr>
      </w:pPr>
      <w:r w:rsidRPr="00D7082F">
        <w:rPr>
          <w:b/>
          <w:bCs/>
          <w:color w:val="000000" w:themeColor="text1"/>
        </w:rPr>
        <w:t>2.3.1 Psychological Causes</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7310E0" w:rsidRPr="00B811FF"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w:t>
      </w:r>
      <w:r w:rsidRPr="00D7082F">
        <w:rPr>
          <w:rFonts w:eastAsia="Times New Roman"/>
          <w:color w:val="000000" w:themeColor="text1"/>
        </w:rPr>
        <w:lastRenderedPageBreak/>
        <w:t xml:space="preserve">disease, factors like hypochondriasis, negative life event perceptions, depression, dependency, and lowered ego strength distinguished ulcer patients from controls. Efforts to link type </w:t>
      </w:r>
      <w:proofErr w:type="gramStart"/>
      <w:r w:rsidRPr="00D7082F">
        <w:rPr>
          <w:rFonts w:eastAsia="Times New Roman"/>
          <w:color w:val="000000" w:themeColor="text1"/>
        </w:rPr>
        <w:t>A</w:t>
      </w:r>
      <w:proofErr w:type="gramEnd"/>
      <w:r w:rsidRPr="00D7082F">
        <w:rPr>
          <w:rFonts w:eastAsia="Times New Roman"/>
          <w:color w:val="000000" w:themeColor="text1"/>
        </w:rPr>
        <w:t xml:space="preserve"> behavior (commonly associated with coronary artery disease) to peptic ulcer disease have also been made, but it remains unclear whether these psychological findings cause peptic ulcers or are a result of the condition itself.</w:t>
      </w:r>
    </w:p>
    <w:p w:rsidR="007310E0" w:rsidRPr="00D7082F" w:rsidRDefault="007310E0" w:rsidP="007310E0">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were unable to control the shocks they received, were more prone to ulcers. Stressful life events, measured by tools such as Holmes and Rahe's Schedule of Recent Events, are associated with greater 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7310E0" w:rsidRPr="00054A97" w:rsidRDefault="007310E0" w:rsidP="007310E0">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w:t>
      </w:r>
      <w:r w:rsidRPr="00D7082F">
        <w:rPr>
          <w:rFonts w:eastAsia="Times New Roman"/>
          <w:color w:val="000000" w:themeColor="text1"/>
        </w:rPr>
        <w:lastRenderedPageBreak/>
        <w:t xml:space="preserve">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7310E0" w:rsidRPr="00D7082F" w:rsidRDefault="007310E0" w:rsidP="007310E0">
      <w:pPr>
        <w:spacing w:line="360" w:lineRule="auto"/>
        <w:jc w:val="both"/>
        <w:rPr>
          <w:b/>
          <w:bCs/>
          <w:color w:val="000000" w:themeColor="text1"/>
        </w:rPr>
      </w:pPr>
      <w:r w:rsidRPr="00D7082F">
        <w:rPr>
          <w:b/>
          <w:bCs/>
          <w:color w:val="000000" w:themeColor="text1"/>
        </w:rPr>
        <w:t>2.3.2 Medication</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w:t>
      </w:r>
      <w:proofErr w:type="gramStart"/>
      <w:r w:rsidRPr="00D7082F">
        <w:rPr>
          <w:color w:val="000000" w:themeColor="text1"/>
        </w:rPr>
        <w:t>ulceration,</w:t>
      </w:r>
      <w:proofErr w:type="gramEnd"/>
      <w:r w:rsidRPr="00D7082F">
        <w:rPr>
          <w:color w:val="000000" w:themeColor="text1"/>
        </w:rPr>
        <w:t xml:space="preserve"> with a flat surface showing slightly 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7310E0" w:rsidRPr="00D7082F" w:rsidRDefault="007310E0" w:rsidP="007310E0">
      <w:pPr>
        <w:spacing w:line="360" w:lineRule="auto"/>
        <w:ind w:firstLine="720"/>
        <w:jc w:val="both"/>
        <w:rPr>
          <w:color w:val="000000" w:themeColor="text1"/>
        </w:rPr>
      </w:pPr>
      <w:r w:rsidRPr="00D7082F">
        <w:rPr>
          <w:color w:val="000000" w:themeColor="text1"/>
        </w:rPr>
        <w:lastRenderedPageBreak/>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7310E0" w:rsidRPr="00D7082F" w:rsidRDefault="007310E0" w:rsidP="007310E0">
      <w:pPr>
        <w:spacing w:line="360" w:lineRule="auto"/>
        <w:ind w:firstLine="720"/>
        <w:jc w:val="both"/>
        <w:rPr>
          <w:color w:val="000000" w:themeColor="text1"/>
        </w:rPr>
      </w:pPr>
      <w:proofErr w:type="gramStart"/>
      <w:r w:rsidRPr="00D7082F">
        <w:rPr>
          <w:color w:val="000000" w:themeColor="text1"/>
        </w:rPr>
        <w:t>Alendronate (bisphosphonate).</w:t>
      </w:r>
      <w:proofErr w:type="gramEnd"/>
      <w:r w:rsidRPr="00D7082F">
        <w:rPr>
          <w:color w:val="000000" w:themeColor="text1"/>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7310E0" w:rsidRPr="00D7082F" w:rsidRDefault="007310E0" w:rsidP="007310E0">
      <w:pPr>
        <w:spacing w:line="360" w:lineRule="auto"/>
        <w:jc w:val="center"/>
        <w:rPr>
          <w:b/>
          <w:bCs/>
          <w:color w:val="000000" w:themeColor="text1"/>
        </w:rPr>
      </w:pPr>
      <w:r w:rsidRPr="00D7082F">
        <w:rPr>
          <w:b/>
          <w:bCs/>
          <w:noProof/>
          <w:color w:val="000000" w:themeColor="text1"/>
        </w:rPr>
        <w:lastRenderedPageBreak/>
        <w:drawing>
          <wp:inline distT="0" distB="0" distL="0" distR="0">
            <wp:extent cx="3871295" cy="2865368"/>
            <wp:effectExtent l="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295" cy="2865368"/>
                    </a:xfrm>
                    <a:prstGeom prst="rect">
                      <a:avLst/>
                    </a:prstGeom>
                  </pic:spPr>
                </pic:pic>
              </a:graphicData>
            </a:graphic>
          </wp:inline>
        </w:drawing>
      </w:r>
    </w:p>
    <w:p w:rsidR="007310E0" w:rsidRDefault="007310E0" w:rsidP="007310E0">
      <w:pPr>
        <w:spacing w:line="360" w:lineRule="auto"/>
        <w:jc w:val="center"/>
        <w:rPr>
          <w:color w:val="000000" w:themeColor="text1"/>
        </w:rPr>
      </w:pPr>
      <w:r>
        <w:rPr>
          <w:color w:val="000000" w:themeColor="text1"/>
          <w:shd w:val="clear" w:color="auto" w:fill="FFFFFF"/>
        </w:rPr>
        <w:t>Source: Jinbu and Demitsu (2014)</w:t>
      </w:r>
    </w:p>
    <w:p w:rsidR="007310E0" w:rsidRDefault="007310E0" w:rsidP="007310E0">
      <w:pPr>
        <w:spacing w:line="360" w:lineRule="auto"/>
        <w:ind w:firstLine="720"/>
        <w:jc w:val="both"/>
        <w:rPr>
          <w:i/>
          <w:color w:val="000000" w:themeColor="text1"/>
        </w:rPr>
      </w:pPr>
      <w:r w:rsidRPr="00D7082F">
        <w:rPr>
          <w:color w:val="000000" w:themeColor="text1"/>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w:t>
      </w:r>
      <w:proofErr w:type="gramStart"/>
      <w:r w:rsidRPr="00D7082F">
        <w:rPr>
          <w:color w:val="000000" w:themeColor="text1"/>
        </w:rPr>
        <w:t>prostaglandins,</w:t>
      </w:r>
      <w:proofErr w:type="gramEnd"/>
      <w:r w:rsidRPr="00D7082F">
        <w:rPr>
          <w:color w:val="000000" w:themeColor="text1"/>
        </w:rPr>
        <w:t xml:space="preserve">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7310E0" w:rsidRDefault="007310E0" w:rsidP="007310E0">
      <w:pPr>
        <w:spacing w:line="360" w:lineRule="auto"/>
        <w:ind w:firstLine="720"/>
        <w:jc w:val="both"/>
        <w:rPr>
          <w:i/>
          <w:color w:val="000000" w:themeColor="text1"/>
        </w:rPr>
      </w:pPr>
    </w:p>
    <w:p w:rsidR="007310E0" w:rsidRPr="00D7082F" w:rsidRDefault="007310E0" w:rsidP="007310E0">
      <w:pPr>
        <w:spacing w:line="360" w:lineRule="auto"/>
        <w:ind w:firstLine="720"/>
        <w:jc w:val="both"/>
        <w:rPr>
          <w:color w:val="000000" w:themeColor="text1"/>
        </w:rPr>
      </w:pPr>
    </w:p>
    <w:p w:rsidR="007310E0" w:rsidRPr="00D7082F" w:rsidRDefault="007310E0" w:rsidP="007310E0">
      <w:pPr>
        <w:spacing w:line="360" w:lineRule="auto"/>
        <w:jc w:val="both"/>
        <w:rPr>
          <w:b/>
          <w:bCs/>
          <w:color w:val="000000" w:themeColor="text1"/>
        </w:rPr>
      </w:pPr>
      <w:r w:rsidRPr="00D7082F">
        <w:rPr>
          <w:b/>
          <w:bCs/>
          <w:color w:val="000000" w:themeColor="text1"/>
        </w:rPr>
        <w:t>2.3.3 Dietary Factors</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w:t>
      </w:r>
      <w:r w:rsidRPr="00D7082F">
        <w:rPr>
          <w:color w:val="000000" w:themeColor="text1"/>
          <w:sz w:val="28"/>
          <w:szCs w:val="28"/>
        </w:rPr>
        <w:lastRenderedPageBreak/>
        <w:t xml:space="preserve">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2021). Acidic drinks, such as citrus juices, may also irritate the gastric lining, further contributing to mucosal damage.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7310E0" w:rsidRPr="00D7082F" w:rsidRDefault="007310E0" w:rsidP="007310E0">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extent cx="5448300" cy="4870450"/>
            <wp:effectExtent l="0" t="0" r="0" b="635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0E0" w:rsidRPr="00D7082F" w:rsidRDefault="007310E0" w:rsidP="007310E0">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4"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7310E0" w:rsidRPr="00D7082F" w:rsidRDefault="007310E0" w:rsidP="007310E0">
      <w:pPr>
        <w:spacing w:line="360" w:lineRule="auto"/>
        <w:jc w:val="both"/>
        <w:rPr>
          <w:b/>
          <w:bCs/>
          <w:color w:val="000000" w:themeColor="text1"/>
        </w:rPr>
      </w:pPr>
      <w:r w:rsidRPr="00D7082F">
        <w:rPr>
          <w:b/>
          <w:bCs/>
          <w:color w:val="000000" w:themeColor="text1"/>
        </w:rPr>
        <w:t>2.4 Pathophysiology of Ulcer</w:t>
      </w:r>
    </w:p>
    <w:p w:rsidR="007310E0" w:rsidRPr="008A6B85" w:rsidRDefault="007310E0" w:rsidP="007310E0">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lastRenderedPageBreak/>
        <w:t xml:space="preserve">(Kumar </w:t>
      </w:r>
      <w:r w:rsidRPr="008A6B85">
        <w:rPr>
          <w:i/>
          <w:iCs/>
          <w:color w:val="000000" w:themeColor="text1"/>
        </w:rPr>
        <w:t>et 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7310E0" w:rsidRPr="00D7082F" w:rsidRDefault="007310E0" w:rsidP="007310E0">
      <w:pPr>
        <w:spacing w:line="360" w:lineRule="auto"/>
        <w:ind w:firstLine="720"/>
        <w:jc w:val="both"/>
        <w:rPr>
          <w:color w:val="000000" w:themeColor="text1"/>
          <w:shd w:val="clear" w:color="auto" w:fill="FFFFFF"/>
        </w:rPr>
      </w:pPr>
      <w:r w:rsidRPr="00D7082F">
        <w:rPr>
          <w:color w:val="000000" w:themeColor="text1"/>
        </w:rPr>
        <w:t xml:space="preserve">What are the changes brought about by stimulation that </w:t>
      </w:r>
      <w:proofErr w:type="gramStart"/>
      <w:r w:rsidRPr="00D7082F">
        <w:rPr>
          <w:color w:val="000000" w:themeColor="text1"/>
        </w:rPr>
        <w:t>protect</w:t>
      </w:r>
      <w:proofErr w:type="gramEnd"/>
      <w:r w:rsidRPr="00D7082F">
        <w:rPr>
          <w:color w:val="000000" w:themeColor="text1"/>
        </w:rPr>
        <w:t xml:space="preserve">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w:t>
      </w:r>
      <w:proofErr w:type="gramStart"/>
      <w:r w:rsidRPr="00D7082F">
        <w:rPr>
          <w:color w:val="000000" w:themeColor="text1"/>
        </w:rPr>
        <w:t>10 mEq/h</w:t>
      </w:r>
      <w:proofErr w:type="gramEnd"/>
      <w:r w:rsidRPr="00D7082F">
        <w:rPr>
          <w:color w:val="000000" w:themeColor="text1"/>
        </w:rPr>
        <w:t xml:space="preserve">. Some 50-70% of DU </w:t>
      </w:r>
      <w:proofErr w:type="gramStart"/>
      <w:r w:rsidRPr="00D7082F">
        <w:rPr>
          <w:color w:val="000000" w:themeColor="text1"/>
        </w:rPr>
        <w:t>are</w:t>
      </w:r>
      <w:proofErr w:type="gramEnd"/>
      <w:r w:rsidRPr="00D7082F">
        <w:rPr>
          <w:color w:val="000000" w:themeColor="text1"/>
        </w:rPr>
        <w:t xml:space="preserve"> hyperacidic with a 50% increase in the maximal acid output MAO. The cephalic phase also brings an increase in secretion response of 50-70% (</w:t>
      </w:r>
      <w:r w:rsidRPr="00D7082F">
        <w:rPr>
          <w:color w:val="000000" w:themeColor="text1"/>
          <w:shd w:val="clear" w:color="auto" w:fill="FFFFFF"/>
        </w:rPr>
        <w:t>Holle, 2010).</w:t>
      </w:r>
    </w:p>
    <w:p w:rsidR="007310E0" w:rsidRPr="00D7082F" w:rsidRDefault="007310E0" w:rsidP="007310E0">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w:t>
      </w:r>
      <w:proofErr w:type="gramStart"/>
      <w:r w:rsidRPr="00D7082F">
        <w:rPr>
          <w:color w:val="000000" w:themeColor="text1"/>
        </w:rPr>
        <w:t>pylori releases</w:t>
      </w:r>
      <w:proofErr w:type="gramEnd"/>
      <w:r w:rsidRPr="00D7082F">
        <w:rPr>
          <w:color w:val="000000" w:themeColor="text1"/>
        </w:rPr>
        <w:t xml:space="preserve"> cytotoxins such as CagA (cytotoxin-associated gene A) and VacA (vacuolating cytotoxin A), leading to epithelial cell damage, inflammation, and disruption of gastric mucosal integrity (Chey and Leontiadis, 2018).</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D7082F">
        <w:rPr>
          <w:color w:val="000000" w:themeColor="text1"/>
        </w:rPr>
        <w:t>pylori is</w:t>
      </w:r>
      <w:proofErr w:type="gramEnd"/>
      <w:r w:rsidRPr="00D7082F">
        <w:rPr>
          <w:color w:val="000000" w:themeColor="text1"/>
        </w:rPr>
        <w:t xml:space="preserve"> not the only organism that is believed to cause active chronie gastritis in man. Other infections with spiral organisms have been described (Israel and Peek, 2006).</w:t>
      </w:r>
    </w:p>
    <w:p w:rsidR="007310E0" w:rsidRPr="00D7082F" w:rsidRDefault="007310E0" w:rsidP="007310E0">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w:t>
      </w:r>
      <w:proofErr w:type="gramStart"/>
      <w:r w:rsidRPr="00D7082F">
        <w:rPr>
          <w:color w:val="000000" w:themeColor="text1"/>
        </w:rPr>
        <w:t>tetracycline</w:t>
      </w:r>
      <w:proofErr w:type="gramEnd"/>
      <w:r w:rsidRPr="00D7082F">
        <w:rPr>
          <w:color w:val="000000" w:themeColor="text1"/>
        </w:rPr>
        <w:t xml:space="preserve"> and bismuth citrate. Ranitidine has been combined with bismuth citrate (RBC), clarithromycin or amoxycillin. In 70% of patients the peptic </w:t>
      </w:r>
      <w:r w:rsidRPr="00D7082F">
        <w:rPr>
          <w:color w:val="000000" w:themeColor="text1"/>
        </w:rPr>
        <w:lastRenderedPageBreak/>
        <w:t xml:space="preserve">ulcer healed within 4 weeks, but only 41-48% of the Helicobacter </w:t>
      </w:r>
      <w:proofErr w:type="gramStart"/>
      <w:r w:rsidRPr="00D7082F">
        <w:rPr>
          <w:color w:val="000000" w:themeColor="text1"/>
        </w:rPr>
        <w:t>organism were</w:t>
      </w:r>
      <w:proofErr w:type="gramEnd"/>
      <w:r w:rsidRPr="00D7082F">
        <w:rPr>
          <w:color w:val="000000" w:themeColor="text1"/>
        </w:rPr>
        <w:t xml:space="preserve"> eradicated. In a randomized study of 900 patients with peptic complaints </w:t>
      </w:r>
      <w:proofErr w:type="gramStart"/>
      <w:r w:rsidRPr="00D7082F">
        <w:rPr>
          <w:color w:val="000000" w:themeColor="text1"/>
        </w:rPr>
        <w:t>an</w:t>
      </w:r>
      <w:proofErr w:type="gramEnd"/>
      <w:r w:rsidRPr="00D7082F">
        <w:rPr>
          <w:color w:val="000000" w:themeColor="text1"/>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7310E0" w:rsidRPr="008A6B85"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w:t>
      </w:r>
      <w:proofErr w:type="gramStart"/>
      <w:r w:rsidRPr="00D7082F">
        <w:rPr>
          <w:color w:val="000000" w:themeColor="text1"/>
          <w:sz w:val="28"/>
          <w:szCs w:val="28"/>
        </w:rPr>
        <w:t xml:space="preserve">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proofErr w:type="gramEnd"/>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w:t>
      </w:r>
      <w:r w:rsidRPr="00D7082F">
        <w:rPr>
          <w:color w:val="000000" w:themeColor="text1"/>
          <w:sz w:val="28"/>
          <w:szCs w:val="28"/>
        </w:rPr>
        <w:lastRenderedPageBreak/>
        <w:t xml:space="preserve">gastrin production, leading to elevated acid levels that overwhelm bicarbonate buffering in the duodenum (Feldman and Graham, 2021). Gastric </w:t>
      </w:r>
      <w:proofErr w:type="gramStart"/>
      <w:r w:rsidRPr="00D7082F">
        <w:rPr>
          <w:color w:val="000000" w:themeColor="text1"/>
          <w:sz w:val="28"/>
          <w:szCs w:val="28"/>
        </w:rPr>
        <w:t>metaplasia</w:t>
      </w:r>
      <w:proofErr w:type="gramEnd"/>
      <w:r w:rsidRPr="00D7082F">
        <w:rPr>
          <w:color w:val="000000" w:themeColor="text1"/>
          <w:sz w:val="28"/>
          <w:szCs w:val="28"/>
        </w:rPr>
        <w:t xml:space="preserve">, where gastric-type epithelial cells 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2.5Antioxidants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w:t>
      </w:r>
      <w:r w:rsidRPr="00D7082F">
        <w:rPr>
          <w:color w:val="000000" w:themeColor="text1"/>
          <w:sz w:val="28"/>
          <w:szCs w:val="28"/>
        </w:rPr>
        <w:lastRenderedPageBreak/>
        <w:t xml:space="preserve">maintaining a diet rich in natural antioxidant sources is recommended for overall health and disease prevention </w:t>
      </w:r>
      <w:r w:rsidRPr="008A6B85">
        <w:rPr>
          <w:i/>
          <w:color w:val="000000" w:themeColor="text1"/>
          <w:sz w:val="28"/>
          <w:szCs w:val="28"/>
        </w:rPr>
        <w:t>(Lobo et al., 2010).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 Types of antioxidant </w:t>
      </w:r>
    </w:p>
    <w:p w:rsidR="007310E0" w:rsidRPr="00D7082F" w:rsidRDefault="007310E0" w:rsidP="007310E0">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color w:val="000000" w:themeColor="text1"/>
          <w:sz w:val="28"/>
          <w:szCs w:val="28"/>
        </w:rPr>
        <w:t>and</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7310E0"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7310E0" w:rsidRPr="008A6B85"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w:t>
      </w:r>
      <w:r w:rsidRPr="00D7082F">
        <w:rPr>
          <w:rFonts w:eastAsia="Times New Roman"/>
          <w:color w:val="000000" w:themeColor="text1"/>
        </w:rPr>
        <w:lastRenderedPageBreak/>
        <w:t xml:space="preserve">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w:t>
      </w:r>
      <w:proofErr w:type="gramStart"/>
      <w:r w:rsidRPr="00D7082F">
        <w:rPr>
          <w:rFonts w:eastAsia="Times New Roman"/>
          <w:color w:val="000000" w:themeColor="text1"/>
        </w:rPr>
        <w:t>a high</w:t>
      </w:r>
      <w:proofErr w:type="gramEnd"/>
      <w:r w:rsidRPr="00D7082F">
        <w:rPr>
          <w:rFonts w:eastAsia="Times New Roman"/>
          <w:color w:val="000000" w:themeColor="text1"/>
        </w:rPr>
        <w:t xml:space="preserve">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 xml:space="preserve">Helicobacter </w:t>
      </w:r>
      <w:proofErr w:type="gramStart"/>
      <w:r w:rsidRPr="00D7082F">
        <w:rPr>
          <w:rFonts w:eastAsia="Times New Roman"/>
          <w:i/>
          <w:iCs/>
          <w:color w:val="000000" w:themeColor="text1"/>
        </w:rPr>
        <w:t>pylori</w:t>
      </w:r>
      <w:r w:rsidRPr="008A6B85">
        <w:rPr>
          <w:rFonts w:eastAsia="Times New Roman"/>
          <w:i/>
          <w:color w:val="000000" w:themeColor="text1"/>
        </w:rPr>
        <w:t>(</w:t>
      </w:r>
      <w:proofErr w:type="gramEnd"/>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lastRenderedPageBreak/>
        <w:t>2.6.1.3 Ferric reducing antioxidant power (FRAP)</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2.6.1.4 2</w:t>
      </w:r>
      <w:proofErr w:type="gramStart"/>
      <w:r w:rsidRPr="00D7082F">
        <w:rPr>
          <w:b/>
          <w:bCs/>
          <w:color w:val="000000" w:themeColor="text1"/>
          <w:sz w:val="28"/>
          <w:szCs w:val="28"/>
        </w:rPr>
        <w:t>,2</w:t>
      </w:r>
      <w:proofErr w:type="gramEnd"/>
      <w:r w:rsidRPr="00D7082F">
        <w:rPr>
          <w:b/>
          <w:bCs/>
          <w:color w:val="000000" w:themeColor="text1"/>
          <w:sz w:val="28"/>
          <w:szCs w:val="28"/>
        </w:rPr>
        <w:t>-azino-bis C3 ethylbenzothiazoline-b-sulphonic acid (ABTS)</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ABTS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′-azino-bis(3-ethylbenzothiazoline-6-sulphonic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7310E0" w:rsidRPr="008D6EF1"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2.6.1.5 2</w:t>
      </w:r>
      <w:proofErr w:type="gramStart"/>
      <w:r w:rsidRPr="00D7082F">
        <w:rPr>
          <w:b/>
          <w:bCs/>
          <w:color w:val="000000" w:themeColor="text1"/>
          <w:sz w:val="28"/>
          <w:szCs w:val="28"/>
        </w:rPr>
        <w:t>,2</w:t>
      </w:r>
      <w:proofErr w:type="gramEnd"/>
      <w:r w:rsidRPr="00D7082F">
        <w:rPr>
          <w:b/>
          <w:bCs/>
          <w:color w:val="000000" w:themeColor="text1"/>
          <w:sz w:val="28"/>
          <w:szCs w:val="28"/>
        </w:rPr>
        <w:t>-diphenyl-1-pycrylhydraxyl (DPPH)</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7310E0" w:rsidRPr="00D7082F" w:rsidRDefault="007310E0" w:rsidP="007310E0">
      <w:pPr>
        <w:pStyle w:val="NormalWeb"/>
        <w:spacing w:line="360" w:lineRule="auto"/>
        <w:ind w:firstLine="720"/>
        <w:jc w:val="both"/>
        <w:rPr>
          <w:b/>
          <w:bCs/>
          <w:color w:val="000000" w:themeColor="text1"/>
          <w:sz w:val="28"/>
          <w:szCs w:val="28"/>
        </w:rPr>
      </w:pPr>
      <w:r w:rsidRPr="00D7082F">
        <w:rPr>
          <w:color w:val="000000" w:themeColor="text1"/>
          <w:sz w:val="28"/>
          <w:szCs w:val="28"/>
        </w:rPr>
        <w:lastRenderedPageBreak/>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7310E0" w:rsidRPr="00282F4A"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t>
      </w:r>
      <w:r w:rsidRPr="00D7082F">
        <w:rPr>
          <w:color w:val="000000" w:themeColor="text1"/>
          <w:sz w:val="28"/>
          <w:szCs w:val="28"/>
        </w:rPr>
        <w:lastRenderedPageBreak/>
        <w:t xml:space="preserve">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SOD is ubiquitous to all forms of life. Four different types of metal centers have been detected in SOD, dividing this family into Cu</w:t>
      </w:r>
      <w:proofErr w:type="gramStart"/>
      <w:r w:rsidRPr="00D7082F">
        <w:rPr>
          <w:color w:val="000000" w:themeColor="text1"/>
          <w:sz w:val="28"/>
          <w:szCs w:val="28"/>
        </w:rPr>
        <w:t>,Zn</w:t>
      </w:r>
      <w:proofErr w:type="gramEnd"/>
      <w:r w:rsidRPr="00D7082F">
        <w:rPr>
          <w:color w:val="000000" w:themeColor="text1"/>
          <w:sz w:val="28"/>
          <w:szCs w:val="28"/>
        </w:rPr>
        <w:t xml:space="preserve">-, Fe-, Mn- and Ni-SODs. 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w:t>
      </w:r>
      <w:proofErr w:type="gramStart"/>
      <w:r w:rsidRPr="00D7082F">
        <w:rPr>
          <w:color w:val="000000" w:themeColor="text1"/>
          <w:sz w:val="28"/>
          <w:szCs w:val="28"/>
        </w:rPr>
        <w:t>Fe(</w:t>
      </w:r>
      <w:proofErr w:type="gramEnd"/>
      <w:r w:rsidRPr="00D7082F">
        <w:rPr>
          <w:color w:val="000000" w:themeColor="text1"/>
          <w:sz w:val="28"/>
          <w:szCs w:val="28"/>
        </w:rPr>
        <w:t xml:space="preserve">II) form on primitive earth. As the level of O2 in the primitive environment increased, availability of </w:t>
      </w:r>
      <w:proofErr w:type="gramStart"/>
      <w:r w:rsidRPr="00D7082F">
        <w:rPr>
          <w:color w:val="000000" w:themeColor="text1"/>
          <w:sz w:val="28"/>
          <w:szCs w:val="28"/>
        </w:rPr>
        <w:t>Fe(</w:t>
      </w:r>
      <w:proofErr w:type="gramEnd"/>
      <w:r w:rsidRPr="00D7082F">
        <w:rPr>
          <w:color w:val="000000" w:themeColor="text1"/>
          <w:sz w:val="28"/>
          <w:szCs w:val="28"/>
        </w:rPr>
        <w:t xml:space="preserv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7310E0" w:rsidRPr="00D7082F" w:rsidRDefault="007310E0" w:rsidP="007310E0">
      <w:pPr>
        <w:pStyle w:val="NormalWeb"/>
        <w:spacing w:line="360" w:lineRule="auto"/>
        <w:jc w:val="both"/>
        <w:rPr>
          <w:b/>
          <w:bCs/>
          <w:color w:val="000000" w:themeColor="text1"/>
          <w:sz w:val="28"/>
          <w:szCs w:val="28"/>
        </w:rPr>
      </w:pPr>
      <w:r w:rsidRPr="00D7082F">
        <w:rPr>
          <w:b/>
          <w:bCs/>
          <w:noProof/>
          <w:color w:val="000000" w:themeColor="text1"/>
          <w:sz w:val="28"/>
          <w:szCs w:val="28"/>
        </w:rPr>
        <w:lastRenderedPageBreak/>
        <w:drawing>
          <wp:inline distT="0" distB="0" distL="0" distR="0">
            <wp:extent cx="2417197" cy="637665"/>
            <wp:effectExtent l="0" t="0" r="254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5"/>
                    <a:stretch>
                      <a:fillRect/>
                    </a:stretch>
                  </pic:blipFill>
                  <pic:spPr>
                    <a:xfrm>
                      <a:off x="0" y="0"/>
                      <a:ext cx="2429697" cy="640963"/>
                    </a:xfrm>
                    <a:prstGeom prst="rect">
                      <a:avLst/>
                    </a:prstGeom>
                  </pic:spPr>
                </pic:pic>
              </a:graphicData>
            </a:graphic>
          </wp:inline>
        </w:drawing>
      </w:r>
    </w:p>
    <w:p w:rsidR="007310E0" w:rsidRPr="00282F4A" w:rsidRDefault="007310E0" w:rsidP="007310E0">
      <w:pPr>
        <w:pStyle w:val="NormalWeb"/>
        <w:spacing w:line="360" w:lineRule="auto"/>
        <w:jc w:val="both"/>
        <w:rPr>
          <w:b/>
          <w:bCs/>
          <w:i/>
          <w:color w:val="000000" w:themeColor="text1"/>
          <w:sz w:val="28"/>
          <w:szCs w:val="28"/>
        </w:rPr>
      </w:pPr>
      <w:proofErr w:type="gramStart"/>
      <w:r w:rsidRPr="00D7082F">
        <w:rPr>
          <w:color w:val="000000" w:themeColor="text1"/>
          <w:sz w:val="28"/>
          <w:szCs w:val="28"/>
        </w:rPr>
        <w:t>where</w:t>
      </w:r>
      <w:proofErr w:type="gramEnd"/>
      <w:r w:rsidRPr="00D7082F">
        <w:rPr>
          <w:color w:val="000000" w:themeColor="text1"/>
          <w:sz w:val="28"/>
          <w:szCs w:val="28"/>
        </w:rPr>
        <w:t>,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7310E0" w:rsidRPr="00282F4A" w:rsidRDefault="007310E0" w:rsidP="007310E0">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w:t>
      </w:r>
      <w:r w:rsidRPr="00D7082F">
        <w:rPr>
          <w:rFonts w:eastAsia="Times New Roman"/>
          <w:color w:val="000000" w:themeColor="text1"/>
        </w:rPr>
        <w:lastRenderedPageBreak/>
        <w:t xml:space="preserve">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7310E0" w:rsidRDefault="007310E0" w:rsidP="007310E0">
      <w:pPr>
        <w:pStyle w:val="NormalWeb"/>
        <w:spacing w:line="360" w:lineRule="auto"/>
        <w:jc w:val="both"/>
        <w:rPr>
          <w:b/>
          <w:bCs/>
          <w:color w:val="000000" w:themeColor="text1"/>
          <w:sz w:val="28"/>
          <w:szCs w:val="28"/>
        </w:rPr>
      </w:pPr>
    </w:p>
    <w:p w:rsidR="007310E0" w:rsidRDefault="007310E0" w:rsidP="007310E0">
      <w:pPr>
        <w:pStyle w:val="NormalWeb"/>
        <w:spacing w:line="360" w:lineRule="auto"/>
        <w:jc w:val="both"/>
        <w:rPr>
          <w:b/>
          <w:bCs/>
          <w:color w:val="000000" w:themeColor="text1"/>
          <w:sz w:val="28"/>
          <w:szCs w:val="28"/>
        </w:rPr>
      </w:pP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 Lipid peroxidation parameters </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w:t>
      </w:r>
      <w:r w:rsidRPr="00D7082F">
        <w:rPr>
          <w:color w:val="000000" w:themeColor="text1"/>
        </w:rPr>
        <w:lastRenderedPageBreak/>
        <w:t xml:space="preserve">autoxidation, the formal insertion of one molecule of oxygen in the C-H bond of a hydrocarbon to afford a hydroperoxide: </w:t>
      </w:r>
    </w:p>
    <w:p w:rsidR="007310E0" w:rsidRPr="00D7082F" w:rsidRDefault="007310E0" w:rsidP="007310E0">
      <w:pPr>
        <w:autoSpaceDE w:val="0"/>
        <w:autoSpaceDN w:val="0"/>
        <w:adjustRightInd w:val="0"/>
        <w:spacing w:after="0" w:line="360" w:lineRule="auto"/>
        <w:jc w:val="cente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AutoShape 5" o:spid="_x0000_s1026" type="#_x0000_t32" style="position:absolute;left:0;text-align:left;margin-left:219.45pt;margin-top:7.55pt;width:35.7pt;height:1.1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w:r>
      <w:proofErr w:type="gramStart"/>
      <w:r w:rsidRPr="00D7082F">
        <w:rPr>
          <w:color w:val="000000" w:themeColor="text1"/>
        </w:rPr>
        <w:t>R-H + O</w:t>
      </w:r>
      <w:r w:rsidRPr="00D7082F">
        <w:rPr>
          <w:color w:val="000000" w:themeColor="text1"/>
          <w:vertAlign w:val="subscript"/>
        </w:rPr>
        <w:t>2</w:t>
      </w:r>
      <w:r w:rsidRPr="00D7082F">
        <w:rPr>
          <w:color w:val="000000" w:themeColor="text1"/>
        </w:rPr>
        <w:t xml:space="preserve"> R-OO-H.</w:t>
      </w:r>
      <w:proofErr w:type="gramEnd"/>
    </w:p>
    <w:p w:rsidR="007310E0" w:rsidRPr="00D7082F" w:rsidRDefault="007310E0" w:rsidP="007310E0">
      <w:pPr>
        <w:autoSpaceDE w:val="0"/>
        <w:autoSpaceDN w:val="0"/>
        <w:adjustRightInd w:val="0"/>
        <w:spacing w:after="0" w:line="360" w:lineRule="auto"/>
        <w:ind w:firstLine="720"/>
        <w:jc w:val="both"/>
        <w:rPr>
          <w:color w:val="000000" w:themeColor="text1"/>
        </w:rPr>
      </w:pPr>
      <w:r w:rsidRPr="00D7082F">
        <w:rPr>
          <w:color w:val="000000" w:themeColor="text1"/>
        </w:rPr>
        <w:t>Indeed, lipid peroxidation is one embodiment of hydrocarbon autoxidation. While the direct reaction with ground state (triplet) oxygen is spin restricted and tooslow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organisms, and it can be blocked or prevented by antioxidants.LP is a radical chain reaction composed of the canonical three stages of initiation,</w:t>
      </w:r>
    </w:p>
    <w:p w:rsidR="007310E0" w:rsidRPr="00D7082F" w:rsidRDefault="007310E0" w:rsidP="007310E0">
      <w:pPr>
        <w:autoSpaceDE w:val="0"/>
        <w:autoSpaceDN w:val="0"/>
        <w:adjustRightInd w:val="0"/>
        <w:spacing w:after="0" w:line="360" w:lineRule="auto"/>
        <w:jc w:val="both"/>
        <w:rPr>
          <w:color w:val="000000" w:themeColor="text1"/>
        </w:rPr>
      </w:pPr>
      <w:proofErr w:type="gramStart"/>
      <w:r w:rsidRPr="00D7082F">
        <w:rPr>
          <w:color w:val="000000" w:themeColor="text1"/>
        </w:rPr>
        <w:t>propagation</w:t>
      </w:r>
      <w:proofErr w:type="gramEnd"/>
      <w:r w:rsidRPr="00D7082F">
        <w:rPr>
          <w:color w:val="000000" w:themeColor="text1"/>
        </w:rPr>
        <w:t xml:space="preserve"> and termination, summarized in Figure 2.11 using PUFA as the prototypical oxidizable substrate (</w:t>
      </w:r>
      <w:r w:rsidRPr="00D7082F">
        <w:rPr>
          <w:color w:val="000000" w:themeColor="text1"/>
          <w:shd w:val="clear" w:color="auto" w:fill="FFFFFF"/>
        </w:rPr>
        <w:t>Valgimigli, 2023).</w:t>
      </w:r>
    </w:p>
    <w:p w:rsidR="007310E0" w:rsidRPr="00D7082F" w:rsidRDefault="007310E0" w:rsidP="007310E0">
      <w:pPr>
        <w:autoSpaceDE w:val="0"/>
        <w:autoSpaceDN w:val="0"/>
        <w:adjustRightInd w:val="0"/>
        <w:spacing w:after="0" w:line="360" w:lineRule="auto"/>
        <w:jc w:val="both"/>
        <w:rPr>
          <w:color w:val="000000" w:themeColor="text1"/>
        </w:rPr>
      </w:pPr>
      <w:r w:rsidRPr="00D7082F">
        <w:rPr>
          <w:noProof/>
          <w:color w:val="000000" w:themeColor="text1"/>
        </w:rPr>
        <w:lastRenderedPageBreak/>
        <w:drawing>
          <wp:inline distT="0" distB="0" distL="0" distR="0">
            <wp:extent cx="6496216" cy="4470739"/>
            <wp:effectExtent l="0" t="0" r="0" b="6350"/>
            <wp:docPr id="112931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6"/>
                    <a:stretch>
                      <a:fillRect/>
                    </a:stretch>
                  </pic:blipFill>
                  <pic:spPr>
                    <a:xfrm>
                      <a:off x="0" y="0"/>
                      <a:ext cx="6502084" cy="4474777"/>
                    </a:xfrm>
                    <a:prstGeom prst="rect">
                      <a:avLst/>
                    </a:prstGeom>
                  </pic:spPr>
                </pic:pic>
              </a:graphicData>
            </a:graphic>
          </wp:inline>
        </w:drawing>
      </w:r>
    </w:p>
    <w:p w:rsidR="007310E0" w:rsidRPr="00D7082F" w:rsidRDefault="007310E0" w:rsidP="007310E0">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which the most important are reduced glutathione (GSH) and oxidized glutathione (GSSG).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lastRenderedPageBreak/>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w:t>
      </w:r>
      <w:r w:rsidRPr="00D7082F">
        <w:rPr>
          <w:rFonts w:eastAsia="Times New Roman"/>
          <w:color w:val="000000" w:themeColor="text1"/>
        </w:rPr>
        <w:lastRenderedPageBreak/>
        <w:t xml:space="preserve">lipid peroxidation products such as 4-hydroxynonenal (4-HNE), which </w:t>
      </w:r>
      <w:proofErr w:type="gramStart"/>
      <w:r w:rsidRPr="00D7082F">
        <w:rPr>
          <w:rFonts w:eastAsia="Times New Roman"/>
          <w:color w:val="000000" w:themeColor="text1"/>
        </w:rPr>
        <w:t>are</w:t>
      </w:r>
      <w:proofErr w:type="gramEnd"/>
      <w:r w:rsidRPr="00D7082F">
        <w:rPr>
          <w:rFonts w:eastAsia="Times New Roman"/>
          <w:color w:val="000000" w:themeColor="text1"/>
        </w:rPr>
        <w:t xml:space="preserv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 GPx4, in particular, is crucial for protecting against </w:t>
      </w:r>
      <w:r w:rsidRPr="00D7082F">
        <w:rPr>
          <w:rFonts w:eastAsia="Times New Roman"/>
          <w:color w:val="000000" w:themeColor="text1"/>
        </w:rPr>
        <w:lastRenderedPageBreak/>
        <w:t>lipid peroxidation and is essential for embryonic development and cellular viability.</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7310E0" w:rsidRPr="00D7082F" w:rsidRDefault="007310E0" w:rsidP="007310E0">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054883">
        <w:rPr>
          <w:i/>
          <w:color w:val="000000" w:themeColor="text1"/>
          <w:sz w:val="28"/>
          <w:szCs w:val="28"/>
        </w:rPr>
        <w:t>(Fauziah et al., 2018).</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t>
      </w:r>
      <w:r w:rsidRPr="00D7082F">
        <w:rPr>
          <w:color w:val="000000" w:themeColor="text1"/>
          <w:sz w:val="28"/>
          <w:szCs w:val="28"/>
        </w:rPr>
        <w:lastRenderedPageBreak/>
        <w:t xml:space="preserve">with another PUFA, perpetuating the chain reaction in the propagation phase. The resulting lipid hydroperoxides are unstable and degrade into reactive </w:t>
      </w:r>
      <w:proofErr w:type="gramStart"/>
      <w:r w:rsidRPr="00D7082F">
        <w:rPr>
          <w:color w:val="000000" w:themeColor="text1"/>
          <w:sz w:val="28"/>
          <w:szCs w:val="28"/>
        </w:rPr>
        <w:t>aldehydes,</w:t>
      </w:r>
      <w:proofErr w:type="gramEnd"/>
      <w:r w:rsidRPr="00D7082F">
        <w:rPr>
          <w:color w:val="000000" w:themeColor="text1"/>
          <w:sz w:val="28"/>
          <w:szCs w:val="28"/>
        </w:rPr>
        <w:t xml:space="preserve">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7310E0" w:rsidRPr="00F51377" w:rsidRDefault="007310E0" w:rsidP="007310E0">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7310E0" w:rsidRPr="00D7082F" w:rsidRDefault="007310E0" w:rsidP="007310E0">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Moreover, in psychiatric conditions such as </w:t>
      </w:r>
      <w:proofErr w:type="gramStart"/>
      <w:r w:rsidRPr="00D7082F">
        <w:rPr>
          <w:rStyle w:val="Strong"/>
          <w:color w:val="000000" w:themeColor="text1"/>
          <w:sz w:val="28"/>
          <w:szCs w:val="28"/>
        </w:rPr>
        <w:t>schizophrenia</w:t>
      </w:r>
      <w:r w:rsidRPr="00D7082F">
        <w:rPr>
          <w:color w:val="000000" w:themeColor="text1"/>
          <w:sz w:val="28"/>
          <w:szCs w:val="28"/>
        </w:rPr>
        <w:t>,</w:t>
      </w:r>
      <w:proofErr w:type="gramEnd"/>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7310E0" w:rsidRPr="00D7082F" w:rsidRDefault="007310E0" w:rsidP="007310E0">
      <w:pPr>
        <w:pStyle w:val="NormalWeb"/>
        <w:spacing w:line="360" w:lineRule="auto"/>
        <w:jc w:val="both"/>
        <w:rPr>
          <w:color w:val="000000" w:themeColor="text1"/>
          <w:sz w:val="28"/>
          <w:szCs w:val="28"/>
        </w:rPr>
      </w:pPr>
      <w:r w:rsidRPr="00D7082F">
        <w:rPr>
          <w:color w:val="000000" w:themeColor="text1"/>
          <w:sz w:val="28"/>
          <w:szCs w:val="28"/>
        </w:rPr>
        <w:t xml:space="preserve">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w:t>
      </w:r>
      <w:proofErr w:type="gramStart"/>
      <w:r w:rsidRPr="00D7082F">
        <w:rPr>
          <w:color w:val="000000" w:themeColor="text1"/>
          <w:sz w:val="28"/>
          <w:szCs w:val="28"/>
        </w:rPr>
        <w:t>assessment</w:t>
      </w:r>
      <w:r w:rsidRPr="00F51377">
        <w:rPr>
          <w:i/>
          <w:color w:val="000000" w:themeColor="text1"/>
          <w:sz w:val="28"/>
          <w:szCs w:val="28"/>
        </w:rPr>
        <w:t>(</w:t>
      </w:r>
      <w:proofErr w:type="gramEnd"/>
      <w:r w:rsidRPr="00F51377">
        <w:rPr>
          <w:i/>
          <w:color w:val="000000" w:themeColor="text1"/>
          <w:sz w:val="28"/>
          <w:szCs w:val="28"/>
        </w:rPr>
        <w:t>Del Rio et al., 2005).</w:t>
      </w:r>
    </w:p>
    <w:p w:rsidR="007310E0" w:rsidRPr="00D7082F" w:rsidRDefault="007310E0" w:rsidP="007310E0">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(Klebanoff, </w:t>
      </w:r>
      <w:r w:rsidRPr="00D7082F">
        <w:rPr>
          <w:rFonts w:eastAsia="Times New Roman"/>
          <w:color w:val="000000" w:themeColor="text1"/>
        </w:rPr>
        <w:lastRenderedPageBreak/>
        <w:t xml:space="preserve">2005). 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before="100" w:beforeAutospacing="1" w:after="100" w:afterAutospacing="1" w:line="360" w:lineRule="auto"/>
        <w:ind w:firstLine="720"/>
        <w:jc w:val="both"/>
        <w:rPr>
          <w:rFonts w:eastAsia="Times New Roman"/>
          <w:color w:val="000000" w:themeColor="text1"/>
        </w:rPr>
      </w:pPr>
    </w:p>
    <w:p w:rsidR="007310E0" w:rsidRPr="00D7082F" w:rsidRDefault="007310E0" w:rsidP="007310E0">
      <w:pPr>
        <w:spacing w:line="360" w:lineRule="auto"/>
        <w:rPr>
          <w:rFonts w:eastAsia="Times New Roman"/>
          <w:color w:val="000000" w:themeColor="text1"/>
        </w:rPr>
      </w:pPr>
    </w:p>
    <w:p w:rsidR="007310E0" w:rsidRPr="00D7082F" w:rsidRDefault="007310E0" w:rsidP="007310E0">
      <w:pPr>
        <w:spacing w:line="360" w:lineRule="auto"/>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D7082F" w:rsidRDefault="007310E0" w:rsidP="007310E0">
      <w:pPr>
        <w:spacing w:line="360" w:lineRule="auto"/>
        <w:jc w:val="center"/>
        <w:rPr>
          <w:b/>
          <w:bCs/>
          <w:color w:val="000000" w:themeColor="text1"/>
        </w:rPr>
      </w:pPr>
    </w:p>
    <w:p w:rsidR="007310E0" w:rsidRPr="00E1580C" w:rsidRDefault="007310E0" w:rsidP="007310E0">
      <w:pPr>
        <w:spacing w:line="360" w:lineRule="auto"/>
        <w:jc w:val="center"/>
        <w:rPr>
          <w:b/>
          <w:bCs/>
        </w:rPr>
      </w:pPr>
    </w:p>
    <w:p w:rsidR="007310E0" w:rsidRPr="00E1580C" w:rsidRDefault="007310E0" w:rsidP="007310E0">
      <w:pPr>
        <w:spacing w:after="0" w:line="480" w:lineRule="auto"/>
        <w:jc w:val="center"/>
        <w:rPr>
          <w:b/>
          <w:bCs/>
        </w:rPr>
      </w:pPr>
      <w:r w:rsidRPr="00E1580C">
        <w:rPr>
          <w:b/>
          <w:bCs/>
        </w:rPr>
        <w:lastRenderedPageBreak/>
        <w:t>CHAPTER THREE</w:t>
      </w:r>
    </w:p>
    <w:p w:rsidR="007310E0" w:rsidRPr="00E1580C" w:rsidRDefault="007310E0" w:rsidP="007310E0">
      <w:pPr>
        <w:spacing w:after="0" w:line="480" w:lineRule="auto"/>
      </w:pPr>
      <w:r>
        <w:rPr>
          <w:b/>
          <w:bCs/>
        </w:rPr>
        <w:t>3.0</w:t>
      </w:r>
      <w:r>
        <w:rPr>
          <w:b/>
          <w:bCs/>
        </w:rPr>
        <w:tab/>
      </w:r>
      <w:r w:rsidRPr="00E1580C">
        <w:rPr>
          <w:b/>
          <w:bCs/>
        </w:rPr>
        <w:t>MATERIALS AND METHODS</w:t>
      </w:r>
    </w:p>
    <w:p w:rsidR="007310E0" w:rsidRPr="00E1580C" w:rsidRDefault="007310E0" w:rsidP="007310E0">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7310E0" w:rsidRPr="00E1580C" w:rsidRDefault="007310E0" w:rsidP="007310E0">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w:t>
      </w:r>
      <w:proofErr w:type="gramStart"/>
      <w:r w:rsidRPr="00E1580C">
        <w:rPr>
          <w:sz w:val="28"/>
          <w:szCs w:val="28"/>
        </w:rPr>
        <w:t>by a biochemistry students</w:t>
      </w:r>
      <w:proofErr w:type="gramEnd"/>
      <w:r w:rsidRPr="00E1580C">
        <w:rPr>
          <w:sz w:val="28"/>
          <w:szCs w:val="28"/>
        </w:rPr>
        <w:t xml:space="preserve"> in the Department of Science labouratory Technology. </w:t>
      </w:r>
      <w:proofErr w:type="gramStart"/>
      <w:r w:rsidRPr="00E1580C">
        <w:rPr>
          <w:sz w:val="28"/>
          <w:szCs w:val="28"/>
        </w:rPr>
        <w:t>the</w:t>
      </w:r>
      <w:proofErr w:type="gramEnd"/>
      <w:r w:rsidRPr="00E1580C">
        <w:rPr>
          <w:sz w:val="28"/>
          <w:szCs w:val="28"/>
        </w:rPr>
        <w:t xml:space="preserve"> leaves were cleaned, shade-dried, pulverized, and stored in airtight containers for extraction.</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Indomethacin (Sigma-Aldrich, USA)</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Ethanol (analytical grade)</w:t>
      </w:r>
    </w:p>
    <w:p w:rsidR="007310E0" w:rsidRPr="00E1580C" w:rsidRDefault="007310E0" w:rsidP="007310E0">
      <w:pPr>
        <w:pStyle w:val="NormalWeb"/>
        <w:numPr>
          <w:ilvl w:val="0"/>
          <w:numId w:val="26"/>
        </w:numPr>
        <w:spacing w:after="0" w:afterAutospacing="0" w:line="480" w:lineRule="auto"/>
        <w:rPr>
          <w:sz w:val="28"/>
          <w:szCs w:val="28"/>
        </w:rPr>
      </w:pPr>
      <w:r w:rsidRPr="00E1580C">
        <w:rPr>
          <w:sz w:val="28"/>
          <w:szCs w:val="28"/>
        </w:rPr>
        <w:t>Omeprazole (reference drug)</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Thiobarbituric Acid (TBA)</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Trichloroacetic Acid (TCA)</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Hydrogen Peroxide (H₂O₂)</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Ellman’s reagent (DTNB)</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Phosphate buffer solution (PBS)</w:t>
      </w:r>
    </w:p>
    <w:p w:rsidR="007310E0" w:rsidRPr="00E1580C" w:rsidRDefault="007310E0" w:rsidP="007310E0">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7310E0" w:rsidRPr="00E1580C" w:rsidRDefault="007310E0" w:rsidP="007310E0">
      <w:pPr>
        <w:pStyle w:val="NormalWeb"/>
        <w:spacing w:after="0" w:afterAutospacing="0" w:line="360" w:lineRule="auto"/>
        <w:rPr>
          <w:sz w:val="28"/>
          <w:szCs w:val="28"/>
        </w:rPr>
      </w:pPr>
      <w:r w:rsidRPr="00E1580C">
        <w:rPr>
          <w:sz w:val="28"/>
          <w:szCs w:val="28"/>
        </w:rPr>
        <w:t xml:space="preserve">Fifty two (52) adult male Wistar rats (150–200 g) were obtained from the animal </w:t>
      </w:r>
      <w:proofErr w:type="gramStart"/>
      <w:r w:rsidRPr="00E1580C">
        <w:rPr>
          <w:sz w:val="28"/>
          <w:szCs w:val="28"/>
        </w:rPr>
        <w:t>house,</w:t>
      </w:r>
      <w:proofErr w:type="gramEnd"/>
      <w:r w:rsidRPr="00E1580C">
        <w:rPr>
          <w:sz w:val="28"/>
          <w:szCs w:val="28"/>
        </w:rPr>
        <w:t xml:space="preserv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7310E0" w:rsidRPr="00E1580C" w:rsidRDefault="007310E0" w:rsidP="007310E0">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7310E0" w:rsidRPr="00E1580C" w:rsidRDefault="007310E0" w:rsidP="007310E0">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7310E0" w:rsidRPr="00E1580C" w:rsidRDefault="007310E0" w:rsidP="007310E0">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w:t>
      </w:r>
      <w:proofErr w:type="gramStart"/>
      <w:r w:rsidRPr="00E1580C">
        <w:rPr>
          <w:sz w:val="28"/>
          <w:szCs w:val="28"/>
        </w:rPr>
        <w:t>then</w:t>
      </w:r>
      <w:proofErr w:type="gramEnd"/>
      <w:r w:rsidRPr="00E1580C">
        <w:rPr>
          <w:sz w:val="28"/>
          <w:szCs w:val="28"/>
        </w:rPr>
        <w:t xml:space="preserve"> air-dried at room temperature for </w:t>
      </w:r>
      <w:r w:rsidRPr="00E1580C">
        <w:rPr>
          <w:rStyle w:val="Strong"/>
          <w:sz w:val="28"/>
          <w:szCs w:val="28"/>
        </w:rPr>
        <w:t>7–10 days</w:t>
      </w:r>
      <w:r w:rsidRPr="00E1580C">
        <w:rPr>
          <w:sz w:val="28"/>
          <w:szCs w:val="28"/>
        </w:rPr>
        <w:t xml:space="preserve"> to avoid degradation of heat-sensitive phytochemicals.</w:t>
      </w:r>
    </w:p>
    <w:p w:rsidR="007310E0" w:rsidRPr="00E1580C" w:rsidRDefault="007310E0" w:rsidP="007310E0">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7310E0" w:rsidRPr="00E1580C" w:rsidRDefault="007310E0" w:rsidP="007310E0">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7310E0" w:rsidRPr="00E1580C" w:rsidRDefault="007310E0" w:rsidP="007310E0">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7310E0" w:rsidRPr="00E1580C" w:rsidRDefault="007310E0" w:rsidP="007310E0">
      <w:pPr>
        <w:pStyle w:val="NormalWeb"/>
        <w:spacing w:after="0" w:afterAutospacing="0" w:line="360" w:lineRule="auto"/>
        <w:rPr>
          <w:sz w:val="28"/>
          <w:szCs w:val="28"/>
        </w:rPr>
      </w:pPr>
      <w:r w:rsidRPr="00E1580C">
        <w:rPr>
          <w:sz w:val="28"/>
          <w:szCs w:val="28"/>
        </w:rPr>
        <w:t>The percentage yield of the extract was calculated using the formula:</w:t>
      </w:r>
    </w:p>
    <w:p w:rsidR="007310E0" w:rsidRPr="00E1580C" w:rsidRDefault="007310E0" w:rsidP="007310E0">
      <w:pPr>
        <w:spacing w:after="0" w:line="360" w:lineRule="auto"/>
      </w:pPr>
      <w:r w:rsidRPr="00E1580C">
        <w:rPr>
          <w:rStyle w:val="katex-error"/>
        </w:rPr>
        <w:t>\text{Yield (%) =} \</w:t>
      </w:r>
      <w:proofErr w:type="gramStart"/>
      <w:r w:rsidRPr="00E1580C">
        <w:rPr>
          <w:rStyle w:val="katex-error"/>
        </w:rPr>
        <w:t>left(</w:t>
      </w:r>
      <w:proofErr w:type="gramEnd"/>
      <w:r w:rsidRPr="00E1580C">
        <w:rPr>
          <w:rStyle w:val="katex-error"/>
        </w:rPr>
        <w:t xml:space="preserve"> \frac{\text{Weight of dried extract}}{\text{Weight of powdered leaves}} \right) \times 100</w:t>
      </w:r>
    </w:p>
    <w:p w:rsidR="007310E0" w:rsidRPr="00E1580C" w:rsidRDefault="007310E0" w:rsidP="007310E0">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7310E0" w:rsidRPr="00E1580C" w:rsidRDefault="007310E0" w:rsidP="007310E0">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7310E0" w:rsidRPr="00E1580C" w:rsidRDefault="007310E0" w:rsidP="007310E0">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7310E0" w:rsidRPr="00E1580C" w:rsidRDefault="007310E0" w:rsidP="007310E0">
      <w:pPr>
        <w:spacing w:after="0" w:line="360" w:lineRule="auto"/>
        <w:jc w:val="both"/>
        <w:rPr>
          <w:b/>
          <w:bCs/>
        </w:rPr>
      </w:pPr>
      <w:r w:rsidRPr="00E1580C">
        <w:rPr>
          <w:b/>
          <w:bCs/>
        </w:rPr>
        <w:t xml:space="preserve">3.3 Experimental design </w:t>
      </w:r>
    </w:p>
    <w:p w:rsidR="007310E0" w:rsidRPr="00E1580C" w:rsidRDefault="007310E0" w:rsidP="007310E0">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7310E0" w:rsidRPr="00E1580C" w:rsidRDefault="007310E0" w:rsidP="007310E0">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7310E0" w:rsidRPr="00E1580C" w:rsidRDefault="007310E0" w:rsidP="007310E0">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3825"/>
        <w:gridCol w:w="3150"/>
      </w:tblGrid>
      <w:tr w:rsidR="007310E0" w:rsidRPr="00E1580C" w:rsidTr="007F1036">
        <w:trPr>
          <w:tblHeader/>
          <w:tblCellSpacing w:w="15" w:type="dxa"/>
          <w:jc w:val="center"/>
        </w:trPr>
        <w:tc>
          <w:tcPr>
            <w:tcW w:w="3780" w:type="dxa"/>
            <w:tcBorders>
              <w:top w:val="single" w:sz="4" w:space="0" w:color="auto"/>
              <w:bottom w:val="single" w:sz="4" w:space="0" w:color="auto"/>
            </w:tcBorders>
            <w:vAlign w:val="center"/>
            <w:hideMark/>
          </w:tcPr>
          <w:p w:rsidR="007310E0" w:rsidRPr="00E1580C" w:rsidRDefault="007310E0" w:rsidP="007F1036">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7310E0" w:rsidRPr="00E1580C" w:rsidRDefault="007310E0" w:rsidP="007F1036">
            <w:pPr>
              <w:spacing w:after="0" w:line="360" w:lineRule="auto"/>
              <w:jc w:val="center"/>
              <w:rPr>
                <w:b/>
                <w:bCs/>
              </w:rPr>
            </w:pPr>
            <w:r w:rsidRPr="00E1580C">
              <w:rPr>
                <w:rStyle w:val="Strong"/>
              </w:rPr>
              <w:t>Treatment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1</w:t>
            </w:r>
          </w:p>
        </w:tc>
        <w:tc>
          <w:tcPr>
            <w:tcW w:w="3105" w:type="dxa"/>
            <w:vAlign w:val="center"/>
            <w:hideMark/>
          </w:tcPr>
          <w:p w:rsidR="007310E0" w:rsidRPr="00E1580C" w:rsidRDefault="007310E0" w:rsidP="007F1036">
            <w:pPr>
              <w:spacing w:after="0" w:line="360" w:lineRule="auto"/>
            </w:pPr>
            <w:r w:rsidRPr="00E1580C">
              <w:t>Control vector group</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2</w:t>
            </w:r>
          </w:p>
        </w:tc>
        <w:tc>
          <w:tcPr>
            <w:tcW w:w="3105" w:type="dxa"/>
            <w:vAlign w:val="center"/>
            <w:hideMark/>
          </w:tcPr>
          <w:p w:rsidR="007310E0" w:rsidRPr="00E1580C" w:rsidRDefault="007310E0" w:rsidP="007F1036">
            <w:pPr>
              <w:spacing w:after="0" w:line="360" w:lineRule="auto"/>
            </w:pPr>
            <w:r w:rsidRPr="00E1580C">
              <w:t>Untreated group</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3</w:t>
            </w:r>
          </w:p>
        </w:tc>
        <w:tc>
          <w:tcPr>
            <w:tcW w:w="3105" w:type="dxa"/>
            <w:vAlign w:val="center"/>
            <w:hideMark/>
          </w:tcPr>
          <w:p w:rsidR="007310E0" w:rsidRPr="00E1580C" w:rsidRDefault="007310E0" w:rsidP="007F1036">
            <w:pPr>
              <w:spacing w:after="0" w:line="360" w:lineRule="auto"/>
            </w:pPr>
            <w:r w:rsidRPr="00E1580C">
              <w:t>Treated with standard drug</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4</w:t>
            </w:r>
          </w:p>
        </w:tc>
        <w:tc>
          <w:tcPr>
            <w:tcW w:w="3105" w:type="dxa"/>
            <w:vAlign w:val="center"/>
            <w:hideMark/>
          </w:tcPr>
          <w:p w:rsidR="007310E0" w:rsidRPr="00E1580C" w:rsidRDefault="007310E0" w:rsidP="007F1036">
            <w:pPr>
              <w:spacing w:after="0" w:line="360" w:lineRule="auto"/>
            </w:pPr>
            <w:r w:rsidRPr="00E1580C">
              <w:t>100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5</w:t>
            </w:r>
          </w:p>
        </w:tc>
        <w:tc>
          <w:tcPr>
            <w:tcW w:w="3105" w:type="dxa"/>
            <w:vAlign w:val="center"/>
            <w:hideMark/>
          </w:tcPr>
          <w:p w:rsidR="007310E0" w:rsidRPr="00E1580C" w:rsidRDefault="007310E0" w:rsidP="007F1036">
            <w:pPr>
              <w:spacing w:after="0" w:line="360" w:lineRule="auto"/>
            </w:pPr>
            <w:r w:rsidRPr="00E1580C">
              <w:t>200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6</w:t>
            </w:r>
          </w:p>
        </w:tc>
        <w:tc>
          <w:tcPr>
            <w:tcW w:w="3105" w:type="dxa"/>
            <w:vAlign w:val="center"/>
            <w:hideMark/>
          </w:tcPr>
          <w:p w:rsidR="007310E0" w:rsidRPr="00E1580C" w:rsidRDefault="007310E0" w:rsidP="007F1036">
            <w:pPr>
              <w:spacing w:after="0" w:line="360" w:lineRule="auto"/>
            </w:pPr>
            <w:r w:rsidRPr="00E1580C">
              <w:t>400 mg/kg of the extract</w:t>
            </w:r>
          </w:p>
        </w:tc>
      </w:tr>
      <w:tr w:rsidR="007310E0" w:rsidRPr="00E1580C" w:rsidTr="007F1036">
        <w:trPr>
          <w:tblCellSpacing w:w="15" w:type="dxa"/>
          <w:jc w:val="center"/>
        </w:trPr>
        <w:tc>
          <w:tcPr>
            <w:tcW w:w="3780" w:type="dxa"/>
            <w:vAlign w:val="center"/>
            <w:hideMark/>
          </w:tcPr>
          <w:p w:rsidR="007310E0" w:rsidRPr="00E1580C" w:rsidRDefault="007310E0" w:rsidP="007F1036">
            <w:pPr>
              <w:spacing w:after="0" w:line="360" w:lineRule="auto"/>
            </w:pPr>
            <w:r w:rsidRPr="00E1580C">
              <w:t>Group 7</w:t>
            </w:r>
          </w:p>
        </w:tc>
        <w:tc>
          <w:tcPr>
            <w:tcW w:w="3105" w:type="dxa"/>
            <w:vAlign w:val="center"/>
            <w:hideMark/>
          </w:tcPr>
          <w:p w:rsidR="007310E0" w:rsidRPr="00E1580C" w:rsidRDefault="007310E0" w:rsidP="007F1036">
            <w:pPr>
              <w:spacing w:after="0" w:line="360" w:lineRule="auto"/>
            </w:pPr>
            <w:r w:rsidRPr="00E1580C">
              <w:t>800 mg/kg of the extract</w:t>
            </w:r>
          </w:p>
        </w:tc>
      </w:tr>
    </w:tbl>
    <w:p w:rsidR="007310E0" w:rsidRPr="00E1580C" w:rsidRDefault="007310E0" w:rsidP="007310E0">
      <w:pPr>
        <w:spacing w:after="0" w:line="360" w:lineRule="auto"/>
        <w:jc w:val="both"/>
        <w:rPr>
          <w:b/>
          <w:bCs/>
        </w:rPr>
      </w:pPr>
    </w:p>
    <w:p w:rsidR="007310E0" w:rsidRPr="00E1580C" w:rsidRDefault="007310E0" w:rsidP="007310E0">
      <w:pPr>
        <w:spacing w:after="0" w:line="360" w:lineRule="auto"/>
        <w:jc w:val="both"/>
        <w:rPr>
          <w:b/>
          <w:bCs/>
        </w:rPr>
      </w:pPr>
      <w:r w:rsidRPr="00E1580C">
        <w:rPr>
          <w:b/>
          <w:bCs/>
        </w:rPr>
        <w:t xml:space="preserve">3.3.1 Determination of antioxidant properties </w:t>
      </w:r>
    </w:p>
    <w:p w:rsidR="007310E0" w:rsidRPr="00E1580C" w:rsidRDefault="007310E0" w:rsidP="007310E0">
      <w:pPr>
        <w:spacing w:after="0" w:line="360" w:lineRule="auto"/>
        <w:jc w:val="both"/>
        <w:rPr>
          <w:b/>
          <w:bCs/>
        </w:rPr>
      </w:pPr>
      <w:r w:rsidRPr="00E1580C">
        <w:rPr>
          <w:b/>
          <w:bCs/>
        </w:rPr>
        <w:t>3.3.2 Determination of Ferric Reducing Antioxidant Power (FRAP)</w:t>
      </w:r>
    </w:p>
    <w:p w:rsidR="007310E0" w:rsidRPr="00E1580C" w:rsidRDefault="007310E0" w:rsidP="007310E0">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w:t>
      </w:r>
      <w:proofErr w:type="gramStart"/>
      <w:r w:rsidRPr="00E1580C">
        <w:rPr>
          <w:rFonts w:eastAsia="Times New Roman"/>
        </w:rPr>
        <w:t>,4,6</w:t>
      </w:r>
      <w:proofErr w:type="gramEnd"/>
      <w:r w:rsidRPr="00E1580C">
        <w:rPr>
          <w:rFonts w:eastAsia="Times New Roman"/>
        </w:rPr>
        <w:t>-tripyridyl-s-triazine), forming a blue complex measurable at 593 nm.</w:t>
      </w:r>
    </w:p>
    <w:p w:rsidR="007310E0" w:rsidRPr="00E1580C" w:rsidRDefault="007310E0" w:rsidP="007310E0">
      <w:pPr>
        <w:spacing w:before="100" w:beforeAutospacing="1" w:after="0" w:line="360" w:lineRule="auto"/>
        <w:outlineLvl w:val="3"/>
        <w:rPr>
          <w:rFonts w:eastAsia="Times New Roman"/>
          <w:b/>
          <w:bCs/>
        </w:rPr>
      </w:pPr>
      <w:r w:rsidRPr="00E1580C">
        <w:rPr>
          <w:rFonts w:eastAsia="Times New Roman"/>
        </w:rPr>
        <w:t>Reagents</w:t>
      </w:r>
      <w:proofErr w:type="gramStart"/>
      <w:r w:rsidRPr="00E1580C">
        <w:rPr>
          <w:rFonts w:eastAsia="Times New Roman"/>
        </w:rPr>
        <w:t>:Acetate</w:t>
      </w:r>
      <w:proofErr w:type="gramEnd"/>
      <w:r w:rsidRPr="00E1580C">
        <w:rPr>
          <w:rFonts w:eastAsia="Times New Roman"/>
        </w:rPr>
        <w:t xml:space="preserv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mM)and FRAP reagent (prepared by mixing acetate buffer, TPTZ, and FeCl₃ in 10:1:1 ratio)</w:t>
      </w:r>
    </w:p>
    <w:p w:rsidR="007310E0" w:rsidRPr="00E1580C" w:rsidRDefault="007310E0" w:rsidP="007310E0">
      <w:pPr>
        <w:spacing w:before="100" w:beforeAutospacing="1" w:after="0" w:line="360" w:lineRule="auto"/>
        <w:jc w:val="both"/>
        <w:outlineLvl w:val="3"/>
        <w:rPr>
          <w:rFonts w:eastAsia="Times New Roman"/>
          <w:b/>
          <w:bCs/>
        </w:rPr>
      </w:pPr>
      <w:r w:rsidRPr="00E1580C">
        <w:rPr>
          <w:rFonts w:eastAsia="Times New Roman"/>
        </w:rPr>
        <w:lastRenderedPageBreak/>
        <w:t>Procedure</w:t>
      </w:r>
      <w:proofErr w:type="gramStart"/>
      <w:r w:rsidRPr="00E1580C">
        <w:rPr>
          <w:rFonts w:eastAsia="Times New Roman"/>
        </w:rPr>
        <w:t>:</w:t>
      </w:r>
      <w:r w:rsidRPr="00E1580C">
        <w:t>100</w:t>
      </w:r>
      <w:proofErr w:type="gramEnd"/>
      <w:r w:rsidRPr="00E1580C">
        <w:t xml:space="preserve">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7310E0" w:rsidRPr="00E1580C" w:rsidRDefault="007310E0" w:rsidP="007310E0">
      <w:pPr>
        <w:spacing w:after="0" w:line="360" w:lineRule="auto"/>
        <w:jc w:val="both"/>
        <w:rPr>
          <w:b/>
          <w:bCs/>
        </w:rPr>
      </w:pPr>
      <w:r w:rsidRPr="00E1580C">
        <w:rPr>
          <w:b/>
          <w:bCs/>
        </w:rPr>
        <w:t>3.3.2 Determination of Azino-bis C3 ethyl Benzothiazoline-b- sulphonic acid (ABTs)</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rPr>
        <w:t>:ABTS</w:t>
      </w:r>
      <w:proofErr w:type="gramEnd"/>
      <w:r w:rsidRPr="00E1580C">
        <w:rPr>
          <w:rFonts w:eastAsia="Times New Roman"/>
        </w:rPr>
        <w:t xml:space="preserve"> (7 mM)and Potassium persulfate (2.45 mM)</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b/>
          <w:bCs/>
        </w:rPr>
        <w:t>:</w:t>
      </w:r>
      <w:r w:rsidRPr="00E1580C">
        <w:rPr>
          <w:rFonts w:eastAsia="Times New Roman"/>
        </w:rPr>
        <w:t>ABTS</w:t>
      </w:r>
      <w:proofErr w:type="gramEnd"/>
      <w:r w:rsidRPr="00E1580C">
        <w:rPr>
          <w:rFonts w:eastAsia="Times New Roman"/>
        </w:rPr>
        <w:t>⁺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w:t>
      </w:r>
      <w:proofErr w:type="gramStart"/>
      <w:r w:rsidRPr="00E1580C">
        <w:rPr>
          <w:rFonts w:eastAsia="Times New Roman"/>
        </w:rPr>
        <w:t>,compared</w:t>
      </w:r>
      <w:proofErr w:type="gramEnd"/>
      <w:r w:rsidRPr="00E1580C">
        <w:rPr>
          <w:rFonts w:eastAsia="Times New Roman"/>
        </w:rPr>
        <w:t xml:space="preserve"> with Trolox standard and the results was expressed as µmol Trolox equivalents.</w:t>
      </w:r>
    </w:p>
    <w:p w:rsidR="007310E0" w:rsidRPr="00E1580C" w:rsidRDefault="007310E0" w:rsidP="007310E0">
      <w:pPr>
        <w:spacing w:line="360" w:lineRule="auto"/>
        <w:jc w:val="both"/>
        <w:rPr>
          <w:b/>
          <w:bCs/>
        </w:rPr>
      </w:pPr>
      <w:r w:rsidRPr="00E1580C">
        <w:rPr>
          <w:b/>
          <w:bCs/>
        </w:rPr>
        <w:t>3.3.3 Determination of Diphenyl -1 pycrylhydraxyl (DPPH)</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Principle</w:t>
      </w:r>
      <w:proofErr w:type="gramStart"/>
      <w:r w:rsidRPr="00E1580C">
        <w:rPr>
          <w:rFonts w:eastAsia="Times New Roman"/>
        </w:rPr>
        <w:t>:DPPH</w:t>
      </w:r>
      <w:proofErr w:type="gramEnd"/>
      <w:r w:rsidRPr="00E1580C">
        <w:rPr>
          <w:rFonts w:eastAsia="Times New Roman"/>
        </w:rPr>
        <w:t xml:space="preserve"> is a stable free radical that changes color (deep violet to yellow) upon reduction by an antioxidant.</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:DPPH</w:t>
      </w:r>
      <w:proofErr w:type="gramEnd"/>
      <w:r w:rsidRPr="00E1580C">
        <w:rPr>
          <w:rFonts w:eastAsia="Times New Roman"/>
        </w:rPr>
        <w:t xml:space="preserve"> solution (0.1 mM in methanol)</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:1</w:t>
      </w:r>
      <w:proofErr w:type="gramEnd"/>
      <w:r w:rsidRPr="00E1580C">
        <w:rPr>
          <w:rFonts w:eastAsia="Times New Roman"/>
        </w:rPr>
        <w:t xml:space="preserve"> mL of DPPH solution  was mixed with 1 mL of extract. </w:t>
      </w:r>
      <w:proofErr w:type="gramStart"/>
      <w:r w:rsidRPr="00E1580C">
        <w:rPr>
          <w:rFonts w:eastAsia="Times New Roman"/>
        </w:rPr>
        <w:t>Incubated in the dark for 30 minutes at room temperature.</w:t>
      </w:r>
      <w:proofErr w:type="gramEnd"/>
      <w:r w:rsidRPr="00E1580C">
        <w:rPr>
          <w:rFonts w:eastAsia="Times New Roman"/>
        </w:rPr>
        <w:t xml:space="preserve"> Absorbance was measured at 517 nm.</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7310E0" w:rsidRPr="00E1580C" w:rsidRDefault="007310E0" w:rsidP="007310E0">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extent cx="2724530" cy="590632"/>
            <wp:effectExtent l="0" t="0" r="0" b="0"/>
            <wp:docPr id="112931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7"/>
                    <a:stretch>
                      <a:fillRect/>
                    </a:stretch>
                  </pic:blipFill>
                  <pic:spPr>
                    <a:xfrm>
                      <a:off x="0" y="0"/>
                      <a:ext cx="2724530" cy="590632"/>
                    </a:xfrm>
                    <a:prstGeom prst="rect">
                      <a:avLst/>
                    </a:prstGeom>
                  </pic:spPr>
                </pic:pic>
              </a:graphicData>
            </a:graphic>
          </wp:inline>
        </w:drawing>
      </w:r>
      <w:r w:rsidRPr="00E1580C">
        <w:rPr>
          <w:rFonts w:eastAsia="Times New Roman"/>
        </w:rPr>
        <w:t>.</w:t>
      </w:r>
    </w:p>
    <w:p w:rsidR="007310E0" w:rsidRPr="00E1580C" w:rsidRDefault="007310E0" w:rsidP="007310E0">
      <w:pPr>
        <w:spacing w:before="100" w:beforeAutospacing="1" w:after="100" w:afterAutospacing="1" w:line="360" w:lineRule="auto"/>
        <w:ind w:left="1080"/>
        <w:jc w:val="both"/>
        <w:rPr>
          <w:rFonts w:eastAsia="Times New Roman"/>
        </w:rPr>
      </w:pPr>
      <w:r w:rsidRPr="00E1580C">
        <w:t>where</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7310E0" w:rsidRPr="00E1580C" w:rsidRDefault="007310E0" w:rsidP="007310E0">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7310E0" w:rsidRPr="00E1580C" w:rsidRDefault="007310E0" w:rsidP="007310E0">
      <w:pPr>
        <w:spacing w:line="360" w:lineRule="auto"/>
        <w:jc w:val="both"/>
        <w:rPr>
          <w:b/>
          <w:bCs/>
        </w:rPr>
      </w:pPr>
      <w:r w:rsidRPr="00E1580C">
        <w:rPr>
          <w:b/>
          <w:bCs/>
        </w:rPr>
        <w:t>3.3.4 Determination of total flavonoid content (TFC)</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7310E0" w:rsidRPr="00E1580C" w:rsidRDefault="007310E0" w:rsidP="007310E0">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b/>
          <w:bCs/>
        </w:rPr>
        <w:t>:</w:t>
      </w:r>
      <w:r w:rsidRPr="00E1580C">
        <w:rPr>
          <w:rFonts w:eastAsia="Times New Roman"/>
        </w:rPr>
        <w:t>2</w:t>
      </w:r>
      <w:proofErr w:type="gramEnd"/>
      <w:r w:rsidRPr="00E1580C">
        <w:rPr>
          <w:rFonts w:eastAsia="Times New Roman"/>
        </w:rPr>
        <w:t>% Aluminum chloride in methanoland Potassium acetate</w:t>
      </w:r>
    </w:p>
    <w:p w:rsidR="007310E0" w:rsidRPr="00E1580C" w:rsidRDefault="007310E0" w:rsidP="007310E0">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extract was mixed with 0.5 mL of 2% AlCl₃. </w:t>
      </w:r>
      <w:proofErr w:type="gramStart"/>
      <w:r w:rsidRPr="00E1580C">
        <w:rPr>
          <w:rFonts w:eastAsia="Times New Roman"/>
        </w:rPr>
        <w:t>Incubated for 30 minutes at room temperature.</w:t>
      </w:r>
      <w:proofErr w:type="gramEnd"/>
      <w:r w:rsidRPr="00E1580C">
        <w:rPr>
          <w:rFonts w:eastAsia="Times New Roman"/>
        </w:rPr>
        <w:t xml:space="preserve"> Absorbance was measured at 415 nm. Use quercetin as the standard and express results in mg quercetin equivalents (QE)/g of extract.</w:t>
      </w:r>
    </w:p>
    <w:p w:rsidR="007310E0" w:rsidRPr="00E1580C" w:rsidRDefault="007310E0" w:rsidP="007310E0">
      <w:pPr>
        <w:spacing w:line="360" w:lineRule="auto"/>
        <w:jc w:val="both"/>
        <w:rPr>
          <w:b/>
          <w:bCs/>
        </w:rPr>
      </w:pPr>
      <w:r w:rsidRPr="00E1580C">
        <w:rPr>
          <w:b/>
          <w:bCs/>
        </w:rPr>
        <w:t>3.3.5 Determination of total phenolic content (TPC)</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Principle</w:t>
      </w:r>
      <w:proofErr w:type="gramStart"/>
      <w:r w:rsidRPr="00E1580C">
        <w:rPr>
          <w:rFonts w:eastAsia="Times New Roman"/>
        </w:rPr>
        <w:t>:The</w:t>
      </w:r>
      <w:proofErr w:type="gramEnd"/>
      <w:r w:rsidRPr="00E1580C">
        <w:rPr>
          <w:rFonts w:eastAsia="Times New Roman"/>
        </w:rPr>
        <w:t xml:space="preserve"> Folin–Ciocalteu reagent reacts with phenolics to produce a blue complex detectable at 765 nm.</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:Folin</w:t>
      </w:r>
      <w:proofErr w:type="gramEnd"/>
      <w:r w:rsidRPr="00E1580C">
        <w:rPr>
          <w:rFonts w:eastAsia="Times New Roman"/>
        </w:rPr>
        <w:t>–Ciocalteu reagent (diluted 1:10) and Sodium carbonate (7.5%)</w:t>
      </w:r>
    </w:p>
    <w:p w:rsidR="007310E0" w:rsidRPr="00E1580C" w:rsidRDefault="007310E0" w:rsidP="007310E0">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sample was mixed with 2.5 mL of Folin–Ciocalteu reagent. After 5 minutes, 2 mL of sodium carbonate was added. </w:t>
      </w:r>
      <w:proofErr w:type="gramStart"/>
      <w:r w:rsidRPr="00E1580C">
        <w:rPr>
          <w:rFonts w:eastAsia="Times New Roman"/>
        </w:rPr>
        <w:t>Incubated for 30 minutes at room temperature.</w:t>
      </w:r>
      <w:proofErr w:type="gramEnd"/>
      <w:r w:rsidRPr="00E1580C">
        <w:rPr>
          <w:rFonts w:eastAsia="Times New Roman"/>
        </w:rPr>
        <w:t xml:space="preserve"> The absorbance was measured at 765 nm using gallic acid as </w:t>
      </w:r>
      <w:r w:rsidRPr="00E1580C">
        <w:rPr>
          <w:rFonts w:eastAsia="Times New Roman"/>
        </w:rPr>
        <w:lastRenderedPageBreak/>
        <w:t xml:space="preserve">standard and </w:t>
      </w:r>
      <w:proofErr w:type="gramStart"/>
      <w:r w:rsidRPr="00E1580C">
        <w:rPr>
          <w:rFonts w:eastAsia="Times New Roman"/>
        </w:rPr>
        <w:t>results was</w:t>
      </w:r>
      <w:proofErr w:type="gramEnd"/>
      <w:r w:rsidRPr="00E1580C">
        <w:rPr>
          <w:rFonts w:eastAsia="Times New Roman"/>
        </w:rPr>
        <w:t xml:space="preserve"> expressed as mg gallic acid equivalents (GAE)/g of extract.</w:t>
      </w:r>
    </w:p>
    <w:p w:rsidR="007310E0" w:rsidRPr="00E1580C" w:rsidRDefault="007310E0" w:rsidP="007310E0">
      <w:pPr>
        <w:spacing w:after="0" w:line="480" w:lineRule="auto"/>
        <w:jc w:val="both"/>
        <w:rPr>
          <w:b/>
        </w:rPr>
      </w:pPr>
      <w:r w:rsidRPr="00E1580C">
        <w:rPr>
          <w:b/>
        </w:rPr>
        <w:t>3.3.6</w:t>
      </w:r>
      <w:r w:rsidRPr="00E1580C">
        <w:rPr>
          <w:b/>
        </w:rPr>
        <w:tab/>
        <w:t>Determination of Enzymatic Antioxidant</w:t>
      </w:r>
    </w:p>
    <w:p w:rsidR="007310E0" w:rsidRPr="00E1580C" w:rsidRDefault="007310E0" w:rsidP="007310E0">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7310E0" w:rsidRPr="00E1580C" w:rsidRDefault="007310E0" w:rsidP="007310E0">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Procedure:</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7310E0" w:rsidRPr="00E1580C" w:rsidRDefault="007310E0" w:rsidP="007310E0">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lastRenderedPageBreak/>
        <w:t>Expression</w:t>
      </w:r>
      <w:proofErr w:type="gramStart"/>
      <w:r w:rsidRPr="00E1580C">
        <w:rPr>
          <w:rStyle w:val="Strong"/>
          <w:sz w:val="28"/>
          <w:szCs w:val="28"/>
        </w:rPr>
        <w:t>:</w:t>
      </w:r>
      <w:proofErr w:type="gramEnd"/>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Catalase (CAT) Activity</w:t>
      </w:r>
    </w:p>
    <w:p w:rsidR="007310E0" w:rsidRPr="00E1580C" w:rsidRDefault="007310E0" w:rsidP="007310E0">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Procedure: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7310E0" w:rsidRPr="00E1580C" w:rsidRDefault="007310E0" w:rsidP="007310E0">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7310E0" w:rsidRPr="00E1580C" w:rsidRDefault="007310E0" w:rsidP="007310E0">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7310E0" w:rsidRPr="00E1580C" w:rsidRDefault="007310E0" w:rsidP="007310E0">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7310E0" w:rsidRPr="00E1580C" w:rsidRDefault="007310E0" w:rsidP="007310E0">
      <w:pPr>
        <w:pStyle w:val="NormalWeb"/>
        <w:rPr>
          <w:sz w:val="28"/>
          <w:szCs w:val="28"/>
        </w:rPr>
      </w:pPr>
      <w:r w:rsidRPr="00E1580C">
        <w:rPr>
          <w:sz w:val="28"/>
          <w:szCs w:val="28"/>
        </w:rPr>
        <w:t>Reduced glutathione levels were estimated using the method of Ellman (1959).</w:t>
      </w:r>
    </w:p>
    <w:p w:rsidR="007310E0" w:rsidRPr="00E1580C" w:rsidRDefault="007310E0" w:rsidP="007310E0">
      <w:pPr>
        <w:pStyle w:val="NormalWeb"/>
        <w:rPr>
          <w:sz w:val="28"/>
          <w:szCs w:val="28"/>
        </w:rPr>
      </w:pPr>
      <w:r w:rsidRPr="00E1580C">
        <w:rPr>
          <w:rStyle w:val="Strong"/>
          <w:sz w:val="28"/>
          <w:szCs w:val="28"/>
        </w:rPr>
        <w:t>Procedure:</w:t>
      </w:r>
    </w:p>
    <w:p w:rsidR="007310E0" w:rsidRPr="00E1580C" w:rsidRDefault="007310E0" w:rsidP="007310E0">
      <w:pPr>
        <w:pStyle w:val="NormalWeb"/>
        <w:numPr>
          <w:ilvl w:val="0"/>
          <w:numId w:val="30"/>
        </w:numPr>
        <w:rPr>
          <w:sz w:val="28"/>
          <w:szCs w:val="28"/>
        </w:rPr>
      </w:pPr>
      <w:r w:rsidRPr="00E1580C">
        <w:rPr>
          <w:sz w:val="28"/>
          <w:szCs w:val="28"/>
        </w:rPr>
        <w:t>Tissue homogenate was treated with 5% trichloroacetic acid (TCA) and centrifuged.</w:t>
      </w:r>
    </w:p>
    <w:p w:rsidR="007310E0" w:rsidRPr="00E1580C" w:rsidRDefault="007310E0" w:rsidP="007310E0">
      <w:pPr>
        <w:pStyle w:val="NormalWeb"/>
        <w:numPr>
          <w:ilvl w:val="0"/>
          <w:numId w:val="30"/>
        </w:numPr>
        <w:rPr>
          <w:sz w:val="28"/>
          <w:szCs w:val="28"/>
        </w:rPr>
      </w:pPr>
      <w:r w:rsidRPr="00E1580C">
        <w:rPr>
          <w:sz w:val="28"/>
          <w:szCs w:val="28"/>
        </w:rPr>
        <w:t>The supernatant was mixed with Ellman’s reagent (DTNB) and phosphate buffer.</w:t>
      </w:r>
    </w:p>
    <w:p w:rsidR="007310E0" w:rsidRPr="00E1580C" w:rsidRDefault="007310E0" w:rsidP="007310E0">
      <w:pPr>
        <w:pStyle w:val="NormalWeb"/>
        <w:numPr>
          <w:ilvl w:val="0"/>
          <w:numId w:val="30"/>
        </w:numPr>
        <w:rPr>
          <w:sz w:val="28"/>
          <w:szCs w:val="28"/>
        </w:rPr>
      </w:pPr>
      <w:r w:rsidRPr="00E1580C">
        <w:rPr>
          <w:sz w:val="28"/>
          <w:szCs w:val="28"/>
        </w:rPr>
        <w:lastRenderedPageBreak/>
        <w:t xml:space="preserve">The yellow color formed was measured at </w:t>
      </w:r>
      <w:r w:rsidRPr="00E1580C">
        <w:rPr>
          <w:rStyle w:val="Strong"/>
          <w:sz w:val="28"/>
          <w:szCs w:val="28"/>
        </w:rPr>
        <w:t>412 nm</w:t>
      </w:r>
      <w:r w:rsidRPr="00E1580C">
        <w:rPr>
          <w:sz w:val="28"/>
          <w:szCs w:val="28"/>
        </w:rPr>
        <w:t xml:space="preserve"> using a spectrophotometer.</w:t>
      </w:r>
    </w:p>
    <w:p w:rsidR="007310E0" w:rsidRPr="00E1580C" w:rsidRDefault="007310E0" w:rsidP="007310E0">
      <w:pPr>
        <w:pStyle w:val="NormalWeb"/>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7310E0" w:rsidRPr="00E1580C" w:rsidRDefault="007310E0" w:rsidP="007310E0">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Protein Estimation</w:t>
      </w:r>
    </w:p>
    <w:p w:rsidR="007310E0" w:rsidRPr="00E1580C" w:rsidRDefault="007310E0" w:rsidP="007310E0">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7310E0" w:rsidRPr="00E1580C" w:rsidRDefault="007310E0" w:rsidP="007310E0">
      <w:pPr>
        <w:jc w:val="both"/>
      </w:pPr>
      <w:r w:rsidRPr="00E1580C">
        <w:rPr>
          <w:b/>
        </w:rPr>
        <w:t>3.4Malondialdehyde</w:t>
      </w:r>
    </w:p>
    <w:p w:rsidR="007310E0" w:rsidRPr="00D7082F" w:rsidRDefault="007310E0" w:rsidP="007310E0">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7310E0" w:rsidRPr="000D313C" w:rsidRDefault="007310E0" w:rsidP="007310E0">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7310E0" w:rsidRPr="000D313C" w:rsidRDefault="007310E0" w:rsidP="007310E0">
      <w:pPr>
        <w:tabs>
          <w:tab w:val="left" w:pos="4470"/>
        </w:tabs>
        <w:autoSpaceDE w:val="0"/>
        <w:autoSpaceDN w:val="0"/>
        <w:adjustRightInd w:val="0"/>
        <w:spacing w:after="0" w:line="480" w:lineRule="auto"/>
        <w:jc w:val="both"/>
        <w:rPr>
          <w:rFonts w:eastAsiaTheme="minorEastAsia"/>
          <w:color w:val="000000" w:themeColor="text1"/>
        </w:rPr>
      </w:pPr>
      <w:proofErr w:type="gramStart"/>
      <w:r w:rsidRPr="000D313C">
        <w:rPr>
          <w:color w:val="000000" w:themeColor="text1"/>
        </w:rPr>
        <w:t>Conc.</w:t>
      </w:r>
      <w:proofErr w:type="gramEnd"/>
      <w:r w:rsidRPr="000D313C">
        <w:rPr>
          <w:color w:val="000000" w:themeColor="text1"/>
        </w:rPr>
        <w:t xml:space="preserve">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7310E0" w:rsidRPr="000D313C" w:rsidRDefault="007310E0" w:rsidP="007310E0">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ab/>
      </w:r>
      <w:r w:rsidRPr="000D313C">
        <w:rPr>
          <w:color w:val="000000" w:themeColor="text1"/>
        </w:rPr>
        <w:tab/>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proofErr w:type="gramStart"/>
      <w:r w:rsidRPr="000D313C">
        <w:rPr>
          <w:color w:val="000000" w:themeColor="text1"/>
        </w:rPr>
        <w:t>Extinction Coeff.</w:t>
      </w:r>
      <w:proofErr w:type="gramEnd"/>
      <w:r w:rsidRPr="000D313C">
        <w:rPr>
          <w:color w:val="000000" w:themeColor="text1"/>
        </w:rPr>
        <w:t xml:space="preserve">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7310E0" w:rsidRPr="000D313C" w:rsidRDefault="007310E0" w:rsidP="007310E0">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7310E0" w:rsidRPr="000D313C" w:rsidRDefault="007310E0" w:rsidP="007310E0">
      <w:pPr>
        <w:spacing w:line="480" w:lineRule="auto"/>
        <w:rPr>
          <w:rFonts w:eastAsia="Times New Roman"/>
          <w:b/>
          <w:bCs/>
          <w:color w:val="000000" w:themeColor="text1"/>
        </w:rPr>
      </w:pPr>
      <w:r w:rsidRPr="000D313C">
        <w:rPr>
          <w:rFonts w:eastAsia="Times New Roman"/>
          <w:b/>
          <w:bCs/>
          <w:color w:val="000000" w:themeColor="text1"/>
        </w:rPr>
        <w:br w:type="page"/>
      </w:r>
    </w:p>
    <w:p w:rsidR="007310E0" w:rsidRPr="000D313C" w:rsidRDefault="007310E0" w:rsidP="007310E0">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7310E0" w:rsidRPr="000D313C" w:rsidRDefault="007310E0" w:rsidP="007310E0">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7310E0" w:rsidRPr="000D313C" w:rsidRDefault="007310E0" w:rsidP="007310E0">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7310E0" w:rsidRPr="000D313C" w:rsidRDefault="007310E0" w:rsidP="007310E0">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7310E0" w:rsidRPr="000D313C" w:rsidRDefault="007310E0" w:rsidP="007310E0">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tblPr>
      <w:tblGrid>
        <w:gridCol w:w="2354"/>
        <w:gridCol w:w="2129"/>
        <w:gridCol w:w="1781"/>
        <w:gridCol w:w="1789"/>
        <w:gridCol w:w="1397"/>
      </w:tblGrid>
      <w:tr w:rsidR="007310E0" w:rsidRPr="000D313C" w:rsidTr="007F1036">
        <w:trPr>
          <w:tblHeader/>
          <w:tblCellSpacing w:w="15" w:type="dxa"/>
        </w:trPr>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7310E0" w:rsidRPr="000D313C" w:rsidRDefault="007310E0" w:rsidP="007F1036">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7310E0" w:rsidRPr="000D313C" w:rsidTr="007F1036">
        <w:trPr>
          <w:tblCellSpacing w:w="15" w:type="dxa"/>
        </w:trPr>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5.13 ± 0.18</w:t>
            </w:r>
          </w:p>
        </w:tc>
      </w:tr>
      <w:tr w:rsidR="007310E0" w:rsidRPr="000D313C" w:rsidTr="007F1036">
        <w:trPr>
          <w:tblCellSpacing w:w="15" w:type="dxa"/>
        </w:trPr>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7310E0" w:rsidRPr="000D313C" w:rsidRDefault="007310E0" w:rsidP="007F1036">
            <w:pPr>
              <w:spacing w:after="0" w:line="480" w:lineRule="auto"/>
              <w:jc w:val="both"/>
              <w:rPr>
                <w:rFonts w:eastAsia="Times New Roman"/>
                <w:color w:val="000000" w:themeColor="text1"/>
              </w:rPr>
            </w:pPr>
            <w:r w:rsidRPr="000D313C">
              <w:rPr>
                <w:rFonts w:eastAsia="Times New Roman"/>
                <w:color w:val="000000" w:themeColor="text1"/>
              </w:rPr>
              <w:t>1.74 ± 0.25</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4.92 ± 0.22</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4.05 ± 0.30</w:t>
            </w:r>
          </w:p>
        </w:tc>
      </w:tr>
      <w:tr w:rsidR="007310E0" w:rsidRPr="007D1E62" w:rsidTr="007F1036">
        <w:trPr>
          <w:tblCellSpacing w:w="15" w:type="dxa"/>
        </w:trPr>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7310E0" w:rsidRPr="007D1E62" w:rsidRDefault="007310E0" w:rsidP="007F1036">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SOD: Superoxide dismutase</w:t>
      </w:r>
    </w:p>
    <w:p w:rsidR="007310E0" w:rsidRPr="007D1E62"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7310E0" w:rsidRDefault="007310E0" w:rsidP="007310E0">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GSH: Glutathione</w:t>
      </w:r>
    </w:p>
    <w:p w:rsidR="007310E0" w:rsidRPr="007D1E62"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7310E0" w:rsidRPr="00D7082F" w:rsidRDefault="007310E0" w:rsidP="007310E0">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7310E0" w:rsidRPr="00D7082F" w:rsidRDefault="007310E0" w:rsidP="007310E0">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has hematopoietic properties, possibly correcting NSAID-induced blood loss or oxidative anemia.</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7310E0" w:rsidRPr="00D7082F" w:rsidRDefault="007310E0" w:rsidP="007310E0">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7310E0" w:rsidRDefault="007310E0" w:rsidP="007310E0">
      <w:pPr>
        <w:spacing w:after="0" w:line="360" w:lineRule="auto"/>
        <w:jc w:val="both"/>
        <w:outlineLvl w:val="3"/>
        <w:rPr>
          <w:rFonts w:eastAsia="Times New Roman"/>
          <w:b/>
          <w:bCs/>
          <w:color w:val="000000" w:themeColor="text1"/>
        </w:rPr>
      </w:pPr>
    </w:p>
    <w:p w:rsidR="007310E0" w:rsidRPr="007D1E62"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7310E0" w:rsidRPr="00D7082F"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7310E0" w:rsidRPr="00D7082F" w:rsidRDefault="007310E0" w:rsidP="007310E0">
      <w:pPr>
        <w:spacing w:after="0" w:line="360" w:lineRule="auto"/>
        <w:jc w:val="both"/>
        <w:rPr>
          <w:rFonts w:eastAsia="Times New Roman"/>
          <w:color w:val="000000" w:themeColor="text1"/>
        </w:rPr>
      </w:pP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tblPr>
      <w:tblGrid>
        <w:gridCol w:w="1350"/>
        <w:gridCol w:w="2055"/>
        <w:gridCol w:w="1710"/>
        <w:gridCol w:w="1606"/>
        <w:gridCol w:w="2729"/>
      </w:tblGrid>
      <w:tr w:rsidR="007310E0" w:rsidRPr="00D7082F" w:rsidTr="007F1036">
        <w:trPr>
          <w:tblHeader/>
          <w:tblCellSpacing w:w="15" w:type="dxa"/>
        </w:trPr>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7310E0" w:rsidRPr="00D7082F" w:rsidRDefault="007310E0" w:rsidP="007F1036">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7310E0" w:rsidRPr="00D7082F" w:rsidRDefault="007310E0" w:rsidP="007F1036">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7310E0" w:rsidRPr="00D7082F" w:rsidRDefault="007310E0" w:rsidP="007F1036">
            <w:pPr>
              <w:spacing w:after="0" w:line="360" w:lineRule="auto"/>
              <w:jc w:val="both"/>
              <w:rPr>
                <w:b/>
                <w:bCs/>
                <w:color w:val="000000" w:themeColor="text1"/>
              </w:rPr>
            </w:pPr>
            <w:r w:rsidRPr="00D7082F">
              <w:rPr>
                <w:b/>
                <w:bCs/>
                <w:color w:val="000000" w:themeColor="text1"/>
              </w:rPr>
              <w:t>Observation</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WBC</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(6.5–7.1)</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(8.9–12.9)</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(7.5–8.8)</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Immune-stimulating effect</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RBC</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Normal–High</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 (6.4)</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Hematinic activity</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HB</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10.5–12.7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9.5–14.7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9.2–13.1 g/dl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Protective/restorative</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PCV</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32–38%</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29–44%</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28–39%</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Dose-dependent increase</w:t>
            </w:r>
          </w:p>
        </w:tc>
      </w:tr>
      <w:tr w:rsidR="007310E0" w:rsidRPr="00D7082F" w:rsidTr="007F1036">
        <w:trPr>
          <w:tblCellSpacing w:w="15" w:type="dxa"/>
        </w:trPr>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Indices</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Normal</w:t>
            </w:r>
          </w:p>
        </w:tc>
        <w:tc>
          <w:tcPr>
            <w:tcW w:w="0" w:type="auto"/>
            <w:vAlign w:val="center"/>
            <w:hideMark/>
          </w:tcPr>
          <w:p w:rsidR="007310E0" w:rsidRPr="00D7082F" w:rsidRDefault="007310E0" w:rsidP="007F1036">
            <w:pPr>
              <w:spacing w:after="0" w:line="360" w:lineRule="auto"/>
              <w:jc w:val="both"/>
              <w:rPr>
                <w:color w:val="000000" w:themeColor="text1"/>
              </w:rPr>
            </w:pPr>
            <w:r w:rsidRPr="00D7082F">
              <w:rPr>
                <w:color w:val="000000" w:themeColor="text1"/>
              </w:rPr>
              <w:t>No toxic morphological effect</w:t>
            </w:r>
          </w:p>
        </w:tc>
      </w:tr>
    </w:tbl>
    <w:p w:rsidR="007310E0" w:rsidRPr="00D7082F"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7310E0" w:rsidRPr="007D1E62" w:rsidRDefault="007310E0" w:rsidP="007310E0">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7310E0" w:rsidRPr="007D1E62" w:rsidRDefault="007310E0" w:rsidP="007310E0">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7310E0" w:rsidRPr="007D1E62" w:rsidRDefault="007310E0" w:rsidP="007310E0">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7310E0" w:rsidRPr="007D1E62" w:rsidRDefault="007310E0" w:rsidP="007310E0">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7310E0" w:rsidRPr="00D7082F" w:rsidRDefault="007310E0" w:rsidP="007310E0">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7310E0" w:rsidRPr="001235E5"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7310E0" w:rsidRPr="001235E5" w:rsidRDefault="007310E0" w:rsidP="007310E0">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7310E0" w:rsidRPr="001235E5" w:rsidRDefault="007310E0" w:rsidP="007310E0">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7310E0" w:rsidRPr="001235E5" w:rsidRDefault="007310E0" w:rsidP="007310E0">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7310E0" w:rsidRPr="001235E5" w:rsidRDefault="007310E0" w:rsidP="007310E0">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7310E0" w:rsidRPr="001235E5" w:rsidRDefault="007310E0" w:rsidP="007310E0">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7310E0" w:rsidRPr="001235E5" w:rsidRDefault="007310E0" w:rsidP="007310E0">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7310E0" w:rsidRDefault="007310E0" w:rsidP="007310E0">
      <w:pPr>
        <w:spacing w:after="0" w:line="360" w:lineRule="auto"/>
        <w:jc w:val="both"/>
        <w:outlineLvl w:val="3"/>
        <w:rPr>
          <w:rFonts w:eastAsia="Times New Roman"/>
          <w:b/>
          <w:bCs/>
          <w:color w:val="000000" w:themeColor="text1"/>
        </w:rPr>
      </w:pPr>
    </w:p>
    <w:p w:rsidR="007310E0" w:rsidRDefault="007310E0" w:rsidP="007310E0">
      <w:pPr>
        <w:spacing w:after="0" w:line="360" w:lineRule="auto"/>
        <w:jc w:val="both"/>
        <w:outlineLvl w:val="3"/>
        <w:rPr>
          <w:rFonts w:eastAsia="Times New Roman"/>
          <w:b/>
          <w:bCs/>
          <w:color w:val="000000" w:themeColor="text1"/>
        </w:rPr>
      </w:pP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7310E0" w:rsidRPr="001235E5" w:rsidRDefault="007310E0" w:rsidP="007310E0">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7310E0" w:rsidRPr="001235E5" w:rsidRDefault="007310E0" w:rsidP="007310E0">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7310E0" w:rsidRPr="00D7082F" w:rsidRDefault="007310E0" w:rsidP="007310E0">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proofErr w:type="gramStart"/>
      <w:r w:rsidRPr="00D7082F">
        <w:rPr>
          <w:rFonts w:eastAsia="Times New Roman"/>
          <w:b/>
          <w:bCs/>
          <w:color w:val="000000" w:themeColor="text1"/>
        </w:rPr>
        <w:t>:</w:t>
      </w:r>
      <w:r w:rsidRPr="001235E5">
        <w:rPr>
          <w:rFonts w:eastAsia="Times New Roman"/>
          <w:color w:val="000000" w:themeColor="text1"/>
        </w:rPr>
        <w:t>gastric</w:t>
      </w:r>
      <w:proofErr w:type="gramEnd"/>
      <w:r w:rsidRPr="001235E5">
        <w:rPr>
          <w:rFonts w:eastAsia="Times New Roman"/>
          <w:color w:val="000000" w:themeColor="text1"/>
        </w:rPr>
        <w:t xml:space="preserve"> lesions and inflammation.</w:t>
      </w:r>
    </w:p>
    <w:p w:rsidR="007310E0" w:rsidRPr="00D7082F" w:rsidRDefault="007310E0" w:rsidP="007310E0">
      <w:pPr>
        <w:spacing w:after="0" w:line="360" w:lineRule="auto"/>
        <w:jc w:val="both"/>
        <w:rPr>
          <w:rFonts w:eastAsia="Times New Roman"/>
          <w:color w:val="000000" w:themeColor="text1"/>
        </w:rPr>
      </w:pPr>
    </w:p>
    <w:p w:rsidR="007310E0" w:rsidRPr="001235E5" w:rsidRDefault="007310E0" w:rsidP="007310E0">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7310E0" w:rsidRPr="001235E5" w:rsidRDefault="007310E0" w:rsidP="007310E0">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7310E0" w:rsidRPr="001235E5" w:rsidRDefault="007310E0" w:rsidP="007310E0">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7310E0" w:rsidRPr="001235E5" w:rsidRDefault="007310E0" w:rsidP="007310E0">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7310E0" w:rsidRPr="001235E5" w:rsidRDefault="007310E0" w:rsidP="007310E0">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7310E0" w:rsidRPr="001235E5" w:rsidRDefault="007310E0" w:rsidP="007310E0">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7310E0" w:rsidRPr="001235E5" w:rsidRDefault="007310E0" w:rsidP="007310E0">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7310E0" w:rsidRDefault="007310E0" w:rsidP="007310E0">
      <w:pPr>
        <w:spacing w:after="0" w:line="360" w:lineRule="auto"/>
        <w:jc w:val="both"/>
        <w:outlineLvl w:val="2"/>
        <w:rPr>
          <w:rFonts w:eastAsia="Times New Roman"/>
          <w:b/>
          <w:bCs/>
          <w:color w:val="000000" w:themeColor="text1"/>
        </w:rPr>
      </w:pPr>
    </w:p>
    <w:p w:rsidR="007310E0" w:rsidRDefault="007310E0" w:rsidP="007310E0">
      <w:pPr>
        <w:spacing w:line="360" w:lineRule="auto"/>
        <w:jc w:val="center"/>
        <w:rPr>
          <w:rFonts w:eastAsia="Times New Roman"/>
          <w:b/>
          <w:bCs/>
          <w:color w:val="000000" w:themeColor="text1"/>
        </w:rPr>
      </w:pPr>
    </w:p>
    <w:p w:rsidR="007310E0" w:rsidRPr="00367A1C" w:rsidRDefault="007310E0" w:rsidP="007310E0">
      <w:pPr>
        <w:spacing w:line="360" w:lineRule="auto"/>
        <w:jc w:val="center"/>
        <w:rPr>
          <w:rFonts w:eastAsia="Times New Roman"/>
          <w:b/>
          <w:bCs/>
          <w:color w:val="000000" w:themeColor="text1"/>
        </w:rPr>
      </w:pPr>
      <w:r w:rsidRPr="00D7082F">
        <w:rPr>
          <w:rFonts w:eastAsia="Times New Roman"/>
          <w:b/>
          <w:bCs/>
          <w:color w:val="000000" w:themeColor="text1"/>
        </w:rPr>
        <w:t>CHAPTER FIVE</w:t>
      </w:r>
    </w:p>
    <w:p w:rsidR="007310E0" w:rsidRPr="00367A1C" w:rsidRDefault="007310E0" w:rsidP="007310E0">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lastRenderedPageBreak/>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GSH), hematological profiles (WBC, RBC, HGB, PCV, MCH, MCHC), and histopathological examination of gastric tissues.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7310E0" w:rsidRPr="00367A1C" w:rsidRDefault="007310E0" w:rsidP="007310E0">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7310E0" w:rsidRPr="007D1E62" w:rsidRDefault="007310E0" w:rsidP="007310E0">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DISCUSSION</w:t>
      </w:r>
    </w:p>
    <w:p w:rsidR="007310E0" w:rsidRPr="00D7082F" w:rsidRDefault="007310E0" w:rsidP="007310E0">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7310E0" w:rsidRPr="007D1E62" w:rsidRDefault="007310E0" w:rsidP="007310E0">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lastRenderedPageBreak/>
        <w:t>The higher dose (400 mg/kg) was comparable in efficacy to omeprazole, indicating strong gastroprotective potential. The histopathological observations reinforced the biochemical data, showing significant mucosal healing.</w:t>
      </w:r>
    </w:p>
    <w:p w:rsidR="007310E0" w:rsidRPr="007D1E62" w:rsidRDefault="007310E0" w:rsidP="007310E0">
      <w:pPr>
        <w:spacing w:after="0" w:line="360" w:lineRule="auto"/>
        <w:jc w:val="both"/>
        <w:rPr>
          <w:rFonts w:eastAsia="Times New Roman"/>
          <w:color w:val="000000" w:themeColor="text1"/>
        </w:rPr>
      </w:pPr>
      <w:r w:rsidRPr="007D1E62">
        <w:rPr>
          <w:rFonts w:eastAsia="Times New Roman"/>
          <w:color w:val="000000" w:themeColor="text1"/>
        </w:rPr>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7310E0" w:rsidRPr="00D7082F" w:rsidRDefault="007310E0" w:rsidP="007310E0">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proofErr w:type="gramStart"/>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w:t>
      </w:r>
      <w:proofErr w:type="gramEnd"/>
      <w:r w:rsidRPr="00D7082F">
        <w:rPr>
          <w:color w:val="000000" w:themeColor="text1"/>
          <w:sz w:val="28"/>
          <w:szCs w:val="28"/>
        </w:rPr>
        <w:t xml:space="preserve">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w:t>
      </w:r>
      <w:proofErr w:type="gramStart"/>
      <w:r w:rsidRPr="00D7082F">
        <w:rPr>
          <w:color w:val="000000" w:themeColor="text1"/>
          <w:sz w:val="28"/>
          <w:szCs w:val="28"/>
        </w:rPr>
        <w:t>MCHC</w:t>
      </w:r>
      <w:proofErr w:type="gramEnd"/>
      <w:r w:rsidRPr="00D7082F">
        <w:rPr>
          <w:color w:val="000000" w:themeColor="text1"/>
          <w:sz w:val="28"/>
          <w:szCs w:val="28"/>
        </w:rPr>
        <w:t xml:space="preserve">)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7310E0" w:rsidRPr="00367A1C" w:rsidRDefault="007310E0" w:rsidP="007310E0">
      <w:pPr>
        <w:spacing w:after="0" w:line="360" w:lineRule="auto"/>
        <w:jc w:val="both"/>
        <w:outlineLvl w:val="2"/>
        <w:rPr>
          <w:rFonts w:eastAsia="Times New Roman"/>
          <w:b/>
          <w:bCs/>
          <w:color w:val="000000" w:themeColor="text1"/>
        </w:rPr>
      </w:pPr>
      <w:r>
        <w:rPr>
          <w:rFonts w:eastAsia="Times New Roman"/>
          <w:b/>
          <w:bCs/>
          <w:color w:val="000000" w:themeColor="text1"/>
        </w:rPr>
        <w:lastRenderedPageBreak/>
        <w:t>5.3</w:t>
      </w:r>
      <w:r w:rsidRPr="00D7082F">
        <w:rPr>
          <w:rFonts w:eastAsia="Times New Roman"/>
          <w:b/>
          <w:bCs/>
          <w:color w:val="000000" w:themeColor="text1"/>
        </w:rPr>
        <w:t xml:space="preserve"> CONCLUSION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7310E0" w:rsidRPr="00440084" w:rsidRDefault="007310E0" w:rsidP="007310E0">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 xml:space="preserve">Indomethacin induces significant oxidative gastric mucosal </w:t>
      </w:r>
      <w:proofErr w:type="gramStart"/>
      <w:r w:rsidRPr="00D7082F">
        <w:rPr>
          <w:rFonts w:eastAsia="Times New Roman"/>
          <w:b/>
          <w:bCs/>
          <w:color w:val="000000" w:themeColor="text1"/>
        </w:rPr>
        <w:t>injury</w:t>
      </w:r>
      <w:r w:rsidRPr="00367A1C">
        <w:rPr>
          <w:rFonts w:eastAsia="Times New Roman"/>
          <w:color w:val="000000" w:themeColor="text1"/>
        </w:rPr>
        <w:t>,</w:t>
      </w:r>
      <w:proofErr w:type="gramEnd"/>
      <w:r w:rsidRPr="00367A1C">
        <w:rPr>
          <w:rFonts w:eastAsia="Times New Roman"/>
          <w:color w:val="000000" w:themeColor="text1"/>
        </w:rPr>
        <w:t xml:space="preserve"> characterized by increased lipid peroxidation and reduced antioxidant defense.</w:t>
      </w:r>
    </w:p>
    <w:p w:rsidR="007310E0" w:rsidRPr="00367A1C" w:rsidRDefault="007310E0" w:rsidP="007310E0">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capable of enhancing endogenous defense systems (SOD, CAT, GSH).</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7310E0" w:rsidRPr="00367A1C" w:rsidRDefault="007310E0" w:rsidP="007310E0">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lastRenderedPageBreak/>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7310E0" w:rsidRPr="00367A1C" w:rsidRDefault="007310E0" w:rsidP="007310E0">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7310E0" w:rsidRDefault="007310E0" w:rsidP="007310E0">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7310E0" w:rsidRPr="00367A1C" w:rsidRDefault="007310E0" w:rsidP="007310E0">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7310E0" w:rsidRPr="00367A1C" w:rsidRDefault="007310E0" w:rsidP="007310E0">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7310E0" w:rsidRPr="00D7082F"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7310E0" w:rsidRPr="00367A1C"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7310E0" w:rsidRPr="00D7082F" w:rsidRDefault="007310E0" w:rsidP="007310E0">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7310E0" w:rsidRPr="00D7082F" w:rsidRDefault="007310E0" w:rsidP="007310E0">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7310E0" w:rsidRPr="00D7082F" w:rsidRDefault="007310E0" w:rsidP="007310E0">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7310E0" w:rsidRPr="00D7082F" w:rsidRDefault="007310E0" w:rsidP="007310E0">
      <w:pPr>
        <w:spacing w:line="360" w:lineRule="auto"/>
        <w:rPr>
          <w:rStyle w:val="Strong"/>
          <w:rFonts w:eastAsia="Times New Roman"/>
          <w:color w:val="000000" w:themeColor="text1"/>
        </w:rPr>
      </w:pPr>
      <w:r w:rsidRPr="00D7082F">
        <w:rPr>
          <w:rStyle w:val="Strong"/>
          <w:color w:val="000000" w:themeColor="text1"/>
        </w:rPr>
        <w:br w:type="page"/>
      </w:r>
    </w:p>
    <w:p w:rsidR="007310E0" w:rsidRPr="00D7082F" w:rsidRDefault="007310E0" w:rsidP="007310E0">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Buege, J. A., &amp; Aust, S. D. (1978).</w:t>
      </w:r>
      <w:proofErr w:type="gramEnd"/>
      <w:r w:rsidRPr="00D7082F">
        <w:rPr>
          <w:color w:val="000000" w:themeColor="text1"/>
          <w:sz w:val="28"/>
          <w:szCs w:val="28"/>
        </w:rPr>
        <w:t xml:space="preserve"> </w:t>
      </w:r>
      <w:proofErr w:type="gramStart"/>
      <w:r w:rsidRPr="00D7082F">
        <w:rPr>
          <w:color w:val="000000" w:themeColor="text1"/>
          <w:sz w:val="28"/>
          <w:szCs w:val="28"/>
        </w:rPr>
        <w:t>Microsomal lipid peroxidation.</w:t>
      </w:r>
      <w:proofErr w:type="gramEnd"/>
      <w:r w:rsidRPr="00D7082F">
        <w:rPr>
          <w:color w:val="000000" w:themeColor="text1"/>
          <w:sz w:val="28"/>
          <w:szCs w:val="28"/>
        </w:rPr>
        <w:t xml:space="preserve">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8" w:history="1">
        <w:r w:rsidRPr="00D7082F">
          <w:rPr>
            <w:rStyle w:val="Hyperlink"/>
            <w:color w:val="000000" w:themeColor="text1"/>
            <w:sz w:val="28"/>
            <w:szCs w:val="28"/>
          </w:rPr>
          <w:t>https://doi.org/10.1016/S0076-6879(78)52032-6</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Ohkawa, H., Ohishi, N., &amp; Yagi, K. (1979).</w:t>
      </w:r>
      <w:proofErr w:type="gramEnd"/>
      <w:r w:rsidRPr="00D7082F">
        <w:rPr>
          <w:color w:val="000000" w:themeColor="text1"/>
          <w:sz w:val="28"/>
          <w:szCs w:val="28"/>
        </w:rPr>
        <w:t xml:space="preserve">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19" w:history="1">
        <w:r w:rsidRPr="00D7082F">
          <w:rPr>
            <w:rStyle w:val="Hyperlink"/>
            <w:color w:val="000000" w:themeColor="text1"/>
            <w:sz w:val="28"/>
            <w:szCs w:val="28"/>
          </w:rPr>
          <w:t>https://doi.org/10.1016/0003-2697(79)90738-3</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Wallace, J. L., &amp; Granger, D. N. (1996).</w:t>
      </w:r>
      <w:proofErr w:type="gramEnd"/>
      <w:r w:rsidRPr="00D7082F">
        <w:rPr>
          <w:color w:val="000000" w:themeColor="text1"/>
          <w:sz w:val="28"/>
          <w:szCs w:val="28"/>
        </w:rPr>
        <w:t xml:space="preserve"> </w:t>
      </w:r>
      <w:proofErr w:type="gramStart"/>
      <w:r w:rsidRPr="00D7082F">
        <w:rPr>
          <w:color w:val="000000" w:themeColor="text1"/>
          <w:sz w:val="28"/>
          <w:szCs w:val="28"/>
        </w:rPr>
        <w:t>The cellular and molecular basis of gastric mucosal defense.</w:t>
      </w:r>
      <w:proofErr w:type="gramEnd"/>
      <w:r w:rsidRPr="00D7082F">
        <w:rPr>
          <w:color w:val="000000" w:themeColor="text1"/>
          <w:sz w:val="28"/>
          <w:szCs w:val="28"/>
        </w:rPr>
        <w:t xml:space="preserv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0" w:history="1">
        <w:r w:rsidRPr="00D7082F">
          <w:rPr>
            <w:rStyle w:val="Hyperlink"/>
            <w:color w:val="000000" w:themeColor="text1"/>
            <w:sz w:val="28"/>
            <w:szCs w:val="28"/>
          </w:rPr>
          <w:t>https://doi.org/10.1096/fasebj.10.7.8635682</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Nwaehujor, C. O., Ezeigbo, I. I., &amp; Okoye, F. B. C. (2013).</w:t>
      </w:r>
      <w:proofErr w:type="gramEnd"/>
      <w:r w:rsidRPr="00D7082F">
        <w:rPr>
          <w:color w:val="000000" w:themeColor="text1"/>
          <w:sz w:val="28"/>
          <w:szCs w:val="28"/>
        </w:rPr>
        <w:t xml:space="preserve">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1" w:history="1">
        <w:r w:rsidRPr="00D7082F">
          <w:rPr>
            <w:rStyle w:val="Hyperlink"/>
            <w:color w:val="000000" w:themeColor="text1"/>
            <w:sz w:val="28"/>
            <w:szCs w:val="28"/>
          </w:rPr>
          <w:t>https://doi.org/10.1016/j.jep.2013.06.002</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Kumar, S., &amp; Pandey, A. K. (2015).</w:t>
      </w:r>
      <w:proofErr w:type="gramEnd"/>
      <w:r w:rsidRPr="00D7082F">
        <w:rPr>
          <w:color w:val="000000" w:themeColor="text1"/>
          <w:sz w:val="28"/>
          <w:szCs w:val="28"/>
        </w:rPr>
        <w:t xml:space="preserve">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2" w:history="1">
        <w:r w:rsidRPr="00D7082F">
          <w:rPr>
            <w:rStyle w:val="Hyperlink"/>
            <w:color w:val="000000" w:themeColor="text1"/>
            <w:sz w:val="28"/>
            <w:szCs w:val="28"/>
          </w:rPr>
          <w:t>https://doi.org/10.9734/BJMMR/2015/15129</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Sharma, V., &amp; Agrawal, R. C. (2011).</w:t>
      </w:r>
      <w:proofErr w:type="gramEnd"/>
      <w:r w:rsidRPr="00D7082F">
        <w:rPr>
          <w:color w:val="000000" w:themeColor="text1"/>
          <w:sz w:val="28"/>
          <w:szCs w:val="28"/>
        </w:rPr>
        <w:t xml:space="preserve">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Valko, M., Leibfritz, D., Moncol, J., Cronin, M. T., Mazur, M., &amp; Telser, J. (2007).</w:t>
      </w:r>
      <w:proofErr w:type="gramEnd"/>
      <w:r w:rsidRPr="00D7082F">
        <w:rPr>
          <w:color w:val="000000" w:themeColor="text1"/>
          <w:sz w:val="28"/>
          <w:szCs w:val="28"/>
        </w:rPr>
        <w:t xml:space="preserve"> </w:t>
      </w:r>
      <w:proofErr w:type="gramStart"/>
      <w:r w:rsidRPr="00D7082F">
        <w:rPr>
          <w:color w:val="000000" w:themeColor="text1"/>
          <w:sz w:val="28"/>
          <w:szCs w:val="28"/>
        </w:rPr>
        <w:t>Free radicals and antioxidants in normal physiological functions and human disease.</w:t>
      </w:r>
      <w:proofErr w:type="gramEnd"/>
      <w:r w:rsidRPr="00D7082F">
        <w:rPr>
          <w:color w:val="000000" w:themeColor="text1"/>
          <w:sz w:val="28"/>
          <w:szCs w:val="28"/>
        </w:rPr>
        <w:t xml:space="preserv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3" w:history="1">
        <w:r w:rsidRPr="00D7082F">
          <w:rPr>
            <w:rStyle w:val="Hyperlink"/>
            <w:color w:val="000000" w:themeColor="text1"/>
            <w:sz w:val="28"/>
            <w:szCs w:val="28"/>
          </w:rPr>
          <w:t>https://doi.org/10.1016/j.biocel.2006.07.001</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Prakash, A., &amp; Kumar, A. (2013).</w:t>
      </w:r>
      <w:proofErr w:type="gramEnd"/>
      <w:r w:rsidRPr="00D7082F">
        <w:rPr>
          <w:color w:val="000000" w:themeColor="text1"/>
          <w:sz w:val="28"/>
          <w:szCs w:val="28"/>
        </w:rPr>
        <w:t xml:space="preserve">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4" w:history="1">
        <w:r w:rsidRPr="00D7082F">
          <w:rPr>
            <w:rStyle w:val="Hyperlink"/>
            <w:color w:val="000000" w:themeColor="text1"/>
            <w:sz w:val="28"/>
            <w:szCs w:val="28"/>
          </w:rPr>
          <w:t>https://doi.org/10.1155/2013/292476</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lastRenderedPageBreak/>
        <w:t>Halliwell, B., &amp; Gutteridge, J. M. (2015).</w:t>
      </w:r>
      <w:proofErr w:type="gramEnd"/>
      <w:r w:rsidRPr="00D7082F">
        <w:rPr>
          <w:color w:val="000000" w:themeColor="text1"/>
          <w:sz w:val="28"/>
          <w:szCs w:val="28"/>
        </w:rPr>
        <w:t xml:space="preserve">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Oxford University Press.</w:t>
      </w:r>
      <w:proofErr w:type="gramEnd"/>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w:t>
      </w:r>
      <w:proofErr w:type="gramStart"/>
      <w:r w:rsidRPr="00D7082F">
        <w:rPr>
          <w:color w:val="000000" w:themeColor="text1"/>
          <w:sz w:val="28"/>
          <w:szCs w:val="28"/>
        </w:rPr>
        <w:t>ed</w:t>
      </w:r>
      <w:proofErr w:type="gramEnd"/>
      <w:r w:rsidRPr="00D7082F">
        <w:rPr>
          <w:color w:val="000000" w:themeColor="text1"/>
          <w:sz w:val="28"/>
          <w:szCs w:val="28"/>
        </w:rPr>
        <w:t>.). Hilton &amp; Company.</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Toma, I., Stancu, M., &amp; Andrei, S. (2014).</w:t>
      </w:r>
      <w:proofErr w:type="gramEnd"/>
      <w:r w:rsidRPr="00D7082F">
        <w:rPr>
          <w:color w:val="000000" w:themeColor="text1"/>
          <w:sz w:val="28"/>
          <w:szCs w:val="28"/>
        </w:rPr>
        <w:t xml:space="preserve">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Ejike, C. E. C. C., &amp; Ezeanyika, L. U. S. (2008).</w:t>
      </w:r>
      <w:proofErr w:type="gramEnd"/>
      <w:r w:rsidRPr="00D7082F">
        <w:rPr>
          <w:color w:val="000000" w:themeColor="text1"/>
          <w:sz w:val="28"/>
          <w:szCs w:val="28"/>
        </w:rPr>
        <w:t xml:space="preserve">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Spectrum Books Ltd.</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Trease, G. E., &amp; Evans, W. C. (2002).</w:t>
      </w:r>
      <w:proofErr w:type="gramEnd"/>
      <w:r w:rsidRPr="00D7082F">
        <w:rPr>
          <w:color w:val="000000" w:themeColor="text1"/>
          <w:sz w:val="28"/>
          <w:szCs w:val="28"/>
        </w:rPr>
        <w:t xml:space="preserve"> </w:t>
      </w:r>
      <w:r w:rsidRPr="00D7082F">
        <w:rPr>
          <w:rStyle w:val="Emphasis"/>
          <w:rFonts w:eastAsiaTheme="majorEastAsia"/>
          <w:color w:val="000000" w:themeColor="text1"/>
        </w:rPr>
        <w:t>Pharmacognosy</w:t>
      </w:r>
      <w:r w:rsidRPr="00D7082F">
        <w:rPr>
          <w:color w:val="000000" w:themeColor="text1"/>
          <w:sz w:val="28"/>
          <w:szCs w:val="28"/>
        </w:rPr>
        <w:t xml:space="preserve"> (15th </w:t>
      </w:r>
      <w:proofErr w:type="gramStart"/>
      <w:r w:rsidRPr="00D7082F">
        <w:rPr>
          <w:color w:val="000000" w:themeColor="text1"/>
          <w:sz w:val="28"/>
          <w:szCs w:val="28"/>
        </w:rPr>
        <w:t>ed</w:t>
      </w:r>
      <w:proofErr w:type="gramEnd"/>
      <w:r w:rsidRPr="00D7082F">
        <w:rPr>
          <w:color w:val="000000" w:themeColor="text1"/>
          <w:sz w:val="28"/>
          <w:szCs w:val="28"/>
        </w:rPr>
        <w:t>.). Saunders.</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OECD.</w:t>
      </w:r>
      <w:proofErr w:type="gramEnd"/>
      <w:r w:rsidRPr="00D7082F">
        <w:rPr>
          <w:color w:val="000000" w:themeColor="text1"/>
          <w:sz w:val="28"/>
          <w:szCs w:val="28"/>
        </w:rPr>
        <w:t xml:space="preserve">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xml:space="preserve">. </w:t>
      </w:r>
      <w:proofErr w:type="gramStart"/>
      <w:r w:rsidRPr="00D7082F">
        <w:rPr>
          <w:color w:val="000000" w:themeColor="text1"/>
          <w:sz w:val="28"/>
          <w:szCs w:val="28"/>
        </w:rPr>
        <w:t>Organisation for Economic Cooperation and Development.</w:t>
      </w:r>
      <w:proofErr w:type="gramEnd"/>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Chapman and Hall.</w:t>
      </w:r>
      <w:proofErr w:type="gramEnd"/>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w:t>
      </w:r>
      <w:proofErr w:type="gramStart"/>
      <w:r w:rsidRPr="00D7082F">
        <w:rPr>
          <w:color w:val="000000" w:themeColor="text1"/>
          <w:sz w:val="28"/>
          <w:szCs w:val="28"/>
        </w:rPr>
        <w:t>Colorimetric assay of catalase.</w:t>
      </w:r>
      <w:proofErr w:type="gramEnd"/>
      <w:r w:rsidRPr="00D7082F">
        <w:rPr>
          <w:color w:val="000000" w:themeColor="text1"/>
          <w:sz w:val="28"/>
          <w:szCs w:val="28"/>
        </w:rPr>
        <w:t xml:space="preserv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5" w:history="1">
        <w:r w:rsidRPr="00D7082F">
          <w:rPr>
            <w:rStyle w:val="Hyperlink"/>
            <w:color w:val="000000" w:themeColor="text1"/>
            <w:sz w:val="28"/>
            <w:szCs w:val="28"/>
          </w:rPr>
          <w:t>https://doi.org/10.1016/0003-2697(72)90132-7</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Misra, H. P., &amp; Fridovich, I. (1972).</w:t>
      </w:r>
      <w:proofErr w:type="gramEnd"/>
      <w:r w:rsidRPr="00D7082F">
        <w:rPr>
          <w:color w:val="000000" w:themeColor="text1"/>
          <w:sz w:val="28"/>
          <w:szCs w:val="28"/>
        </w:rPr>
        <w:t xml:space="preserve"> </w:t>
      </w:r>
      <w:proofErr w:type="gramStart"/>
      <w:r w:rsidRPr="00D7082F">
        <w:rPr>
          <w:color w:val="000000" w:themeColor="text1"/>
          <w:sz w:val="28"/>
          <w:szCs w:val="28"/>
        </w:rPr>
        <w:t>The role of superoxide anion in the autoxidation of epinephrine and a simple assay for SOD.</w:t>
      </w:r>
      <w:proofErr w:type="gramEnd"/>
      <w:r w:rsidRPr="00D7082F">
        <w:rPr>
          <w:color w:val="000000" w:themeColor="text1"/>
          <w:sz w:val="28"/>
          <w:szCs w:val="28"/>
        </w:rPr>
        <w:t xml:space="preserve">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Adedapo, A. A., Mogbojuri, O. M., &amp; Emikpe, B. O. (2009).</w:t>
      </w:r>
      <w:proofErr w:type="gramEnd"/>
      <w:r w:rsidRPr="00D7082F">
        <w:rPr>
          <w:color w:val="000000" w:themeColor="text1"/>
          <w:sz w:val="28"/>
          <w:szCs w:val="28"/>
        </w:rPr>
        <w:t xml:space="preserve"> </w:t>
      </w:r>
      <w:proofErr w:type="gramStart"/>
      <w:r w:rsidRPr="00D7082F">
        <w:rPr>
          <w:color w:val="000000" w:themeColor="text1"/>
          <w:sz w:val="28"/>
          <w:szCs w:val="28"/>
        </w:rPr>
        <w:t xml:space="preserve">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w:t>
      </w:r>
      <w:proofErr w:type="gramEnd"/>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6" w:history="1">
        <w:r w:rsidRPr="00D7082F">
          <w:rPr>
            <w:rStyle w:val="Hyperlink"/>
            <w:color w:val="000000" w:themeColor="text1"/>
            <w:sz w:val="28"/>
            <w:szCs w:val="28"/>
          </w:rPr>
          <w:t>https://doi.org/10.1177/1091581809348317</w:t>
        </w:r>
      </w:hyperlink>
    </w:p>
    <w:p w:rsidR="007310E0" w:rsidRPr="00D7082F" w:rsidRDefault="007310E0" w:rsidP="007310E0">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Odukoya, O. A., Ilori, O. O., Sofidiya, M. O., Aniunoh, O. A., Lawal, B. M., &amp; Tade, I. O. (2005). </w:t>
      </w:r>
      <w:proofErr w:type="gramStart"/>
      <w:r w:rsidRPr="00D7082F">
        <w:rPr>
          <w:color w:val="000000" w:themeColor="text1"/>
          <w:sz w:val="28"/>
          <w:szCs w:val="28"/>
        </w:rPr>
        <w:t>Antioxidant activity of Nigerian medicinal plants.</w:t>
      </w:r>
      <w:proofErr w:type="gramEnd"/>
      <w:r w:rsidRPr="00D7082F">
        <w:rPr>
          <w:color w:val="000000" w:themeColor="text1"/>
          <w:sz w:val="28"/>
          <w:szCs w:val="28"/>
        </w:rPr>
        <w:t xml:space="preserve"> </w:t>
      </w:r>
      <w:r w:rsidRPr="00D7082F">
        <w:rPr>
          <w:rStyle w:val="Emphasis"/>
          <w:rFonts w:eastAsiaTheme="majorEastAsia"/>
          <w:color w:val="000000" w:themeColor="text1"/>
        </w:rPr>
        <w:t xml:space="preserve">Journal </w:t>
      </w:r>
      <w:r w:rsidRPr="00D7082F">
        <w:rPr>
          <w:rStyle w:val="Emphasis"/>
          <w:rFonts w:eastAsiaTheme="majorEastAsia"/>
          <w:color w:val="000000" w:themeColor="text1"/>
        </w:rPr>
        <w:lastRenderedPageBreak/>
        <w:t>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7310E0" w:rsidRPr="00D7082F" w:rsidRDefault="007310E0" w:rsidP="007310E0">
      <w:pPr>
        <w:spacing w:after="0" w:line="360" w:lineRule="auto"/>
        <w:ind w:left="720" w:hanging="720"/>
        <w:jc w:val="both"/>
        <w:rPr>
          <w:color w:val="000000" w:themeColor="text1"/>
        </w:rPr>
      </w:pPr>
    </w:p>
    <w:p w:rsidR="007310E0" w:rsidRPr="00D7082F" w:rsidRDefault="007310E0" w:rsidP="007310E0">
      <w:pPr>
        <w:spacing w:line="360" w:lineRule="auto"/>
        <w:ind w:left="720" w:hanging="720"/>
        <w:rPr>
          <w:b/>
          <w:bCs/>
          <w:color w:val="000000" w:themeColor="text1"/>
        </w:rPr>
      </w:pPr>
    </w:p>
    <w:p w:rsidR="002E01F5" w:rsidRDefault="002E01F5"/>
    <w:sectPr w:rsidR="002E01F5" w:rsidSect="007D7F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grammar="clean"/>
  <w:defaultTabStop w:val="720"/>
  <w:characterSpacingControl w:val="doNotCompress"/>
  <w:compat/>
  <w:rsids>
    <w:rsidRoot w:val="007310E0"/>
    <w:rsid w:val="00213EF3"/>
    <w:rsid w:val="002E01F5"/>
    <w:rsid w:val="006D2B50"/>
    <w:rsid w:val="007310E0"/>
    <w:rsid w:val="00A118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E0"/>
    <w:rPr>
      <w:rFonts w:ascii="Times New Roman" w:hAnsi="Times New Roman" w:cs="Times New Roman"/>
      <w:sz w:val="28"/>
      <w:szCs w:val="28"/>
    </w:rPr>
  </w:style>
  <w:style w:type="paragraph" w:styleId="Heading1">
    <w:name w:val="heading 1"/>
    <w:basedOn w:val="Normal"/>
    <w:next w:val="Normal"/>
    <w:link w:val="Heading1Char"/>
    <w:uiPriority w:val="9"/>
    <w:qFormat/>
    <w:rsid w:val="007310E0"/>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7310E0"/>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7310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310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0E0"/>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7310E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7310E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310E0"/>
    <w:rPr>
      <w:rFonts w:asciiTheme="majorHAnsi" w:eastAsiaTheme="majorEastAsia" w:hAnsiTheme="majorHAnsi" w:cstheme="majorBidi"/>
      <w:i/>
      <w:iCs/>
      <w:color w:val="2E74B5" w:themeColor="accent1" w:themeShade="BF"/>
      <w:sz w:val="28"/>
      <w:szCs w:val="28"/>
    </w:rPr>
  </w:style>
  <w:style w:type="paragraph" w:customStyle="1" w:styleId="Default">
    <w:name w:val="Default"/>
    <w:rsid w:val="007310E0"/>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7310E0"/>
    <w:rPr>
      <w:i/>
      <w:iCs/>
    </w:rPr>
  </w:style>
  <w:style w:type="character" w:styleId="Strong">
    <w:name w:val="Strong"/>
    <w:basedOn w:val="DefaultParagraphFont"/>
    <w:uiPriority w:val="22"/>
    <w:qFormat/>
    <w:rsid w:val="007310E0"/>
    <w:rPr>
      <w:b/>
      <w:bCs/>
    </w:rPr>
  </w:style>
  <w:style w:type="paragraph" w:styleId="NormalWeb">
    <w:name w:val="Normal (Web)"/>
    <w:basedOn w:val="Normal"/>
    <w:uiPriority w:val="99"/>
    <w:unhideWhenUsed/>
    <w:rsid w:val="007310E0"/>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7310E0"/>
    <w:pPr>
      <w:spacing w:after="200" w:line="276" w:lineRule="auto"/>
      <w:ind w:left="720"/>
      <w:contextualSpacing/>
    </w:pPr>
  </w:style>
  <w:style w:type="character" w:styleId="Hyperlink">
    <w:name w:val="Hyperlink"/>
    <w:basedOn w:val="DefaultParagraphFont"/>
    <w:uiPriority w:val="99"/>
    <w:unhideWhenUsed/>
    <w:rsid w:val="007310E0"/>
    <w:rPr>
      <w:color w:val="0000FF"/>
      <w:u w:val="single"/>
    </w:rPr>
  </w:style>
  <w:style w:type="table" w:styleId="TableGrid">
    <w:name w:val="Table Grid"/>
    <w:basedOn w:val="TableNormal"/>
    <w:uiPriority w:val="39"/>
    <w:rsid w:val="007310E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7310E0"/>
  </w:style>
  <w:style w:type="character" w:customStyle="1" w:styleId="vlist-s">
    <w:name w:val="vlist-s"/>
    <w:basedOn w:val="DefaultParagraphFont"/>
    <w:rsid w:val="007310E0"/>
  </w:style>
  <w:style w:type="character" w:customStyle="1" w:styleId="mrel">
    <w:name w:val="mrel"/>
    <w:basedOn w:val="DefaultParagraphFont"/>
    <w:rsid w:val="007310E0"/>
  </w:style>
  <w:style w:type="character" w:customStyle="1" w:styleId="mbin">
    <w:name w:val="mbin"/>
    <w:basedOn w:val="DefaultParagraphFont"/>
    <w:rsid w:val="007310E0"/>
  </w:style>
  <w:style w:type="character" w:customStyle="1" w:styleId="A0">
    <w:name w:val="A0"/>
    <w:uiPriority w:val="99"/>
    <w:rsid w:val="007310E0"/>
    <w:rPr>
      <w:rFonts w:cs="Trebuchet MS"/>
      <w:color w:val="000000"/>
      <w:sz w:val="20"/>
      <w:szCs w:val="20"/>
    </w:rPr>
  </w:style>
  <w:style w:type="character" w:customStyle="1" w:styleId="A6">
    <w:name w:val="A6"/>
    <w:uiPriority w:val="99"/>
    <w:rsid w:val="007310E0"/>
    <w:rPr>
      <w:rFonts w:cs="Trebuchet MS"/>
      <w:color w:val="000000"/>
      <w:sz w:val="11"/>
      <w:szCs w:val="11"/>
    </w:rPr>
  </w:style>
  <w:style w:type="character" w:customStyle="1" w:styleId="katex-mathml">
    <w:name w:val="katex-mathml"/>
    <w:basedOn w:val="DefaultParagraphFont"/>
    <w:rsid w:val="007310E0"/>
  </w:style>
  <w:style w:type="character" w:styleId="PlaceholderText">
    <w:name w:val="Placeholder Text"/>
    <w:basedOn w:val="DefaultParagraphFont"/>
    <w:uiPriority w:val="99"/>
    <w:semiHidden/>
    <w:rsid w:val="007310E0"/>
    <w:rPr>
      <w:color w:val="666666"/>
    </w:rPr>
  </w:style>
  <w:style w:type="character" w:customStyle="1" w:styleId="katex-error">
    <w:name w:val="katex-error"/>
    <w:basedOn w:val="DefaultParagraphFont"/>
    <w:rsid w:val="007310E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S0076-6879(78)52032-6" TargetMode="External"/><Relationship Id="rId26" Type="http://schemas.openxmlformats.org/officeDocument/2006/relationships/hyperlink" Target="https://doi.org/10.1177/1091581809348317" TargetMode="External"/><Relationship Id="rId3" Type="http://schemas.openxmlformats.org/officeDocument/2006/relationships/settings" Target="settings.xml"/><Relationship Id="rId21" Type="http://schemas.openxmlformats.org/officeDocument/2006/relationships/hyperlink" Target="https://doi.org/10.1016/j.jep.2013.06.00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016/0003-2697(72)9013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96/fasebj.10.7.8635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1155/2013/29247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6/j.biocel.2006.07.00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0003-2697(79)9073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rintmedical.in" TargetMode="External"/><Relationship Id="rId22" Type="http://schemas.openxmlformats.org/officeDocument/2006/relationships/hyperlink" Target="https://doi.org/10.9734/BJMMR/2015/1512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91</Pages>
  <Words>19211</Words>
  <Characters>109504</Characters>
  <Application>Microsoft Office Word</Application>
  <DocSecurity>0</DocSecurity>
  <Lines>912</Lines>
  <Paragraphs>256</Paragraphs>
  <ScaleCrop>false</ScaleCrop>
  <Company/>
  <LinksUpToDate>false</LinksUpToDate>
  <CharactersWithSpaces>128459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2025-07-24T07:07:00Z</dcterms:created>
  <dcterms:modified xsi:type="dcterms:W3CDTF">2025-07-24T07:10:00Z</dcterms:modified>
</cp:coreProperties>
</file>