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B968F6" w:rsidRPr="00B968F6" w:rsidRDefault="00B968F6" w:rsidP="00B968F6">
      <w:pPr>
        <w:spacing w:line="240" w:lineRule="auto"/>
        <w:jc w:val="center"/>
        <w:rPr>
          <w:rFonts w:ascii="Cambria" w:hAnsi="Cambria" w:cs="Times New Roman"/>
          <w:b/>
          <w:bCs/>
          <w:sz w:val="44"/>
          <w:szCs w:val="34"/>
        </w:rPr>
      </w:pPr>
      <w:r w:rsidRPr="00B968F6">
        <w:rPr>
          <w:rFonts w:ascii="Cambria" w:hAnsi="Cambria" w:cs="Times New Roman"/>
          <w:b/>
          <w:bCs/>
          <w:sz w:val="44"/>
          <w:szCs w:val="34"/>
        </w:rPr>
        <w:t xml:space="preserve">KAZEEM MUIEEZ OPEYEMI </w:t>
      </w:r>
    </w:p>
    <w:p w:rsidR="00E624D0" w:rsidRDefault="00B968F6" w:rsidP="00B968F6">
      <w:pPr>
        <w:spacing w:line="240" w:lineRule="auto"/>
        <w:jc w:val="center"/>
        <w:rPr>
          <w:rFonts w:ascii="Times New Roman" w:hAnsi="Times New Roman" w:cs="Times New Roman"/>
          <w:b/>
          <w:bCs/>
          <w:sz w:val="32"/>
          <w:szCs w:val="24"/>
        </w:rPr>
      </w:pPr>
      <w:r w:rsidRPr="00B968F6">
        <w:rPr>
          <w:rFonts w:ascii="Cambria" w:hAnsi="Cambria" w:cs="Times New Roman"/>
          <w:b/>
          <w:bCs/>
          <w:sz w:val="44"/>
          <w:szCs w:val="34"/>
        </w:rPr>
        <w:t>HND/23/SLT/FT/0773</w:t>
      </w:r>
    </w:p>
    <w:p w:rsidR="00B968F6" w:rsidRDefault="00B968F6"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8762C5" w:rsidRPr="006B1446" w:rsidRDefault="008762C5" w:rsidP="008762C5">
      <w:pPr>
        <w:spacing w:line="360" w:lineRule="auto"/>
        <w:jc w:val="both"/>
        <w:rPr>
          <w:rFonts w:ascii="Times New Roman" w:hAnsi="Times New Roman" w:cs="Times New Roman"/>
          <w:sz w:val="24"/>
          <w:szCs w:val="24"/>
        </w:rPr>
      </w:pPr>
      <w:r w:rsidRPr="008762C5">
        <w:rPr>
          <w:rFonts w:ascii="Times New Roman" w:hAnsi="Times New Roman" w:cs="Times New Roman"/>
          <w:sz w:val="24"/>
          <w:szCs w:val="24"/>
        </w:rPr>
        <w:t xml:space="preserve">This is to certify that this is the original work carried out and reported by </w:t>
      </w:r>
      <w:r>
        <w:rPr>
          <w:rFonts w:ascii="Times New Roman" w:hAnsi="Times New Roman" w:cs="Times New Roman"/>
          <w:b/>
          <w:bCs/>
          <w:sz w:val="24"/>
          <w:szCs w:val="24"/>
        </w:rPr>
        <w:t xml:space="preserve">KAZEEM MUIEEZ OPEYEMI </w:t>
      </w:r>
      <w:r w:rsidRPr="0070369D">
        <w:rPr>
          <w:rFonts w:ascii="Times New Roman" w:hAnsi="Times New Roman" w:cs="Times New Roman"/>
          <w:bCs/>
          <w:sz w:val="24"/>
          <w:szCs w:val="24"/>
        </w:rPr>
        <w:t>with matric number</w:t>
      </w:r>
      <w:r>
        <w:rPr>
          <w:rFonts w:ascii="Times New Roman" w:hAnsi="Times New Roman" w:cs="Times New Roman"/>
          <w:b/>
          <w:bCs/>
          <w:sz w:val="24"/>
          <w:szCs w:val="24"/>
        </w:rPr>
        <w:t xml:space="preserve">: </w:t>
      </w:r>
      <w:r w:rsidRPr="0070369D">
        <w:rPr>
          <w:rFonts w:ascii="Times New Roman" w:hAnsi="Times New Roman" w:cs="Times New Roman"/>
          <w:b/>
          <w:bCs/>
          <w:sz w:val="24"/>
          <w:szCs w:val="24"/>
        </w:rPr>
        <w:t>HND/23/SLT/FT/0773</w:t>
      </w:r>
      <w:r w:rsidRPr="008762C5">
        <w:rPr>
          <w:rFonts w:ascii="Times New Roman" w:hAnsi="Times New Roman" w:cs="Times New Roman"/>
          <w:sz w:val="24"/>
          <w:szCs w:val="24"/>
        </w:rPr>
        <w:t xml:space="preserve"> of the Department of Science Laboratory Technology, Biochemistry Unit, Inst</w:t>
      </w:r>
      <w:bookmarkStart w:id="0" w:name="_GoBack"/>
      <w:bookmarkEnd w:id="0"/>
      <w:r w:rsidRPr="008762C5">
        <w:rPr>
          <w:rFonts w:ascii="Times New Roman" w:hAnsi="Times New Roman" w:cs="Times New Roman"/>
          <w:sz w:val="24"/>
          <w:szCs w:val="24"/>
        </w:rPr>
        <w:t xml:space="preserve">itute of Applied Science (IAS) Kwara State Polytechnic. And it has been </w:t>
      </w:r>
      <w:r w:rsidRPr="008762C5">
        <w:rPr>
          <w:rFonts w:ascii="Times New Roman" w:hAnsi="Times New Roman" w:cs="Times New Roman"/>
          <w:sz w:val="24"/>
          <w:szCs w:val="24"/>
        </w:rPr>
        <w:t>approved</w:t>
      </w:r>
      <w:r w:rsidRPr="008762C5">
        <w:rPr>
          <w:rFonts w:ascii="Times New Roman" w:hAnsi="Times New Roman" w:cs="Times New Roman"/>
          <w:sz w:val="24"/>
          <w:szCs w:val="24"/>
        </w:rPr>
        <w:t xml:space="preserve"> in Partial Fulfilment of the Requirements of the Award of Higher National Diploma (HND) in Science Laboratory Technology.</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8762C5" w:rsidRDefault="008762C5" w:rsidP="00005CDB">
      <w:pPr>
        <w:spacing w:line="360" w:lineRule="auto"/>
        <w:jc w:val="both"/>
        <w:rPr>
          <w:rFonts w:ascii="Times New Roman" w:hAnsi="Times New Roman" w:cs="Times New Roman"/>
          <w:sz w:val="24"/>
          <w:szCs w:val="24"/>
        </w:rPr>
      </w:pPr>
    </w:p>
    <w:p w:rsidR="008762C5" w:rsidRDefault="008762C5"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8762C5" w:rsidRDefault="008762C5"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B968F6" w:rsidRPr="009614E7"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This project is dedicated to Almighty Allah for is mercy, blessings and great. He has made everything possible for me to have gone through this program successfully.</w:t>
      </w:r>
    </w:p>
    <w:p w:rsidR="00B968F6" w:rsidRPr="009614E7"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I also dedicate this to my beloved parents MR and MRS KAZEEM for their moral and support towards the success of the project, may God spear their life in good health and wealth for them to reap the fruit of their labor (Amin)</w:t>
      </w:r>
    </w:p>
    <w:p w:rsidR="00B968F6" w:rsidRDefault="00B968F6">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B968F6" w:rsidRPr="009614E7"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 xml:space="preserve">I will forever be grateful to Almighty Allah, the compassionate, the beneficent and the most merciful, who has been through mercy and protection for sparing me till date and made it possible for me to undertake this cause and bearing odds throughout the period of my stay in </w:t>
      </w:r>
      <w:r w:rsidR="003E0251" w:rsidRPr="009614E7">
        <w:rPr>
          <w:rFonts w:ascii="Times New Roman" w:hAnsi="Times New Roman" w:cs="Times New Roman"/>
          <w:sz w:val="24"/>
        </w:rPr>
        <w:t>school,</w:t>
      </w:r>
      <w:r w:rsidRPr="009614E7">
        <w:rPr>
          <w:rFonts w:ascii="Times New Roman" w:hAnsi="Times New Roman" w:cs="Times New Roman"/>
          <w:sz w:val="24"/>
        </w:rPr>
        <w:t xml:space="preserve"> to him alone be the </w:t>
      </w:r>
      <w:r w:rsidR="003E0251" w:rsidRPr="009614E7">
        <w:rPr>
          <w:rFonts w:ascii="Times New Roman" w:hAnsi="Times New Roman" w:cs="Times New Roman"/>
          <w:sz w:val="24"/>
        </w:rPr>
        <w:t>glory.</w:t>
      </w:r>
    </w:p>
    <w:p w:rsidR="00B968F6"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 xml:space="preserve"> I gratefully appreciate the effort of my lovely parents MR and MRS </w:t>
      </w:r>
      <w:proofErr w:type="spellStart"/>
      <w:r w:rsidRPr="009614E7">
        <w:rPr>
          <w:rFonts w:ascii="Times New Roman" w:hAnsi="Times New Roman" w:cs="Times New Roman"/>
          <w:sz w:val="24"/>
        </w:rPr>
        <w:t>Kazeem</w:t>
      </w:r>
      <w:proofErr w:type="spellEnd"/>
      <w:r w:rsidRPr="009614E7">
        <w:rPr>
          <w:rFonts w:ascii="Times New Roman" w:hAnsi="Times New Roman" w:cs="Times New Roman"/>
          <w:sz w:val="24"/>
        </w:rPr>
        <w:t xml:space="preserve"> for their assistance both moral and financial support</w:t>
      </w:r>
      <w:r>
        <w:rPr>
          <w:rFonts w:ascii="Times New Roman" w:hAnsi="Times New Roman" w:cs="Times New Roman"/>
          <w:sz w:val="24"/>
        </w:rPr>
        <w:t xml:space="preserve">, may God bless them so much.  </w:t>
      </w:r>
    </w:p>
    <w:p w:rsidR="00B968F6" w:rsidRPr="009614E7"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I should not forget to register my sincere and deepest gratitude to my supervisor MR OSENI T.O for his assistance giving in reading the project and making necessary corrections, may Almighty Allah bless you sir (Ameen).</w:t>
      </w:r>
    </w:p>
    <w:p w:rsidR="00B968F6" w:rsidRPr="009614E7" w:rsidRDefault="00B968F6" w:rsidP="00B968F6">
      <w:pPr>
        <w:spacing w:line="360" w:lineRule="auto"/>
        <w:jc w:val="both"/>
        <w:rPr>
          <w:rFonts w:ascii="Times New Roman" w:hAnsi="Times New Roman" w:cs="Times New Roman"/>
          <w:sz w:val="24"/>
        </w:rPr>
      </w:pPr>
      <w:r w:rsidRPr="009614E7">
        <w:rPr>
          <w:rFonts w:ascii="Times New Roman" w:hAnsi="Times New Roman" w:cs="Times New Roman"/>
          <w:sz w:val="24"/>
        </w:rPr>
        <w:t xml:space="preserve">In conclusion I appreciate the effort of all the people whose contributions is no small measure as assisted me in the successful of my project, my lovely brothers and sisters , </w:t>
      </w:r>
      <w:proofErr w:type="spellStart"/>
      <w:r w:rsidRPr="009614E7">
        <w:rPr>
          <w:rFonts w:ascii="Times New Roman" w:hAnsi="Times New Roman" w:cs="Times New Roman"/>
          <w:sz w:val="24"/>
        </w:rPr>
        <w:t>Abdulafeez</w:t>
      </w:r>
      <w:proofErr w:type="spellEnd"/>
      <w:r w:rsidRPr="009614E7">
        <w:rPr>
          <w:rFonts w:ascii="Times New Roman" w:hAnsi="Times New Roman" w:cs="Times New Roman"/>
          <w:sz w:val="24"/>
        </w:rPr>
        <w:t xml:space="preserve"> </w:t>
      </w:r>
      <w:proofErr w:type="spellStart"/>
      <w:r w:rsidRPr="009614E7">
        <w:rPr>
          <w:rFonts w:ascii="Times New Roman" w:hAnsi="Times New Roman" w:cs="Times New Roman"/>
          <w:sz w:val="24"/>
        </w:rPr>
        <w:t>kayode</w:t>
      </w:r>
      <w:proofErr w:type="spellEnd"/>
      <w:r w:rsidRPr="009614E7">
        <w:rPr>
          <w:rFonts w:ascii="Times New Roman" w:hAnsi="Times New Roman" w:cs="Times New Roman"/>
          <w:sz w:val="24"/>
        </w:rPr>
        <w:t xml:space="preserve">, </w:t>
      </w:r>
      <w:proofErr w:type="spellStart"/>
      <w:r w:rsidRPr="009614E7">
        <w:rPr>
          <w:rFonts w:ascii="Times New Roman" w:hAnsi="Times New Roman" w:cs="Times New Roman"/>
          <w:sz w:val="24"/>
        </w:rPr>
        <w:t>Tijani</w:t>
      </w:r>
      <w:proofErr w:type="spellEnd"/>
      <w:r w:rsidRPr="009614E7">
        <w:rPr>
          <w:rFonts w:ascii="Times New Roman" w:hAnsi="Times New Roman" w:cs="Times New Roman"/>
          <w:sz w:val="24"/>
        </w:rPr>
        <w:t xml:space="preserve"> Ali and the </w:t>
      </w:r>
      <w:proofErr w:type="spellStart"/>
      <w:r w:rsidRPr="009614E7">
        <w:rPr>
          <w:rFonts w:ascii="Times New Roman" w:hAnsi="Times New Roman" w:cs="Times New Roman"/>
          <w:sz w:val="24"/>
        </w:rPr>
        <w:t>Kazeem’s</w:t>
      </w:r>
      <w:proofErr w:type="spellEnd"/>
      <w:r w:rsidRPr="009614E7">
        <w:rPr>
          <w:rFonts w:ascii="Times New Roman" w:hAnsi="Times New Roman" w:cs="Times New Roman"/>
          <w:sz w:val="24"/>
        </w:rPr>
        <w:t xml:space="preserve"> family entirely, my boys: </w:t>
      </w:r>
      <w:proofErr w:type="spellStart"/>
      <w:r w:rsidRPr="009614E7">
        <w:rPr>
          <w:rFonts w:ascii="Times New Roman" w:hAnsi="Times New Roman" w:cs="Times New Roman"/>
          <w:sz w:val="24"/>
        </w:rPr>
        <w:t>Hobelly</w:t>
      </w:r>
      <w:proofErr w:type="spellEnd"/>
      <w:r w:rsidRPr="009614E7">
        <w:rPr>
          <w:rFonts w:ascii="Times New Roman" w:hAnsi="Times New Roman" w:cs="Times New Roman"/>
          <w:sz w:val="24"/>
        </w:rPr>
        <w:t xml:space="preserve">, </w:t>
      </w:r>
      <w:proofErr w:type="spellStart"/>
      <w:r w:rsidRPr="009614E7">
        <w:rPr>
          <w:rFonts w:ascii="Times New Roman" w:hAnsi="Times New Roman" w:cs="Times New Roman"/>
          <w:sz w:val="24"/>
        </w:rPr>
        <w:t>Jiggy</w:t>
      </w:r>
      <w:proofErr w:type="spellEnd"/>
      <w:r w:rsidRPr="009614E7">
        <w:rPr>
          <w:rFonts w:ascii="Times New Roman" w:hAnsi="Times New Roman" w:cs="Times New Roman"/>
          <w:sz w:val="24"/>
        </w:rPr>
        <w:t xml:space="preserve">, AOJ, </w:t>
      </w:r>
      <w:proofErr w:type="spellStart"/>
      <w:r w:rsidRPr="009614E7">
        <w:rPr>
          <w:rFonts w:ascii="Times New Roman" w:hAnsi="Times New Roman" w:cs="Times New Roman"/>
          <w:sz w:val="24"/>
        </w:rPr>
        <w:t>Honourable</w:t>
      </w:r>
      <w:proofErr w:type="spellEnd"/>
      <w:r w:rsidRPr="009614E7">
        <w:rPr>
          <w:rFonts w:ascii="Times New Roman" w:hAnsi="Times New Roman" w:cs="Times New Roman"/>
          <w:sz w:val="24"/>
        </w:rPr>
        <w:t xml:space="preserve"> </w:t>
      </w:r>
      <w:proofErr w:type="spellStart"/>
      <w:r w:rsidRPr="009614E7">
        <w:rPr>
          <w:rFonts w:ascii="Times New Roman" w:hAnsi="Times New Roman" w:cs="Times New Roman"/>
          <w:sz w:val="24"/>
        </w:rPr>
        <w:t>Ganiyu</w:t>
      </w:r>
      <w:proofErr w:type="spellEnd"/>
      <w:r w:rsidRPr="009614E7">
        <w:rPr>
          <w:rFonts w:ascii="Times New Roman" w:hAnsi="Times New Roman" w:cs="Times New Roman"/>
          <w:sz w:val="24"/>
        </w:rPr>
        <w:t xml:space="preserve"> , Frontier and Emperor IPad. Thank y’all for making the journey a memorable one. And lastly my group members, May Almighty Allah bless you all (Amin)</w:t>
      </w:r>
    </w:p>
    <w:p w:rsidR="00E624D0" w:rsidRDefault="00E624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 xml:space="preserve">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other genera, such as </w:t>
      </w:r>
      <w:proofErr w:type="spellStart"/>
      <w:r>
        <w:t>Moringa</w:t>
      </w:r>
      <w:proofErr w:type="spellEnd"/>
      <w:r>
        <w:t xml:space="preserve"> </w:t>
      </w:r>
      <w:proofErr w:type="spellStart"/>
      <w:r>
        <w:t>peregrina</w:t>
      </w:r>
      <w:proofErr w:type="spellEnd"/>
      <w:r>
        <w:t xml:space="preserve">,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 xml:space="preserve">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w:t>
      </w:r>
      <w:r w:rsidRPr="008739A2">
        <w:rPr>
          <w:rFonts w:ascii="Times New Roman" w:eastAsia="Times New Roman" w:hAnsi="Times New Roman" w:cs="Times New Roman"/>
          <w:sz w:val="24"/>
          <w:szCs w:val="24"/>
        </w:rPr>
        <w:lastRenderedPageBreak/>
        <w:t xml:space="preserve">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 xml:space="preserve">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xml:space="preserve">, A. H. (2007).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M. (2005).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digitata</w:t>
      </w:r>
      <w:proofErr w:type="spellEnd"/>
      <w:r w:rsidRPr="008739A2">
        <w:rPr>
          <w:rFonts w:ascii="Times New Roman" w:eastAsia="Times New Roman" w:hAnsi="Times New Roman" w:cs="Times New Roman"/>
          <w:i/>
          <w:iCs/>
          <w:sz w:val="24"/>
          <w:szCs w:val="24"/>
        </w:rPr>
        <w:t xml:space="preserve">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M. (2012).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J. P. (2011).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xml:space="preserve">, G. (2008).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3A" w:rsidRDefault="00D2583A" w:rsidP="00281875">
      <w:pPr>
        <w:spacing w:after="0" w:line="240" w:lineRule="auto"/>
      </w:pPr>
      <w:r>
        <w:separator/>
      </w:r>
    </w:p>
  </w:endnote>
  <w:endnote w:type="continuationSeparator" w:id="0">
    <w:p w:rsidR="00D2583A" w:rsidRDefault="00D2583A"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B968F6" w:rsidRDefault="00B968F6">
        <w:pPr>
          <w:pStyle w:val="Footer"/>
          <w:jc w:val="center"/>
        </w:pPr>
      </w:p>
      <w:p w:rsidR="00B968F6" w:rsidRDefault="00B968F6">
        <w:pPr>
          <w:pStyle w:val="Footer"/>
          <w:jc w:val="center"/>
          <w:rPr>
            <w:noProof/>
          </w:rPr>
        </w:pPr>
        <w:r>
          <w:fldChar w:fldCharType="begin"/>
        </w:r>
        <w:r>
          <w:instrText xml:space="preserve"> PAGE   \* MERGEFORMAT </w:instrText>
        </w:r>
        <w:r>
          <w:fldChar w:fldCharType="separate"/>
        </w:r>
        <w:r w:rsidR="006A5197">
          <w:rPr>
            <w:noProof/>
          </w:rPr>
          <w:t>13</w:t>
        </w:r>
        <w:r>
          <w:rPr>
            <w:noProof/>
          </w:rPr>
          <w:fldChar w:fldCharType="end"/>
        </w:r>
      </w:p>
      <w:p w:rsidR="00B968F6" w:rsidRDefault="00B968F6">
        <w:pPr>
          <w:pStyle w:val="Footer"/>
          <w:jc w:val="center"/>
          <w:rPr>
            <w:noProof/>
          </w:rPr>
        </w:pPr>
      </w:p>
      <w:p w:rsidR="00B968F6" w:rsidRDefault="00B968F6">
        <w:pPr>
          <w:pStyle w:val="Footer"/>
          <w:jc w:val="center"/>
          <w:rPr>
            <w:noProof/>
          </w:rPr>
        </w:pPr>
      </w:p>
      <w:p w:rsidR="00B968F6" w:rsidRDefault="00B968F6">
        <w:pPr>
          <w:pStyle w:val="Footer"/>
          <w:jc w:val="center"/>
          <w:rPr>
            <w:noProof/>
          </w:rPr>
        </w:pPr>
      </w:p>
      <w:p w:rsidR="00B968F6" w:rsidRDefault="00D2583A">
        <w:pPr>
          <w:pStyle w:val="Footer"/>
          <w:jc w:val="center"/>
        </w:pPr>
      </w:p>
    </w:sdtContent>
  </w:sdt>
  <w:p w:rsidR="00B968F6" w:rsidRDefault="00B96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3A" w:rsidRDefault="00D2583A" w:rsidP="00281875">
      <w:pPr>
        <w:spacing w:after="0" w:line="240" w:lineRule="auto"/>
      </w:pPr>
      <w:r>
        <w:separator/>
      </w:r>
    </w:p>
  </w:footnote>
  <w:footnote w:type="continuationSeparator" w:id="0">
    <w:p w:rsidR="00D2583A" w:rsidRDefault="00D2583A"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8F6" w:rsidRDefault="00B96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D3437"/>
    <w:rsid w:val="00281875"/>
    <w:rsid w:val="00382F5E"/>
    <w:rsid w:val="003E0251"/>
    <w:rsid w:val="004639C2"/>
    <w:rsid w:val="004C736F"/>
    <w:rsid w:val="00572F14"/>
    <w:rsid w:val="005D6961"/>
    <w:rsid w:val="005D7102"/>
    <w:rsid w:val="00627EA3"/>
    <w:rsid w:val="006575C6"/>
    <w:rsid w:val="006A5197"/>
    <w:rsid w:val="0070369D"/>
    <w:rsid w:val="0074496C"/>
    <w:rsid w:val="007A3895"/>
    <w:rsid w:val="008114B9"/>
    <w:rsid w:val="008739A2"/>
    <w:rsid w:val="008762C5"/>
    <w:rsid w:val="00894247"/>
    <w:rsid w:val="0094063F"/>
    <w:rsid w:val="00B968F6"/>
    <w:rsid w:val="00CD23C0"/>
    <w:rsid w:val="00CF29AF"/>
    <w:rsid w:val="00D2583A"/>
    <w:rsid w:val="00E624D0"/>
    <w:rsid w:val="00E97805"/>
    <w:rsid w:val="00F236F4"/>
    <w:rsid w:val="00F258A6"/>
    <w:rsid w:val="00F7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52</Pages>
  <Words>10110</Words>
  <Characters>57630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2025-07-23T12:40:00Z</cp:lastPrinted>
  <dcterms:created xsi:type="dcterms:W3CDTF">2025-07-22T20:34:00Z</dcterms:created>
  <dcterms:modified xsi:type="dcterms:W3CDTF">2025-07-23T14:05:00Z</dcterms:modified>
</cp:coreProperties>
</file>