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FE" w:rsidRPr="00CA4F69" w:rsidRDefault="004E43FE" w:rsidP="004E43FE">
      <w:pPr>
        <w:spacing w:after="0" w:line="240" w:lineRule="auto"/>
        <w:jc w:val="center"/>
        <w:rPr>
          <w:rFonts w:ascii="Times New Roman" w:hAnsi="Times New Roman" w:cs="Times New Roman"/>
          <w:b/>
          <w:bCs/>
          <w:sz w:val="36"/>
          <w:szCs w:val="24"/>
        </w:rPr>
      </w:pPr>
      <w:r w:rsidRPr="00CA4F69">
        <w:rPr>
          <w:rFonts w:ascii="Times New Roman" w:hAnsi="Times New Roman" w:cs="Times New Roman"/>
          <w:b/>
          <w:bCs/>
          <w:sz w:val="36"/>
          <w:szCs w:val="24"/>
        </w:rPr>
        <w:t>IMPACT OF LAND SPECULATION ON P</w:t>
      </w:r>
      <w:r w:rsidRPr="00CA4F69">
        <w:rPr>
          <w:rFonts w:ascii="Times New Roman" w:hAnsi="Times New Roman" w:cs="Times New Roman"/>
          <w:b/>
          <w:bCs/>
          <w:sz w:val="36"/>
          <w:szCs w:val="24"/>
          <w:lang w:val="en-US"/>
        </w:rPr>
        <w:t xml:space="preserve">UBLIC </w:t>
      </w:r>
      <w:r w:rsidRPr="00CA4F69">
        <w:rPr>
          <w:rFonts w:ascii="Times New Roman" w:hAnsi="Times New Roman" w:cs="Times New Roman"/>
          <w:b/>
          <w:bCs/>
          <w:sz w:val="36"/>
          <w:szCs w:val="24"/>
        </w:rPr>
        <w:t>PROPERTY DEVELOPMENT</w:t>
      </w:r>
    </w:p>
    <w:p w:rsidR="004E43FE" w:rsidRPr="00CA4F69" w:rsidRDefault="004E43FE" w:rsidP="004E43FE">
      <w:pPr>
        <w:spacing w:after="0" w:line="240" w:lineRule="auto"/>
        <w:jc w:val="center"/>
        <w:rPr>
          <w:rFonts w:ascii="Times New Roman" w:hAnsi="Times New Roman" w:cs="Times New Roman"/>
          <w:b/>
          <w:bCs/>
          <w:i/>
          <w:szCs w:val="24"/>
        </w:rPr>
      </w:pPr>
      <w:r w:rsidRPr="00CA4F69">
        <w:rPr>
          <w:rFonts w:ascii="Times New Roman" w:hAnsi="Times New Roman" w:cs="Times New Roman"/>
          <w:b/>
          <w:bCs/>
          <w:i/>
          <w:szCs w:val="24"/>
        </w:rPr>
        <w:t xml:space="preserve">(A CASE </w:t>
      </w:r>
      <w:r w:rsidRPr="00CA4F69">
        <w:rPr>
          <w:rFonts w:ascii="Times New Roman" w:hAnsi="Times New Roman" w:cs="Times New Roman"/>
          <w:b/>
          <w:bCs/>
          <w:i/>
          <w:szCs w:val="24"/>
          <w:lang w:val="en-US"/>
        </w:rPr>
        <w:t>STU</w:t>
      </w:r>
      <w:r>
        <w:rPr>
          <w:rFonts w:ascii="Times New Roman" w:hAnsi="Times New Roman" w:cs="Times New Roman"/>
          <w:b/>
          <w:bCs/>
          <w:i/>
          <w:szCs w:val="24"/>
          <w:lang w:val="en-US"/>
        </w:rPr>
        <w:t>DY OF NEW GRA BUDO- OSHO, TANKE</w:t>
      </w:r>
      <w:r w:rsidRPr="00CA4F69">
        <w:rPr>
          <w:rFonts w:ascii="Times New Roman" w:hAnsi="Times New Roman" w:cs="Times New Roman"/>
          <w:b/>
          <w:bCs/>
          <w:i/>
          <w:szCs w:val="24"/>
          <w:lang w:val="en-US"/>
        </w:rPr>
        <w:t xml:space="preserve">, </w:t>
      </w:r>
      <w:r w:rsidRPr="00CA4F69">
        <w:rPr>
          <w:rFonts w:ascii="Times New Roman" w:hAnsi="Times New Roman" w:cs="Times New Roman"/>
          <w:b/>
          <w:bCs/>
          <w:i/>
          <w:szCs w:val="24"/>
        </w:rPr>
        <w:t>ILORIN KWARA STATE)</w:t>
      </w:r>
    </w:p>
    <w:p w:rsidR="004E43FE" w:rsidRPr="00E81788" w:rsidRDefault="004E43FE" w:rsidP="004E43FE">
      <w:pPr>
        <w:jc w:val="center"/>
        <w:rPr>
          <w:rFonts w:ascii="Times New Roman" w:hAnsi="Times New Roman" w:cs="Times New Roman"/>
          <w:b/>
          <w:bCs/>
          <w:sz w:val="40"/>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4E43FE" w:rsidRPr="00E81788" w:rsidRDefault="004E43FE" w:rsidP="004E43FE">
      <w:pPr>
        <w:jc w:val="center"/>
        <w:rPr>
          <w:rFonts w:ascii="Times New Roman" w:hAnsi="Times New Roman" w:cs="Times New Roman"/>
          <w:b/>
          <w:sz w:val="44"/>
          <w:szCs w:val="28"/>
        </w:rPr>
      </w:pPr>
    </w:p>
    <w:p w:rsidR="004E43FE" w:rsidRPr="00E81788"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52"/>
          <w:szCs w:val="28"/>
        </w:rPr>
        <w:t>ALIYU ZAINAB ABIOLA</w:t>
      </w:r>
    </w:p>
    <w:p w:rsidR="004E43FE" w:rsidRPr="00CA4F69"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48"/>
          <w:szCs w:val="28"/>
        </w:rPr>
        <w:t>HND/23/ETM/FT/0015</w:t>
      </w:r>
    </w:p>
    <w:p w:rsidR="004E43FE" w:rsidRPr="00E81788" w:rsidRDefault="004E43FE" w:rsidP="004E43FE">
      <w:pPr>
        <w:jc w:val="center"/>
        <w:rPr>
          <w:rFonts w:ascii="Times New Roman" w:hAnsi="Times New Roman" w:cs="Times New Roman"/>
          <w:b/>
          <w:sz w:val="28"/>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4E43FE" w:rsidRPr="00E81788" w:rsidRDefault="004E43FE" w:rsidP="004E43FE">
      <w:pPr>
        <w:spacing w:after="0"/>
        <w:rPr>
          <w:rFonts w:ascii="Times New Roman" w:hAnsi="Times New Roman" w:cs="Times New Roman"/>
          <w:b/>
          <w:sz w:val="28"/>
          <w:szCs w:val="28"/>
        </w:rPr>
      </w:pPr>
    </w:p>
    <w:p w:rsidR="004E43FE"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4E43FE" w:rsidRDefault="004E43FE" w:rsidP="004E43FE">
      <w:pPr>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E43FE" w:rsidRDefault="004E43FE" w:rsidP="004E43FE">
      <w:pPr>
        <w:jc w:val="center"/>
        <w:rPr>
          <w:rFonts w:ascii="Times New Roman" w:hAnsi="Times New Roman" w:cs="Times New Roman"/>
          <w:b/>
          <w:sz w:val="28"/>
          <w:szCs w:val="28"/>
        </w:rPr>
      </w:pPr>
    </w:p>
    <w:p w:rsidR="004E43FE" w:rsidRPr="00E81788" w:rsidRDefault="004E43FE" w:rsidP="004E43FE">
      <w:pPr>
        <w:ind w:left="4320" w:firstLine="720"/>
        <w:jc w:val="center"/>
        <w:rPr>
          <w:rFonts w:ascii="Times New Roman" w:hAnsi="Times New Roman" w:cs="Times New Roman"/>
          <w:b/>
          <w:sz w:val="28"/>
          <w:szCs w:val="28"/>
        </w:rPr>
      </w:pPr>
      <w:r>
        <w:rPr>
          <w:rFonts w:ascii="Times New Roman" w:hAnsi="Times New Roman" w:cs="Times New Roman"/>
          <w:b/>
          <w:sz w:val="28"/>
          <w:szCs w:val="28"/>
        </w:rPr>
        <w:t>JULY, 2025</w:t>
      </w:r>
    </w:p>
    <w:p w:rsidR="004E43FE" w:rsidRPr="00E81788" w:rsidRDefault="004E43FE" w:rsidP="004E43FE">
      <w:pPr>
        <w:rPr>
          <w:sz w:val="28"/>
          <w:szCs w:val="28"/>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rPr>
      </w:pPr>
    </w:p>
    <w:p w:rsidR="004E43FE" w:rsidRPr="002C7B49" w:rsidRDefault="004E43FE" w:rsidP="004E43FE">
      <w:pPr>
        <w:spacing w:after="0"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4E43FE" w:rsidRPr="002C7B49" w:rsidRDefault="004E43FE" w:rsidP="004E43FE">
      <w:pPr>
        <w:spacing w:after="0" w:line="360" w:lineRule="auto"/>
        <w:jc w:val="both"/>
        <w:rPr>
          <w:rFonts w:ascii="Times New Roman" w:hAnsi="Times New Roman" w:cs="Times New Roman"/>
        </w:rPr>
      </w:pPr>
      <w:r>
        <w:rPr>
          <w:rFonts w:ascii="Times New Roman" w:hAnsi="Times New Roman" w:cs="Times New Roman"/>
        </w:rPr>
        <w:tab/>
      </w: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proofErr w:type="spellStart"/>
      <w:r>
        <w:rPr>
          <w:rFonts w:ascii="Times New Roman" w:hAnsi="Times New Roman" w:cs="Times New Roman"/>
        </w:rPr>
        <w:t>Aliyu</w:t>
      </w:r>
      <w:proofErr w:type="spellEnd"/>
      <w:r>
        <w:rPr>
          <w:rFonts w:ascii="Times New Roman" w:hAnsi="Times New Roman" w:cs="Times New Roman"/>
        </w:rPr>
        <w:t xml:space="preserve"> </w:t>
      </w:r>
      <w:proofErr w:type="spellStart"/>
      <w:r>
        <w:rPr>
          <w:rFonts w:ascii="Times New Roman" w:hAnsi="Times New Roman" w:cs="Times New Roman"/>
        </w:rPr>
        <w:t>Zainab</w:t>
      </w:r>
      <w:proofErr w:type="spellEnd"/>
      <w:r>
        <w:rPr>
          <w:rFonts w:ascii="Times New Roman" w:hAnsi="Times New Roman" w:cs="Times New Roman"/>
        </w:rPr>
        <w:t xml:space="preserve"> </w:t>
      </w:r>
      <w:proofErr w:type="spellStart"/>
      <w:r>
        <w:rPr>
          <w:rFonts w:ascii="Times New Roman" w:hAnsi="Times New Roman" w:cs="Times New Roman"/>
        </w:rPr>
        <w:t>Abiola</w:t>
      </w:r>
      <w:proofErr w:type="spellEnd"/>
      <w:r>
        <w:rPr>
          <w:rFonts w:ascii="Times New Roman" w:hAnsi="Times New Roman" w:cs="Times New Roman"/>
        </w:rPr>
        <w:t xml:space="preserve"> with Matriculation Number: HND/23/ETM/FT/0015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4E43FE" w:rsidRDefault="004E43FE" w:rsidP="004E43FE">
      <w:pPr>
        <w:spacing w:line="360" w:lineRule="auto"/>
        <w:jc w:val="both"/>
      </w:pPr>
      <w:r>
        <w:t> </w:t>
      </w:r>
    </w:p>
    <w:p w:rsidR="004E43FE" w:rsidRPr="002C7B49" w:rsidRDefault="004E43FE" w:rsidP="004E43FE">
      <w:pPr>
        <w:spacing w:after="200" w:line="360" w:lineRule="auto"/>
        <w:jc w:val="both"/>
      </w:pPr>
      <w:r>
        <w:t>  </w:t>
      </w:r>
    </w:p>
    <w:p w:rsidR="004E43FE" w:rsidRPr="004622FD" w:rsidRDefault="004E43FE" w:rsidP="004E43FE">
      <w:pPr>
        <w:spacing w:after="0" w:line="240" w:lineRule="auto"/>
        <w:jc w:val="both"/>
        <w:rPr>
          <w:rFonts w:ascii="Times New Roman" w:hAnsi="Times New Roman" w:cs="Times New Roman"/>
          <w:sz w:val="24"/>
          <w:szCs w:val="24"/>
        </w:rPr>
      </w:pPr>
    </w:p>
    <w:p w:rsidR="004E43FE" w:rsidRPr="00CA4F69" w:rsidRDefault="004E43FE" w:rsidP="00A74064">
      <w:pPr>
        <w:spacing w:after="0" w:line="240" w:lineRule="auto"/>
        <w:jc w:val="both"/>
        <w:rPr>
          <w:rFonts w:ascii="Times New Roman" w:hAnsi="Times New Roman" w:cs="Times New Roman"/>
          <w:b/>
          <w:sz w:val="24"/>
          <w:szCs w:val="24"/>
          <w:lang w:val="en-US"/>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w:t>
      </w:r>
      <w:r w:rsidR="00A74064" w:rsidRPr="00A74064">
        <w:rPr>
          <w:rFonts w:ascii="Times New Roman" w:hAnsi="Times New Roman" w:cs="Times New Roman"/>
          <w:b/>
          <w:sz w:val="24"/>
          <w:szCs w:val="24"/>
          <w:lang w:val="en-US"/>
        </w:rPr>
        <w:t xml:space="preserve">MR. MUH'D SOLIU AKEWULA </w:t>
      </w:r>
      <w:r w:rsidR="008F0614">
        <w:rPr>
          <w:rFonts w:ascii="Times New Roman" w:hAnsi="Times New Roman" w:cs="Times New Roman"/>
          <w:b/>
          <w:sz w:val="24"/>
          <w:szCs w:val="24"/>
          <w:lang w:val="en-US"/>
        </w:rPr>
        <w:tab/>
      </w:r>
      <w:r w:rsidR="00A74064" w:rsidRPr="00A74064">
        <w:rPr>
          <w:rFonts w:ascii="Times New Roman" w:hAnsi="Times New Roman" w:cs="Times New Roman"/>
          <w:b/>
          <w:sz w:val="24"/>
          <w:szCs w:val="24"/>
        </w:rPr>
        <w:t xml:space="preserve"> </w:t>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Pr>
          <w:rFonts w:ascii="Times New Roman" w:hAnsi="Times New Roman" w:cs="Times New Roman"/>
          <w:b/>
          <w:sz w:val="24"/>
          <w:szCs w:val="24"/>
        </w:rPr>
        <w:tab/>
      </w:r>
      <w:r w:rsidR="00A74064" w:rsidRPr="004622FD">
        <w:rPr>
          <w:rFonts w:ascii="Times New Roman" w:hAnsi="Times New Roman" w:cs="Times New Roman"/>
          <w:b/>
          <w:sz w:val="24"/>
          <w:szCs w:val="24"/>
        </w:rPr>
        <w:t>DATE</w:t>
      </w:r>
      <w:r w:rsidR="008F0614">
        <w:rPr>
          <w:rFonts w:ascii="Times New Roman" w:hAnsi="Times New Roman" w:cs="Times New Roman"/>
          <w:b/>
          <w:sz w:val="24"/>
          <w:szCs w:val="24"/>
          <w:lang w:val="en-US"/>
        </w:rPr>
        <w:tab/>
      </w:r>
      <w:r w:rsidRPr="004622FD">
        <w:rPr>
          <w:rFonts w:ascii="Times New Roman" w:hAnsi="Times New Roman" w:cs="Times New Roman"/>
          <w:b/>
          <w:sz w:val="24"/>
          <w:szCs w:val="24"/>
        </w:rPr>
        <w:t xml:space="preserve"> </w:t>
      </w:r>
    </w:p>
    <w:p w:rsidR="004E43FE" w:rsidRPr="004622FD" w:rsidRDefault="004E43FE" w:rsidP="004E43F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Supervisor)</w:t>
      </w: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Pr="004622FD" w:rsidRDefault="004E43FE" w:rsidP="004E43FE">
      <w:pPr>
        <w:spacing w:after="0" w:line="240" w:lineRule="auto"/>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4E43FE" w:rsidRDefault="004E43FE" w:rsidP="004E43FE">
      <w:pPr>
        <w:spacing w:after="0" w:line="240" w:lineRule="auto"/>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4E43FE" w:rsidRPr="004622FD" w:rsidRDefault="004E43FE" w:rsidP="004E43FE">
      <w:pPr>
        <w:spacing w:after="0" w:line="240" w:lineRule="auto"/>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4E43FE" w:rsidRPr="004622FD" w:rsidRDefault="004E43FE" w:rsidP="004E43FE">
      <w:pPr>
        <w:spacing w:after="0" w:line="240" w:lineRule="auto"/>
        <w:rPr>
          <w:rFonts w:ascii="Times New Roman" w:hAnsi="Times New Roman"/>
          <w:b/>
          <w:sz w:val="24"/>
          <w:szCs w:val="24"/>
        </w:rPr>
      </w:pPr>
      <w:r w:rsidRPr="004622FD">
        <w:rPr>
          <w:rFonts w:ascii="Times New Roman" w:hAnsi="Times New Roman"/>
          <w:b/>
          <w:sz w:val="24"/>
          <w:szCs w:val="24"/>
        </w:rPr>
        <w:t>(Project Coordinator)</w:t>
      </w: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051784" w:rsidRPr="004622FD" w:rsidRDefault="00051784" w:rsidP="00051784">
      <w:pPr>
        <w:spacing w:after="0"/>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051784" w:rsidRDefault="00051784" w:rsidP="00051784">
      <w:pPr>
        <w:spacing w:after="0"/>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sidR="008F0614">
        <w:rPr>
          <w:rFonts w:ascii="Times New Roman" w:hAnsi="Times New Roman"/>
          <w:b/>
          <w:sz w:val="24"/>
          <w:szCs w:val="24"/>
        </w:rPr>
        <w:t>RASHI</w:t>
      </w:r>
      <w:r>
        <w:rPr>
          <w:rFonts w:ascii="Times New Roman" w:hAnsi="Times New Roman"/>
          <w:b/>
          <w:sz w:val="24"/>
          <w:szCs w:val="24"/>
        </w:rPr>
        <w:t>DAT</w:t>
      </w:r>
      <w:r w:rsidR="008F0614">
        <w:rPr>
          <w:rFonts w:ascii="Times New Roman" w:hAnsi="Times New Roman"/>
          <w:b/>
          <w:sz w:val="24"/>
          <w:szCs w:val="24"/>
        </w:rPr>
        <w:t xml:space="preserve"> A.</w:t>
      </w:r>
      <w:proofErr w:type="gramEnd"/>
      <w:r w:rsidR="008F0614">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051784" w:rsidRPr="004622FD" w:rsidRDefault="00051784" w:rsidP="00051784">
      <w:pPr>
        <w:spacing w:after="0"/>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051784" w:rsidRPr="004622FD" w:rsidRDefault="00051784" w:rsidP="00051784">
      <w:pPr>
        <w:spacing w:after="0"/>
        <w:rPr>
          <w:rFonts w:ascii="Times New Roman" w:hAnsi="Times New Roman"/>
          <w:b/>
          <w:sz w:val="24"/>
          <w:szCs w:val="24"/>
        </w:rPr>
      </w:pPr>
      <w:r w:rsidRPr="004622FD">
        <w:rPr>
          <w:rFonts w:ascii="Times New Roman" w:hAnsi="Times New Roman"/>
          <w:b/>
          <w:sz w:val="24"/>
          <w:szCs w:val="24"/>
        </w:rPr>
        <w:t>(Head of Department)</w:t>
      </w:r>
    </w:p>
    <w:p w:rsidR="00051784" w:rsidRDefault="00051784" w:rsidP="00051784">
      <w:pPr>
        <w:spacing w:after="0" w:line="480" w:lineRule="auto"/>
        <w:rPr>
          <w:rFonts w:ascii="Times New Roman" w:hAnsi="Times New Roman"/>
          <w:b/>
          <w:sz w:val="24"/>
          <w:szCs w:val="24"/>
        </w:rPr>
      </w:pPr>
    </w:p>
    <w:p w:rsidR="00051784" w:rsidRDefault="00051784" w:rsidP="00051784">
      <w:pPr>
        <w:spacing w:after="0" w:line="480" w:lineRule="auto"/>
        <w:rPr>
          <w:rFonts w:ascii="Times New Roman" w:hAnsi="Times New Roman"/>
          <w:b/>
          <w:sz w:val="24"/>
          <w:szCs w:val="24"/>
        </w:rPr>
      </w:pPr>
    </w:p>
    <w:p w:rsidR="00051784" w:rsidRPr="004622FD" w:rsidRDefault="00051784" w:rsidP="00051784">
      <w:pPr>
        <w:spacing w:after="0" w:line="480" w:lineRule="auto"/>
        <w:rPr>
          <w:rFonts w:ascii="Times New Roman" w:hAnsi="Times New Roman"/>
          <w:b/>
          <w:sz w:val="24"/>
          <w:szCs w:val="24"/>
        </w:rPr>
      </w:pPr>
    </w:p>
    <w:p w:rsidR="00051784" w:rsidRPr="004622FD" w:rsidRDefault="00051784" w:rsidP="00051784">
      <w:pPr>
        <w:spacing w:after="0"/>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051784" w:rsidRDefault="00051784" w:rsidP="00051784">
      <w:pPr>
        <w:spacing w:after="0"/>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051784" w:rsidRDefault="00051784" w:rsidP="00051784">
      <w:pPr>
        <w:spacing w:after="0"/>
        <w:rPr>
          <w:rFonts w:ascii="Times New Roman" w:hAnsi="Times New Roman"/>
          <w:b/>
          <w:sz w:val="24"/>
          <w:szCs w:val="24"/>
        </w:rPr>
      </w:pPr>
      <w:r>
        <w:rPr>
          <w:rFonts w:ascii="Times New Roman" w:hAnsi="Times New Roman"/>
          <w:b/>
          <w:sz w:val="24"/>
          <w:szCs w:val="24"/>
        </w:rPr>
        <w:t>(PhD, ANIVS, RSV)</w:t>
      </w:r>
    </w:p>
    <w:p w:rsidR="00051784" w:rsidRDefault="00051784" w:rsidP="00051784">
      <w:pPr>
        <w:spacing w:after="0"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p>
    <w:p w:rsidR="00051784" w:rsidRDefault="00051784">
      <w:pPr>
        <w:rPr>
          <w:rFonts w:ascii="Times New Roman" w:hAnsi="Times New Roman"/>
          <w:b/>
          <w:sz w:val="24"/>
          <w:szCs w:val="24"/>
        </w:rPr>
      </w:pPr>
      <w:r>
        <w:rPr>
          <w:rFonts w:ascii="Times New Roman" w:hAnsi="Times New Roman"/>
          <w:b/>
          <w:sz w:val="24"/>
          <w:szCs w:val="24"/>
        </w:rPr>
        <w:br w:type="page"/>
      </w:r>
    </w:p>
    <w:p w:rsidR="004E43FE" w:rsidRPr="00CA4F69" w:rsidRDefault="004E43FE" w:rsidP="00051784">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DEDICATION</w:t>
      </w:r>
    </w:p>
    <w:p w:rsidR="004E43FE" w:rsidRPr="00CA4F69" w:rsidRDefault="004E43FE" w:rsidP="004E43FE">
      <w:pPr>
        <w:spacing w:after="0" w:line="360" w:lineRule="auto"/>
        <w:rPr>
          <w:rFonts w:ascii="Times New Roman" w:hAnsi="Times New Roman" w:cs="Times New Roman"/>
          <w:spacing w:val="4"/>
          <w:position w:val="-3"/>
          <w:sz w:val="24"/>
          <w:szCs w:val="24"/>
        </w:rPr>
      </w:pPr>
      <w:r w:rsidRPr="00CA4F69">
        <w:rPr>
          <w:rFonts w:ascii="Times New Roman" w:hAnsi="Times New Roman" w:cs="Times New Roman"/>
          <w:sz w:val="24"/>
          <w:szCs w:val="24"/>
        </w:rPr>
        <w:tab/>
        <w:t>This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project</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dedicated</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to</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the</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Almighty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Allah</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who</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has</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been</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my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Alpha</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and</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Omega toward the successful completion of this project and my course.</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ACKNOWLEDGEMENTS</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profound gratitude first and foremost goes to Almighty Allah the author and finisher of our faith for granting and protecting me through the ups and downs in my academic pursuit and for making this dream a reality. </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appreciation goes to my Parents, MR. and MRS. </w:t>
      </w:r>
      <w:r>
        <w:rPr>
          <w:rFonts w:ascii="Times New Roman" w:hAnsi="Times New Roman" w:cs="Times New Roman"/>
          <w:b w:val="0"/>
        </w:rPr>
        <w:t>ALIYU</w:t>
      </w:r>
      <w:r w:rsidRPr="00CA4F69">
        <w:rPr>
          <w:rFonts w:ascii="Times New Roman" w:hAnsi="Times New Roman" w:cs="Times New Roman"/>
          <w:b w:val="0"/>
          <w:spacing w:val="40"/>
        </w:rPr>
        <w:t xml:space="preserve"> </w:t>
      </w:r>
      <w:r w:rsidRPr="00CA4F69">
        <w:rPr>
          <w:rFonts w:ascii="Times New Roman" w:hAnsi="Times New Roman" w:cs="Times New Roman"/>
          <w:b w:val="0"/>
        </w:rPr>
        <w:t>for their moral and</w:t>
      </w:r>
      <w:r w:rsidRPr="00CA4F69">
        <w:rPr>
          <w:rFonts w:ascii="Times New Roman" w:hAnsi="Times New Roman" w:cs="Times New Roman"/>
          <w:b w:val="0"/>
          <w:spacing w:val="-14"/>
        </w:rPr>
        <w:t xml:space="preserve"> </w:t>
      </w:r>
      <w:r w:rsidRPr="00CA4F69">
        <w:rPr>
          <w:rFonts w:ascii="Times New Roman" w:hAnsi="Times New Roman" w:cs="Times New Roman"/>
          <w:b w:val="0"/>
        </w:rPr>
        <w:t>financial</w:t>
      </w:r>
      <w:r w:rsidRPr="00CA4F69">
        <w:rPr>
          <w:rFonts w:ascii="Times New Roman" w:hAnsi="Times New Roman" w:cs="Times New Roman"/>
          <w:b w:val="0"/>
          <w:spacing w:val="-14"/>
        </w:rPr>
        <w:t xml:space="preserve"> </w:t>
      </w:r>
      <w:r w:rsidRPr="00CA4F69">
        <w:rPr>
          <w:rFonts w:ascii="Times New Roman" w:hAnsi="Times New Roman" w:cs="Times New Roman"/>
          <w:b w:val="0"/>
        </w:rPr>
        <w:t>support</w:t>
      </w:r>
      <w:r w:rsidRPr="00CA4F69">
        <w:rPr>
          <w:rFonts w:ascii="Times New Roman" w:hAnsi="Times New Roman" w:cs="Times New Roman"/>
          <w:b w:val="0"/>
          <w:spacing w:val="-12"/>
        </w:rPr>
        <w:t xml:space="preserve"> </w:t>
      </w:r>
      <w:r w:rsidRPr="00CA4F69">
        <w:rPr>
          <w:rFonts w:ascii="Times New Roman" w:hAnsi="Times New Roman" w:cs="Times New Roman"/>
          <w:b w:val="0"/>
        </w:rPr>
        <w:t>without</w:t>
      </w:r>
      <w:r w:rsidRPr="00CA4F69">
        <w:rPr>
          <w:rFonts w:ascii="Times New Roman" w:hAnsi="Times New Roman" w:cs="Times New Roman"/>
          <w:b w:val="0"/>
          <w:spacing w:val="-12"/>
        </w:rPr>
        <w:t xml:space="preserve"> </w:t>
      </w:r>
      <w:r w:rsidRPr="00CA4F69">
        <w:rPr>
          <w:rFonts w:ascii="Times New Roman" w:hAnsi="Times New Roman" w:cs="Times New Roman"/>
          <w:b w:val="0"/>
        </w:rPr>
        <w:t>which</w:t>
      </w:r>
      <w:r w:rsidRPr="00CA4F69">
        <w:rPr>
          <w:rFonts w:ascii="Times New Roman" w:hAnsi="Times New Roman" w:cs="Times New Roman"/>
          <w:b w:val="0"/>
          <w:spacing w:val="-12"/>
        </w:rPr>
        <w:t xml:space="preserve"> </w:t>
      </w:r>
      <w:r w:rsidRPr="00CA4F69">
        <w:rPr>
          <w:rFonts w:ascii="Times New Roman" w:hAnsi="Times New Roman" w:cs="Times New Roman"/>
          <w:b w:val="0"/>
        </w:rPr>
        <w:t>I</w:t>
      </w:r>
      <w:r w:rsidRPr="00CA4F69">
        <w:rPr>
          <w:rFonts w:ascii="Times New Roman" w:hAnsi="Times New Roman" w:cs="Times New Roman"/>
          <w:b w:val="0"/>
          <w:spacing w:val="-14"/>
        </w:rPr>
        <w:t xml:space="preserve"> </w:t>
      </w:r>
      <w:r w:rsidRPr="00CA4F69">
        <w:rPr>
          <w:rFonts w:ascii="Times New Roman" w:hAnsi="Times New Roman" w:cs="Times New Roman"/>
          <w:b w:val="0"/>
        </w:rPr>
        <w:t>might</w:t>
      </w:r>
      <w:r w:rsidRPr="00CA4F69">
        <w:rPr>
          <w:rFonts w:ascii="Times New Roman" w:hAnsi="Times New Roman" w:cs="Times New Roman"/>
          <w:b w:val="0"/>
          <w:spacing w:val="-12"/>
        </w:rPr>
        <w:t xml:space="preserve"> </w:t>
      </w:r>
      <w:r w:rsidRPr="00CA4F69">
        <w:rPr>
          <w:rFonts w:ascii="Times New Roman" w:hAnsi="Times New Roman" w:cs="Times New Roman"/>
          <w:b w:val="0"/>
        </w:rPr>
        <w:t>not</w:t>
      </w:r>
      <w:r w:rsidRPr="00CA4F69">
        <w:rPr>
          <w:rFonts w:ascii="Times New Roman" w:hAnsi="Times New Roman" w:cs="Times New Roman"/>
          <w:b w:val="0"/>
          <w:spacing w:val="-12"/>
        </w:rPr>
        <w:t xml:space="preserve"> </w:t>
      </w:r>
      <w:r w:rsidRPr="00CA4F69">
        <w:rPr>
          <w:rFonts w:ascii="Times New Roman" w:hAnsi="Times New Roman" w:cs="Times New Roman"/>
          <w:b w:val="0"/>
        </w:rPr>
        <w:t>have</w:t>
      </w:r>
      <w:r w:rsidRPr="00CA4F69">
        <w:rPr>
          <w:rFonts w:ascii="Times New Roman" w:hAnsi="Times New Roman" w:cs="Times New Roman"/>
          <w:b w:val="0"/>
          <w:spacing w:val="-14"/>
        </w:rPr>
        <w:t xml:space="preserve"> </w:t>
      </w:r>
      <w:r w:rsidRPr="00CA4F69">
        <w:rPr>
          <w:rFonts w:ascii="Times New Roman" w:hAnsi="Times New Roman" w:cs="Times New Roman"/>
          <w:b w:val="0"/>
        </w:rPr>
        <w:t>attained</w:t>
      </w:r>
      <w:r w:rsidRPr="00CA4F69">
        <w:rPr>
          <w:rFonts w:ascii="Times New Roman" w:hAnsi="Times New Roman" w:cs="Times New Roman"/>
          <w:b w:val="0"/>
          <w:spacing w:val="-14"/>
        </w:rPr>
        <w:t xml:space="preserve"> </w:t>
      </w:r>
      <w:r w:rsidRPr="00CA4F69">
        <w:rPr>
          <w:rFonts w:ascii="Times New Roman" w:hAnsi="Times New Roman" w:cs="Times New Roman"/>
          <w:b w:val="0"/>
        </w:rPr>
        <w:t>this</w:t>
      </w:r>
      <w:r w:rsidRPr="00CA4F69">
        <w:rPr>
          <w:rFonts w:ascii="Times New Roman" w:hAnsi="Times New Roman" w:cs="Times New Roman"/>
          <w:b w:val="0"/>
          <w:spacing w:val="-11"/>
        </w:rPr>
        <w:t xml:space="preserve"> </w:t>
      </w:r>
      <w:r w:rsidRPr="00CA4F69">
        <w:rPr>
          <w:rFonts w:ascii="Times New Roman" w:hAnsi="Times New Roman" w:cs="Times New Roman"/>
          <w:b w:val="0"/>
        </w:rPr>
        <w:t>height,</w:t>
      </w:r>
      <w:r w:rsidRPr="00CA4F69">
        <w:rPr>
          <w:rFonts w:ascii="Times New Roman" w:hAnsi="Times New Roman" w:cs="Times New Roman"/>
          <w:b w:val="0"/>
          <w:spacing w:val="-11"/>
        </w:rPr>
        <w:t xml:space="preserve"> </w:t>
      </w:r>
      <w:r w:rsidRPr="00CA4F69">
        <w:rPr>
          <w:rFonts w:ascii="Times New Roman" w:hAnsi="Times New Roman" w:cs="Times New Roman"/>
          <w:b w:val="0"/>
        </w:rPr>
        <w:t>May</w:t>
      </w:r>
      <w:r w:rsidRPr="00CA4F69">
        <w:rPr>
          <w:rFonts w:ascii="Times New Roman" w:hAnsi="Times New Roman" w:cs="Times New Roman"/>
          <w:b w:val="0"/>
          <w:spacing w:val="-15"/>
        </w:rPr>
        <w:t xml:space="preserve"> </w:t>
      </w:r>
      <w:r w:rsidRPr="00CA4F69">
        <w:rPr>
          <w:rFonts w:ascii="Times New Roman" w:hAnsi="Times New Roman" w:cs="Times New Roman"/>
          <w:b w:val="0"/>
        </w:rPr>
        <w:t>you</w:t>
      </w:r>
      <w:r w:rsidRPr="00CA4F69">
        <w:rPr>
          <w:rFonts w:ascii="Times New Roman" w:hAnsi="Times New Roman" w:cs="Times New Roman"/>
          <w:b w:val="0"/>
          <w:spacing w:val="-13"/>
        </w:rPr>
        <w:t xml:space="preserve"> </w:t>
      </w:r>
      <w:r w:rsidRPr="00CA4F69">
        <w:rPr>
          <w:rFonts w:ascii="Times New Roman" w:hAnsi="Times New Roman" w:cs="Times New Roman"/>
          <w:b w:val="0"/>
        </w:rPr>
        <w:t xml:space="preserve">reaps the fruit of your labor. </w:t>
      </w:r>
    </w:p>
    <w:p w:rsidR="004E43FE" w:rsidRPr="00CA4F69" w:rsidRDefault="004E43FE" w:rsidP="00051784">
      <w:pPr>
        <w:pStyle w:val="BodyText"/>
        <w:spacing w:line="360" w:lineRule="auto"/>
        <w:ind w:right="356" w:firstLine="720"/>
        <w:jc w:val="both"/>
        <w:rPr>
          <w:rFonts w:ascii="Times New Roman" w:hAnsi="Times New Roman" w:cs="Times New Roman"/>
        </w:rPr>
      </w:pPr>
      <w:r w:rsidRPr="00CA4F69">
        <w:rPr>
          <w:rFonts w:ascii="Times New Roman" w:hAnsi="Times New Roman" w:cs="Times New Roman"/>
          <w:b w:val="0"/>
        </w:rPr>
        <w:t>Most</w:t>
      </w:r>
      <w:r w:rsidRPr="00CA4F69">
        <w:rPr>
          <w:rFonts w:ascii="Times New Roman" w:hAnsi="Times New Roman" w:cs="Times New Roman"/>
          <w:b w:val="0"/>
          <w:spacing w:val="-7"/>
        </w:rPr>
        <w:t xml:space="preserve"> </w:t>
      </w:r>
      <w:r w:rsidRPr="00CA4F69">
        <w:rPr>
          <w:rFonts w:ascii="Times New Roman" w:hAnsi="Times New Roman" w:cs="Times New Roman"/>
          <w:b w:val="0"/>
        </w:rPr>
        <w:t>importantly,</w:t>
      </w:r>
      <w:r w:rsidRPr="00CA4F69">
        <w:rPr>
          <w:rFonts w:ascii="Times New Roman" w:hAnsi="Times New Roman" w:cs="Times New Roman"/>
          <w:b w:val="0"/>
          <w:spacing w:val="-8"/>
        </w:rPr>
        <w:t xml:space="preserve"> </w:t>
      </w:r>
      <w:r w:rsidRPr="00CA4F69">
        <w:rPr>
          <w:rFonts w:ascii="Times New Roman" w:hAnsi="Times New Roman" w:cs="Times New Roman"/>
          <w:b w:val="0"/>
        </w:rPr>
        <w:t>my</w:t>
      </w:r>
      <w:r w:rsidRPr="00CA4F69">
        <w:rPr>
          <w:rFonts w:ascii="Times New Roman" w:hAnsi="Times New Roman" w:cs="Times New Roman"/>
          <w:b w:val="0"/>
          <w:spacing w:val="-8"/>
        </w:rPr>
        <w:t xml:space="preserve"> </w:t>
      </w:r>
      <w:r w:rsidRPr="00CA4F69">
        <w:rPr>
          <w:rFonts w:ascii="Times New Roman" w:hAnsi="Times New Roman" w:cs="Times New Roman"/>
          <w:b w:val="0"/>
        </w:rPr>
        <w:t>appreciation</w:t>
      </w:r>
      <w:r w:rsidRPr="00CA4F69">
        <w:rPr>
          <w:rFonts w:ascii="Times New Roman" w:hAnsi="Times New Roman" w:cs="Times New Roman"/>
          <w:b w:val="0"/>
          <w:spacing w:val="-9"/>
        </w:rPr>
        <w:t xml:space="preserve"> </w:t>
      </w:r>
      <w:r w:rsidRPr="00CA4F69">
        <w:rPr>
          <w:rFonts w:ascii="Times New Roman" w:hAnsi="Times New Roman" w:cs="Times New Roman"/>
          <w:b w:val="0"/>
        </w:rPr>
        <w:t>also</w:t>
      </w:r>
      <w:r w:rsidRPr="00CA4F69">
        <w:rPr>
          <w:rFonts w:ascii="Times New Roman" w:hAnsi="Times New Roman" w:cs="Times New Roman"/>
          <w:b w:val="0"/>
          <w:spacing w:val="-8"/>
        </w:rPr>
        <w:t xml:space="preserve"> </w:t>
      </w:r>
      <w:r w:rsidRPr="00CA4F69">
        <w:rPr>
          <w:rFonts w:ascii="Times New Roman" w:hAnsi="Times New Roman" w:cs="Times New Roman"/>
          <w:b w:val="0"/>
        </w:rPr>
        <w:t>goes</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9"/>
        </w:rPr>
        <w:t xml:space="preserve"> </w:t>
      </w:r>
      <w:r w:rsidRPr="00CA4F69">
        <w:rPr>
          <w:rFonts w:ascii="Times New Roman" w:hAnsi="Times New Roman" w:cs="Times New Roman"/>
          <w:b w:val="0"/>
        </w:rPr>
        <w:t>my</w:t>
      </w:r>
      <w:r w:rsidRPr="00CA4F69">
        <w:rPr>
          <w:rFonts w:ascii="Times New Roman" w:hAnsi="Times New Roman" w:cs="Times New Roman"/>
          <w:b w:val="0"/>
          <w:spacing w:val="-9"/>
        </w:rPr>
        <w:t xml:space="preserve"> </w:t>
      </w:r>
      <w:r>
        <w:rPr>
          <w:rFonts w:ascii="Times New Roman" w:hAnsi="Times New Roman" w:cs="Times New Roman"/>
          <w:b w:val="0"/>
        </w:rPr>
        <w:t xml:space="preserve">supervisor </w:t>
      </w:r>
      <w:r w:rsidR="00051784" w:rsidRPr="00051784">
        <w:rPr>
          <w:rFonts w:ascii="Times New Roman" w:hAnsi="Times New Roman" w:cs="Times New Roman"/>
        </w:rPr>
        <w:t xml:space="preserve">MR. MUH'D SOLIU AKEWULA </w:t>
      </w:r>
      <w:r w:rsidR="00D05DC9" w:rsidRPr="00D05DC9">
        <w:rPr>
          <w:rFonts w:ascii="Times New Roman" w:hAnsi="Times New Roman" w:cs="Times New Roman"/>
          <w:b w:val="0"/>
        </w:rPr>
        <w:t xml:space="preserve">and also to my </w:t>
      </w:r>
      <w:r w:rsidR="00D05DC9" w:rsidRPr="00D05DC9">
        <w:rPr>
          <w:rFonts w:ascii="Times New Roman" w:hAnsi="Times New Roman"/>
          <w:b w:val="0"/>
        </w:rPr>
        <w:t>Project Coordinator</w:t>
      </w:r>
      <w:r w:rsidR="00D05DC9" w:rsidRPr="004A55CB">
        <w:rPr>
          <w:rFonts w:ascii="Times New Roman" w:hAnsi="Times New Roman"/>
        </w:rPr>
        <w:t xml:space="preserve"> ESV. DR. (MRS.) UWAEZUOKE NGOZI IFEANYI (ANIVS, RSV)</w:t>
      </w:r>
      <w:r w:rsidR="00D05DC9">
        <w:rPr>
          <w:rFonts w:ascii="Times New Roman" w:hAnsi="Times New Roman"/>
        </w:rPr>
        <w:t xml:space="preserve"> </w:t>
      </w:r>
      <w:r w:rsidRPr="00CA4F69">
        <w:rPr>
          <w:rFonts w:ascii="Times New Roman" w:hAnsi="Times New Roman" w:cs="Times New Roman"/>
          <w:b w:val="0"/>
        </w:rPr>
        <w:t>who has created time to read and make corrections where necessary and</w:t>
      </w:r>
      <w:bookmarkStart w:id="0" w:name="_GoBack"/>
      <w:bookmarkEnd w:id="0"/>
      <w:r w:rsidRPr="00CA4F69">
        <w:rPr>
          <w:rFonts w:ascii="Times New Roman" w:hAnsi="Times New Roman" w:cs="Times New Roman"/>
          <w:b w:val="0"/>
          <w:spacing w:val="-9"/>
        </w:rPr>
        <w:t xml:space="preserve"> </w:t>
      </w:r>
      <w:r w:rsidRPr="00CA4F69">
        <w:rPr>
          <w:rFonts w:ascii="Times New Roman" w:hAnsi="Times New Roman" w:cs="Times New Roman"/>
          <w:b w:val="0"/>
        </w:rPr>
        <w:t>who</w:t>
      </w:r>
      <w:r w:rsidRPr="00CA4F69">
        <w:rPr>
          <w:rFonts w:ascii="Times New Roman" w:hAnsi="Times New Roman" w:cs="Times New Roman"/>
          <w:b w:val="0"/>
          <w:spacing w:val="-8"/>
        </w:rPr>
        <w:t xml:space="preserve"> </w:t>
      </w:r>
      <w:r w:rsidRPr="00CA4F69">
        <w:rPr>
          <w:rFonts w:ascii="Times New Roman" w:hAnsi="Times New Roman" w:cs="Times New Roman"/>
          <w:b w:val="0"/>
        </w:rPr>
        <w:t>sacrificed</w:t>
      </w:r>
      <w:r w:rsidRPr="00CA4F69">
        <w:rPr>
          <w:rFonts w:ascii="Times New Roman" w:hAnsi="Times New Roman" w:cs="Times New Roman"/>
          <w:b w:val="0"/>
          <w:spacing w:val="-9"/>
        </w:rPr>
        <w:t xml:space="preserve"> </w:t>
      </w:r>
      <w:r w:rsidRPr="00CA4F69">
        <w:rPr>
          <w:rFonts w:ascii="Times New Roman" w:hAnsi="Times New Roman" w:cs="Times New Roman"/>
          <w:b w:val="0"/>
        </w:rPr>
        <w:t>much</w:t>
      </w:r>
      <w:r w:rsidRPr="00CA4F69">
        <w:rPr>
          <w:rFonts w:ascii="Times New Roman" w:hAnsi="Times New Roman" w:cs="Times New Roman"/>
          <w:b w:val="0"/>
          <w:spacing w:val="-8"/>
        </w:rPr>
        <w:t xml:space="preserve"> </w:t>
      </w:r>
      <w:r w:rsidRPr="00CA4F69">
        <w:rPr>
          <w:rFonts w:ascii="Times New Roman" w:hAnsi="Times New Roman" w:cs="Times New Roman"/>
          <w:b w:val="0"/>
        </w:rPr>
        <w:t>of</w:t>
      </w:r>
      <w:r w:rsidRPr="00CA4F69">
        <w:rPr>
          <w:rFonts w:ascii="Times New Roman" w:hAnsi="Times New Roman" w:cs="Times New Roman"/>
          <w:b w:val="0"/>
          <w:spacing w:val="-7"/>
        </w:rPr>
        <w:t xml:space="preserve"> </w:t>
      </w:r>
      <w:r w:rsidRPr="00CA4F69">
        <w:rPr>
          <w:rFonts w:ascii="Times New Roman" w:hAnsi="Times New Roman" w:cs="Times New Roman"/>
          <w:b w:val="0"/>
        </w:rPr>
        <w:t>his</w:t>
      </w:r>
      <w:r w:rsidRPr="00CA4F69">
        <w:rPr>
          <w:rFonts w:ascii="Times New Roman" w:hAnsi="Times New Roman" w:cs="Times New Roman"/>
          <w:b w:val="0"/>
          <w:spacing w:val="-7"/>
        </w:rPr>
        <w:t xml:space="preserve"> </w:t>
      </w:r>
      <w:r w:rsidRPr="00CA4F69">
        <w:rPr>
          <w:rFonts w:ascii="Times New Roman" w:hAnsi="Times New Roman" w:cs="Times New Roman"/>
          <w:b w:val="0"/>
        </w:rPr>
        <w:t>time</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8"/>
        </w:rPr>
        <w:t xml:space="preserve"> </w:t>
      </w:r>
      <w:r w:rsidRPr="00CA4F69">
        <w:rPr>
          <w:rFonts w:ascii="Times New Roman" w:hAnsi="Times New Roman" w:cs="Times New Roman"/>
          <w:b w:val="0"/>
        </w:rPr>
        <w:t>advise</w:t>
      </w:r>
      <w:r w:rsidRPr="00CA4F69">
        <w:rPr>
          <w:rFonts w:ascii="Times New Roman" w:hAnsi="Times New Roman" w:cs="Times New Roman"/>
          <w:b w:val="0"/>
          <w:spacing w:val="-7"/>
        </w:rPr>
        <w:t xml:space="preserve"> </w:t>
      </w:r>
      <w:r w:rsidRPr="00CA4F69">
        <w:rPr>
          <w:rFonts w:ascii="Times New Roman" w:hAnsi="Times New Roman" w:cs="Times New Roman"/>
          <w:b w:val="0"/>
        </w:rPr>
        <w:t>me</w:t>
      </w:r>
      <w:r w:rsidRPr="00CA4F69">
        <w:rPr>
          <w:rFonts w:ascii="Times New Roman" w:hAnsi="Times New Roman" w:cs="Times New Roman"/>
          <w:b w:val="0"/>
          <w:spacing w:val="-9"/>
        </w:rPr>
        <w:t xml:space="preserve"> </w:t>
      </w:r>
      <w:r w:rsidRPr="00CA4F69">
        <w:rPr>
          <w:rFonts w:ascii="Times New Roman" w:hAnsi="Times New Roman" w:cs="Times New Roman"/>
          <w:b w:val="0"/>
        </w:rPr>
        <w:t>in</w:t>
      </w:r>
      <w:r w:rsidRPr="00CA4F69">
        <w:rPr>
          <w:rFonts w:ascii="Times New Roman" w:hAnsi="Times New Roman" w:cs="Times New Roman"/>
          <w:b w:val="0"/>
          <w:spacing w:val="-8"/>
        </w:rPr>
        <w:t xml:space="preserve"> </w:t>
      </w:r>
      <w:r w:rsidRPr="00CA4F69">
        <w:rPr>
          <w:rFonts w:ascii="Times New Roman" w:hAnsi="Times New Roman" w:cs="Times New Roman"/>
          <w:b w:val="0"/>
        </w:rPr>
        <w:t>appropriate</w:t>
      </w:r>
      <w:r w:rsidRPr="00CA4F69">
        <w:rPr>
          <w:rFonts w:ascii="Times New Roman" w:hAnsi="Times New Roman" w:cs="Times New Roman"/>
          <w:b w:val="0"/>
          <w:spacing w:val="-9"/>
        </w:rPr>
        <w:t xml:space="preserve"> </w:t>
      </w:r>
      <w:r w:rsidRPr="00CA4F69">
        <w:rPr>
          <w:rFonts w:ascii="Times New Roman" w:hAnsi="Times New Roman" w:cs="Times New Roman"/>
          <w:b w:val="0"/>
        </w:rPr>
        <w:t>cases</w:t>
      </w:r>
      <w:r w:rsidRPr="00CA4F69">
        <w:rPr>
          <w:rFonts w:ascii="Times New Roman" w:hAnsi="Times New Roman" w:cs="Times New Roman"/>
          <w:b w:val="0"/>
          <w:spacing w:val="-6"/>
        </w:rPr>
        <w:t xml:space="preserve"> </w:t>
      </w:r>
      <w:r w:rsidRPr="00CA4F69">
        <w:rPr>
          <w:rFonts w:ascii="Times New Roman" w:hAnsi="Times New Roman" w:cs="Times New Roman"/>
          <w:b w:val="0"/>
        </w:rPr>
        <w:t>not</w:t>
      </w:r>
      <w:r w:rsidRPr="00CA4F69">
        <w:rPr>
          <w:rFonts w:ascii="Times New Roman" w:hAnsi="Times New Roman" w:cs="Times New Roman"/>
          <w:b w:val="0"/>
          <w:spacing w:val="-8"/>
        </w:rPr>
        <w:t xml:space="preserve"> </w:t>
      </w:r>
      <w:r w:rsidRPr="00CA4F69">
        <w:rPr>
          <w:rFonts w:ascii="Times New Roman" w:hAnsi="Times New Roman" w:cs="Times New Roman"/>
          <w:b w:val="0"/>
        </w:rPr>
        <w:t>withstanding his tight schedule.</w:t>
      </w:r>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Also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my</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profound</w:t>
      </w:r>
      <w:r w:rsidRPr="00CA4F69">
        <w:rPr>
          <w:rFonts w:ascii="Times New Roman" w:hAnsi="Times New Roman" w:cs="Times New Roman"/>
          <w:b w:val="0"/>
          <w:spacing w:val="79"/>
          <w:w w:val="150"/>
        </w:rPr>
        <w:t xml:space="preserve"> </w:t>
      </w:r>
      <w:r w:rsidRPr="00CA4F69">
        <w:rPr>
          <w:rFonts w:ascii="Times New Roman" w:hAnsi="Times New Roman" w:cs="Times New Roman"/>
          <w:b w:val="0"/>
        </w:rPr>
        <w:t>respect</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goes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to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 xml:space="preserve">my H.O.D ESV. </w:t>
      </w:r>
      <w:proofErr w:type="gramStart"/>
      <w:r w:rsidRPr="00CA4F69">
        <w:rPr>
          <w:rFonts w:ascii="Times New Roman" w:hAnsi="Times New Roman" w:cs="Times New Roman"/>
          <w:b w:val="0"/>
        </w:rPr>
        <w:t>ABDULKAREEM</w:t>
      </w:r>
      <w:r w:rsidR="008F0614">
        <w:rPr>
          <w:rFonts w:ascii="Times New Roman" w:hAnsi="Times New Roman" w:cs="Times New Roman"/>
        </w:rPr>
        <w:t xml:space="preserve"> </w:t>
      </w:r>
      <w:r w:rsidR="008F0614">
        <w:rPr>
          <w:rFonts w:ascii="Times New Roman" w:hAnsi="Times New Roman" w:cs="Times New Roman"/>
          <w:b w:val="0"/>
        </w:rPr>
        <w:t>RASHI</w:t>
      </w:r>
      <w:r w:rsidRPr="00CA4F69">
        <w:rPr>
          <w:rFonts w:ascii="Times New Roman" w:hAnsi="Times New Roman" w:cs="Times New Roman"/>
          <w:b w:val="0"/>
        </w:rPr>
        <w:t>DAT</w:t>
      </w:r>
      <w:r w:rsidR="008F0614">
        <w:rPr>
          <w:rFonts w:ascii="Times New Roman" w:hAnsi="Times New Roman" w:cs="Times New Roman"/>
          <w:b w:val="0"/>
        </w:rPr>
        <w:t xml:space="preserve"> A.</w:t>
      </w:r>
      <w:r w:rsidRPr="00CA4F69">
        <w:rPr>
          <w:rFonts w:ascii="Times New Roman" w:hAnsi="Times New Roman" w:cs="Times New Roman"/>
        </w:rPr>
        <w:t xml:space="preserve"> </w:t>
      </w:r>
      <w:r w:rsidR="00051784">
        <w:rPr>
          <w:rFonts w:ascii="Times New Roman" w:hAnsi="Times New Roman" w:cs="Times New Roman"/>
          <w:b w:val="0"/>
        </w:rPr>
        <w:t>(A</w:t>
      </w:r>
      <w:r w:rsidRPr="00CA4F69">
        <w:rPr>
          <w:rFonts w:ascii="Times New Roman" w:hAnsi="Times New Roman" w:cs="Times New Roman"/>
          <w:b w:val="0"/>
        </w:rPr>
        <w:t>NIVS, RVS)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and</w:t>
      </w:r>
      <w:r w:rsidRPr="00CA4F69">
        <w:rPr>
          <w:rFonts w:ascii="Times New Roman" w:hAnsi="Times New Roman" w:cs="Times New Roman"/>
          <w:spacing w:val="29"/>
        </w:rPr>
        <w:t xml:space="preserve"> </w:t>
      </w:r>
      <w:r w:rsidRPr="00CA4F69">
        <w:rPr>
          <w:rFonts w:ascii="Times New Roman" w:hAnsi="Times New Roman" w:cs="Times New Roman"/>
          <w:b w:val="0"/>
        </w:rPr>
        <w:t>the</w:t>
      </w:r>
      <w:r w:rsidRPr="00CA4F69">
        <w:rPr>
          <w:rFonts w:ascii="Times New Roman" w:hAnsi="Times New Roman" w:cs="Times New Roman"/>
          <w:spacing w:val="29"/>
        </w:rPr>
        <w:t xml:space="preserve"> </w:t>
      </w:r>
      <w:r w:rsidRPr="00CA4F69">
        <w:rPr>
          <w:rFonts w:ascii="Times New Roman" w:hAnsi="Times New Roman" w:cs="Times New Roman"/>
          <w:b w:val="0"/>
        </w:rPr>
        <w:t>entire</w:t>
      </w:r>
      <w:r w:rsidRPr="00CA4F69">
        <w:rPr>
          <w:rFonts w:ascii="Times New Roman" w:hAnsi="Times New Roman" w:cs="Times New Roman"/>
          <w:b w:val="0"/>
          <w:spacing w:val="28"/>
        </w:rPr>
        <w:t xml:space="preserve"> </w:t>
      </w:r>
      <w:r w:rsidRPr="00CA4F69">
        <w:rPr>
          <w:rFonts w:ascii="Times New Roman" w:hAnsi="Times New Roman" w:cs="Times New Roman"/>
          <w:b w:val="0"/>
        </w:rPr>
        <w:t>members</w:t>
      </w:r>
      <w:r w:rsidRPr="00CA4F69">
        <w:rPr>
          <w:rFonts w:ascii="Times New Roman" w:hAnsi="Times New Roman" w:cs="Times New Roman"/>
          <w:b w:val="0"/>
          <w:spacing w:val="30"/>
        </w:rPr>
        <w:t xml:space="preserve"> </w:t>
      </w:r>
      <w:r w:rsidRPr="00CA4F69">
        <w:rPr>
          <w:rFonts w:ascii="Times New Roman" w:hAnsi="Times New Roman" w:cs="Times New Roman"/>
          <w:b w:val="0"/>
        </w:rPr>
        <w:t>of</w:t>
      </w:r>
      <w:r w:rsidRPr="00CA4F69">
        <w:rPr>
          <w:rFonts w:ascii="Times New Roman" w:hAnsi="Times New Roman" w:cs="Times New Roman"/>
          <w:spacing w:val="29"/>
        </w:rPr>
        <w:t xml:space="preserve"> </w:t>
      </w:r>
      <w:r w:rsidRPr="00CA4F69">
        <w:rPr>
          <w:rFonts w:ascii="Times New Roman" w:hAnsi="Times New Roman" w:cs="Times New Roman"/>
          <w:b w:val="0"/>
        </w:rPr>
        <w:t>Staff</w:t>
      </w:r>
      <w:r w:rsidRPr="00CA4F69">
        <w:rPr>
          <w:rFonts w:ascii="Times New Roman" w:hAnsi="Times New Roman" w:cs="Times New Roman"/>
          <w:spacing w:val="30"/>
        </w:rPr>
        <w:t xml:space="preserve"> </w:t>
      </w:r>
      <w:r w:rsidRPr="00CA4F69">
        <w:rPr>
          <w:rFonts w:ascii="Times New Roman" w:hAnsi="Times New Roman" w:cs="Times New Roman"/>
          <w:b w:val="0"/>
        </w:rPr>
        <w:t>Estate</w:t>
      </w:r>
      <w:r w:rsidRPr="00CA4F69">
        <w:rPr>
          <w:rFonts w:ascii="Times New Roman" w:hAnsi="Times New Roman" w:cs="Times New Roman"/>
          <w:spacing w:val="29"/>
        </w:rPr>
        <w:t xml:space="preserve"> </w:t>
      </w:r>
      <w:r w:rsidRPr="00CA4F69">
        <w:rPr>
          <w:rFonts w:ascii="Times New Roman" w:hAnsi="Times New Roman" w:cs="Times New Roman"/>
          <w:b w:val="0"/>
          <w:spacing w:val="-2"/>
        </w:rPr>
        <w:t>Management</w:t>
      </w:r>
      <w:r w:rsidRPr="00CA4F69">
        <w:rPr>
          <w:rFonts w:ascii="Times New Roman" w:hAnsi="Times New Roman" w:cs="Times New Roman"/>
          <w:spacing w:val="-2"/>
        </w:rPr>
        <w:t xml:space="preserve"> </w:t>
      </w:r>
      <w:r w:rsidRPr="00CA4F69">
        <w:rPr>
          <w:rFonts w:ascii="Times New Roman" w:hAnsi="Times New Roman" w:cs="Times New Roman"/>
          <w:b w:val="0"/>
          <w:spacing w:val="-2"/>
        </w:rPr>
        <w:t>and Valuation Department.</w:t>
      </w:r>
      <w:proofErr w:type="gramEnd"/>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I</w:t>
      </w:r>
      <w:r w:rsidRPr="00CA4F69">
        <w:rPr>
          <w:rFonts w:ascii="Times New Roman" w:hAnsi="Times New Roman" w:cs="Times New Roman"/>
          <w:b w:val="0"/>
          <w:spacing w:val="40"/>
        </w:rPr>
        <w:t xml:space="preserve"> </w:t>
      </w:r>
      <w:r w:rsidRPr="00CA4F69">
        <w:rPr>
          <w:rFonts w:ascii="Times New Roman" w:hAnsi="Times New Roman" w:cs="Times New Roman"/>
          <w:b w:val="0"/>
        </w:rPr>
        <w:t>have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extend</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gratitude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entire</w:t>
      </w:r>
      <w:r w:rsidRPr="00CA4F69">
        <w:rPr>
          <w:rFonts w:ascii="Times New Roman" w:hAnsi="Times New Roman" w:cs="Times New Roman"/>
          <w:b w:val="0"/>
          <w:spacing w:val="40"/>
        </w:rPr>
        <w:t xml:space="preserve"> </w:t>
      </w:r>
      <w:r w:rsidRPr="00CA4F69">
        <w:rPr>
          <w:rFonts w:ascii="Times New Roman" w:hAnsi="Times New Roman" w:cs="Times New Roman"/>
          <w:b w:val="0"/>
        </w:rPr>
        <w:t>colleague</w:t>
      </w:r>
      <w:r w:rsidRPr="00CA4F69">
        <w:rPr>
          <w:rFonts w:ascii="Times New Roman" w:hAnsi="Times New Roman" w:cs="Times New Roman"/>
          <w:b w:val="0"/>
          <w:spacing w:val="40"/>
        </w:rPr>
        <w:t xml:space="preserve"> </w:t>
      </w:r>
      <w:r w:rsidRPr="00CA4F69">
        <w:rPr>
          <w:rFonts w:ascii="Times New Roman" w:hAnsi="Times New Roman" w:cs="Times New Roman"/>
          <w:b w:val="0"/>
        </w:rPr>
        <w:t>who</w:t>
      </w:r>
      <w:r w:rsidRPr="00CA4F69">
        <w:rPr>
          <w:rFonts w:ascii="Times New Roman" w:hAnsi="Times New Roman" w:cs="Times New Roman"/>
          <w:b w:val="0"/>
          <w:spacing w:val="40"/>
        </w:rPr>
        <w:t xml:space="preserve"> </w:t>
      </w:r>
      <w:r w:rsidRPr="00CA4F69">
        <w:rPr>
          <w:rFonts w:ascii="Times New Roman" w:hAnsi="Times New Roman" w:cs="Times New Roman"/>
          <w:b w:val="0"/>
        </w:rPr>
        <w:t>has</w:t>
      </w:r>
      <w:r w:rsidRPr="00CA4F69">
        <w:rPr>
          <w:rFonts w:ascii="Times New Roman" w:hAnsi="Times New Roman" w:cs="Times New Roman"/>
          <w:b w:val="0"/>
          <w:spacing w:val="40"/>
        </w:rPr>
        <w:t xml:space="preserve"> </w:t>
      </w:r>
      <w:r w:rsidRPr="00CA4F69">
        <w:rPr>
          <w:rFonts w:ascii="Times New Roman" w:hAnsi="Times New Roman" w:cs="Times New Roman"/>
          <w:b w:val="0"/>
        </w:rPr>
        <w:t>directly</w:t>
      </w:r>
      <w:r w:rsidRPr="00CA4F69">
        <w:rPr>
          <w:rFonts w:ascii="Times New Roman" w:hAnsi="Times New Roman" w:cs="Times New Roman"/>
          <w:b w:val="0"/>
          <w:spacing w:val="40"/>
        </w:rPr>
        <w:t xml:space="preserve"> </w:t>
      </w:r>
      <w:r w:rsidRPr="00CA4F69">
        <w:rPr>
          <w:rFonts w:ascii="Times New Roman" w:hAnsi="Times New Roman" w:cs="Times New Roman"/>
          <w:b w:val="0"/>
        </w:rPr>
        <w:t>and</w:t>
      </w:r>
      <w:r w:rsidRPr="00CA4F69">
        <w:rPr>
          <w:rFonts w:ascii="Times New Roman" w:hAnsi="Times New Roman" w:cs="Times New Roman"/>
          <w:b w:val="0"/>
          <w:spacing w:val="40"/>
        </w:rPr>
        <w:t xml:space="preserve"> </w:t>
      </w:r>
      <w:r w:rsidRPr="00CA4F69">
        <w:rPr>
          <w:rFonts w:ascii="Times New Roman" w:hAnsi="Times New Roman" w:cs="Times New Roman"/>
          <w:b w:val="0"/>
        </w:rPr>
        <w:t>indirectly</w:t>
      </w:r>
      <w:r w:rsidRPr="00CA4F69">
        <w:rPr>
          <w:rFonts w:ascii="Times New Roman" w:hAnsi="Times New Roman" w:cs="Times New Roman"/>
          <w:b w:val="0"/>
          <w:spacing w:val="-1"/>
        </w:rPr>
        <w:t xml:space="preserve"> </w:t>
      </w:r>
      <w:r w:rsidRPr="00CA4F69">
        <w:rPr>
          <w:rFonts w:ascii="Times New Roman" w:hAnsi="Times New Roman" w:cs="Times New Roman"/>
          <w:b w:val="0"/>
        </w:rPr>
        <w:t>contributed</w:t>
      </w:r>
      <w:r w:rsidRPr="00CA4F69">
        <w:rPr>
          <w:rFonts w:ascii="Times New Roman" w:hAnsi="Times New Roman" w:cs="Times New Roman"/>
          <w:b w:val="0"/>
          <w:spacing w:val="-2"/>
        </w:rPr>
        <w:t xml:space="preserve"> </w:t>
      </w:r>
      <w:r w:rsidRPr="00CA4F69">
        <w:rPr>
          <w:rFonts w:ascii="Times New Roman" w:hAnsi="Times New Roman" w:cs="Times New Roman"/>
          <w:b w:val="0"/>
        </w:rPr>
        <w:t>towards the</w:t>
      </w:r>
      <w:r w:rsidRPr="00CA4F69">
        <w:rPr>
          <w:rFonts w:ascii="Times New Roman" w:hAnsi="Times New Roman" w:cs="Times New Roman"/>
          <w:b w:val="0"/>
          <w:spacing w:val="-1"/>
        </w:rPr>
        <w:t xml:space="preserve"> </w:t>
      </w:r>
      <w:r w:rsidRPr="00CA4F69">
        <w:rPr>
          <w:rFonts w:ascii="Times New Roman" w:hAnsi="Times New Roman" w:cs="Times New Roman"/>
          <w:b w:val="0"/>
        </w:rPr>
        <w:t>success of this work.</w:t>
      </w:r>
      <w:r w:rsidRPr="00CA4F69">
        <w:rPr>
          <w:rFonts w:ascii="Times New Roman" w:hAnsi="Times New Roman" w:cs="Times New Roman"/>
          <w:b w:val="0"/>
          <w:spacing w:val="-2"/>
        </w:rPr>
        <w:t xml:space="preserve"> </w:t>
      </w:r>
      <w:r w:rsidRPr="00CA4F69">
        <w:rPr>
          <w:rFonts w:ascii="Times New Roman" w:hAnsi="Times New Roman" w:cs="Times New Roman"/>
          <w:b w:val="0"/>
        </w:rPr>
        <w:t>Thank you</w:t>
      </w:r>
      <w:r w:rsidRPr="00CA4F69">
        <w:rPr>
          <w:rFonts w:ascii="Times New Roman" w:hAnsi="Times New Roman" w:cs="Times New Roman"/>
          <w:b w:val="0"/>
          <w:spacing w:val="-1"/>
        </w:rPr>
        <w:t xml:space="preserve"> </w:t>
      </w:r>
      <w:r w:rsidRPr="00CA4F69">
        <w:rPr>
          <w:rFonts w:ascii="Times New Roman" w:hAnsi="Times New Roman" w:cs="Times New Roman"/>
          <w:b w:val="0"/>
        </w:rPr>
        <w:t>all.</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TABLE OF CONTENTS</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Title Page</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Certification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Dedication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Acknowledgements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proofErr w:type="gramStart"/>
      <w:r w:rsidRPr="00CA4F69">
        <w:rPr>
          <w:rFonts w:ascii="Times New Roman" w:hAnsi="Times New Roman" w:cs="Times New Roman"/>
          <w:spacing w:val="4"/>
          <w:position w:val="-3"/>
          <w:sz w:val="24"/>
          <w:szCs w:val="24"/>
        </w:rPr>
        <w:t>iv</w:t>
      </w:r>
      <w:proofErr w:type="gramEnd"/>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Table of contents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v-vi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Pr="00CA4F69">
        <w:rPr>
          <w:rFonts w:ascii="Times New Roman" w:hAnsi="Times New Roman" w:cs="Times New Roman"/>
          <w:spacing w:val="4"/>
          <w:position w:val="-3"/>
          <w:sz w:val="24"/>
          <w:szCs w:val="24"/>
        </w:rPr>
        <w:t>ables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Abstract</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ix</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ONE: INTRODUCTION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1.0</w:t>
      </w:r>
      <w:r w:rsidRPr="00CA4F69">
        <w:rPr>
          <w:rFonts w:ascii="Times New Roman" w:hAnsi="Times New Roman" w:cs="Times New Roman"/>
          <w:bCs/>
          <w:sz w:val="24"/>
          <w:szCs w:val="24"/>
        </w:rPr>
        <w:tab/>
        <w:t xml:space="preserve">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1.1 </w:t>
      </w:r>
      <w:r w:rsidRPr="00CA4F69">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1.2 </w:t>
      </w:r>
      <w:r w:rsidRPr="00CA4F69">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1.3 </w:t>
      </w:r>
      <w:r w:rsidRPr="00CA4F69">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1.4 </w:t>
      </w:r>
      <w:r w:rsidRPr="00CA4F69">
        <w:rPr>
          <w:rFonts w:ascii="Times New Roman" w:hAnsi="Times New Roman" w:cs="Times New Roman"/>
          <w:bCs/>
          <w:sz w:val="24"/>
          <w:szCs w:val="24"/>
        </w:rPr>
        <w:tab/>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1.5 </w:t>
      </w:r>
      <w:r w:rsidRPr="00CA4F69">
        <w:rPr>
          <w:rFonts w:ascii="Times New Roman" w:hAnsi="Times New Roman" w:cs="Times New Roman"/>
          <w:bCs/>
          <w:sz w:val="24"/>
          <w:szCs w:val="24"/>
        </w:rPr>
        <w:tab/>
        <w:t>Aim and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1.6 </w:t>
      </w:r>
      <w:r w:rsidRPr="00CA4F69">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1.7 </w:t>
      </w:r>
      <w:r w:rsidRPr="00CA4F69">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1.8 </w:t>
      </w:r>
      <w:r w:rsidRPr="00CA4F69">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1.9 </w:t>
      </w:r>
      <w:r w:rsidRPr="00CA4F69">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TWO: LITERATURE REVIEW</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Pr="00CA4F69">
        <w:rPr>
          <w:rFonts w:ascii="Times New Roman" w:hAnsi="Times New Roman" w:cs="Times New Roman"/>
          <w:bCs/>
          <w:sz w:val="24"/>
          <w:szCs w:val="24"/>
        </w:rPr>
        <w:t>Conceptual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r>
      <w:r w:rsidRPr="00CA4F69">
        <w:rPr>
          <w:rFonts w:ascii="Times New Roman" w:hAnsi="Times New Roman" w:cs="Times New Roman"/>
          <w:bCs/>
          <w:sz w:val="24"/>
          <w:szCs w:val="24"/>
        </w:rPr>
        <w:t>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ab/>
      </w:r>
      <w:r w:rsidRPr="00CA4F69">
        <w:rPr>
          <w:rFonts w:ascii="Times New Roman" w:hAnsi="Times New Roman" w:cs="Times New Roman"/>
          <w:bCs/>
          <w:sz w:val="24"/>
          <w:szCs w:val="24"/>
        </w:rPr>
        <w:t>Public Property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7-11</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ab/>
        <w:t>Urbanization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11-12</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r>
      <w:r w:rsidRPr="00CA4F69">
        <w:rPr>
          <w:rFonts w:ascii="Times New Roman" w:hAnsi="Times New Roman" w:cs="Times New Roman"/>
          <w:bCs/>
          <w:sz w:val="24"/>
          <w:szCs w:val="24"/>
        </w:rPr>
        <w:t>Land Use Patterns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12-13</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ab/>
        <w:t>Cultural and Economic Heritage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13-14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2.1.6</w:t>
      </w:r>
      <w:r>
        <w:rPr>
          <w:rFonts w:ascii="Times New Roman" w:hAnsi="Times New Roman" w:cs="Times New Roman"/>
          <w:bCs/>
          <w:sz w:val="24"/>
          <w:szCs w:val="24"/>
        </w:rPr>
        <w:tab/>
        <w:t>Demographic Shifts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14-15</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2.1.7</w:t>
      </w:r>
      <w:r>
        <w:rPr>
          <w:rFonts w:ascii="Times New Roman" w:hAnsi="Times New Roman" w:cs="Times New Roman"/>
          <w:bCs/>
          <w:sz w:val="24"/>
          <w:szCs w:val="24"/>
        </w:rPr>
        <w:tab/>
      </w:r>
      <w:r w:rsidRPr="00CA4F69">
        <w:rPr>
          <w:rFonts w:ascii="Times New Roman" w:hAnsi="Times New Roman" w:cs="Times New Roman"/>
          <w:bCs/>
          <w:sz w:val="24"/>
          <w:szCs w:val="24"/>
        </w:rPr>
        <w:t>Institutional</w:t>
      </w:r>
      <w:r>
        <w:rPr>
          <w:rFonts w:ascii="Times New Roman" w:hAnsi="Times New Roman" w:cs="Times New Roman"/>
          <w:bCs/>
          <w:sz w:val="24"/>
          <w:szCs w:val="24"/>
        </w:rPr>
        <w:t xml:space="preserve"> Perspective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15-16</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2.1.8</w:t>
      </w:r>
      <w:r w:rsidRPr="00CA4F69">
        <w:rPr>
          <w:rFonts w:ascii="Times New Roman" w:hAnsi="Times New Roman" w:cs="Times New Roman"/>
          <w:bCs/>
          <w:sz w:val="24"/>
          <w:szCs w:val="24"/>
        </w:rPr>
        <w:tab/>
        <w:t>Equita</w:t>
      </w:r>
      <w:r>
        <w:rPr>
          <w:rFonts w:ascii="Times New Roman" w:hAnsi="Times New Roman" w:cs="Times New Roman"/>
          <w:bCs/>
          <w:sz w:val="24"/>
          <w:szCs w:val="24"/>
        </w:rPr>
        <w:t>ble and Sustainable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w:t>
      </w:r>
      <w:r w:rsidRPr="00CA4F69">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2.2.1</w:t>
      </w:r>
      <w:r w:rsidRPr="00CA4F69">
        <w:rPr>
          <w:rFonts w:ascii="Times New Roman" w:hAnsi="Times New Roman" w:cs="Times New Roman"/>
          <w:bCs/>
          <w:sz w:val="24"/>
          <w:szCs w:val="24"/>
        </w:rPr>
        <w:tab/>
        <w:t>Economic Theory of 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2.2.2</w:t>
      </w:r>
      <w:r w:rsidRPr="00CA4F69">
        <w:rPr>
          <w:rFonts w:ascii="Times New Roman" w:hAnsi="Times New Roman" w:cs="Times New Roman"/>
          <w:bCs/>
          <w:sz w:val="24"/>
          <w:szCs w:val="24"/>
        </w:rPr>
        <w:tab/>
        <w:t>Institutional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17-18</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Sustainable Development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18-19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Pr="00CA4F69">
        <w:rPr>
          <w:rFonts w:ascii="Times New Roman" w:hAnsi="Times New Roman" w:cs="Times New Roman"/>
          <w:bCs/>
          <w:sz w:val="24"/>
          <w:szCs w:val="24"/>
        </w:rPr>
        <w:t>Empirical Reviews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2.4</w:t>
      </w:r>
      <w:r>
        <w:rPr>
          <w:rFonts w:ascii="Times New Roman" w:hAnsi="Times New Roman" w:cs="Times New Roman"/>
          <w:bCs/>
          <w:sz w:val="24"/>
          <w:szCs w:val="24"/>
        </w:rPr>
        <w:tab/>
      </w:r>
      <w:r w:rsidRPr="00CA4F69">
        <w:rPr>
          <w:rFonts w:ascii="Times New Roman" w:hAnsi="Times New Roman" w:cs="Times New Roman"/>
          <w:bCs/>
          <w:sz w:val="24"/>
          <w:szCs w:val="24"/>
        </w:rPr>
        <w:t>Gap in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2.5</w:t>
      </w:r>
      <w:r w:rsidRPr="00CA4F69">
        <w:rPr>
          <w:rFonts w:ascii="Times New Roman" w:hAnsi="Times New Roman" w:cs="Times New Roman"/>
          <w:bCs/>
          <w:sz w:val="24"/>
          <w:szCs w:val="24"/>
        </w:rPr>
        <w:tab/>
        <w:t>Summary of 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26-27</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THREE: RESEARCH METHODOLOGY</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Pr="00CA4F69">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Pr="00CA4F69">
        <w:rPr>
          <w:rFonts w:ascii="Times New Roman" w:hAnsi="Times New Roman" w:cs="Times New Roman"/>
          <w:bCs/>
          <w:sz w:val="24"/>
          <w:szCs w:val="24"/>
        </w:rPr>
        <w:t>The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Pr="00CA4F69">
        <w:rPr>
          <w:rFonts w:ascii="Times New Roman" w:hAnsi="Times New Roman" w:cs="Times New Roman"/>
          <w:bCs/>
          <w:sz w:val="24"/>
          <w:szCs w:val="24"/>
        </w:rPr>
        <w:t>Data Types and Sources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28-29</w:t>
      </w:r>
    </w:p>
    <w:p w:rsidR="004E43FE" w:rsidRPr="00CA4F69" w:rsidRDefault="004E43FE" w:rsidP="004E43FE">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Pr="00CA4F69">
        <w:rPr>
          <w:rFonts w:ascii="Times New Roman" w:hAnsi="Times New Roman" w:cs="Times New Roman"/>
          <w:bCs/>
          <w:sz w:val="24"/>
          <w:szCs w:val="24"/>
        </w:rPr>
        <w:t>Instrument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sidRPr="00CA4F69">
        <w:rPr>
          <w:rFonts w:ascii="Times New Roman" w:hAnsi="Times New Roman" w:cs="Times New Roman"/>
          <w:bCs/>
          <w:sz w:val="24"/>
          <w:szCs w:val="24"/>
        </w:rPr>
        <w:t>Target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Pr="00CA4F69">
        <w:rPr>
          <w:rFonts w:ascii="Times New Roman" w:hAnsi="Times New Roman" w:cs="Times New Roman"/>
          <w:bCs/>
          <w:sz w:val="24"/>
          <w:szCs w:val="24"/>
        </w:rPr>
        <w:t>Sample Frame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sidRPr="00CA4F69">
        <w:rPr>
          <w:rFonts w:ascii="Times New Roman" w:hAnsi="Times New Roman" w:cs="Times New Roman"/>
          <w:bCs/>
          <w:sz w:val="24"/>
          <w:szCs w:val="24"/>
        </w:rPr>
        <w:t>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CA4F69">
        <w:rPr>
          <w:rFonts w:ascii="Times New Roman" w:hAnsi="Times New Roman" w:cs="Times New Roman"/>
          <w:bCs/>
          <w:sz w:val="24"/>
          <w:szCs w:val="24"/>
        </w:rPr>
        <w:t>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Pr="00CA4F69">
        <w:rPr>
          <w:rFonts w:ascii="Times New Roman" w:hAnsi="Times New Roman" w:cs="Times New Roman"/>
          <w:bCs/>
          <w:sz w:val="24"/>
          <w:szCs w:val="24"/>
        </w:rPr>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3.10</w:t>
      </w:r>
      <w:r>
        <w:rPr>
          <w:rFonts w:ascii="Times New Roman" w:hAnsi="Times New Roman" w:cs="Times New Roman"/>
          <w:bCs/>
          <w:sz w:val="24"/>
          <w:szCs w:val="24"/>
        </w:rPr>
        <w:tab/>
      </w:r>
      <w:r w:rsidRPr="00CA4F69">
        <w:rPr>
          <w:rFonts w:ascii="Times New Roman" w:hAnsi="Times New Roman" w:cs="Times New Roman"/>
          <w:bCs/>
          <w:sz w:val="24"/>
          <w:szCs w:val="24"/>
        </w:rPr>
        <w:t>Summary of Data Analysis for Each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 xml:space="preserve">CHAPTER FOUR: </w:t>
      </w:r>
      <w:r w:rsidRPr="00CA4F69">
        <w:rPr>
          <w:rFonts w:ascii="Times New Roman" w:hAnsi="Times New Roman" w:cs="Times New Roman"/>
          <w:b/>
          <w:sz w:val="24"/>
          <w:szCs w:val="24"/>
        </w:rPr>
        <w:t>DATA PRESENTATION ANALYSIS AND INTERPRETATION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w:t>
      </w:r>
      <w:r w:rsidRPr="00CA4F69">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4.1.1</w:t>
      </w:r>
      <w:r w:rsidRPr="00CA4F69">
        <w:rPr>
          <w:rFonts w:ascii="Times New Roman" w:hAnsi="Times New Roman" w:cs="Times New Roman"/>
          <w:bCs/>
          <w:sz w:val="24"/>
          <w:szCs w:val="24"/>
        </w:rPr>
        <w:tab/>
        <w:t>Demographic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33-37</w:t>
      </w:r>
    </w:p>
    <w:p w:rsidR="004E43FE" w:rsidRPr="00CA4F69" w:rsidRDefault="004E43FE" w:rsidP="004E43FE">
      <w:pPr>
        <w:autoSpaceDE w:val="0"/>
        <w:autoSpaceDN w:val="0"/>
        <w:adjustRightInd w:val="0"/>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4.2</w:t>
      </w:r>
      <w:r w:rsidRPr="00CA4F69">
        <w:rPr>
          <w:rFonts w:ascii="Times New Roman" w:hAnsi="Times New Roman" w:cs="Times New Roman"/>
          <w:bCs/>
          <w:sz w:val="24"/>
          <w:szCs w:val="24"/>
        </w:rPr>
        <w:tab/>
        <w:t>Data Analysis and Answers to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37-50</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4.3</w:t>
      </w:r>
      <w:r w:rsidRPr="002C44F4">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50-51</w:t>
      </w:r>
    </w:p>
    <w:p w:rsidR="004E43FE"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51-53</w:t>
      </w:r>
    </w:p>
    <w:p w:rsidR="004E43FE" w:rsidRPr="00CA4F69" w:rsidRDefault="004E43FE" w:rsidP="004E43FE">
      <w:pPr>
        <w:spacing w:after="0" w:line="360" w:lineRule="auto"/>
        <w:jc w:val="both"/>
        <w:rPr>
          <w:rFonts w:ascii="Times New Roman" w:hAnsi="Times New Roman" w:cs="Times New Roman"/>
          <w:bCs/>
          <w:sz w:val="24"/>
          <w:szCs w:val="24"/>
        </w:rPr>
      </w:pPr>
      <w:r w:rsidRPr="00415EC1">
        <w:rPr>
          <w:rFonts w:ascii="Times New Roman" w:hAnsi="Times New Roman" w:cs="Times New Roman"/>
          <w:b/>
          <w:bCs/>
          <w:sz w:val="24"/>
          <w:szCs w:val="24"/>
        </w:rPr>
        <w:t>CHAPTER FIVE: SUMM</w:t>
      </w:r>
      <w:r>
        <w:rPr>
          <w:rFonts w:ascii="Times New Roman" w:hAnsi="Times New Roman" w:cs="Times New Roman"/>
          <w:b/>
          <w:bCs/>
          <w:sz w:val="24"/>
          <w:szCs w:val="24"/>
        </w:rPr>
        <w:t xml:space="preserve">ARY OF FINDINGS, CONCLUSION AND </w:t>
      </w:r>
      <w:r w:rsidRPr="00415EC1">
        <w:rPr>
          <w:rFonts w:ascii="Times New Roman" w:hAnsi="Times New Roman" w:cs="Times New Roman"/>
          <w:b/>
          <w:bCs/>
          <w:sz w:val="24"/>
          <w:szCs w:val="24"/>
        </w:rPr>
        <w:t>RECOMMENDATIONS</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5.1</w:t>
      </w:r>
      <w:r w:rsidRPr="002C44F4">
        <w:rPr>
          <w:rFonts w:ascii="Times New Roman" w:hAnsi="Times New Roman" w:cs="Times New Roman"/>
          <w:bCs/>
          <w:sz w:val="24"/>
          <w:szCs w:val="24"/>
        </w:rPr>
        <w:tab/>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54-55</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5.2</w:t>
      </w:r>
      <w:r w:rsidRPr="002C44F4">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55-56</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5.3</w:t>
      </w:r>
      <w:r w:rsidRPr="002C44F4">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56-57</w:t>
      </w:r>
    </w:p>
    <w:p w:rsidR="004E43FE" w:rsidRPr="002C44F4" w:rsidRDefault="004E43FE" w:rsidP="004E43FE">
      <w:pPr>
        <w:spacing w:after="0" w:line="36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58-62</w:t>
      </w:r>
    </w:p>
    <w:p w:rsidR="004E43FE" w:rsidRDefault="004E43FE" w:rsidP="004E43FE">
      <w:pPr>
        <w:spacing w:after="0" w:line="24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 xml:space="preserve">Questionnaire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63-65</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DA3854" w:rsidRDefault="004E43FE" w:rsidP="004E43FE">
      <w:pPr>
        <w:spacing w:after="0" w:line="360" w:lineRule="auto"/>
        <w:jc w:val="center"/>
        <w:rPr>
          <w:rFonts w:ascii="Times New Roman" w:hAnsi="Times New Roman" w:cs="Times New Roman"/>
          <w:b/>
          <w:bCs/>
          <w:color w:val="010205"/>
          <w:sz w:val="24"/>
          <w:szCs w:val="24"/>
        </w:rPr>
      </w:pPr>
      <w:r w:rsidRPr="00DA3854">
        <w:rPr>
          <w:rFonts w:ascii="Times New Roman" w:hAnsi="Times New Roman" w:cs="Times New Roman"/>
          <w:b/>
          <w:bCs/>
          <w:color w:val="010205"/>
          <w:sz w:val="24"/>
          <w:szCs w:val="24"/>
        </w:rPr>
        <w:lastRenderedPageBreak/>
        <w:t>LIST OF TABLES</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Table 4.1: Distribution of Questionnaire</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32</w:t>
      </w:r>
    </w:p>
    <w:p w:rsidR="004E43FE" w:rsidRPr="00DA3854"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4.2: Age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33</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4.3: Gender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34</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Table 4.4: Educational Level</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35</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 xml:space="preserve">Table 4.5: Years of Residence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sidRPr="00DA3854">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36</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4.6: Land scarcity and high demand are significant factors driving land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speculation</w:t>
      </w:r>
      <w:proofErr w:type="gramEnd"/>
      <w:r w:rsidRPr="00DA3854">
        <w:rPr>
          <w:rFonts w:ascii="Times New Roman" w:hAnsi="Times New Roman" w:cs="Times New Roman"/>
          <w:bCs/>
          <w:color w:val="010205"/>
          <w:sz w:val="24"/>
          <w:szCs w:val="24"/>
        </w:rPr>
        <w:t xml:space="preserv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37</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4.7: Economic incentives, such as potential for high returns, motivate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individuals</w:t>
      </w:r>
      <w:proofErr w:type="gramEnd"/>
      <w:r w:rsidRPr="00DA3854">
        <w:rPr>
          <w:rFonts w:ascii="Times New Roman" w:hAnsi="Times New Roman" w:cs="Times New Roman"/>
          <w:bCs/>
          <w:color w:val="010205"/>
          <w:sz w:val="24"/>
          <w:szCs w:val="24"/>
        </w:rPr>
        <w:t xml:space="preserve"> to engage</w:t>
      </w:r>
      <w:r>
        <w:rPr>
          <w:rFonts w:ascii="Times New Roman" w:hAnsi="Times New Roman" w:cs="Times New Roman"/>
          <w:bCs/>
          <w:color w:val="010205"/>
          <w:sz w:val="24"/>
          <w:szCs w:val="24"/>
        </w:rPr>
        <w:t xml:space="preserve"> in land speculation activities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38</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4.8: Lack of clear land-use policies contributes to speculative </w:t>
      </w:r>
    </w:p>
    <w:p w:rsidR="004E43FE" w:rsidRPr="00DA3854" w:rsidRDefault="004E43FE" w:rsidP="004E43FE">
      <w:pPr>
        <w:spacing w:after="0" w:line="360" w:lineRule="auto"/>
        <w:jc w:val="both"/>
        <w:rPr>
          <w:rFonts w:ascii="Times New Roman" w:hAnsi="Times New Roman" w:cs="Times New Roman"/>
          <w:sz w:val="24"/>
          <w:szCs w:val="24"/>
        </w:rPr>
      </w:pPr>
      <w:proofErr w:type="gramStart"/>
      <w:r w:rsidRPr="00DA3854">
        <w:rPr>
          <w:rFonts w:ascii="Times New Roman" w:hAnsi="Times New Roman" w:cs="Times New Roman"/>
          <w:bCs/>
          <w:color w:val="010205"/>
          <w:sz w:val="24"/>
          <w:szCs w:val="24"/>
        </w:rPr>
        <w:t>behaviours</w:t>
      </w:r>
      <w:proofErr w:type="gramEnd"/>
      <w:r w:rsidRPr="00DA3854">
        <w:rPr>
          <w:rFonts w:ascii="Times New Roman" w:hAnsi="Times New Roman" w:cs="Times New Roman"/>
          <w:bCs/>
          <w:color w:val="010205"/>
          <w:sz w:val="24"/>
          <w:szCs w:val="24"/>
        </w:rPr>
        <w:t xml:space="preserve"> amo</w:t>
      </w:r>
      <w:r>
        <w:rPr>
          <w:rFonts w:ascii="Times New Roman" w:hAnsi="Times New Roman" w:cs="Times New Roman"/>
          <w:bCs/>
          <w:color w:val="010205"/>
          <w:sz w:val="24"/>
          <w:szCs w:val="24"/>
        </w:rPr>
        <w:t>ng landowners and investors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39</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4.9: Infrastructural developments and government interventions influence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the</w:t>
      </w:r>
      <w:proofErr w:type="gramEnd"/>
      <w:r w:rsidRPr="00DA3854">
        <w:rPr>
          <w:rFonts w:ascii="Times New Roman" w:hAnsi="Times New Roman" w:cs="Times New Roman"/>
          <w:bCs/>
          <w:color w:val="010205"/>
          <w:sz w:val="24"/>
          <w:szCs w:val="24"/>
        </w:rPr>
        <w:t xml:space="preserve"> increase in land sp</w:t>
      </w:r>
      <w:r>
        <w:rPr>
          <w:rFonts w:ascii="Times New Roman" w:hAnsi="Times New Roman" w:cs="Times New Roman"/>
          <w:bCs/>
          <w:color w:val="010205"/>
          <w:sz w:val="24"/>
          <w:szCs w:val="24"/>
        </w:rPr>
        <w:t xml:space="preserve">eculation in the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40</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4.10: Land speculation negatively affects the affordability of housing in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the</w:t>
      </w:r>
      <w:proofErr w:type="gram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41</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4.11: Speculative activities contribute to the delay and disruption of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planne</w:t>
      </w:r>
      <w:r>
        <w:rPr>
          <w:rFonts w:ascii="Times New Roman" w:hAnsi="Times New Roman" w:cs="Times New Roman"/>
          <w:bCs/>
          <w:color w:val="010205"/>
          <w:sz w:val="24"/>
          <w:szCs w:val="24"/>
        </w:rPr>
        <w:t>d</w:t>
      </w:r>
      <w:proofErr w:type="gramEnd"/>
      <w:r>
        <w:rPr>
          <w:rFonts w:ascii="Times New Roman" w:hAnsi="Times New Roman" w:cs="Times New Roman"/>
          <w:bCs/>
          <w:color w:val="010205"/>
          <w:sz w:val="24"/>
          <w:szCs w:val="24"/>
        </w:rPr>
        <w:t xml:space="preserve"> property development projects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42</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4.12: The quality of property developments is compromised due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to</w:t>
      </w:r>
      <w:proofErr w:type="gramEnd"/>
      <w:r>
        <w:rPr>
          <w:rFonts w:ascii="Times New Roman" w:hAnsi="Times New Roman" w:cs="Times New Roman"/>
          <w:bCs/>
          <w:color w:val="010205"/>
          <w:sz w:val="24"/>
          <w:szCs w:val="24"/>
        </w:rPr>
        <w:t xml:space="preserve"> speculative practices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43</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4.13: Speculation leads to unequal distribution of developed land, affecting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overall landscape of the </w:t>
      </w:r>
      <w:proofErr w:type="spellStart"/>
      <w:r w:rsidRPr="00CA4F69">
        <w:rPr>
          <w:rFonts w:ascii="Times New Roman" w:hAnsi="Times New Roman" w:cs="Times New Roman"/>
          <w:sz w:val="24"/>
          <w:szCs w:val="24"/>
        </w:rPr>
        <w:t>Budo</w:t>
      </w:r>
      <w:proofErr w:type="spellEnd"/>
      <w:r w:rsidRPr="00CA4F69">
        <w:rPr>
          <w:rFonts w:ascii="Times New Roman" w:hAnsi="Times New Roman" w:cs="Times New Roman"/>
          <w:sz w:val="24"/>
          <w:szCs w:val="24"/>
        </w:rPr>
        <w:t xml:space="preserve"> </w:t>
      </w:r>
      <w:proofErr w:type="spellStart"/>
      <w:r w:rsidRPr="00CA4F69">
        <w:rPr>
          <w:rFonts w:ascii="Times New Roman" w:hAnsi="Times New Roman" w:cs="Times New Roman"/>
          <w:sz w:val="24"/>
          <w:szCs w:val="24"/>
        </w:rPr>
        <w:t>Osho</w:t>
      </w:r>
      <w:proofErr w:type="spellEnd"/>
      <w:r w:rsidRPr="00CA4F69">
        <w:rPr>
          <w:rFonts w:ascii="Times New Roman" w:hAnsi="Times New Roman" w:cs="Times New Roman"/>
          <w:sz w:val="24"/>
          <w:szCs w:val="24"/>
        </w:rPr>
        <w:t xml:space="preserve">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4.14: Implementing clear and enforceable land-use policies is an effective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stra</w:t>
      </w:r>
      <w:r>
        <w:rPr>
          <w:rFonts w:ascii="Times New Roman" w:hAnsi="Times New Roman" w:cs="Times New Roman"/>
          <w:sz w:val="24"/>
          <w:szCs w:val="24"/>
        </w:rPr>
        <w:t>tegy</w:t>
      </w:r>
      <w:proofErr w:type="gramEnd"/>
      <w:r>
        <w:rPr>
          <w:rFonts w:ascii="Times New Roman" w:hAnsi="Times New Roman" w:cs="Times New Roman"/>
          <w:sz w:val="24"/>
          <w:szCs w:val="24"/>
        </w:rPr>
        <w:t xml:space="preserve"> to reduce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4.15: Encouraging community-based land management can help mitigate </w:t>
      </w:r>
    </w:p>
    <w:p w:rsidR="004E43FE"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adve</w:t>
      </w:r>
      <w:r>
        <w:rPr>
          <w:rFonts w:ascii="Times New Roman" w:hAnsi="Times New Roman" w:cs="Times New Roman"/>
          <w:sz w:val="24"/>
          <w:szCs w:val="24"/>
        </w:rPr>
        <w:t>rse effects of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4.16: Taxing speculative transactions can discourage speculative activities </w:t>
      </w:r>
    </w:p>
    <w:p w:rsidR="004E43FE" w:rsidRPr="00DA3854" w:rsidRDefault="004E43FE" w:rsidP="004E43F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fund community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4.17: Establishing partnerships between the government and private sector </w:t>
      </w:r>
    </w:p>
    <w:p w:rsidR="004E43FE" w:rsidRPr="00DA3854" w:rsidRDefault="004E43FE" w:rsidP="004E43FE">
      <w:pPr>
        <w:spacing w:after="0" w:line="360" w:lineRule="auto"/>
        <w:rPr>
          <w:rFonts w:ascii="Times New Roman" w:hAnsi="Times New Roman" w:cs="Times New Roman"/>
          <w:sz w:val="24"/>
          <w:szCs w:val="24"/>
        </w:rPr>
      </w:pPr>
      <w:proofErr w:type="gramStart"/>
      <w:r w:rsidRPr="00DA3854">
        <w:rPr>
          <w:rFonts w:ascii="Times New Roman" w:hAnsi="Times New Roman" w:cs="Times New Roman"/>
          <w:sz w:val="24"/>
          <w:szCs w:val="24"/>
        </w:rPr>
        <w:t>can</w:t>
      </w:r>
      <w:proofErr w:type="gramEnd"/>
      <w:r w:rsidRPr="00DA3854">
        <w:rPr>
          <w:rFonts w:ascii="Times New Roman" w:hAnsi="Times New Roman" w:cs="Times New Roman"/>
          <w:sz w:val="24"/>
          <w:szCs w:val="24"/>
        </w:rPr>
        <w:t xml:space="preserve"> promote sustainable and</w:t>
      </w:r>
      <w:r>
        <w:rPr>
          <w:rFonts w:ascii="Times New Roman" w:hAnsi="Times New Roman" w:cs="Times New Roman"/>
          <w:sz w:val="24"/>
          <w:szCs w:val="24"/>
        </w:rPr>
        <w:t xml:space="preserve"> inclusive property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E43FE" w:rsidRPr="00DA3854"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Table 4.18: One-Sample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CA4F69" w:rsidRDefault="004E43FE" w:rsidP="004E43FE">
      <w:pPr>
        <w:spacing w:after="0" w:line="360" w:lineRule="auto"/>
        <w:jc w:val="center"/>
        <w:rPr>
          <w:rFonts w:ascii="Times New Roman" w:hAnsi="Times New Roman" w:cs="Times New Roman"/>
          <w:b/>
          <w:sz w:val="24"/>
          <w:szCs w:val="24"/>
        </w:rPr>
      </w:pPr>
      <w:r w:rsidRPr="00CA4F69">
        <w:rPr>
          <w:rFonts w:ascii="Times New Roman" w:hAnsi="Times New Roman" w:cs="Times New Roman"/>
          <w:b/>
          <w:sz w:val="24"/>
          <w:szCs w:val="24"/>
        </w:rPr>
        <w:lastRenderedPageBreak/>
        <w:t>ABSTRACT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This quantitative survey research will investigate land speculation's dynamics and impact on property development in the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rPr>
        <w:t xml:space="preserve"> area of Ilorin. A structured questionnaire will be administered to respondents, and data analysis using SPSS27. Findings will reveal land scarcity, high demand, and economic incentives drive speculation, delaying development projects. Effective mitigation strategies include clear land-use policies, community-based management, and taxation on speculative transactions. The study will recommend robust policy frameworks, community involvement, and strategic taxation to curb speculation and foster sustainable development.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Keywords: land speculation, property development,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lang w:val="en-US"/>
        </w:rPr>
        <w:t xml:space="preserve"> area</w:t>
      </w:r>
      <w:r w:rsidRPr="00CA4F69">
        <w:rPr>
          <w:rFonts w:ascii="Times New Roman" w:hAnsi="Times New Roman" w:cs="Times New Roman"/>
          <w:i/>
          <w:sz w:val="24"/>
          <w:szCs w:val="24"/>
        </w:rPr>
        <w:t>, sustainable urban development.</w:t>
      </w:r>
    </w:p>
    <w:p w:rsidR="004E43FE" w:rsidRPr="00E95677" w:rsidRDefault="004E43FE" w:rsidP="004E43FE">
      <w:pPr>
        <w:spacing w:after="0" w:line="240" w:lineRule="auto"/>
        <w:ind w:firstLine="720"/>
        <w:jc w:val="both"/>
        <w:rPr>
          <w:rFonts w:ascii="Times New Roman" w:hAnsi="Times New Roman" w:cs="Times New Roman"/>
          <w:bCs/>
          <w:sz w:val="24"/>
          <w:szCs w:val="24"/>
        </w:rPr>
      </w:pPr>
    </w:p>
    <w:p w:rsidR="004E43FE" w:rsidRDefault="004E43FE">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ONE</w:t>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INTRODUCTION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1.0</w:t>
      </w:r>
      <w:r w:rsidRPr="00897576">
        <w:rPr>
          <w:rFonts w:ascii="Times New Roman" w:hAnsi="Times New Roman" w:cs="Times New Roman"/>
          <w:b/>
          <w:bCs/>
          <w:sz w:val="24"/>
          <w:szCs w:val="24"/>
        </w:rPr>
        <w:tab/>
        <w:t xml:space="preserve"> Introduction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is a phenomenon that has far-reaching implications for private property development, shaping the landscape of urban and rural areas alike. This study delves into the intricacies of land speculation, particularly focusing on its impact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housing estate I</w:t>
      </w:r>
      <w:r w:rsidRPr="00897576">
        <w:rPr>
          <w:rFonts w:ascii="Times New Roman" w:hAnsi="Times New Roman" w:cs="Times New Roman"/>
          <w:sz w:val="24"/>
          <w:szCs w:val="24"/>
        </w:rPr>
        <w:t xml:space="preserve">lorin,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Understanding the dynamics of land speculation is crucial for policymakers, real estate developers, and the community at large to make informed decisions that foster sustainable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1.1 </w:t>
      </w:r>
      <w:r w:rsidRPr="00897576">
        <w:rPr>
          <w:rFonts w:ascii="Times New Roman" w:hAnsi="Times New Roman" w:cs="Times New Roman"/>
          <w:b/>
          <w:bCs/>
          <w:sz w:val="24"/>
          <w:szCs w:val="24"/>
        </w:rPr>
        <w:tab/>
        <w:t>Background to the Study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 as a finite resource, is a subject of substantial economic influence, and speculative activities surrounding it can profoundly impact property development. This intersection between land and economic fo</w:t>
      </w:r>
      <w:r w:rsidR="00094176">
        <w:rPr>
          <w:rFonts w:ascii="Times New Roman" w:hAnsi="Times New Roman" w:cs="Times New Roman"/>
          <w:sz w:val="24"/>
          <w:szCs w:val="24"/>
        </w:rPr>
        <w:t>rces is well illustrated in the</w:t>
      </w:r>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housing estate Ilorin.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understanding property market operations is crucial, especially when viewed from a dual institutional perspective. The case study of Lagos, Nigeria, cited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provides insights into the intricate relationship between institutions and property market dynamics. This dual institutional perspective is particularly relevant when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changes in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has experienced discernible shifts in its land use patterns, raising concerns about the potential consequences of land speculation on private property development. According to Ding and Zhao (2022), land markets play a pivotal role in shaping urban spatial structures. In Beijing, China, as explored by Ding and Zhao, the dynamics of the land market have significant implications for urban development.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experience aligns with this perspective, as changes in land use patterns often signal underlying shifts in economic and developmental dynamics, influenced by speculative activities.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Historical, economic, and social factors further contribute to the complexity of the land speculation issue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highlighted by Alonso (2018), understanding urban form requires an exploration of both historical and structural theories. Alonso's insights into the theories of urban form are essential when considering the historical background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historical evolution of the region, coupled with structural changes, may offer valuable context to the current challenges posed by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Additionally,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among peasants in the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 sheds light on the broader consequences of land speculation. While the focus is on agriculture, the findings could be extrapolated to understand the potential effects on various land uses, including residential and commercial development. The implications of land speculation extend beyond property markets, affecting livelihoods and land-dependent activities, as suggested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intricacies of land speculation necessitate an exploration of strategies for mitigating its negative effects on private property development. In their study on the impact of speculation and economic uncertainty on commodity markets,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delve into the broader implications of spe</w:t>
      </w:r>
      <w:r w:rsidR="00B62257">
        <w:rPr>
          <w:rFonts w:ascii="Times New Roman" w:hAnsi="Times New Roman" w:cs="Times New Roman"/>
          <w:sz w:val="24"/>
          <w:szCs w:val="24"/>
        </w:rPr>
        <w:t xml:space="preserve">culation. </w:t>
      </w:r>
      <w:r w:rsidRPr="00897576">
        <w:rPr>
          <w:rFonts w:ascii="Times New Roman" w:hAnsi="Times New Roman" w:cs="Times New Roman"/>
          <w:sz w:val="24"/>
          <w:szCs w:val="24"/>
        </w:rPr>
        <w:t xml:space="preserve">While their focus is on commodity markets, the methodologies employed in mitigating the impact of speculation may offer valuable insights into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context.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Brown's (2017) exploration of speculation emphasizes the need to critically evaluate the phenomenon. Brown's insights into the nature of speculation, its historical context, and its implications provide a theoretical foundation for understanding and potentially mitigating the negative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area.</w:t>
      </w:r>
    </w:p>
    <w:p w:rsidR="00B62257" w:rsidRPr="0071189F" w:rsidRDefault="00897576" w:rsidP="0071189F">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This critical perspective ali</w:t>
      </w:r>
      <w:r w:rsidR="00B62257">
        <w:rPr>
          <w:rFonts w:ascii="Times New Roman" w:hAnsi="Times New Roman" w:cs="Times New Roman"/>
          <w:sz w:val="24"/>
          <w:szCs w:val="24"/>
        </w:rPr>
        <w:t xml:space="preserve">gns with the aim of the study </w:t>
      </w:r>
      <w:r w:rsidRPr="00897576">
        <w:rPr>
          <w:rFonts w:ascii="Times New Roman" w:hAnsi="Times New Roman" w:cs="Times New Roman"/>
          <w:sz w:val="24"/>
          <w:szCs w:val="24"/>
        </w:rPr>
        <w:t>to propose strategies for mitigating the adverse impacts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1.2 </w:t>
      </w:r>
      <w:r w:rsidRPr="00897576">
        <w:rPr>
          <w:rFonts w:ascii="Times New Roman" w:hAnsi="Times New Roman" w:cs="Times New Roman"/>
          <w:b/>
          <w:bCs/>
          <w:sz w:val="24"/>
          <w:szCs w:val="24"/>
        </w:rPr>
        <w:tab/>
        <w:t>Statement of Problem</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is at the core of this research, aiming to elucidate the challenges posed by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South/East Local Government. As highlighted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speculation, driven by economic uncertainties, can have far-reaching consequences. In the context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r w:rsidRPr="00897576">
        <w:rPr>
          <w:rFonts w:ascii="Times New Roman" w:hAnsi="Times New Roman" w:cs="Times New Roman"/>
          <w:sz w:val="24"/>
          <w:szCs w:val="24"/>
        </w:rPr>
        <w:t xml:space="preserve"> the surge in land speculation raises concerns about the potential adverse effects on private property development. The recent study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emphasizes the need to comprehend the impact of speculation on various markets, and in this case, its influence on the property market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demands careful examination.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changing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identified in Ding and Zhao's (2022) study on land markets and urban spatial structure in Beijing, mirror the broader implications of speculative activities. Such changes not only disrupt established communities but also alter the fabric of urban and rural landscapes.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unique historical, economic, and social context contributes to the complexity of this issue, </w:t>
      </w:r>
      <w:r w:rsidRPr="00897576">
        <w:rPr>
          <w:rFonts w:ascii="Times New Roman" w:hAnsi="Times New Roman" w:cs="Times New Roman"/>
          <w:sz w:val="24"/>
          <w:szCs w:val="24"/>
        </w:rPr>
        <w:lastRenderedPageBreak/>
        <w:t>necessitating an in-depth analysis to understand the specific challenges faced by the community.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Furthermore,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Amidu's</w:t>
      </w:r>
      <w:proofErr w:type="spellEnd"/>
      <w:r w:rsidRPr="00897576">
        <w:rPr>
          <w:rFonts w:ascii="Times New Roman" w:hAnsi="Times New Roman" w:cs="Times New Roman"/>
          <w:sz w:val="24"/>
          <w:szCs w:val="24"/>
        </w:rPr>
        <w:t xml:space="preserve"> (2017) research on property market operations in Lagos, Nigeria, provides a relevant backdrop for understanding the institutional aspects that may exacerbate the challenges posed by land speculation. Institutions play a crucial role in shaping the property market, and the dual institutional perspective offered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may shed light on how institutional dynamics influence the impact of land speculation on private property development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therefore, encapsulates the urgency and significance of addressing the multifaceted challenges arising from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taking into account the broader economic uncertainties, changing land use patterns, and institutional factors that contribute to the complexity of this issue.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1.3 </w:t>
      </w:r>
      <w:r w:rsidRPr="00897576">
        <w:rPr>
          <w:rFonts w:ascii="Times New Roman" w:hAnsi="Times New Roman" w:cs="Times New Roman"/>
          <w:b/>
          <w:bCs/>
          <w:sz w:val="24"/>
          <w:szCs w:val="24"/>
        </w:rPr>
        <w:tab/>
        <w:t>Research Questions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guide the investigation, three research questions are posed:</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What are the key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How does land speculation impact property development in the study area?</w:t>
      </w:r>
    </w:p>
    <w:p w:rsidR="00FC42E0" w:rsidRPr="00B62257" w:rsidRDefault="00897576" w:rsidP="00897576">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What strategies can be employed to mitigate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1.4 </w:t>
      </w:r>
      <w:r w:rsidRPr="00897576">
        <w:rPr>
          <w:rFonts w:ascii="Times New Roman" w:hAnsi="Times New Roman" w:cs="Times New Roman"/>
          <w:b/>
          <w:bCs/>
          <w:sz w:val="24"/>
          <w:szCs w:val="24"/>
        </w:rPr>
        <w:tab/>
        <w:t>Research Hypotheses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line with the research questions, three hypotheses are formulated:</w:t>
      </w:r>
    </w:p>
    <w:p w:rsidR="00FC42E0" w:rsidRPr="00897576" w:rsidRDefault="00897576" w:rsidP="00897576">
      <w:pPr>
        <w:spacing w:after="0" w:line="360" w:lineRule="auto"/>
        <w:jc w:val="both"/>
        <w:rPr>
          <w:rFonts w:ascii="Times New Roman" w:hAnsi="Times New Roman" w:cs="Times New Roman"/>
          <w:b/>
          <w:bCs/>
          <w:sz w:val="24"/>
          <w:szCs w:val="24"/>
        </w:rPr>
      </w:pPr>
      <w:proofErr w:type="spellStart"/>
      <w:r w:rsidRPr="00897576">
        <w:rPr>
          <w:rFonts w:ascii="Times New Roman" w:hAnsi="Times New Roman" w:cs="Times New Roman"/>
          <w:b/>
          <w:bCs/>
          <w:sz w:val="24"/>
          <w:szCs w:val="24"/>
        </w:rPr>
        <w:t>Nully</w:t>
      </w:r>
      <w:proofErr w:type="spellEnd"/>
      <w:r w:rsidRPr="00897576">
        <w:rPr>
          <w:rFonts w:ascii="Times New Roman" w:hAnsi="Times New Roman" w:cs="Times New Roman"/>
          <w:b/>
          <w:bCs/>
          <w:sz w:val="24"/>
          <w:szCs w:val="24"/>
        </w:rPr>
        <w:t xml:space="preserve"> </w:t>
      </w:r>
      <w:r w:rsidR="0071189F" w:rsidRPr="00897576">
        <w:rPr>
          <w:rFonts w:ascii="Times New Roman" w:hAnsi="Times New Roman" w:cs="Times New Roman"/>
          <w:b/>
          <w:bCs/>
          <w:sz w:val="24"/>
          <w:szCs w:val="24"/>
        </w:rPr>
        <w:t>Hypotheses (</w:t>
      </w:r>
      <w:r w:rsidRPr="00897576">
        <w:rPr>
          <w:rFonts w:ascii="Times New Roman" w:hAnsi="Times New Roman" w:cs="Times New Roman"/>
          <w:b/>
          <w:bCs/>
          <w:sz w:val="24"/>
          <w:szCs w:val="24"/>
        </w:rPr>
        <w:t>H</w:t>
      </w:r>
      <w:r w:rsidRPr="00897576">
        <w:rPr>
          <w:rFonts w:ascii="Times New Roman" w:hAnsi="Times New Roman" w:cs="Times New Roman"/>
          <w:b/>
          <w:bCs/>
          <w:sz w:val="24"/>
          <w:szCs w:val="24"/>
          <w:vertAlign w:val="subscript"/>
        </w:rPr>
        <w:t>0</w:t>
      </w:r>
      <w:r w:rsidRPr="00897576">
        <w:rPr>
          <w:rFonts w:ascii="Times New Roman" w:hAnsi="Times New Roman" w:cs="Times New Roman"/>
          <w:b/>
          <w:bCs/>
          <w:sz w:val="24"/>
          <w:szCs w:val="24"/>
        </w:rPr>
        <w: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There is no significant relationship between the drivers of land speculation and property development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impact of land speculation on property development in the study area is not significant.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Implementing strategies to mitigate land speculation does not have a significant effect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1.5 </w:t>
      </w:r>
      <w:r w:rsidRPr="00897576">
        <w:rPr>
          <w:rFonts w:ascii="Times New Roman" w:hAnsi="Times New Roman" w:cs="Times New Roman"/>
          <w:b/>
          <w:bCs/>
          <w:sz w:val="24"/>
          <w:szCs w:val="24"/>
        </w:rPr>
        <w:tab/>
        <w:t>Aim and Objectives</w:t>
      </w:r>
    </w:p>
    <w:p w:rsidR="00FC42E0" w:rsidRPr="00897576" w:rsidRDefault="00B62257" w:rsidP="00B62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primary aim of this study is to assess the impact of land speculation on private property development in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Pr>
          <w:rFonts w:ascii="Times New Roman" w:hAnsi="Times New Roman" w:cs="Times New Roman"/>
          <w:sz w:val="24"/>
          <w:szCs w:val="24"/>
        </w:rPr>
        <w:t xml:space="preserve"> area of Ilorin</w:t>
      </w:r>
      <w:r w:rsidR="00897576" w:rsidRPr="00897576">
        <w:rPr>
          <w:rFonts w:ascii="Times New Roman" w:hAnsi="Times New Roman" w:cs="Times New Roman"/>
          <w:sz w:val="24"/>
          <w:szCs w:val="24"/>
        </w:rPr>
        <w:t>. To achieve this aim, the following specific objectives are outlined:</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identify the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examine the impact of land speculation on property development in the study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To propose strategies for mitigating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1.6 </w:t>
      </w:r>
      <w:r w:rsidRPr="00897576">
        <w:rPr>
          <w:rFonts w:ascii="Times New Roman" w:hAnsi="Times New Roman" w:cs="Times New Roman"/>
          <w:b/>
          <w:bCs/>
          <w:sz w:val="24"/>
          <w:szCs w:val="24"/>
        </w:rPr>
        <w:tab/>
        <w:t>Justification of the Study</w:t>
      </w:r>
    </w:p>
    <w:p w:rsidR="00B62257" w:rsidRDefault="00B62257"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Comprehending the repercussions of land speculation on </w:t>
      </w:r>
      <w:r w:rsidR="00897576" w:rsidRPr="00897576">
        <w:rPr>
          <w:rFonts w:ascii="Times New Roman" w:hAnsi="Times New Roman" w:cs="Times New Roman"/>
          <w:sz w:val="24"/>
          <w:szCs w:val="24"/>
          <w:lang w:val="en-US"/>
        </w:rPr>
        <w:t>public</w:t>
      </w:r>
      <w:r w:rsidR="00897576" w:rsidRPr="00897576">
        <w:rPr>
          <w:rFonts w:ascii="Times New Roman" w:hAnsi="Times New Roman" w:cs="Times New Roman"/>
          <w:sz w:val="24"/>
          <w:szCs w:val="24"/>
        </w:rPr>
        <w:t xml:space="preserve"> property development holds pivotal significance for fostering sustainable urban and rural planning. This research endeavours to offer valuable insights that extend beyond academia, aiming to directly inform decision-makers such as policymakers, real estate developers, and local communities. The importance of this understanding lies in its potential to guide informed decision-making, steering these stakeholders towards practices that prioritize responsible land use.</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implications of land speculation are not confined to the immediate study area but ripple out to contribute to a more extensive objective – the pursuit of equitable and sustainable development. By addressing the challenges inherent in land speculation, this research aligns with a broader vision of promoting balanced and sustainable growth not only within the confines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but also as a blueprint for achieving similar objectives in diverse contexts.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Policymakers can leverage the findings to formulate regulations that mitigate the negative impact of land speculation, fostering an environment conducive to responsible property development. Real estate developers, armed with insights from this study, can adopt strategies that align with the principles of sustainable development, ensuring the long-term viability of their projects. Local communities stand to benefit by gaining an understanding of the potential consequences of land speculation, empowering them to actively engage in shaping the development trajectory of their region.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essence, this research </w:t>
      </w:r>
      <w:proofErr w:type="spellStart"/>
      <w:r w:rsidRPr="00897576">
        <w:rPr>
          <w:rFonts w:ascii="Times New Roman" w:hAnsi="Times New Roman" w:cs="Times New Roman"/>
          <w:sz w:val="24"/>
          <w:szCs w:val="24"/>
        </w:rPr>
        <w:t>catalyzes</w:t>
      </w:r>
      <w:proofErr w:type="spellEnd"/>
      <w:r w:rsidRPr="00897576">
        <w:rPr>
          <w:rFonts w:ascii="Times New Roman" w:hAnsi="Times New Roman" w:cs="Times New Roman"/>
          <w:sz w:val="24"/>
          <w:szCs w:val="24"/>
        </w:rPr>
        <w:t xml:space="preserve"> positive change, transcending the boundaries of academic inquiry to directly influence the decisions and actions of key stakeholders involved in shaping the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Through a comprehensive exploration of the challenges posed by land speculation, it aims to contribute meaningfully to the overarching goal of fostering equitable, responsible, and sustainable development within the study area and, by extension, in similar geographical and developmental contexts.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1.7 </w:t>
      </w:r>
      <w:r w:rsidRPr="00897576">
        <w:rPr>
          <w:rFonts w:ascii="Times New Roman" w:hAnsi="Times New Roman" w:cs="Times New Roman"/>
          <w:b/>
          <w:bCs/>
          <w:sz w:val="24"/>
          <w:szCs w:val="24"/>
        </w:rPr>
        <w:tab/>
        <w:t>Scope of Study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This study focuses specifically on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The scope encompasses an in-depth analysis of the drivers of land speculation, its impact on public property development, and proposed strategies for mitigation within this geographical area. The findings may have broader implications for similar regions facing comparable challenges.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1.8 </w:t>
      </w:r>
      <w:r w:rsidRPr="00897576">
        <w:rPr>
          <w:rFonts w:ascii="Times New Roman" w:hAnsi="Times New Roman" w:cs="Times New Roman"/>
          <w:b/>
          <w:bCs/>
          <w:sz w:val="24"/>
          <w:szCs w:val="24"/>
        </w:rPr>
        <w:tab/>
        <w:t>Study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area</w:t>
      </w:r>
      <w:proofErr w:type="gramStart"/>
      <w:r w:rsidRPr="00897576">
        <w:rPr>
          <w:rFonts w:ascii="Times New Roman" w:hAnsi="Times New Roman" w:cs="Times New Roman"/>
          <w:sz w:val="24"/>
          <w:szCs w:val="24"/>
        </w:rPr>
        <w:t>,is</w:t>
      </w:r>
      <w:proofErr w:type="spellEnd"/>
      <w:proofErr w:type="gramEnd"/>
      <w:r w:rsidRPr="00897576">
        <w:rPr>
          <w:rFonts w:ascii="Times New Roman" w:hAnsi="Times New Roman" w:cs="Times New Roman"/>
          <w:sz w:val="24"/>
          <w:szCs w:val="24"/>
        </w:rPr>
        <w:t xml:space="preserve"> situated within the Ilorin area of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 xml:space="preserve"> local government  of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Nigeria, embodies a diverse geographical setting characterized by varied topography, encompassing expansive plains and undulating terrains. This multifaceted landscape contributes to the area's economic significance, hosting a blend of residential, commercial, and agricultural land uses. The strategic mix of these land uses underscores the region's importance as a dynamic hub with contributions to both urban and rural livelihoods.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Delving into the historical backdrop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unveils a narrative deeply entrenched in cultural and economic heritage. The evolution of this region unfolds against the backdrop of urbanization and demographic shifts, tracing the trajectory of its land use patterns over the years. The interplay of cultural dynamics and economic activities has shaped the landscape, giving rise to the contemporary challenges associated with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As urbanization has unfolded, demographic shifts have brought about transformations in the utilization of land resources. The intricate interweaving of cultural practices and economic pursuits has left an indelible mark on the land use patterns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This historical perspective is vital for understanding the contextual nuances that contribute to the challenges posed by land speculation in the present day.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confluence of cultural heritage, economic evolution, and the dynamic interplay between rural and urban elements underscores the complexity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historical continuum serves as a lens through which the contemporary issues of land speculation can be more comprehensively understood. By tracing the historical evolution of the region, the study aims to unravel the layers of influences that have sculpted the current landscape, providing a rich backdrop for examining the impact of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1.9 </w:t>
      </w:r>
      <w:r w:rsidRPr="00897576">
        <w:rPr>
          <w:rFonts w:ascii="Times New Roman" w:hAnsi="Times New Roman" w:cs="Times New Roman"/>
          <w:b/>
          <w:bCs/>
          <w:sz w:val="24"/>
          <w:szCs w:val="24"/>
        </w:rPr>
        <w:tab/>
        <w:t>Definition of Terms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Speculation</w:t>
      </w:r>
      <w:r w:rsidRPr="00897576">
        <w:rPr>
          <w:rFonts w:ascii="Times New Roman" w:hAnsi="Times New Roman" w:cs="Times New Roman"/>
          <w:sz w:val="24"/>
          <w:szCs w:val="24"/>
        </w:rPr>
        <w:t>: Land speculation refers to the act of acquiring and holding land with the expectation of future financial gain through the appreciation of its value, often driven by economic uncertainties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Private Property Development</w:t>
      </w:r>
      <w:r w:rsidRPr="00897576">
        <w:rPr>
          <w:rFonts w:ascii="Times New Roman" w:hAnsi="Times New Roman" w:cs="Times New Roman"/>
          <w:sz w:val="24"/>
          <w:szCs w:val="24"/>
        </w:rPr>
        <w:t>: Private property development involves the process of acquiring, planning, and constructing real estate assets for residential, commercial, or industrial purposes within the context of private ownership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2017).</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lastRenderedPageBreak/>
        <w:t>Urbanization</w:t>
      </w:r>
      <w:r w:rsidRPr="00897576">
        <w:rPr>
          <w:rFonts w:ascii="Times New Roman" w:hAnsi="Times New Roman" w:cs="Times New Roman"/>
          <w:sz w:val="24"/>
          <w:szCs w:val="24"/>
        </w:rPr>
        <w:t>: Urbanization is the socio-economic and spatial transformation characterized by the increasing population concentration in urban areas, often accompanied by the development of infrastructure and changes in land use patterns (Alonso, 2018).</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Use Patterns</w:t>
      </w:r>
      <w:r w:rsidRPr="00897576">
        <w:rPr>
          <w:rFonts w:ascii="Times New Roman" w:hAnsi="Times New Roman" w:cs="Times New Roman"/>
          <w:sz w:val="24"/>
          <w:szCs w:val="24"/>
        </w:rPr>
        <w:t>: Land use patterns refer to the spatial arrangement and distribution of different types of land uses, such as residential, commercial, and agricultural, within a specific geographic area (Ding &amp; Zhao, 2022).</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Cultural and Economic Heritage:</w:t>
      </w:r>
      <w:r w:rsidRPr="00897576">
        <w:rPr>
          <w:rFonts w:ascii="Times New Roman" w:hAnsi="Times New Roman" w:cs="Times New Roman"/>
          <w:sz w:val="24"/>
          <w:szCs w:val="24"/>
        </w:rPr>
        <w:t xml:space="preserve"> Cultural and economic heritage encompasses the collective values, traditions, and economic practices that have shaped the identity and development of a particular area over time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Demographic Shifts:</w:t>
      </w:r>
      <w:r w:rsidRPr="00897576">
        <w:rPr>
          <w:rFonts w:ascii="Times New Roman" w:hAnsi="Times New Roman" w:cs="Times New Roman"/>
          <w:sz w:val="24"/>
          <w:szCs w:val="24"/>
        </w:rPr>
        <w:t xml:space="preserve"> Demographic shifts involve changes in the size, composition, and distribution of a population over time, influencing land use patterns and socio-economic dynamics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Institutional Perspective:</w:t>
      </w:r>
      <w:r w:rsidRPr="00897576">
        <w:rPr>
          <w:rFonts w:ascii="Times New Roman" w:hAnsi="Times New Roman" w:cs="Times New Roman"/>
          <w:sz w:val="24"/>
          <w:szCs w:val="24"/>
        </w:rPr>
        <w:t xml:space="preserve"> An institutional perspective refers to the analysis of social, economic, and political institutions and their role in shaping behaviours, decisions, and outcomes, particularly within the context of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Equitable and Sustainable Development:</w:t>
      </w:r>
      <w:r w:rsidRPr="00897576">
        <w:rPr>
          <w:rFonts w:ascii="Times New Roman" w:hAnsi="Times New Roman" w:cs="Times New Roman"/>
          <w:sz w:val="24"/>
          <w:szCs w:val="24"/>
        </w:rPr>
        <w:t xml:space="preserve"> Equitable and sustainable development entails balanced and fair growth that meets the needs of the present without compromising the ability of future generations to meet their own needs, with a focus on economic, social, and environmental dimensions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FC42E0" w:rsidP="00897576">
      <w:pPr>
        <w:spacing w:after="0" w:line="360" w:lineRule="auto"/>
        <w:jc w:val="both"/>
        <w:rPr>
          <w:rFonts w:ascii="Times New Roman" w:hAnsi="Times New Roman" w:cs="Times New Roman"/>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TWO</w:t>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LITERATURE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w:t>
      </w:r>
      <w:r w:rsidRPr="00897576">
        <w:rPr>
          <w:rFonts w:ascii="Times New Roman" w:hAnsi="Times New Roman" w:cs="Times New Roman"/>
          <w:b/>
          <w:bCs/>
          <w:sz w:val="24"/>
          <w:szCs w:val="24"/>
        </w:rPr>
        <w:tab/>
        <w:t>Conceptual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2.1.1</w:t>
      </w:r>
      <w:r w:rsidRPr="00897576">
        <w:rPr>
          <w:rFonts w:ascii="Times New Roman" w:hAnsi="Times New Roman" w:cs="Times New Roman"/>
          <w:b/>
          <w:bCs/>
          <w:sz w:val="24"/>
          <w:szCs w:val="24"/>
        </w:rPr>
        <w:tab/>
        <w:t xml:space="preserve"> Land Speculation </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refers to the strategic practice of acquiring and holding land with the anticipation of future financial gains. This process involves individuals or entities purchasing land not for immediate use but rather with the expectation that its value will appreciate over time. The characteristics of land speculation are rooted in the speculative nature of the real estate market, where investors seek to capitalize on fluctuations in land values for profit.</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One defining characteristic of land speculation is the speculative motive itself, driven by economic incentives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highlight that economic </w:t>
      </w:r>
      <w:proofErr w:type="gramStart"/>
      <w:r w:rsidRPr="00897576">
        <w:rPr>
          <w:rFonts w:ascii="Times New Roman" w:hAnsi="Times New Roman" w:cs="Times New Roman"/>
          <w:sz w:val="24"/>
          <w:szCs w:val="24"/>
        </w:rPr>
        <w:t>drivers</w:t>
      </w:r>
      <w:proofErr w:type="gramEnd"/>
      <w:r w:rsidRPr="00897576">
        <w:rPr>
          <w:rFonts w:ascii="Times New Roman" w:hAnsi="Times New Roman" w:cs="Times New Roman"/>
          <w:sz w:val="24"/>
          <w:szCs w:val="24"/>
        </w:rPr>
        <w:t xml:space="preserve"> play a significant role in motivating individuals to engage in land speculation. Economic drivers encompass factors such as the overall economic climate, interest rates, and market trends. For instance, during periods of economic growth, the demand for land often increases, encouraging speculation as individuals aim to capitalize on rising property values. Conversely, economic downturns may prompt speculation as investors seek to acquire undervalued land with the expectation of future appreciation.</w:t>
      </w:r>
      <w:r w:rsidR="00B64B1E">
        <w:rPr>
          <w:rFonts w:ascii="Times New Roman" w:hAnsi="Times New Roman" w:cs="Times New Roman"/>
          <w:sz w:val="24"/>
          <w:szCs w:val="24"/>
        </w:rPr>
        <w:t xml:space="preserve"> </w:t>
      </w:r>
      <w:r w:rsidRPr="00897576">
        <w:rPr>
          <w:rFonts w:ascii="Times New Roman" w:hAnsi="Times New Roman" w:cs="Times New Roman"/>
          <w:sz w:val="24"/>
          <w:szCs w:val="24"/>
        </w:rPr>
        <w:t>Motivations for land speculation are diverse, ranging from the potential for substantial returns on investment to strategic positi</w:t>
      </w:r>
      <w:r w:rsidR="00B64B1E">
        <w:rPr>
          <w:rFonts w:ascii="Times New Roman" w:hAnsi="Times New Roman" w:cs="Times New Roman"/>
          <w:sz w:val="24"/>
          <w:szCs w:val="24"/>
        </w:rPr>
        <w:t>oning within a developing area.</w:t>
      </w:r>
    </w:p>
    <w:p w:rsidR="00B64B1E" w:rsidRDefault="00897576" w:rsidP="00B64B1E">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suggest that the prospect of lucrative financial gains acts as a primary motivator for individuals engaging in land speculation. The expectation that the land's value will increase over time, driven by factors such as urbanization, infrastructure development, or rezoning, propels investors to participate in speculative activities.</w:t>
      </w:r>
    </w:p>
    <w:p w:rsidR="00FC42E0" w:rsidRPr="00897576"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motivations for land speculation often align with broader economic goals, including wealth accumulation and portfolio diversification. Investors may view land as a tangible asset that can serve as a hedge against inflation, providing a stable and appreciating asset in times of economic uncertainty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Additionally, strategic motivations may involve speculators positioning themselves in areas expected to undergo significant development, anticipating future demand and subsequent increases in land values.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2.1.2</w:t>
      </w:r>
      <w:r w:rsidRPr="00897576">
        <w:rPr>
          <w:rFonts w:ascii="Times New Roman" w:hAnsi="Times New Roman" w:cs="Times New Roman"/>
          <w:b/>
          <w:bCs/>
          <w:sz w:val="24"/>
          <w:szCs w:val="24"/>
        </w:rPr>
        <w:tab/>
        <w:t xml:space="preserve"> Public Property Development </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Private property development involves a comprehensive series of processes and stages that contribute to the transformation of land into residential, commercial, or industrial real </w:t>
      </w:r>
      <w:r w:rsidRPr="00897576">
        <w:rPr>
          <w:rFonts w:ascii="Times New Roman" w:hAnsi="Times New Roman" w:cs="Times New Roman"/>
          <w:sz w:val="24"/>
          <w:szCs w:val="24"/>
        </w:rPr>
        <w:lastRenderedPageBreak/>
        <w:t>estate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According to the insights provided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these processes typically commence with land acquisition, encompassing the identification and purchase of suitable parcels for development. This is followed by a rigorous planning phase, where developers engage in feasibility studies, environmental assessments, and the design of the proposed development. Subsequently, the construction phase involves the physical realization of the development, often involving collaboration with architects, contractors, and various stakeholders. Post-construction, developers engage in marketing and sales activities to attract buyers or tenants, marking the completion of the development cycle.</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implications of public property development are significant and multifaceted,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Such developments contribute to economic growth by generating employment </w:t>
      </w:r>
      <w:r w:rsidRPr="00897576">
        <w:rPr>
          <w:rFonts w:ascii="Times New Roman" w:hAnsi="Times New Roman" w:cs="Times New Roman"/>
          <w:sz w:val="24"/>
          <w:szCs w:val="24"/>
          <w:lang w:val="en-US"/>
        </w:rPr>
        <w:t xml:space="preserve">you </w:t>
      </w:r>
      <w:r w:rsidRPr="00897576">
        <w:rPr>
          <w:rFonts w:ascii="Times New Roman" w:hAnsi="Times New Roman" w:cs="Times New Roman"/>
          <w:sz w:val="24"/>
          <w:szCs w:val="24"/>
        </w:rPr>
        <w:t>opportunities, particularly within the construction industry. Additionally, the increased demand for materials and services during the development process stimulates economic activity in related sectors. Public property development also has the potential to enhance the overall value of the surrounding area, attracting further investment and contributing to the economic vitality of the region.</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Social implications of public property development extend beyond the economic realm, influencing the fabric of communities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These developments can lead to demographic changes, altering the composition and dynamics of local populations. Improved infrastructure and amenities associated with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developments contribute to enhanced living standards for residents. However, the potential for social inequalities and displacement must also be considered, as rising property values may lead to the exclusion of certain demographic groups.</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public property development plays a pivotal role in urbanization, transforming previously undeveloped areas into vibrant urban centres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This urban transformation can result in increased accessibility to social services, educational institutions, and healthcare facilities, positively impacting the overall quality of life for residents.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PROPERTY MANAGEMENT</w:t>
      </w:r>
      <w:r w:rsidRPr="00897576">
        <w:rPr>
          <w:rFonts w:ascii="Times New Roman" w:hAnsi="Times New Roman" w:cs="Times New Roman"/>
          <w:sz w:val="24"/>
          <w:szCs w:val="24"/>
        </w:rPr>
        <w:t>, within the realm of estate management and valuation by (Seeley.</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I.H 2016) encompasses the comprehensive oversight and administration of real estate assets. It involves a diverse range of activities aimed at maximizing the value and profitability of properties while ensuring their efficient operation and maintenance. (Brown,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1189F" w:rsidRDefault="0071189F" w:rsidP="00897576">
      <w:pPr>
        <w:spacing w:after="0" w:line="360" w:lineRule="auto"/>
        <w:jc w:val="both"/>
        <w:rPr>
          <w:rFonts w:ascii="Times New Roman" w:hAnsi="Times New Roman" w:cs="Times New Roman"/>
          <w:b/>
          <w:sz w:val="24"/>
          <w:szCs w:val="24"/>
        </w:rPr>
      </w:pPr>
    </w:p>
    <w:p w:rsidR="00FC42E0" w:rsidRP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lastRenderedPageBreak/>
        <w:t>Key aspects of property management include:</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Tenant Acquisition and Management: This involves identifying suitable tenants, conducting thorough screening processes, executing lease agreements, and effectively managing tenant relations throughout the tenancy period.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Financial Management: Property managers are responsible for collecting rent, managing property expenses, preparing financial reports, and ensuring timely payment of taxes and other financial obligations.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Maintenance and Repairs: This includes overseeing routine maintenance tasks, responding to tenant maintenance requests promptly, and coordinating repairs and renovations as needed.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Legal Compliance: Property managers must stay informed about relevant property laws, regulations, and zoning ordinances to ensure compliance and avoid legal issues.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Risk Management: Identifying and mitigating potential risks, such as tenant disputes, property damage, and liability claims, is a crucial aspect of property management.</w:t>
      </w:r>
    </w:p>
    <w:p w:rsidR="00FC42E0" w:rsidRP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Marketing and Leasing: Promoting vacant properties, attracting potential tenants, and effectively negotiating lease terms are essential for maximizing occupancy rates.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PROPERTY </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estate management and valuation, property refers to any tangible or intangible asset that an individual or entity has legal ownership over. This ownership grants certain rights and privileges to the owner over the asset,</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t>Key Types of Property in Estate Management and Valuation:</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Real Property (Real Estate):</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Land and everything permanently attached to it, such as buildings, structures, and fixtures.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Rights associated with land, including mineral rights, water rights, and air rights.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Interests in land, such as freehold estates (ownership) and leasehold estates (tenancy).</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Personal Property (</w:t>
      </w:r>
      <w:r w:rsidR="0076487B" w:rsidRPr="0076487B">
        <w:rPr>
          <w:rFonts w:ascii="Times New Roman" w:hAnsi="Times New Roman" w:cs="Times New Roman"/>
          <w:sz w:val="24"/>
          <w:szCs w:val="24"/>
        </w:rPr>
        <w:t>Personality</w:t>
      </w:r>
      <w:r w:rsidRPr="0076487B">
        <w:rPr>
          <w:rFonts w:ascii="Times New Roman" w:hAnsi="Times New Roman" w:cs="Times New Roman"/>
          <w:sz w:val="24"/>
          <w:szCs w:val="24"/>
        </w:rPr>
        <w:t>):</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Tangible assets, like furniture, vehicles, and jewelry.</w:t>
      </w:r>
    </w:p>
    <w:p w:rsidR="00FC42E0"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Intangible assets, such as stocks, bonds, patents, and copyrights.</w:t>
      </w:r>
    </w:p>
    <w:p w:rsidR="00FC42E0" w:rsidRPr="00897576" w:rsidRDefault="0076487B"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In essence, property, in the context of estate management and valuation, encompasses a wide range of assets that have economic value and can be subject to ownership, transfer, and legal rights.</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DEVELOPMENT </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estate management and valuation, development refers to the process of creating or improving real estate to increase its value and functionality. This encompasses a wide range of activities, from constructing new buildings to renovating existing ones. </w:t>
      </w:r>
      <w:r w:rsidR="0044639D">
        <w:rPr>
          <w:rFonts w:ascii="Times New Roman" w:hAnsi="Times New Roman" w:cs="Times New Roman"/>
          <w:sz w:val="24"/>
          <w:szCs w:val="24"/>
        </w:rPr>
        <w:t>(</w:t>
      </w:r>
      <w:r w:rsidRPr="00897576">
        <w:rPr>
          <w:rFonts w:ascii="Times New Roman" w:hAnsi="Times New Roman" w:cs="Times New Roman"/>
          <w:sz w:val="24"/>
          <w:szCs w:val="24"/>
        </w:rPr>
        <w:t>Brown,</w:t>
      </w:r>
      <w:r w:rsidR="0044639D">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Key aspects of development in estate management and valuation:</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Land acquisition: Purchasing or leasing land suitable for development.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Planning and design: Developing blueprints and obtaining necessary permits for the project.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Construction: Building the structures according to the approved plans.</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Financing: Securing funds to finance the development process.</w:t>
      </w:r>
    </w:p>
    <w:p w:rsidR="00FC42E0" w:rsidRP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Marketing and sales: Promoting and selling the developed property.</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Types of development in estate management and valuation:</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Residential development: Building houses, apartments, and other residential properties.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Commercial development: Constructing office buildings, retail spaces, and industrial facilities.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Mixed-use development: Creating projects that combine residential, commercial, and sometimes industrial uses.</w:t>
      </w:r>
    </w:p>
    <w:p w:rsidR="00FC42E0" w:rsidRP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Redevelopment: Renovating or redeveloping existing properties to improve their value and functionality.</w:t>
      </w:r>
    </w:p>
    <w:p w:rsidR="00FC42E0" w:rsidRPr="00897576" w:rsidRDefault="0044639D" w:rsidP="00446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By understanding the concept of development, estate managers and </w:t>
      </w:r>
      <w:proofErr w:type="spellStart"/>
      <w:r w:rsidR="00897576" w:rsidRPr="00897576">
        <w:rPr>
          <w:rFonts w:ascii="Times New Roman" w:hAnsi="Times New Roman" w:cs="Times New Roman"/>
          <w:sz w:val="24"/>
          <w:szCs w:val="24"/>
        </w:rPr>
        <w:t>valuers</w:t>
      </w:r>
      <w:proofErr w:type="spellEnd"/>
      <w:r w:rsidR="00897576" w:rsidRPr="00897576">
        <w:rPr>
          <w:rFonts w:ascii="Times New Roman" w:hAnsi="Times New Roman" w:cs="Times New Roman"/>
          <w:sz w:val="24"/>
          <w:szCs w:val="24"/>
        </w:rPr>
        <w:t xml:space="preserve"> can assess the potential value and profitability of real estate projects and make informed decisions.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MANAGEMENT </w:t>
      </w:r>
    </w:p>
    <w:p w:rsidR="00FC42E0" w:rsidRPr="0044639D" w:rsidRDefault="00897576" w:rsidP="0044639D">
      <w:pPr>
        <w:spacing w:after="0" w:line="360" w:lineRule="auto"/>
        <w:ind w:firstLine="720"/>
        <w:jc w:val="both"/>
        <w:rPr>
          <w:rFonts w:ascii="Times New Roman" w:hAnsi="Times New Roman" w:cs="Times New Roman"/>
          <w:bCs/>
          <w:sz w:val="24"/>
          <w:szCs w:val="24"/>
        </w:rPr>
      </w:pPr>
      <w:r w:rsidRPr="0044639D">
        <w:rPr>
          <w:rFonts w:ascii="Times New Roman" w:hAnsi="Times New Roman" w:cs="Times New Roman"/>
          <w:bCs/>
          <w:sz w:val="24"/>
          <w:szCs w:val="24"/>
        </w:rPr>
        <w:t>In the context of estate management and valuation, management refers to the overall process of overseeing, controlling, and coordinating various activities related to real estate assets. This encompasses a wide range of functions, from acquisition and development to maintenance and disposal. (Seeley, I.H 2016)</w:t>
      </w:r>
    </w:p>
    <w:p w:rsidR="0044639D" w:rsidRDefault="0044639D" w:rsidP="00897576">
      <w:pPr>
        <w:spacing w:after="0" w:line="360" w:lineRule="auto"/>
        <w:jc w:val="both"/>
        <w:rPr>
          <w:rFonts w:ascii="Times New Roman" w:hAnsi="Times New Roman" w:cs="Times New Roman"/>
          <w:bCs/>
          <w:sz w:val="24"/>
          <w:szCs w:val="24"/>
        </w:rPr>
      </w:pPr>
    </w:p>
    <w:p w:rsidR="00FC42E0" w:rsidRPr="0044639D" w:rsidRDefault="00897576" w:rsidP="00897576">
      <w:pPr>
        <w:spacing w:after="0" w:line="360" w:lineRule="auto"/>
        <w:jc w:val="both"/>
        <w:rPr>
          <w:rFonts w:ascii="Times New Roman" w:hAnsi="Times New Roman" w:cs="Times New Roman"/>
          <w:b/>
          <w:bCs/>
          <w:sz w:val="24"/>
          <w:szCs w:val="24"/>
        </w:rPr>
      </w:pPr>
      <w:r w:rsidRPr="0044639D">
        <w:rPr>
          <w:rFonts w:ascii="Times New Roman" w:hAnsi="Times New Roman" w:cs="Times New Roman"/>
          <w:b/>
          <w:bCs/>
          <w:sz w:val="24"/>
          <w:szCs w:val="24"/>
        </w:rPr>
        <w:t>Key aspects of management in estate management and valuation: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Planning and Strategy: Developing long-term strategies for real estate portfolios, including investment goals, risk management, and asset allocation.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lastRenderedPageBreak/>
        <w:t>Acquisition and Disposal: Identifying suitable properties for purchase or development, as well as strategically selling or leasing assets to optimize returns.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Development and Construction: Overseeing the entire development process, from planning and design to construction and project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Property Management: Managing the day-to-day operations of properties, including tenant relations, maintenance, and financial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Valuation and Appraisal: Assessing the value of real estate assets for various purposes, such as taxation, financing, and investment decisions.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Financial Management: Budgeting, forecasting, and financial analysis to ensure the financial health of real estate investments.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Legal and Regulatory Compliance: Adhering to relevant laws, regulations, and zoning ordinances to avoid legal issues and penalties.</w:t>
      </w:r>
    </w:p>
    <w:p w:rsidR="00FC42E0" w:rsidRP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Risk Management: Identifying and mitigating potential risks, such as market fluctuations, tenant defaults, and natural disasters.</w:t>
      </w:r>
    </w:p>
    <w:p w:rsidR="00FC42E0" w:rsidRPr="0044639D" w:rsidRDefault="0044639D" w:rsidP="008975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97576" w:rsidRPr="0044639D">
        <w:rPr>
          <w:rFonts w:ascii="Times New Roman" w:hAnsi="Times New Roman" w:cs="Times New Roman"/>
          <w:bCs/>
          <w:sz w:val="24"/>
          <w:szCs w:val="24"/>
        </w:rPr>
        <w:t>Effective management is crucial for maximizing the value and profitability of real estate assets, mitigating risks, and ensuring long-term sustainability.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2.1.3 </w:t>
      </w:r>
      <w:r w:rsidRPr="00897576">
        <w:rPr>
          <w:rFonts w:ascii="Times New Roman" w:hAnsi="Times New Roman" w:cs="Times New Roman"/>
          <w:b/>
          <w:bCs/>
          <w:sz w:val="24"/>
          <w:szCs w:val="24"/>
        </w:rPr>
        <w:tab/>
        <w:t xml:space="preserve">Urbanization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Urbanization, as explicated by Alonso (2018), is a complex socio-economic and spatial transformation characterized by the increasing concentration of the population in urban areas. The dynamics and trends associated with urbanization have profound implications for land use patterns and development strategies.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Alonso (2018) highlights that one of the primary dynamics of urbanization is the migration of people from rural to urban areas in search of economic opportunities, better living conditions, and improved social amenities. This migration contributes to the spatial expansion of urban centres, resulting in changes in land use patterns. Urban areas experience an increased demand for residential, commercial, and industrial spaces, leading to the conversion of previously rural land into urbanized zones.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trends in urbanization, according to Alonso (2018), underscore the persistent growth of cities and the expansion of their influence over surrounding regions. This growth is often accompanied by the development of infrastructure, transportation networks, and services, further shaping the land use patterns of the affected areas. The trends also encompass the phenomenon of suburbanization, where urban residents move to suburban areas seeking a balance between urban amenities and a more spacious living environment.</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The impact of urbanization on land use patterns is substantial and multifaceted (Alonso, 2018). The increased concentration of people in urban areas necessitates the development of high-density residential and commercial spaces. This, in turn, leads to changes in the spatial arrangement of land uses, with a shift from traditional agricultural or rural uses to more intensive urban activities. Additionally, urbanization often results in the redevelopment of existing structures, adaptive reuse of land, and the creation of mixed-use developments to accommodate diverse needs within limited urban space.</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the dynamics of urbanization influence the allocation of land for various purposes, such as the development of green spaces, recreational areas, and infrastructure projects aimed at supporting the growing urban population (Alonso, 2018). Understanding these dynamics and trends is essential for comprehending the evolving nature of land use patterns in urban areas, especially in regions experiencing rapid urbanization.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2.1.4 </w:t>
      </w:r>
      <w:r w:rsidRPr="00897576">
        <w:rPr>
          <w:rFonts w:ascii="Times New Roman" w:hAnsi="Times New Roman" w:cs="Times New Roman"/>
          <w:b/>
          <w:bCs/>
          <w:sz w:val="24"/>
          <w:szCs w:val="24"/>
        </w:rPr>
        <w:tab/>
        <w:t xml:space="preserve">Land Use Patterns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use patterns, as discussed by Ding and Zhao (2022), encompass the spatial arrangement and utilization of land for various purposes, ranging from residential and commercial to agricultural and industrial uses. Understanding the types and classifications of land use patterns, along with the factors influencing them, is crucial for assessing the impact of land speculation on private property development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Ding and Zhao (2022) highlight various types of land use patterns, including residential, commercial, industrial, agricultural, and recreational. Residential land use involves areas designated for housing, while commercial land use pertains to zones allocated for businesses and retail activities. Industrial land use is associated with manufacturing and production, and agricultural land use involves areas designated for farming. Recreational land use encompasses spaces for leisure activities such as parks and sports facilities. These diverse types and classifications reflect the multifunctional nature of land use patterns in urban and rural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Influencing factors play a pivotal role in shaping land use patterns, as elucidated by Ding and Zhao (2022). Economic factors, such as market demand and property values, often drive the allocation of land for residential, comm</w:t>
      </w:r>
      <w:r w:rsidR="0044639D">
        <w:rPr>
          <w:rFonts w:ascii="Times New Roman" w:hAnsi="Times New Roman" w:cs="Times New Roman"/>
          <w:sz w:val="24"/>
          <w:szCs w:val="24"/>
        </w:rPr>
        <w:t>ercial, or industrial purposes.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Regulatory policies and zoning regulations established by local authorities also significantly influence land use patterns, guiding the spatial distribution of different activities. Environmental considerations, including topography and natural features, contribute to decisions regarding land use, especially in ecologically sensitive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Social factors, such as demographic trends and lifestyle preferences, further impact land use patterns. Ding and Zhao (2022) note that population growth, urbanization, and changes in consumer behaviour influence the demand for various types of land uses. Technological advancements also play a role, as innovations in transportation and communication may influence the location and distribution of different land uses.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historical and cultural factors contribute to the evolution of land use patterns over time (Ding &amp; Zhao, 2022). The legacy of past development, cultural heritage, and societal norms influence decisions regarding land use, contributing to the distinctive character of different regions.</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interplay of these types, classifications, and influencing factors is essential for comprehending the complexity of land use patterns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It provides a foundation for evaluating how land speculation may impact the allocation of land for different uses, particularly in the context of private property development and the broader dynamics of urban and rural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2.1.5 </w:t>
      </w:r>
      <w:r w:rsidRPr="00897576">
        <w:rPr>
          <w:rFonts w:ascii="Times New Roman" w:hAnsi="Times New Roman" w:cs="Times New Roman"/>
          <w:b/>
          <w:bCs/>
          <w:sz w:val="24"/>
          <w:szCs w:val="24"/>
        </w:rPr>
        <w:tab/>
        <w:t xml:space="preserve">Cultural and Economic Heritage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Cultural and economic heritage,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represents the collective identity, traditions, and economic activities that shape the character of a particular region. Understanding the significance of cultural and economic heritage is crucial for assessing its influence on land use patterns, especially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definition provided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underscores that cultural heritage encompasses the tangible and intangible aspects of a community's identity, including historical landmarks, traditions, and social practices. Economic heritage, on the other hand, pertains to the economic activities and practices that have shaped the local economy over time. Both cultural and economic heritage contribute to the unique character of a region, influencing decisions regarding land use.</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significance of cultural and economic heritage lies in its role as a foundation for community identity and cohesion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provides a sense of belonging and continuity, linking the present community to its past. Economic heritage, in turn, reflects the historical economic activities that have sustained the local population. The preservation and integration of cultural and economic heritage into land use planning contribute to the sustainable development of a region, fostering a sense of place and identity.</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influence of cultural and economic heritage on land use is multifaceted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often dictates the preservation and protection of </w:t>
      </w:r>
      <w:r w:rsidRPr="00897576">
        <w:rPr>
          <w:rFonts w:ascii="Times New Roman" w:hAnsi="Times New Roman" w:cs="Times New Roman"/>
          <w:sz w:val="24"/>
          <w:szCs w:val="24"/>
        </w:rPr>
        <w:lastRenderedPageBreak/>
        <w:t>historically significant areas, impacting decisions on zoning and development. Economic heritage may influence the allocation of land for specific uses based on historical economic activities, such as areas designated for agriculture or trade.</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cultural and economic heritage can be a driving force behind community-based land use initiatives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Local communities, recognizing the value of their heritage, may advocate for the preservation of cultural landmarks, traditional land uses, and economic practices. This influence can shape planning policies and development strategies, ensuring that the unique heritage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is respected and sustained.</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2.1.6 </w:t>
      </w:r>
      <w:r w:rsidRPr="00897576">
        <w:rPr>
          <w:rFonts w:ascii="Times New Roman" w:hAnsi="Times New Roman" w:cs="Times New Roman"/>
          <w:b/>
          <w:bCs/>
          <w:sz w:val="24"/>
          <w:szCs w:val="24"/>
        </w:rPr>
        <w:tab/>
        <w:t xml:space="preserve">Demographic Shifts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Demographic shifts, as explored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refer to the changes in the size, composition, and distribution of populations over time. Understanding the causes and effects of demographic shifts is vital for assessing their implications on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identify several causes of demographic shifts, including natural factors such as birth rates, mortality rates, and migration. Economic opportunities, urbanization, and changes in lifestyle preferences also contribute to demographic shifts as individuals and families relocate in pursuit of better living conditions and employment opportunities. The effects of demographic shifts are diverse, influencing the age structure, cultural composition, and social dynamics of a population.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notable effect of demographic shifts is changes in housing demand and preferences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evolve, the need for diverse housing types, from single-family homes to multifamily dwellings, may fluctuate. Similarly, the demand for amenities and infrastructure, such as schools, healthcare facilities, and recreational spaces, is shaped by the changing demographics of a region.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Demographic shifts also impact land use through their influence on the labour market and economic activities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 growing and youthful population may lead to increased demand for commercial and retail spaces, while an ageing population may necessitate adjustments in healthcare and senior living facilities.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spatial distribution of these services and facilities is, in turn, a key determinant of land use patterns.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demographic shifts can result in changes in land use through the process of suburbanization or urban sprawl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migrate, there is often a simultaneous expansion of urban areas into previously undeveloped or rural land. This </w:t>
      </w:r>
      <w:r w:rsidRPr="00897576">
        <w:rPr>
          <w:rFonts w:ascii="Times New Roman" w:hAnsi="Times New Roman" w:cs="Times New Roman"/>
          <w:sz w:val="24"/>
          <w:szCs w:val="24"/>
        </w:rPr>
        <w:lastRenderedPageBreak/>
        <w:t>expansion can lead to the conversion of agricultural or natural land into residential and commercial zones, impacting the overall land use structure.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2.1.7</w:t>
      </w:r>
      <w:r w:rsidRPr="00897576">
        <w:rPr>
          <w:rFonts w:ascii="Times New Roman" w:hAnsi="Times New Roman" w:cs="Times New Roman"/>
          <w:b/>
          <w:bCs/>
          <w:sz w:val="24"/>
          <w:szCs w:val="24"/>
        </w:rPr>
        <w:tab/>
        <w:t xml:space="preserve"> Institutional Perspective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institutional perspective,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emphasizes the role of institutions in shaping property markets and influencing the dynamics of land speculation. Understanding how institutions function in property markets provides insights into the factors that contribute to or mitigate land speculation, particularly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Institutions, as defined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include regulatory bodies, government agencies, and legal frameworks that govern property transactions and development. The role of institutions in property markets is multifaceted, encompassing the establishment of property rights, land-use regulations, and planning policies. These institutional structures influence the behaviour of actors in property markets, including developers, investors, and speculators.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significant aspect of the institutional perspective is the role of property rights in regulating land transactions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and well-defined property rights contribute to a transparent and efficient property market. Conversely, ambiguity or insecurity in property rights can create opportunities for speculation, as investors may anticipate future changes in property values driven by uncertainties.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Land-use regulations and planning policies, another facet of institutional influence, play a crucial role in shaping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Zoning regulations, density restrictions, and development permits impact the supply and demand for different types of land uses. The manipulation or exploitation of these regulations can contribute to speculative activities, influencing the allocation and development of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Additionally, the enforcement and effectiveness of institutions in property markets are integral to mitigating the negative effects of land speculation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Well-functioning institutions can monitor and regulate property transactions, ensuring fair practices and preventing excessive speculation that may lead to artificial price inflation and land use distortions.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impact of the institutional perspective on land speculation is significant, as it determines the degree of transparency, fairness, and efficiency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By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role of institutions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study aims to </w:t>
      </w:r>
      <w:r w:rsidRPr="00897576">
        <w:rPr>
          <w:rFonts w:ascii="Times New Roman" w:hAnsi="Times New Roman" w:cs="Times New Roman"/>
          <w:sz w:val="24"/>
          <w:szCs w:val="24"/>
        </w:rPr>
        <w:lastRenderedPageBreak/>
        <w:t>understand how institutional frameworks either facilitate or impede land speculation and, consequently, the development of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properties.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2.1.8 </w:t>
      </w:r>
      <w:r w:rsidRPr="00897576">
        <w:rPr>
          <w:rFonts w:ascii="Times New Roman" w:hAnsi="Times New Roman" w:cs="Times New Roman"/>
          <w:b/>
          <w:bCs/>
          <w:sz w:val="24"/>
          <w:szCs w:val="24"/>
        </w:rPr>
        <w:tab/>
        <w:t xml:space="preserve">Equitable and Sustainable Development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and sustainable development, as conceptualized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embodies the principles and dimensions of development that prioritize fairness, inclusivity, and environmental responsibility. Exploring the relationship between equitable and sustainable development and land use planning is essential for understanding how these principles guide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 that equitable development involves the fair distribution of resources, opportunities, and benefits across different segments of the population. Sustainable development,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integrates economic, social, and environmental considerations to ensure that development meets the needs of the present without compromising the ability of future generations to meet their own needs.</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principles of equitable and sustainable development have direct implications for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gramStart"/>
      <w:r w:rsidRPr="00897576">
        <w:rPr>
          <w:rFonts w:ascii="Times New Roman" w:hAnsi="Times New Roman" w:cs="Times New Roman"/>
          <w:sz w:val="24"/>
          <w:szCs w:val="24"/>
        </w:rPr>
        <w:t>Land use planning, as a tool for spatial organization and development, must align with these principles to create balanced and enduring urban and rural environments.</w:t>
      </w:r>
      <w:proofErr w:type="gramEnd"/>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development,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requires addressing social and economic disparities in access to land and housing.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should aim to distribute residential, commercial, and recreational spaces in a manner that promotes social cohesion and equal access to opportunities. Zoning regulations and housing policies play a crucial role in achieving these objectives.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as advocated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implies responsible land use that minimizes environmental impact and preserves natural resources. Land use planning strategies should consider ecological factors, such as preserving green spaces, protecting biodiversity, and promoting energy-efficient infrastructure. Integrating these considerations into planning processes ensures the longevity and resilience of the built environment.</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relationship between equitable and sustainable development and land use planning is intricate, as both concepts reinforce each other.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argue that equitable development contributes to social sustainability, fostering a sense of community and reducing social inequalities.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extend this argument by highlighting that sustainable development when integrated into land use planning, promotes long-term economic viability and environmental resilience.</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2.2 Theoretical Framework</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2.2.1 Economic Theory of Land Speculation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as elucidated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framework for understanding the motivations, behaviours, and consequences of speculation in property markets. This theory, grounded in economic principles, offers an insightful overview, establishes key assumptions, and explores its application to private property development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posits that individuals engage in speculative activities based on their expectations of future </w:t>
      </w:r>
      <w:proofErr w:type="gramStart"/>
      <w:r w:rsidRPr="00897576">
        <w:rPr>
          <w:rFonts w:ascii="Times New Roman" w:hAnsi="Times New Roman" w:cs="Times New Roman"/>
          <w:sz w:val="24"/>
          <w:szCs w:val="24"/>
        </w:rPr>
        <w:t>changes  in</w:t>
      </w:r>
      <w:proofErr w:type="gramEnd"/>
      <w:r w:rsidRPr="00897576">
        <w:rPr>
          <w:rFonts w:ascii="Times New Roman" w:hAnsi="Times New Roman" w:cs="Times New Roman"/>
          <w:sz w:val="24"/>
          <w:szCs w:val="24"/>
        </w:rPr>
        <w:t xml:space="preserve"> land values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anticipate that the value of land will increase over time, leading to potential profits from buying and selling properties. This theory operates under the assumption that land markets are not perfectly efficient and that information asymmetry and market imperfections create opportunities for speculation.</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One of the central assumptions of the economic theory of land speculation is that speculators act rationally to maximize their returns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weigh the potential gains from appreciation against the risks associated with market fluctuations. This rational behaviour influences their decision-making in acquiring and holding land for future development.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application of the economic theory of land speculation to public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involves an analysis of how speculators impact the local property market. Speculative activities can lead to increased demand for land, driving up prices and creating a perception of scarcity. This, in turn, may influence property developers' decisions on when and where to invest in private property development projects.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economic theory of land speculation suggests that speculation can contribute to land-use distortions and inefficient allocation of resources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may focus on areas with a perceived high potential for appreciation, leading to uneven development patterns. Understanding these implications is crucial for policymakers and property developers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to formulate strategies that balance the benefits of speculation with the need for sustainable and equitable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2.2.2 Institutional Theory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theory,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offers insights into the role of institutions in shaping behaviours, practices, and outcomes within property markets. This theoretical framework encompasses fundamental concepts and principles that guide an </w:t>
      </w:r>
      <w:r w:rsidRPr="00897576">
        <w:rPr>
          <w:rFonts w:ascii="Times New Roman" w:hAnsi="Times New Roman" w:cs="Times New Roman"/>
          <w:sz w:val="24"/>
          <w:szCs w:val="24"/>
        </w:rPr>
        <w:lastRenderedPageBreak/>
        <w:t xml:space="preserve">examination of how institutions influence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Central to institutional theory is the concept of formal and informal institutions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Formal institutions refer to codified rules, regulations, and legal frameworks governing property transactions and development. Informal institutions encompass social norms, cultural practices, and unwritten rules that also influence behaviours within property markets.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these dual institutional influences is crucial for understanding the complex interplay of factors shaping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The principles of institutional theory suggest that institutions provide stability and predictability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They shape the expectations and behaviours of market participants, including property developers, investors, and speculators. Understanding these principles is essential for assessing how institutional frameworks either facilitate or hinder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can be examined through an exploration of property rights, land-use regulations, and planning policies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property rights, enforced by formal institutions, contribute to a transparent and efficient property market. On the other hand, informal institutions, such as community norms and cultural practices, may impact how land is allocated and utilized within the local context.</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institutional theory suggests that changes in institutional frameworks can lead to shifts in land use patterns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Reforms in property laws, planning regulations, or governance structures can have profound effects on the strategies employed by property developers and the behaviour of speculators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examination of 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the constraints and opportunities within the local property market.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al.'s (2017) institutional theory provides a lens through which policymakers, researchers, and property developers can assess the effectiveness of existing institutional frameworks and identify areas for improvement to enhance sustainable and responsible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2.2.3 </w:t>
      </w:r>
      <w:r w:rsidRPr="00897576">
        <w:rPr>
          <w:rFonts w:ascii="Times New Roman" w:hAnsi="Times New Roman" w:cs="Times New Roman"/>
          <w:b/>
          <w:bCs/>
          <w:sz w:val="24"/>
          <w:szCs w:val="24"/>
        </w:rPr>
        <w:tab/>
        <w:t xml:space="preserve">Sustainable Development Theory </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theoretical framework that emphasizes the integration of economic, social, and environmental considerations in developmental endeavours. Examining the key tenets and objectives of sustainable development theory is essential for understanding its relevance to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At its core, sustainable development theory underscores the need to meet the needs of the present without compromising the ability of future generations to meet their own needs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This overarching objective recognizes the interconnectedness of economic progress, social well-being, and environmental preservation.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this objective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enables an exploration of how sustainable development principles guide land use planning and private property development.</w:t>
      </w:r>
    </w:p>
    <w:p w:rsidR="00FC42E0" w:rsidRPr="00897576" w:rsidRDefault="002C3392" w:rsidP="002C33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key tenets of sustainable development theory, as identified by </w:t>
      </w:r>
      <w:proofErr w:type="spellStart"/>
      <w:r w:rsidR="00897576" w:rsidRPr="00897576">
        <w:rPr>
          <w:rFonts w:ascii="Times New Roman" w:hAnsi="Times New Roman" w:cs="Times New Roman"/>
          <w:sz w:val="24"/>
          <w:szCs w:val="24"/>
        </w:rPr>
        <w:t>Agboola</w:t>
      </w:r>
      <w:proofErr w:type="spellEnd"/>
      <w:r w:rsidR="00897576" w:rsidRPr="00897576">
        <w:rPr>
          <w:rFonts w:ascii="Times New Roman" w:hAnsi="Times New Roman" w:cs="Times New Roman"/>
          <w:sz w:val="24"/>
          <w:szCs w:val="24"/>
        </w:rPr>
        <w:t xml:space="preserve"> et al. (2017) and </w:t>
      </w:r>
      <w:proofErr w:type="spellStart"/>
      <w:r w:rsidR="00897576" w:rsidRPr="00897576">
        <w:rPr>
          <w:rFonts w:ascii="Times New Roman" w:hAnsi="Times New Roman" w:cs="Times New Roman"/>
          <w:sz w:val="24"/>
          <w:szCs w:val="24"/>
        </w:rPr>
        <w:t>Andreasson</w:t>
      </w:r>
      <w:proofErr w:type="spellEnd"/>
      <w:r w:rsidR="00897576" w:rsidRPr="00897576">
        <w:rPr>
          <w:rFonts w:ascii="Times New Roman" w:hAnsi="Times New Roman" w:cs="Times New Roman"/>
          <w:sz w:val="24"/>
          <w:szCs w:val="24"/>
        </w:rPr>
        <w:t xml:space="preserve"> et al. (2021), encompass economic viability, social equity, and environmental responsibility. Economic viability involves fostering economic growth and prosperity without depleting resources or compromising the integrity of ecosystems. Social equity underscores the importance of ensuring fair and inclusive access to opportunities, resources, and benefits. Environmental responsibility emphasizes the preservation of natural resources and the minimization of negative environmental impacts.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relevance of sustainable development theory to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becomes apparent when considering how these tenets intersect with land use planning. Economic viability, for instance, requires that private property development projects contribute to the economic prosperity of the community without depleting essential resources. Social equity entails that land use planning promotes inclusivity and addresses social disparities in access to land and housing. Environmental responsibility emphasizes the incorporation of green spaces, conservation measures, and sustainable infrastructure in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argue that sustainable development theory provides a comprehensive framework for guiding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particularly in the face of rapid urbanization and changing land use patterns. By aligning private property development with the key tenets and objectives of sustainable development, the study aims to contribute to the broader goals of creating a balanced, resilient, and equitable urban and rural landscape.</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is a crucial theoretical framework for understanding and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key tenets and objectives of this theory offer a comprehensive guide for policymakers, researchers, and property developers to navigate the complexities of private property development while ensuring the long-term well-being of the community and the environment.</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2.3 </w:t>
      </w:r>
      <w:r w:rsidRPr="00897576">
        <w:rPr>
          <w:rFonts w:ascii="Times New Roman" w:hAnsi="Times New Roman" w:cs="Times New Roman"/>
          <w:b/>
          <w:bCs/>
          <w:sz w:val="24"/>
          <w:szCs w:val="24"/>
        </w:rPr>
        <w:tab/>
        <w:t>Empirical Reviews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empirical landscape of land speculation and property development is crucial for informing the current study's exploration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in Ilorin South/East Local Government,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This section delves into previous studies on land speculation and property development, explores case studies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distils key findings and insights from a selection of authors, including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Ding &amp; Zhao (2022).</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 seminal work in this domain is the research conducted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which provides a comprehensive understanding of property market operations in Lagos, Nigeria. The study takes a dual institutional perspective, shedding light on the complexities arising from formal and informal institutions in the property market. It unravels the intricate dynamics that property developers navigate, emphasizing the impact of these dual institutions on land speculation and, consequently, property development. The study contributes significantly to the theoretical foundation of the current research, guiding the exploration of institutional influences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Another noteworthy study was conducted by Ding &amp; Zhao (2022), focusing on the land market, land development, and urban spatial structure in Beijing. This research takes a spatial perspective, investigating how the land market influences the urban spatial structure. It delves into the economic and geographic intricacies of land development, shedding light on how speculation and market forces shape the physical landscape. Ding &amp; Zhao's findings provide valuable insights into the spatial implications of land speculation, guiding the examination of potential spatial shifts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2C339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gain insights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it is pertinent to explore case studies that share similarities in terms of geographical, economic, or developmental contexts. The study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xml:space="preserve"> (2018) on the effects of land speculation on agricultural production in Kaduna State, Nigeria, presents a case with parallels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situation. While focusing on agricultural impacts, this study provides a template for understanding how land speculation can have cascading effects on various aspects of the local economy. Drawing parallels between the two cases can offer nuanced insights into the potential ripple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2C3392" w:rsidRDefault="002C3392"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Additionally, the research by Joshua et al. (2022) on the effects of land speculation on urban planning and development in Adamawa State, Nigeria, offers a case study that aligns closely with the current research focus. Examining how land speculation influences the planning and development of urban areas provides a relevant perspective for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w:t>
      </w:r>
      <w:r w:rsidR="00897576" w:rsidRPr="00897576">
        <w:rPr>
          <w:rFonts w:ascii="Times New Roman" w:hAnsi="Times New Roman" w:cs="Times New Roman"/>
          <w:sz w:val="24"/>
          <w:szCs w:val="24"/>
        </w:rPr>
        <w:lastRenderedPageBreak/>
        <w:t xml:space="preserve">area, which is undergoing notable changes in land use patterns. Joshua et al.'s study can serve as a benchmark for understanding the potential impacts on urban planning in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context.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provide significant insights into the challenges posed by land speculation within the context of Lagos, Nigeria. The dual institutional perspective highlights the intricate interplay between formal and informal institutions in shaping property market dynamics. The study underscores that the efficiency of the property market is contingent upon the harmonization of formal and informal institutional frameworks. This finding is particularly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understanding and potentially aligning these dual institutions can be crucial for fostering responsible land use and property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Ding &amp; Zhao's (2022) exploration of the land market in Beijing offers insights into the spatial implications of land speculation. The study underscores the interconnectedness between the land market and urban spatial structure, emphasizing how speculative activities can influence the physical layout of a city. Applying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potential spatial shifts, contributing to </w:t>
      </w:r>
      <w:proofErr w:type="gramStart"/>
      <w:r w:rsidRPr="00897576">
        <w:rPr>
          <w:rFonts w:ascii="Times New Roman" w:hAnsi="Times New Roman" w:cs="Times New Roman"/>
          <w:sz w:val="24"/>
          <w:szCs w:val="24"/>
        </w:rPr>
        <w:t>informed</w:t>
      </w:r>
      <w:proofErr w:type="gramEnd"/>
      <w:r w:rsidRPr="00897576">
        <w:rPr>
          <w:rFonts w:ascii="Times New Roman" w:hAnsi="Times New Roman" w:cs="Times New Roman"/>
          <w:sz w:val="24"/>
          <w:szCs w:val="24"/>
        </w:rPr>
        <w:t xml:space="preserve"> urban planning and development strategies.</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contributes to agricultural perspectives on the broader impacts of speculation. While not directly focused on property development, the findings suggest that land speculation can have far-reaching consequences on various sectors, including agriculture. Extrapolating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a holistic view of potential socio-economic impacts that need to be considered in the context of sustainable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Joshua et al.'s (2022) research on the effects of land speculation on urban planning and development in Adamawa State provides a lens through which to anticipate challenges and opportunities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The study highlights how speculation can disrupt planned urban development, leading to potentially unplanned growth and challenges in infrastructure provision. This finding underscores the importance of proactive planning measures in areas undergoing significant land use changes, as is the case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the study by Henderson (2019), the research methodology adopted involved an in-depth analysis of the urbanization and development dynamics with a specific focus on the role of planning and institutions. The research employed a mixed-methods approach, combining qualitative and quantitative data collection techniques to gather comprehensive insights. Utilizing both primary and secondary sources, the study examined urbanization </w:t>
      </w:r>
      <w:r w:rsidRPr="00897576">
        <w:rPr>
          <w:rFonts w:ascii="Times New Roman" w:hAnsi="Times New Roman" w:cs="Times New Roman"/>
          <w:sz w:val="24"/>
          <w:szCs w:val="24"/>
        </w:rPr>
        <w:lastRenderedPageBreak/>
        <w:t xml:space="preserve">patterns and the influence of planning policies and institutional frameworks on the developmental processes. The data were rigorously </w:t>
      </w:r>
      <w:proofErr w:type="spellStart"/>
      <w:r w:rsidRPr="00897576">
        <w:rPr>
          <w:rFonts w:ascii="Times New Roman" w:hAnsi="Times New Roman" w:cs="Times New Roman"/>
          <w:sz w:val="24"/>
          <w:szCs w:val="24"/>
        </w:rPr>
        <w:t>analyzed</w:t>
      </w:r>
      <w:proofErr w:type="spellEnd"/>
      <w:r w:rsidRPr="00897576">
        <w:rPr>
          <w:rFonts w:ascii="Times New Roman" w:hAnsi="Times New Roman" w:cs="Times New Roman"/>
          <w:sz w:val="24"/>
          <w:szCs w:val="24"/>
        </w:rPr>
        <w:t xml:space="preserve"> through statistical methods and qualitative content analysis. The findings revealed intricate connections between effective urban planning, institutional structures, and sustainable development, providing valuable implications for policymakers and urban development practitioners seeking to navigate the complexities of urban growth and planning</w:t>
      </w:r>
      <w:r w:rsidR="002C3392">
        <w:rPr>
          <w:rFonts w:ascii="Times New Roman" w:hAnsi="Times New Roman" w:cs="Times New Roman"/>
          <w:sz w:val="24"/>
          <w:szCs w:val="24"/>
        </w:rPr>
        <w:t xml:space="preserve"> in the contemporary landscape.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Smith's work (2016), the research methodology employed a qualitative exploration of the phenomenon of gentrification within the context of the revanchist city. Employing an interdisciplinary approach, the study delved into the socio-economic and political aspects of gentrification, examining the dynamics of urban change, displacement, and the resurgence of punitive strategies within the city. The research relied on case studies, interviews, and archival data to provide an in-depth understanding of the complexities inherent in the new urban frontier. Through a critical analysis of the findings, the study highlighted the power dynamics and social implications of gentrification, shedding light on the challenges faced by marginalized communities. The methodological approach and insightful findings contribute significantly to the discourse on urban transformations and the impact of gentrification</w:t>
      </w:r>
      <w:r w:rsidR="002C3392">
        <w:rPr>
          <w:rFonts w:ascii="Times New Roman" w:hAnsi="Times New Roman" w:cs="Times New Roman"/>
          <w:sz w:val="24"/>
          <w:szCs w:val="24"/>
        </w:rPr>
        <w:t xml:space="preserve"> on the contemporary cityscape.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Harvey's work (2017) on "The Limits to Capital" adopts a primarily theoretical research methodology to </w:t>
      </w:r>
      <w:proofErr w:type="spellStart"/>
      <w:r w:rsidRPr="00897576">
        <w:rPr>
          <w:rFonts w:ascii="Times New Roman" w:hAnsi="Times New Roman" w:cs="Times New Roman"/>
          <w:sz w:val="24"/>
          <w:szCs w:val="24"/>
        </w:rPr>
        <w:t>analyze</w:t>
      </w:r>
      <w:proofErr w:type="spellEnd"/>
      <w:r w:rsidRPr="00897576">
        <w:rPr>
          <w:rFonts w:ascii="Times New Roman" w:hAnsi="Times New Roman" w:cs="Times New Roman"/>
          <w:sz w:val="24"/>
          <w:szCs w:val="24"/>
        </w:rPr>
        <w:t xml:space="preserve"> the structural limits and contradictions inherent in the capitalist system. Grounded in Marxist political economy, the study explores the dynamics of capital accumulation, spatial restructuring, and the cyclical crises of capitalism. Employing a critical theoretical lens, Harvey engages with diverse sources ranging from classical economic texts to contemporary social theories. The research methodology involves conceptual analysis, historical materialism, and dialectical reasoning to unpack the complexities of capitalist relations. The method of data analysis encompasses a rigorous examination of historical processes and economic structures, providing a theoretical framework to understand the inherent limitations and challenges posed by the capitalistic mode of production. The findings contribute foundational insights to the understanding of the structural dynamics and inherent contradictions within the capitalist system.</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Feinstein (2020) investigated the conceptualization and realization of justice within urban contexts in her work "The Just City." Employing a comprehensive research methodology, she combined theoretical analysis with empirical case studies to delve into the complexities of achieving justice in urban planning and development. Through a thorough literature review, case study analysis, and engagement with urban policies, </w:t>
      </w:r>
      <w:proofErr w:type="spellStart"/>
      <w:r w:rsidRPr="00897576">
        <w:rPr>
          <w:rFonts w:ascii="Times New Roman" w:hAnsi="Times New Roman" w:cs="Times New Roman"/>
          <w:sz w:val="24"/>
          <w:szCs w:val="24"/>
        </w:rPr>
        <w:t>Fainstein</w:t>
      </w:r>
      <w:proofErr w:type="spellEnd"/>
      <w:r w:rsidRPr="00897576">
        <w:rPr>
          <w:rFonts w:ascii="Times New Roman" w:hAnsi="Times New Roman" w:cs="Times New Roman"/>
          <w:sz w:val="24"/>
          <w:szCs w:val="24"/>
        </w:rPr>
        <w:t xml:space="preserve"> explored </w:t>
      </w:r>
      <w:r w:rsidRPr="00897576">
        <w:rPr>
          <w:rFonts w:ascii="Times New Roman" w:hAnsi="Times New Roman" w:cs="Times New Roman"/>
          <w:sz w:val="24"/>
          <w:szCs w:val="24"/>
        </w:rPr>
        <w:lastRenderedPageBreak/>
        <w:t>the challenges and opportunities in creating a just city. The method of data analysis integrated qualitative insights from case studies with theoretical frameworks, providing a nuanced understanding of justice within urban spaces. The findings underscored the intricate dynamics involved in translating justice into urban policies, emphasizing the crucial role of inclusivity, equity, and democratic processes in shaping a more just urban environment.</w:t>
      </w:r>
    </w:p>
    <w:p w:rsidR="00DB603B"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Logan and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(2018) delved into the political economy of place in their work "Urban Fortunes." Adopting an interdisciplinary research methodology, the authors investigated the intricate connections between political processes, economic forces, and the spatial organization of urban areas. Through a combination of qualitative and quantitative analyses, the study examined how political and economic decisions shape the development and fortunes of urban spaces. The research methodology involved case studies, statistical analysis, and theoretical frameworks to uncover the underlying dynamics. The method of data analysis integrated findings from diverse sources, providing a comprehensive understanding of how political and economic forces influence the socio-spatial organization of cities. The insights from this study contribute significantly to the understanding of the complex interplay between politics, economy, </w:t>
      </w:r>
      <w:r w:rsidR="00DB603B">
        <w:rPr>
          <w:rFonts w:ascii="Times New Roman" w:hAnsi="Times New Roman" w:cs="Times New Roman"/>
          <w:sz w:val="24"/>
          <w:szCs w:val="24"/>
        </w:rPr>
        <w:t>and urban development.</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w:t>
      </w:r>
      <w:r w:rsidRPr="00897576">
        <w:rPr>
          <w:rFonts w:ascii="Times New Roman" w:hAnsi="Times New Roman" w:cs="Times New Roman"/>
          <w:sz w:val="24"/>
          <w:szCs w:val="24"/>
        </w:rPr>
        <w:lastRenderedPageBreak/>
        <w:t>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"Planet of Slums" (Davis, 2018), the research methodology centres on an investigative analysis of the global phenomenon of slum proliferation. Davis adopts a multidisciplinary approach, incorporating elements of sociology, geography, and political economy to unravel the causes, consequences, and dynamics of urban slums. The research methodology involves both qualitative and quantitative data, drawing on case studies, statistical information, and theoretical frameworks to shed light on the complex factors contributing to the growth of slums worldwide. The method of data analysis encompasses critical examination and synthesis of data from diverse sources, aiming to provide a comprehensive understanding of the socio-economic, political, and spatial dimensions of slum existence. The findings offer valuable insights into the challenges faced by marginalized urban populations, making "Planet of Slums" a significant contribution to the discourse on global urbanization and inequality.</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Social Production of Urban Space"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2015), the research methodology involves a comprehensive exploration of the sociological aspects of urban space creation.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adopts a multidimensional approach, combining sociological theory, urban studies, and spatial analysis. The research methodology encompasses qualitative examination, theoretical discussions, and empirical case studies to elucidate the social processes involved in shaping urban spaces. The method of data analysis integrates insights from sociological theories and case studies, providing a nuanced understanding of how social forces contribute to the production of urban environments. The findings contribute to the broader understanding of urban sociology, emphasising the significance of social relations, power dynamics, and cultural influences in the creation and transformation of urban spaces.</w:t>
      </w:r>
    </w:p>
    <w:p w:rsidR="00FC42E0" w:rsidRPr="00897576"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Right to the City: Social Justice and the Fight for Public Space" (Mitchell, 2019), the research methodology is grounded in an exploration of social justice issues related to urban spaces. Mitchell employs a critical and interdisciplinary approach, integrating urban studies, sociology, and political theory. The research methodology involves a combination of qualitative case studies, theoretical discussions, and empirical analysis to examine the struggles for social justice in the context of urban public spaces. The method of data analysis incorporates insights from diverse sources, providing a holistic understanding of the challenges and movements advocating for the right to the city. The findings contribute to the discourse on social justice, emphasizing the importance of inclusive urban planning and the fight for public spaces as integral components of equitable urban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2.4</w:t>
      </w:r>
      <w:r w:rsidRPr="00897576">
        <w:rPr>
          <w:rFonts w:ascii="Times New Roman" w:hAnsi="Times New Roman" w:cs="Times New Roman"/>
          <w:b/>
          <w:bCs/>
          <w:sz w:val="24"/>
          <w:szCs w:val="24"/>
        </w:rPr>
        <w:tab/>
        <w:t>Gap in the Literature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existing literature on the impact of land speculation on private property development, particularly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 Ilorin South/East Local Government, reveals certain gaps and limitations that warrant further exploration. While some studies have touched upon the broader implications of land speculation, there is a dearth of comprehensive research specifically focused on the intricate dynamics of this phenomenon in the specified geographical setting. Additionally, the available literature often lacks a nuanced understanding of the interplay between economic drivers, institutional perspectives, and the cultural and economic heritage of the region. Such gaps hinder the development of targeted strategies for sustainable urban and rural planning, impeding the ability of policymakers and practitioners to address the unique challenges faced by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rationale for the current study lies in recognising these gaps and limitations, emphasising the need for a more in-depth and context-specific exploration of the impact of land speculation on public property development. By undertaking a comprehensive investigation into the economic, social, and institutional dimensions, this research aims to fill the existing void in the literature. Furthermore, the study seeks to establish the necessity of understanding the intricate relationships between land speculation and property development to inform evidence-based decision-making. The contribution of this research lies in its potential to provide valuable insights for policymakers, real estate developers, and local communities, fostering a more sustainable and equitable approach to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potentially serving as a model for similar regions facing similar challenges.</w:t>
      </w: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2.5</w:t>
      </w:r>
      <w:r w:rsidRPr="00897576">
        <w:rPr>
          <w:rFonts w:ascii="Times New Roman" w:hAnsi="Times New Roman" w:cs="Times New Roman"/>
          <w:b/>
          <w:bCs/>
          <w:sz w:val="24"/>
          <w:szCs w:val="24"/>
        </w:rPr>
        <w:tab/>
        <w:t>Summary of Literature Review</w:t>
      </w:r>
    </w:p>
    <w:tbl>
      <w:tblPr>
        <w:tblStyle w:val="TableGrid"/>
        <w:tblW w:w="9805" w:type="dxa"/>
        <w:tblLook w:val="04A0" w:firstRow="1" w:lastRow="0" w:firstColumn="1" w:lastColumn="0" w:noHBand="0" w:noVBand="1"/>
      </w:tblPr>
      <w:tblGrid>
        <w:gridCol w:w="2337"/>
        <w:gridCol w:w="3058"/>
        <w:gridCol w:w="4410"/>
      </w:tblGrid>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Author</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Topic</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Findings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Agboola</w:t>
            </w:r>
            <w:proofErr w:type="spellEnd"/>
            <w:r w:rsidRPr="00897576">
              <w:rPr>
                <w:rFonts w:ascii="Times New Roman" w:hAnsi="Times New Roman" w:cs="Times New Roman"/>
                <w:color w:val="0F0F0F"/>
                <w:sz w:val="24"/>
                <w:szCs w:val="24"/>
              </w:rPr>
              <w:t xml:space="preserve"> et al.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Property market operations in Lagos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 dual institutional perspective is crucial for understanding property market complexities.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Alonso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 and structural theories of urban form</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Historical factors deeply influence contemporary urban renewal.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Andreasson</w:t>
            </w:r>
            <w:proofErr w:type="spellEnd"/>
            <w:r w:rsidRPr="00897576">
              <w:rPr>
                <w:rFonts w:ascii="Times New Roman" w:hAnsi="Times New Roman" w:cs="Times New Roman"/>
                <w:color w:val="0F0F0F"/>
                <w:sz w:val="24"/>
                <w:szCs w:val="24"/>
              </w:rPr>
              <w:t xml:space="preserve"> et al.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speculation on commodity markets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and uncertainty significantly influence commodity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Ariyo</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Ogbonna</w:t>
            </w:r>
            <w:proofErr w:type="spellEnd"/>
            <w:r w:rsidRPr="00897576">
              <w:rPr>
                <w:rFonts w:ascii="Times New Roman" w:hAnsi="Times New Roman" w:cs="Times New Roman"/>
                <w:color w:val="0F0F0F"/>
                <w:sz w:val="24"/>
                <w:szCs w:val="24"/>
              </w:rPr>
              <w:t xml:space="preserve">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Effects of land speculation on agriculture in </w:t>
            </w:r>
            <w:proofErr w:type="spellStart"/>
            <w:r w:rsidRPr="00897576">
              <w:rPr>
                <w:rFonts w:ascii="Times New Roman" w:hAnsi="Times New Roman" w:cs="Times New Roman"/>
                <w:color w:val="0F0F0F"/>
                <w:sz w:val="24"/>
                <w:szCs w:val="24"/>
              </w:rPr>
              <w:t>Kachia</w:t>
            </w:r>
            <w:proofErr w:type="spellEnd"/>
            <w:r w:rsidRPr="00897576">
              <w:rPr>
                <w:rFonts w:ascii="Times New Roman" w:hAnsi="Times New Roman" w:cs="Times New Roman"/>
                <w:color w:val="0F0F0F"/>
                <w:sz w:val="24"/>
                <w:szCs w:val="24"/>
              </w:rPr>
              <w:t>,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Negative impacts on agricultural practices and livelihoods.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Brown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in economic contexts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often leads to market volatility and economic risks.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Clawson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Urban sprawl and speculation in suburban land</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contributes to uncontrolled urban sprawl.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Colin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Securing rural land transactions in Africa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securing land transactions in rural areas.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Cotula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International political economy of the global land rush</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Global land rush is driven by investment, resource acquisition, and economic motivations.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Ding &amp; Zhao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Land market dynamics, development, and urban spatial structure in Beijing</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land market dynamics on urban spatial structure and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Dimuna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Enhancing land acquisition for housing development in Benin,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land acquisition hinder individual housing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Ezenagu</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Fundamentals of Housing in </w:t>
            </w:r>
            <w:proofErr w:type="spellStart"/>
            <w:r w:rsidRPr="00897576">
              <w:rPr>
                <w:rFonts w:ascii="Times New Roman" w:hAnsi="Times New Roman" w:cs="Times New Roman"/>
                <w:color w:val="0F0F0F"/>
                <w:sz w:val="24"/>
                <w:szCs w:val="24"/>
              </w:rPr>
              <w:t>Anambra</w:t>
            </w:r>
            <w:proofErr w:type="spellEnd"/>
            <w:r w:rsidRPr="00897576">
              <w:rPr>
                <w:rFonts w:ascii="Times New Roman" w:hAnsi="Times New Roman" w:cs="Times New Roman"/>
                <w:color w:val="0F0F0F"/>
                <w:sz w:val="24"/>
                <w:szCs w:val="24"/>
              </w:rPr>
              <w:t xml:space="preserve"> State,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Explored the foundational aspects of housing in a Nigerian state.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Golland</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Boelhouwer</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Speculative housing supply and land and housing markets</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Comparison of speculative housing supply in land and housing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Gugushvili</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Foreign land ownership </w:t>
            </w:r>
            <w:r w:rsidRPr="00897576">
              <w:rPr>
                <w:rFonts w:ascii="Times New Roman" w:hAnsi="Times New Roman" w:cs="Times New Roman"/>
                <w:color w:val="0F0F0F"/>
                <w:sz w:val="24"/>
                <w:szCs w:val="24"/>
              </w:rPr>
              <w:lastRenderedPageBreak/>
              <w:t>regime and public opinion in a transition society</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lastRenderedPageBreak/>
              <w:t xml:space="preserve">Impact of foreign land ownership regime </w:t>
            </w:r>
            <w:r w:rsidRPr="00897576">
              <w:rPr>
                <w:rFonts w:ascii="Times New Roman" w:hAnsi="Times New Roman" w:cs="Times New Roman"/>
                <w:color w:val="0F0F0F"/>
                <w:sz w:val="24"/>
                <w:szCs w:val="24"/>
              </w:rPr>
              <w:lastRenderedPageBreak/>
              <w:t>on public opinion.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lastRenderedPageBreak/>
              <w:t>Holtslag-Broekhof</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Understanding land transactions during land use change</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Analysis of land transactions during land use change.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Knittel</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Pindyck</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Simple economics of commodity price speculation</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Overview of the economic principles underlying commodity price speculation.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Kombe</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Implications on Urban Growth</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Case study on 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its implications.</w:t>
            </w:r>
          </w:p>
        </w:tc>
      </w:tr>
    </w:tbl>
    <w:p w:rsidR="00FC42E0" w:rsidRPr="00897576"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FC42E0" w:rsidRPr="00897576" w:rsidRDefault="00FC42E0" w:rsidP="00897576">
      <w:pPr>
        <w:spacing w:after="0" w:line="360" w:lineRule="auto"/>
        <w:jc w:val="both"/>
        <w:rPr>
          <w:rFonts w:ascii="Times New Roman" w:hAnsi="Times New Roman" w:cs="Times New Roman"/>
          <w:sz w:val="24"/>
          <w:szCs w:val="24"/>
        </w:rPr>
      </w:pPr>
    </w:p>
    <w:p w:rsidR="00475AAB" w:rsidRDefault="00475AAB">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THREE</w:t>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RESEARCH METHODOLOGY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3.1</w:t>
      </w:r>
      <w:r w:rsidRPr="00897576">
        <w:rPr>
          <w:rFonts w:ascii="Times New Roman" w:hAnsi="Times New Roman" w:cs="Times New Roman"/>
          <w:b/>
          <w:bCs/>
          <w:sz w:val="24"/>
          <w:szCs w:val="24"/>
        </w:rPr>
        <w:tab/>
        <w:t xml:space="preserve"> Introduction</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pursuit of understanding the intricate dynamics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 meticulous research design was crucial. By selecting an appropriate research methodology, the study aimed to contribute valuable insights into the economic forces shaping land use patterns.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3.2 </w:t>
      </w:r>
      <w:r w:rsidRPr="00897576">
        <w:rPr>
          <w:rFonts w:ascii="Times New Roman" w:hAnsi="Times New Roman" w:cs="Times New Roman"/>
          <w:b/>
          <w:bCs/>
          <w:sz w:val="24"/>
          <w:szCs w:val="24"/>
        </w:rPr>
        <w:tab/>
        <w:t>The Research Design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suitable research design is paramount in determining the credibility and reliability of a study's findings (Creswell &amp; Creswell, 2018). In this study, the adoption of a quantitative survey design is in line with the necessity for systematic data collection on the prevalence and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as emphasized by Saunders et al. (2019).</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Quantitative survey designs offer a structured framework for gathering numerical data, enabling a comprehensive analysis of trends, patterns, and associations related to the phenomenon under investigation. The quantitative approach aligns with the need to quantify the extent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property development in a manner that allows for statistical analysis and meaningful interpretation of findings. This design not only ensures a standardized and replicable methodology but also enables the generation of numerical data that can be subjected to rigorous statistical scrutiny, enhancing the study's capacity to draw reliable conclusions.</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Embracing a quantitative survey design, the research methodology is oriented towards the collection of quantitative data through tools like structured questionnaires, enabling a systematic exploration of the economic forces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methodological alignment, informed by the scholarly perspectives of Creswell and Creswell (2018) and Saunders et al. (2019), reinforces the study's commitment to methodical, data-driven inquiry, aiming to unravel the complexities of land speculation's influence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locality.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3.3 </w:t>
      </w:r>
      <w:r w:rsidRPr="00897576">
        <w:rPr>
          <w:rFonts w:ascii="Times New Roman" w:hAnsi="Times New Roman" w:cs="Times New Roman"/>
          <w:b/>
          <w:bCs/>
          <w:sz w:val="24"/>
          <w:szCs w:val="24"/>
        </w:rPr>
        <w:tab/>
        <w:t>Data Types and Sources</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Collecting primary data directly from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stands as a fundamental requirement for achieving the study's specificity and relevance (Creswell &amp; Creswell, 2018). This approach aligns with the quantitative orientation of the research, emphasizing the need for numerical representation of variables associated with land speculation and property development (Newman &amp; Benz, 2020).</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 utilization of quantitative data collection methods, such as structured questionnaires, is essential in capturing the community's perspectives on land speculation trends and their consequences on property development. Newman and Benz's (2020) insights further underscore the importance of this approach in ensuring a numerical foundation that facilitates a rigorous and comprehensive analysis of the intricacies surrounding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quantitative emphasis not only enhances the study's analytical depth but also provides a structured framework for eliciting specific and measurable responses from the community, contributing to the overall reliability and validity of the research findings.</w:t>
      </w:r>
    </w:p>
    <w:p w:rsidR="00475AAB"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3.4</w:t>
      </w:r>
      <w:r w:rsidRPr="00897576">
        <w:rPr>
          <w:rFonts w:ascii="Times New Roman" w:hAnsi="Times New Roman" w:cs="Times New Roman"/>
          <w:b/>
          <w:bCs/>
          <w:sz w:val="24"/>
          <w:szCs w:val="24"/>
        </w:rPr>
        <w:tab/>
        <w:t xml:space="preserve"> Instrument for Data Collection</w:t>
      </w:r>
    </w:p>
    <w:p w:rsidR="00475AAB"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The adoption of a structured questionnaire as the primary instrument for data collection underscores the study's dedication to ensuring consistency and relevance throughout the research process (</w:t>
      </w:r>
      <w:proofErr w:type="spellStart"/>
      <w:r w:rsidR="00897576" w:rsidRPr="00897576">
        <w:rPr>
          <w:rFonts w:ascii="Times New Roman" w:hAnsi="Times New Roman" w:cs="Times New Roman"/>
          <w:sz w:val="24"/>
          <w:szCs w:val="24"/>
        </w:rPr>
        <w:t>Gray</w:t>
      </w:r>
      <w:proofErr w:type="spellEnd"/>
      <w:r w:rsidR="00897576" w:rsidRPr="00897576">
        <w:rPr>
          <w:rFonts w:ascii="Times New Roman" w:hAnsi="Times New Roman" w:cs="Times New Roman"/>
          <w:sz w:val="24"/>
          <w:szCs w:val="24"/>
        </w:rPr>
        <w:t>, 2018). This methodological decision aligns with the research's objective of obtaining diverse perspectives from stakeholders involved in the dynamics of land speculation and property development, including both residents and property developers (Saunders et al., 2016).</w:t>
      </w:r>
    </w:p>
    <w:p w:rsidR="00FC42E0" w:rsidRPr="00475AAB" w:rsidRDefault="00897576" w:rsidP="00475AAB">
      <w:pPr>
        <w:spacing w:after="0" w:line="360" w:lineRule="auto"/>
        <w:ind w:firstLine="720"/>
        <w:jc w:val="both"/>
        <w:rPr>
          <w:rFonts w:ascii="Times New Roman" w:hAnsi="Times New Roman" w:cs="Times New Roman"/>
          <w:b/>
          <w:bCs/>
          <w:sz w:val="24"/>
          <w:szCs w:val="24"/>
        </w:rPr>
      </w:pP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insights emphasize the importance of a structured approach in maintaining consistency in data collection, which is crucial for drawing meaningful comparisons and conclusions. The questionnaire's design allows for the systematic gathering of information, ensuring that each respondent is presented with the same set of inquiries, thereby facilitating a standardized and reliable dataset. Additionally, following the principles outlined by Saunders et al. (2016), this method accommodates the diverse backgrounds and roles of respondents, offering a comprehensive understanding of the multi-faceted issues related to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3.5</w:t>
      </w:r>
      <w:r w:rsidRPr="00897576">
        <w:rPr>
          <w:rFonts w:ascii="Times New Roman" w:hAnsi="Times New Roman" w:cs="Times New Roman"/>
          <w:b/>
          <w:bCs/>
          <w:sz w:val="24"/>
          <w:szCs w:val="24"/>
        </w:rPr>
        <w:tab/>
        <w:t xml:space="preserve"> Target Population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establishing a comprehensive target population for the study, which encompasses both residents and stakeholders, the research aims to enhance its external validity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This inclusive approach aligns seamlessly with the overarching goal of the study, which is to capture a wide array of perspectives on the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emphasizes the significance of defining a target population that reflects the diversity of experiences and insights relevant to the research question. By incorporating the viewpoints of both residents and stakeholders, the study seeks to ensure that its findings are not only representative but also applicable to the broader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lastRenderedPageBreak/>
        <w:t>Osho</w:t>
      </w:r>
      <w:proofErr w:type="spellEnd"/>
      <w:r w:rsidRPr="00897576">
        <w:rPr>
          <w:rFonts w:ascii="Times New Roman" w:hAnsi="Times New Roman" w:cs="Times New Roman"/>
          <w:sz w:val="24"/>
          <w:szCs w:val="24"/>
        </w:rPr>
        <w:t xml:space="preserve"> community. This methodology aligns with the qualitative-quantitative continuum explored by Newman and Benz (2020), acknowledging the importance of incorporating multiple perspectives to construct a holistic understanding of the complex phenomenon of land speculation.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3.6</w:t>
      </w:r>
      <w:r w:rsidRPr="00897576">
        <w:rPr>
          <w:rFonts w:ascii="Times New Roman" w:hAnsi="Times New Roman" w:cs="Times New Roman"/>
          <w:b/>
          <w:bCs/>
          <w:sz w:val="24"/>
          <w:szCs w:val="24"/>
        </w:rPr>
        <w:tab/>
        <w:t xml:space="preserve"> Sample Frame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line with methodological considerations, the determination of a well-defined sample frame is essential for ensuring the study's robustness (Saunders et al., 2019). The incorporation of residents, property developers, and stakeholders into the sample frame reflects a deliberate effort to encompass diverse and key perspectives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community (</w:t>
      </w:r>
      <w:proofErr w:type="spell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2018).</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Saunders et al. (2019) underscore the importance of a carefully crafted sample frame, particularly in quantitative survey designs, to avoid biases and enhance the generalizability of findings. The deliberate inclusion of various stakeholders in the sample frame aligns with the study's commitment to capturing a comprehensive range of insights. </w:t>
      </w: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emphasis on methodological rigour supports the study's approach, ensuring that the selected sample frame enhances the representativeness of the gathered data.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3.7</w:t>
      </w:r>
      <w:r w:rsidRPr="00897576">
        <w:rPr>
          <w:rFonts w:ascii="Times New Roman" w:hAnsi="Times New Roman" w:cs="Times New Roman"/>
          <w:b/>
          <w:bCs/>
          <w:sz w:val="24"/>
          <w:szCs w:val="24"/>
        </w:rPr>
        <w:tab/>
        <w:t xml:space="preserve"> Sample Size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sample size comprising 120 respondents is anchored in both statistical and practical considerations, as advocated by </w:t>
      </w: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xml:space="preserve"> (2017). This choice strikes a delicate balance between acquiring meaningful insights and ensuring the feasibility of data collection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2016).</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Teddlie's</w:t>
      </w:r>
      <w:proofErr w:type="spellEnd"/>
      <w:r w:rsidRPr="00897576">
        <w:rPr>
          <w:rFonts w:ascii="Times New Roman" w:hAnsi="Times New Roman" w:cs="Times New Roman"/>
          <w:sz w:val="24"/>
          <w:szCs w:val="24"/>
        </w:rPr>
        <w:t xml:space="preserve"> (2017) insights on sample size emphasize the importance of aligning statistical considerations with the practicalities of the research environment. By opting for 120 respondents, the study adheres to this guidance, ensuring that the sample size is substantial enough to yield meaningful findings while remaining manageable within the specific constraints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community. </w:t>
      </w:r>
      <w:proofErr w:type="spellStart"/>
      <w:r w:rsidRPr="00897576">
        <w:rPr>
          <w:rFonts w:ascii="Times New Roman" w:hAnsi="Times New Roman" w:cs="Times New Roman"/>
          <w:sz w:val="24"/>
          <w:szCs w:val="24"/>
        </w:rPr>
        <w:t>Charmaz's</w:t>
      </w:r>
      <w:proofErr w:type="spellEnd"/>
      <w:r w:rsidRPr="00897576">
        <w:rPr>
          <w:rFonts w:ascii="Times New Roman" w:hAnsi="Times New Roman" w:cs="Times New Roman"/>
          <w:sz w:val="24"/>
          <w:szCs w:val="24"/>
        </w:rPr>
        <w:t xml:space="preserve"> (2016) acknowledgement of the practical aspect of research methodology further supports the study's decision, highlighting the necessity of balancing statistical rigour with real-world constraints.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3.8 </w:t>
      </w:r>
      <w:r w:rsidRPr="00897576">
        <w:rPr>
          <w:rFonts w:ascii="Times New Roman" w:hAnsi="Times New Roman" w:cs="Times New Roman"/>
          <w:b/>
          <w:bCs/>
          <w:sz w:val="24"/>
          <w:szCs w:val="24"/>
        </w:rPr>
        <w:tab/>
        <w:t>Sampling Procedure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utilization of convenient sampling in this study acknowledges the pragmatic realities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population (Robson, 2020). This approach is deliberate, ensuring that respondents are not only accessible but also willing to participate, thus enhancing the overall efficiency of data collection (Yin, 2018).</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Robson's (2020) endorsement of convenient sampling recognizes its suitability in situations where practical constraints, such as time and resources, influence the sampling strategy.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where logistical challenges may be present, adopting convenient sampling aligns with the practical considerations of the research design. Additionally, Yin's (2018) emphasis on the importance of ensuring participant cooperation and accessibility supports the chosen sampling approach, reinforcing its appropriateness for the specific conditions of the study.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3.9 </w:t>
      </w:r>
      <w:r w:rsidRPr="00897576">
        <w:rPr>
          <w:rFonts w:ascii="Times New Roman" w:hAnsi="Times New Roman" w:cs="Times New Roman"/>
          <w:b/>
          <w:bCs/>
          <w:sz w:val="24"/>
          <w:szCs w:val="24"/>
        </w:rPr>
        <w:tab/>
        <w:t>Method of Data Analysis</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selection of the Statistical Package for Social Sciences (SPSS) version 27 as the primary tool for data analysis is well-founded, considering its capacity for both descriptive and inferential analyses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This choice aligns seamlessly with the study's overarching aim of conducting a comprehensive examination of the quantitative data collected during the research process.</w:t>
      </w:r>
    </w:p>
    <w:p w:rsidR="00FC42E0" w:rsidRPr="00897576" w:rsidRDefault="00897576" w:rsidP="00CB0771">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emphasize the importance of choosing an analytical tool that can handle various statistical procedures to derive meaningful insights from the data. SPSS, renowned for its versatility in statistical analyses, meets this criterion, enabling the researcher to perform both descriptive statistics, such as frequencies and measures of central tendency, and inferential statistics, including regression and correlation analyses. The utilization of SPSS 27, the latest version at the time, further ensures compatibility with contemporary analytical techniques, enhancing the study's rigour and relevance in the field of land speculation and property development research.</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3.10 </w:t>
      </w:r>
      <w:r w:rsidRPr="00897576">
        <w:rPr>
          <w:rFonts w:ascii="Times New Roman" w:hAnsi="Times New Roman" w:cs="Times New Roman"/>
          <w:b/>
          <w:bCs/>
          <w:sz w:val="24"/>
          <w:szCs w:val="24"/>
        </w:rPr>
        <w:tab/>
        <w:t>Summary of Data Analysis for Each Objective</w:t>
      </w: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 xml:space="preserve">Objective 1: To assess the prevalence of land speculation in the </w:t>
      </w:r>
      <w:proofErr w:type="spellStart"/>
      <w:r w:rsidRPr="00CB0771">
        <w:rPr>
          <w:rFonts w:ascii="Times New Roman" w:hAnsi="Times New Roman" w:cs="Times New Roman"/>
          <w:b/>
          <w:sz w:val="24"/>
          <w:szCs w:val="24"/>
          <w:lang w:val="en-US"/>
        </w:rPr>
        <w:t>Budo</w:t>
      </w:r>
      <w:proofErr w:type="spellEnd"/>
      <w:r w:rsidRPr="00CB0771">
        <w:rPr>
          <w:rFonts w:ascii="Times New Roman" w:hAnsi="Times New Roman" w:cs="Times New Roman"/>
          <w:b/>
          <w:sz w:val="24"/>
          <w:szCs w:val="24"/>
          <w:lang w:val="en-US"/>
        </w:rPr>
        <w:t xml:space="preserve"> </w:t>
      </w:r>
      <w:proofErr w:type="spellStart"/>
      <w:r w:rsidRPr="00CB0771">
        <w:rPr>
          <w:rFonts w:ascii="Times New Roman" w:hAnsi="Times New Roman" w:cs="Times New Roman"/>
          <w:b/>
          <w:sz w:val="24"/>
          <w:szCs w:val="24"/>
          <w:lang w:val="en-US"/>
        </w:rPr>
        <w:t>Osho</w:t>
      </w:r>
      <w:proofErr w:type="spellEnd"/>
      <w:r w:rsidRPr="00CB0771">
        <w:rPr>
          <w:rFonts w:ascii="Times New Roman" w:hAnsi="Times New Roman" w:cs="Times New Roman"/>
          <w:b/>
          <w:sz w:val="24"/>
          <w:szCs w:val="24"/>
          <w:lang w:val="en-US"/>
        </w:rPr>
        <w:t xml:space="preserve"> </w:t>
      </w:r>
      <w:r w:rsidRPr="00CB0771">
        <w:rPr>
          <w:rFonts w:ascii="Times New Roman" w:hAnsi="Times New Roman" w:cs="Times New Roman"/>
          <w:b/>
          <w:sz w:val="24"/>
          <w:szCs w:val="24"/>
        </w:rPr>
        <w:t>area.</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1</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CB0771" w:rsidP="00897576">
      <w:pPr>
        <w:spacing w:after="0" w:line="360" w:lineRule="auto"/>
        <w:jc w:val="both"/>
        <w:rPr>
          <w:rFonts w:ascii="Times New Roman" w:hAnsi="Times New Roman" w:cs="Times New Roman"/>
          <w:b/>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2: To examine the socio-economic factors influencing land speculation.</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FC42E0" w:rsidRPr="00897576" w:rsidRDefault="00FC42E0" w:rsidP="00897576">
      <w:pPr>
        <w:spacing w:after="0" w:line="360" w:lineRule="auto"/>
        <w:jc w:val="both"/>
        <w:rPr>
          <w:rFonts w:ascii="Times New Roman" w:hAnsi="Times New Roman" w:cs="Times New Roman"/>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3: To evaluate the impact of land speculation on p</w:t>
      </w:r>
      <w:proofErr w:type="spellStart"/>
      <w:r w:rsidRPr="00CB0771">
        <w:rPr>
          <w:rFonts w:ascii="Times New Roman" w:hAnsi="Times New Roman" w:cs="Times New Roman"/>
          <w:b/>
          <w:sz w:val="24"/>
          <w:szCs w:val="24"/>
          <w:lang w:val="en-US"/>
        </w:rPr>
        <w:t>ublic</w:t>
      </w:r>
      <w:proofErr w:type="spellEnd"/>
      <w:r w:rsidRPr="00CB0771">
        <w:rPr>
          <w:rFonts w:ascii="Times New Roman" w:hAnsi="Times New Roman" w:cs="Times New Roman"/>
          <w:b/>
          <w:sz w:val="24"/>
          <w:szCs w:val="24"/>
        </w:rPr>
        <w:t xml:space="preserve"> property development.</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897576" w:rsidP="00CB0771">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FOUR</w:t>
      </w:r>
    </w:p>
    <w:p w:rsidR="00FC42E0" w:rsidRPr="00CB0771" w:rsidRDefault="00897576" w:rsidP="00CB0771">
      <w:pPr>
        <w:spacing w:after="0" w:line="360" w:lineRule="auto"/>
        <w:jc w:val="center"/>
        <w:rPr>
          <w:rFonts w:ascii="Times New Roman" w:hAnsi="Times New Roman" w:cs="Times New Roman"/>
          <w:b/>
          <w:bCs/>
          <w:sz w:val="24"/>
          <w:szCs w:val="24"/>
        </w:rPr>
      </w:pPr>
      <w:r w:rsidRPr="00CB0771">
        <w:rPr>
          <w:rFonts w:ascii="Times New Roman" w:hAnsi="Times New Roman" w:cs="Times New Roman"/>
          <w:b/>
          <w:sz w:val="24"/>
          <w:szCs w:val="24"/>
        </w:rPr>
        <w:t>DATA PRESENTATION ANALYSIS AND INTERPRETATION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4.1</w:t>
      </w:r>
      <w:r w:rsidRPr="00897576">
        <w:rPr>
          <w:rFonts w:ascii="Times New Roman" w:hAnsi="Times New Roman" w:cs="Times New Roman"/>
          <w:b/>
          <w:bCs/>
          <w:sz w:val="24"/>
          <w:szCs w:val="24"/>
        </w:rPr>
        <w:tab/>
        <w:t>Data Presentation</w:t>
      </w:r>
    </w:p>
    <w:tbl>
      <w:tblPr>
        <w:tblW w:w="8229" w:type="dxa"/>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FC42E0" w:rsidRPr="00897576">
        <w:trPr>
          <w:cantSplit/>
        </w:trPr>
        <w:tc>
          <w:tcPr>
            <w:tcW w:w="8229"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4.1: Distribution of Questionnaire</w:t>
            </w:r>
          </w:p>
        </w:tc>
      </w:tr>
      <w:tr w:rsidR="00FC42E0" w:rsidRPr="00897576">
        <w:trPr>
          <w:cantSplit/>
        </w:trPr>
        <w:tc>
          <w:tcPr>
            <w:tcW w:w="3182"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2448" w:type="dxa"/>
            <w:tcBorders>
              <w:top w:val="single" w:sz="8" w:space="0" w:color="152935"/>
              <w:left w:val="nil"/>
              <w:bottom w:val="single" w:sz="8" w:space="0" w:color="AEAEAE"/>
              <w:right w:val="nil"/>
            </w:tcBorders>
            <w:shd w:val="clear" w:color="auto" w:fill="E0E0E0"/>
          </w:tcPr>
          <w:p w:rsidR="00FC42E0" w:rsidRPr="00897576" w:rsidRDefault="00CB0771"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Returned</w:t>
            </w:r>
            <w:r w:rsidR="00897576" w:rsidRPr="00897576">
              <w:rPr>
                <w:rFonts w:ascii="Times New Roman" w:hAnsi="Times New Roman" w:cs="Times New Roman"/>
                <w:color w:val="264A60"/>
                <w:sz w:val="24"/>
                <w:szCs w:val="24"/>
              </w:rPr>
              <w:t>/Completed</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Not Returned/Not Completed</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120</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questionnaires for this study indicates a commendable level of participant engagement, with a response rate of 86.7%. The high percentage of returned and completed questionnaires underscores the commitment and interest of the respondents in contributing to the research. This notable response rate enhances the reliability and representativeness of the data collected, suggesting that the findings gleaned from the completed questionnaires are reflective of the attitudes and perceptions within the targeted population. The relatively low percentage of not returned or not completed questionnaires (13.3%) further attests to the overall success of the data collection process, minimizing potential non-response bias and ensuring a robust dataset for subsequent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high rate of returned and completed questionnaires can be attributed to several factors, including the clear communication of the study's objectives, the relevance of the research topic to the participants, and the careful design of the questionnaire to be concise and user-friendly. The meticulous attention to detail in the survey administration likely fostered a sense of trust and engagement among the respondents, encouraging their active participation. The robust response rate not only strengthens the internal validity of the study but also enhances the generalizability of the findings to the broader population, affirming the credibility of the research outcomes.</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4.1.1</w:t>
      </w:r>
      <w:r w:rsidRPr="00897576">
        <w:rPr>
          <w:rFonts w:ascii="Times New Roman" w:hAnsi="Times New Roman" w:cs="Times New Roman"/>
          <w:b/>
          <w:bCs/>
          <w:sz w:val="24"/>
          <w:szCs w:val="24"/>
        </w:rPr>
        <w:tab/>
        <w:t>Demographic Distribution of Respondents</w:t>
      </w:r>
    </w:p>
    <w:tbl>
      <w:tblPr>
        <w:tblW w:w="7205" w:type="dxa"/>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FC42E0" w:rsidRPr="00897576">
        <w:trPr>
          <w:cantSplit/>
        </w:trPr>
        <w:tc>
          <w:tcPr>
            <w:tcW w:w="720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4.2: Age of Respondents</w:t>
            </w:r>
          </w:p>
        </w:tc>
      </w:tr>
      <w:tr w:rsidR="00FC42E0" w:rsidRPr="00897576">
        <w:trPr>
          <w:cantSplit/>
        </w:trPr>
        <w:tc>
          <w:tcPr>
            <w:tcW w:w="215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42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18-20</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21-23</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25.0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24-26</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27 and above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age categories reveals a representative sample that spans a diverse range of age groups. The majority of participants fall within the 24-26 age bracket, constituting 63.5% of the total respondents. This demographic dominance suggests that the study effectively engaged with the younger demographic, aligning with the notion that political discourse often resonates more strongly with the youth. The robust representation of this age group strengthens the study's potential to capture contemporary perspectives and reflects the demographic composition of a significant segment of the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distribution demonstrates a balanced inclusion of respondents across different age ranges, including those aged 18-20 (4.8%), 21-23 (20.2%), and 27 and above (11.5%). This comprehensive age distribution adds depth to the analysis by incorporating a spectrum of perspectives and experiences. The relatively lower percentage in the 18-20 age range may be attributed to factors such as educational commitments or lower political engagement in this cohort. Overall, the age distribution contributes to the study's external validity, suggesting that the findings are applicable to a broad age demographic and can provide insights into the varied perspectives on political communication within the targeted population.</w:t>
      </w:r>
    </w:p>
    <w:p w:rsidR="0071189F" w:rsidRDefault="0071189F">
      <w:r>
        <w:br w:type="page"/>
      </w:r>
    </w:p>
    <w:tbl>
      <w:tblPr>
        <w:tblW w:w="6715" w:type="dxa"/>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FC42E0" w:rsidRPr="00897576">
        <w:trPr>
          <w:cantSplit/>
        </w:trPr>
        <w:tc>
          <w:tcPr>
            <w:tcW w:w="671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4.3: Gender of Respondents</w:t>
            </w:r>
          </w:p>
        </w:tc>
      </w:tr>
      <w:tr w:rsidR="00FC42E0" w:rsidRPr="00897576">
        <w:trPr>
          <w:cantSplit/>
        </w:trPr>
        <w:tc>
          <w:tcPr>
            <w:tcW w:w="166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Male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Female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gender distribution of respondents highlights a notable imbalance in the representation of male and female participants in the study. The overwhelming majority of respondents are male, constituting 85.6% of the total, while females make up a significantly smaller proportion at 14.4%. This gender imbalance raises concerns about the representativeness of the study, as the perspectives and responses may be skewed towards the male demographic. The underrepresentation of females may be attributed to various factors, including disparities in political participation, accessibility, or preferences for engaging in survey research. As a result, the study's findings may be more reflective of male perspectives, and caution should be exercised when generalizing the results to the broader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Despite the gender imbalance, it is crucial to acknowledge the value of the female perspectives that are included in the study. The female respondents contribute to the diversity of voices, offering insights that may differ from the dominant male perspectives. Researchers should recognize the limitations imposed by gender distribution and consider strategies to enhance female participation in future studies. Addressing this imbalance is essential for achieving a more comprehensive understanding of the nuanced ways in which different genders interpret and respond to political discourse, ensuring that research findings are inclusive and representative of diverse perspectives.</w:t>
      </w:r>
    </w:p>
    <w:p w:rsidR="0071189F" w:rsidRDefault="0071189F">
      <w:r>
        <w:br w:type="page"/>
      </w:r>
    </w:p>
    <w:tbl>
      <w:tblPr>
        <w:tblW w:w="7633" w:type="dxa"/>
        <w:tblLayout w:type="fixed"/>
        <w:tblCellMar>
          <w:left w:w="0" w:type="dxa"/>
          <w:right w:w="0" w:type="dxa"/>
        </w:tblCellMar>
        <w:tblLook w:val="0000" w:firstRow="0" w:lastRow="0" w:firstColumn="0" w:lastColumn="0" w:noHBand="0" w:noVBand="0"/>
      </w:tblPr>
      <w:tblGrid>
        <w:gridCol w:w="733"/>
        <w:gridCol w:w="1851"/>
        <w:gridCol w:w="1163"/>
        <w:gridCol w:w="1025"/>
        <w:gridCol w:w="1392"/>
        <w:gridCol w:w="1469"/>
      </w:tblGrid>
      <w:tr w:rsidR="00FC42E0" w:rsidRPr="00897576">
        <w:trPr>
          <w:cantSplit/>
        </w:trPr>
        <w:tc>
          <w:tcPr>
            <w:tcW w:w="763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4.4: Educational Level</w:t>
            </w:r>
          </w:p>
        </w:tc>
      </w:tr>
      <w:tr w:rsidR="00FC42E0" w:rsidRPr="00897576">
        <w:trPr>
          <w:cantSplit/>
        </w:trPr>
        <w:tc>
          <w:tcPr>
            <w:tcW w:w="258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3"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51"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SSCE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Bachelor's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69.2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Master's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Others</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educational levels reveals a diverse and well-represented sample with varying degrees of educational attainment. The majority of participants hold a Bachelor's Degree, constituting 62.5% of the total respondents. This dominance reflects a sample that is well-educated, aligning with the expectation that individuals with higher educational levels are more likely to engage in political discourse and offer informed perspectives. The robust representation of this group enhances the study's potential to capture nuanced and well-informed responses, adding depth to the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inclusion of respondents with different educational backgrounds, such as those with Master's Degrees (26.9%), SSCE (6.7%), and other qualifications (3.8%), contributes to the study's richness. The diverse educational landscape ensures that a broad spectrum of perspectives, experiences, and interpretative capacities is represented in the analysis. However, the relatively lower percentage of respondents with SSCE qualifications may indicate challenges in engaging individuals with lower educational levels in survey research, potentially limiting the study's inclusivity. Despite this, the comprehensive distribution across various educational levels enhances the study's external validity, suggesting that findings may be applicable to individuals with diverse educational backgrounds within the targeted population.</w:t>
      </w:r>
    </w:p>
    <w:p w:rsidR="0071189F" w:rsidRDefault="0071189F">
      <w:r>
        <w:br w:type="page"/>
      </w:r>
    </w:p>
    <w:tbl>
      <w:tblPr>
        <w:tblW w:w="7663" w:type="dxa"/>
        <w:tblLayout w:type="fixed"/>
        <w:tblCellMar>
          <w:left w:w="0" w:type="dxa"/>
          <w:right w:w="0" w:type="dxa"/>
        </w:tblCellMar>
        <w:tblLook w:val="0000" w:firstRow="0" w:lastRow="0" w:firstColumn="0" w:lastColumn="0" w:noHBand="0" w:noVBand="0"/>
      </w:tblPr>
      <w:tblGrid>
        <w:gridCol w:w="734"/>
        <w:gridCol w:w="1882"/>
        <w:gridCol w:w="1162"/>
        <w:gridCol w:w="1024"/>
        <w:gridCol w:w="1392"/>
        <w:gridCol w:w="1469"/>
      </w:tblGrid>
      <w:tr w:rsidR="00FC42E0" w:rsidRPr="00897576">
        <w:trPr>
          <w:cantSplit/>
        </w:trPr>
        <w:tc>
          <w:tcPr>
            <w:tcW w:w="766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4.5: Years of Residence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616"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82"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Less than 1 year</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1-5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6-10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More than 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distribution of respondents based on the duration of residence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insights into the composition of the sample in terms of community familiarity. A substantial portion of respondents has resided in the area for more extended periods, with 51.9% reporting more than 10 years of residence. This majority indicates a significant proportion of long-term residents, likely possessing a deep understanding of the community's dynamics, including its socio-political landscape. Their extended residency positions them as key stakeholders with a nuanced perspective on local political communication, contributing valuable insights to the study.</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Additionally, the inclusion of respondents who have resided in the area for 6-10 years (26.0%) and 1-5 years (15.4%) adds granularity to the analysis. These groups represent a mix of intermediate and relatively newer residents, offering diverse viewpoints shaped by varying degrees of community exposure. However, the lower percentage of respondents residing for less than 1 year (6.7%) suggests potential challenges in engaging individuals who have recently moved to the area. Despite this, the overall distribution reflects a comprehensive representation of residents with different durations of residence, enhancing the study's ability to capture a spectrum of perspectives on the pragmatic aspects of political discourse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4.2</w:t>
      </w:r>
      <w:r w:rsidRPr="00897576">
        <w:rPr>
          <w:rFonts w:ascii="Times New Roman" w:hAnsi="Times New Roman" w:cs="Times New Roman"/>
          <w:b/>
          <w:bCs/>
          <w:sz w:val="24"/>
          <w:szCs w:val="24"/>
        </w:rPr>
        <w:tab/>
        <w:t>Data Analysis and Answers to Research Questions</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 xml:space="preserve">Table 4.6: Land scarcity and high demand are significant factors driving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land scarcity and high demand as significant factors driving land speculation in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area indicate a prevailing consensus among the respondents. The majority, comprising 67.3% (Strongly Agree and Agree combined), acknowledge and affirm the influence of land scarcity and high demand in fuelling land speculation. This collective agreement underscores the shared understanding among the community members regarding the prominent role these factors play in shaping local land dynamics. The high percentage of agreement aligns with the broader literature on urban development, where increasing land scarcity often leads to speculative practices driven by high demand for limited resources.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Conversely, a notable portion (16.3%) expresses disagreement with the statement, emphasizing a divergence of opinion within the community. This dissenting perspective may stem from various factors, such as differing experiences or alternative explanations for land speculation in the area. The presence of uncertainty among 12.5% of respondents further adds nuance to the findings, acknowledging the complexity of factors contributing to land speculation. Overall, the nuanced responses highlight the intricate interplay of local factors influencing land dynamics, emphasizing the importance of considering diverse viewpoints when addressing community challenges related to land use and speculation.</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4.7: Economic incentives, such as potential for high returns, motivate individuals to engage in land speculation activities.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responses to the statement regarding economic incentives driving individuals to engage in land speculation activities reveal a predominant acknowledgment of financial motivations within the community. The combined percentage of respondents who strongly agree and agree stands at 73.1%, indicating a significant consensus among the participants regarding the influence of economic incentives, particularly the potential for high returns, in motivating land speculation. This alignment with economic motivations aligns with broader patterns observed in urban development, where financial considerations often play a pivotal role in individuals' decisions to engage in speculative activities.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presence of dissenting opinions, </w:t>
      </w:r>
      <w:r w:rsidR="00CB0771">
        <w:rPr>
          <w:rFonts w:ascii="Times New Roman" w:hAnsi="Times New Roman" w:cs="Times New Roman"/>
          <w:sz w:val="24"/>
          <w:szCs w:val="24"/>
        </w:rPr>
        <w:t xml:space="preserve">with 16.3% disagreeing with the </w:t>
      </w:r>
      <w:r w:rsidRPr="00897576">
        <w:rPr>
          <w:rFonts w:ascii="Times New Roman" w:hAnsi="Times New Roman" w:cs="Times New Roman"/>
          <w:sz w:val="24"/>
          <w:szCs w:val="24"/>
        </w:rPr>
        <w:t xml:space="preserve">statement, suggests a degree of diversity in perspectives within the community. Some residents may not view economic incentives as the primary driver for land speculation, pointing to the complexity of factors influencing individuals' decisions in this regard. The uncertainty expressed by 6.7% of respondents further emphasizes the multifaceted nature of motivations tied to land speculation. These nuanced responses underscore the importance of considering a range of factors, beyond purely economic incentives, when analysing land speculation dynamics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findings contribute to a more comprehensive understanding of the varied motivations shaping local land practices, informing potential interventions or policy considerations that account for the diverse perspectives within the community.</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4.8: Lack of clear land-use policies contributes to speculative behaviours among landowners and investors.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68.3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respondents' views on the role of clear land-use policies in mitigating speculative behaviours among landowners and investors indicate a notable consensus on the importance of policy clarity. A substantial proportion, encompassing 68.3% (Strongly Agree and Agree combined), recognizes the significance of well-defined land-use policies in addressing speculative behaviours. This alignment underscores the community's shared understanding that a lack of clear policies can contribute to uncertainties, potentially encouraging speculative practices among both landowners and investors. The findings resonate with broader discussions in urban planning and governance, emphasizing the pivotal role of effective policies in shaping land-use dynamics.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Conversely, the dissenting opinions, comprising 16.3% who disagree with the statement, reveal a diversity of perspectives within the community. Some respondents may believe that other factors, beyond the clarity of land-use policies, contribute more significantly to speculative behaviours. The uncertainty expressed by 11.5% of participants further highlights the complexity of the issue and the recognition that multiple factors may interplay in influencing land-related decisions. These nuanced responses underscore the importance of tailoring policy interventions to the specific contextual factors and concerns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considering the diverse viewpoints articulated by community members.</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4.9: Infrastructural developments and government interventions influence the increase in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the influence of infrastructural developments and government interventions on the increase in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demonstrate a substantial consensus within the community. A combined 78% of respondents, representing those who strongly agree and agree, acknowledge the impact of infrastructural developments and government interventions in driving the rise of land speculation. This shared perspective highlights the perceived connection between external factors, such as government initiatives and infrastructure projects, and the dynamics of land speculation within the community. The findings align with the broader literature on urban development, emphasizing the role of infrastructure and government actions in shaping local land-use patterns.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limited uncertainty expressed by only </w:t>
      </w:r>
      <w:r w:rsidR="00CB0771">
        <w:rPr>
          <w:rFonts w:ascii="Times New Roman" w:hAnsi="Times New Roman" w:cs="Times New Roman"/>
          <w:sz w:val="24"/>
          <w:szCs w:val="24"/>
        </w:rPr>
        <w:t xml:space="preserve">1.9% of respondents indicates a </w:t>
      </w:r>
      <w:r w:rsidRPr="00897576">
        <w:rPr>
          <w:rFonts w:ascii="Times New Roman" w:hAnsi="Times New Roman" w:cs="Times New Roman"/>
          <w:sz w:val="24"/>
          <w:szCs w:val="24"/>
        </w:rPr>
        <w:t xml:space="preserve">relatively clear consensus on this particular aspect of the study. However, the presence of dissenting opinions, with 16.3% disagreeing with the statement, signals the existence of varied perspectives within the community. Some residents may attribute the increase in land speculation to factors other than infrastructural developments and government interventions. The diversity of opinions underscores the complexity of the issue and the need for a nuanced understanding when formulating interventions or policies aimed at addressing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CB0771">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4.10: Land speculation negatively affects the affordability of housing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perception regarding the impact of land speculation on the affordability of housing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reflects a prevalent acknowledgment of the negative consequences associated with speculative behaviours. A significant majority, comprising 67.3% (Strongly Agree and Agree combined), expresses agreement with the statement, highlighting the widespread belief that land speculation has adverse effects on the accessibility and affordability of housing within the community. This collective recognition aligns with empirical evidence in urban studies, emphasizing the interconnectedness of land dynamics and housing affordability.</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study reveals a noteworthy level of uncertainty, with 12.5% of respondents expressing an uncertain stance on the relationship between land speculation and housing affordability. This uncertainty may stem from varying perceptions among community members or a lack of clear consensus on the intricacies of the link between land speculation and housing costs. Additionally, 20.2% of participants disagree with the statement, suggesting a portion of the community that may not perceive a direct or substantial impact of land speculation on housing affordability. These diverse perspectives underscore the complexity of the issue and emphasize the need for tailored interventions that consider the multifaceted nature of the relationship between land dynamics and housing accessibility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4.11: Speculative activities contribute to the delay and disruption of planned property development projects.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76.0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pertaining to the impact of speculative activities on the delay and disruption of planned property development projects reveal a noteworthy consensus within the community. The majority of respondents, accounting for 75.9% (Strongly Agree and Agree combined), affirm the notion that speculative behaviours contribute to the hindrance and disturbance of scheduled property development initiatives. This shared perspective aligns with the existing body of literature on urban development, emphasizing the potential negative effects of land speculation on planned projects, often resulting in delays and disruptions.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relationship between speculative activities and project delays, the overall agreement suggests a prevalent understanding of the challenges posed by land speculation in the context of property development. Additionally, 16.3% of respondents disagree with the statement, suggesting a subset of the community that may not perceive speculative behaviours as significant impediments to planned property development. These diverse perspectives highlight the nuanced nature of the issue and the importance of considering various viewpoints when crafting strategies to address challenges associated with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4.12: The quality of property developments is compromised due to speculative practices.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concerning the impact of speculative practices on the quality of property developments underscore a substantial consensus within the community. A significant majority, comprising 70.2% (Strongly Agree and Agree combined), acknowledges the compromising effect of speculative behaviours on the quality of property developments. This shared perspective aligns with broader discussions in urban planning, emphasizing the potential negative consequences of land speculation on the overall standards and outcomes of property projects.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uncertainty expressed by 9.6% of respondents indicates a modest level of indecision or lack of clarity regarding the perceived lin</w:t>
      </w:r>
      <w:r w:rsidR="00CB0771">
        <w:rPr>
          <w:rFonts w:ascii="Times New Roman" w:hAnsi="Times New Roman" w:cs="Times New Roman"/>
          <w:sz w:val="24"/>
          <w:szCs w:val="24"/>
        </w:rPr>
        <w:t xml:space="preserve">k between speculative practices </w:t>
      </w:r>
      <w:r w:rsidRPr="00897576">
        <w:rPr>
          <w:rFonts w:ascii="Times New Roman" w:hAnsi="Times New Roman" w:cs="Times New Roman"/>
          <w:sz w:val="24"/>
          <w:szCs w:val="24"/>
        </w:rPr>
        <w:t xml:space="preserve">and compromised development quality. This uncertainty may stem from varying interpretations of the relationship between land dynamics and project outcomes within the community. Furthermore, 20.1% of participants express disagreement with the statement, suggesting a portion of the community that may not attribute compromised development quality to speculative activities. These diverse perspectives underscore the complexity of the issue and the need for targeted interventions that consider the multifaceted nature of the relationship between land dynamics and the quality of property developments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4.13: Speculation leads to unequal distribution of developed land, affecting the overall landscape of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community.</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response to the statement addressing the impact of speculation on the distribution of developed land reveals a substantial consensus. A combined 72.1% of respondents (Strongly Agree and Agree combined) acknowledge the role of speculative activities in contributing to an unequal distribution of developed land, thereby influencing the overall landscape of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community. This shared perspective aligns with broader discussions on urban development, emphasizing the potential socio-economic disparities resulting from unequal land distribution.</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7.7% of respondents, indicates a moderate level of indecision or lack of clarity regarding the perceived connection between land speculation and unequal land distribution. This uncertainty may stem from varying interpretations of the dynamics shaping the community's landscape. Additionally, 20.1% of participants express disagreement with the statement, suggesting a portion of the community that may not attribute the unequal distribution of developed land to speculative activities. These diverse perspectives underscore the complexity of the issue and highlight the need for comprehensive interventions that consider the multifaceted nature of the relationship between land dynamics and the overall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281" w:type="dxa"/>
        <w:tblLayout w:type="fixed"/>
        <w:tblCellMar>
          <w:left w:w="0" w:type="dxa"/>
          <w:right w:w="0" w:type="dxa"/>
        </w:tblCellMar>
        <w:tblLook w:val="0000" w:firstRow="0" w:lastRow="0" w:firstColumn="0" w:lastColumn="0" w:noHBand="0" w:noVBand="0"/>
      </w:tblPr>
      <w:tblGrid>
        <w:gridCol w:w="734"/>
        <w:gridCol w:w="1500"/>
        <w:gridCol w:w="1162"/>
        <w:gridCol w:w="1024"/>
        <w:gridCol w:w="1392"/>
        <w:gridCol w:w="1469"/>
      </w:tblGrid>
      <w:tr w:rsidR="00FC42E0" w:rsidRPr="00897576">
        <w:trPr>
          <w:cantSplit/>
        </w:trPr>
        <w:tc>
          <w:tcPr>
            <w:tcW w:w="7281"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4.14: Implementing clear and enforceable land-use policies is an effective strategy to reduce land speculation.</w:t>
            </w:r>
          </w:p>
        </w:tc>
      </w:tr>
      <w:tr w:rsidR="00FC42E0" w:rsidRPr="00897576">
        <w:trPr>
          <w:cantSplit/>
        </w:trPr>
        <w:tc>
          <w:tcPr>
            <w:tcW w:w="223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50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84.6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the effectiveness of implementing clear and enforceable land-use policies in reducing land speculation demonstrate a substantial consensus within the community. A combined 84.6% of respondents (Strongly Agree and Agree combined) believe that the implementation of clear and enforceable land-use policies is an effective strategy to mitigate land speculation. This collective acknowledgment aligns with existing literature on urban planning, emphasizing the crucial role of robust policy frameworks in managing speculative activities and promoting sustainable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effectiveness of this strategy, the overall agreement suggests a widespread belief in the efficacy of clear and enforceable land-use policies. Additionally, 11.5% of participants disagree with the statement, suggesting a portion of the community that may not consider policy implementation as a highly effective approach to reducing land speculation. These diverse perspectives underscore the multifaceted nature of the issue and highlight the importance of considering various viewpoints when formulating strategies to address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4.15: Encouraging community-based land management can help mitigate the adverse effects of land speculation.</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92.3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regarding the community's stance on encouraging community-based land management as a strategy to mitigate the adverse effects of land speculation reveal a substantial consensus. A significant majority, comprising 78% of respondents (Strongly Agree and Agree combined), acknowledges the potential efficacy of community-based land management in alleviating the negative impacts associated with speculative activities. This shared perspective aligns with contemporary urban planning discussions, emphasizing the importance of community engagement and participation in the sustainable management of land resources.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12.5% of respondents, indicates a moderate level of indecision or lack of clarity regarding the perceived effectiveness of community-based land management. This uncertainty may stem from varying interpretations of the dynamics between community involvement and the mitigation of land speculation's adverse effects. Additionally, a small percentage (9.6%) disagrees with the statement, suggesting a portion of the community that may not consider community-based land management as a highly effective strategy. These diverse perspectives underscore the complexity of the issue and highlight the need for nuanced, context-specific approaches to address the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4.16: Taxing speculative transactions can discourage speculative activities and fund community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taxing speculative transactions as a means to discourage speculative activities and fund community development reveal a noteworthy consensus within the community. An overwhelming majority, comprising 79.8% of respondents (Strongly Agree and Agree combined), supports the idea that taxing speculative transactions can serve as a deterrent to speculative activities while concurrently generating funds for community development initiatives. This shared perspective resonates with discussions in economic literature, emphasizing the potential of taxation as a regulatory tool to influence market behaviour and channel resources towards communal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10.6% of respondents, indicates a moderate level of indecision or lack of clarity regarding the perceived effectiveness of taxing speculative transactions for the stated purposes. This uncertainty may stem from concerns about the potential economic implications or unintended consequences associated with such taxation measures. Additionally, a small percentage (9.6%) disagrees with the statement, suggesting a portion of the community that may not view taxing speculative transactions as an effective strategy for discouraging speculative activities and funding community development. These diverse perspectives underscore the need for comprehensive considerations and community dialogues when formulating policies related to taxation and its potential impact on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4.17: Establishing partnerships between the government and private sector can promote sustainable and inclusive property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81.7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99.0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data regarding the establishment of partnerships between the government and the private sector to promote sustainable and inclusive property development indicates a substantial consensus within the community. A considerable majority, comprising 81.7% of respondents (Strongly Agree and Agree combined), supports the idea that collaborations between the government and the private sector can effectively contribute to sustainable and inclusive property development. This collective agreement aligns with contemporary urban development discourse, emphasizing the importance of public-private partnerships in fostering inclusive growth and efficient utilization of resources.</w:t>
      </w:r>
    </w:p>
    <w:p w:rsidR="0071189F"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6.7% of respondents, suggests a moderate level of indecision or ambiguity regarding the perceived effectiveness of government-private sector partnerships for sustainable property development. This uncertainty may stem from concerns about the dynamics and potential challenges associated with such collaborations. Additionally, a small percentage (11.6%) disagrees with the statement, representing a portion of the community that may not view partnerships between the government and the private sector as a highly effective strategy for promoting sustainable and inclusive property development. These diverse perspectives highlight the need for careful consideration of various factors and effective communication when initiating and managing partnerships to address property development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690C1C" w:rsidRDefault="00690C1C" w:rsidP="00690C1C">
      <w:pPr>
        <w:spacing w:after="0" w:line="360" w:lineRule="auto"/>
        <w:ind w:firstLine="720"/>
        <w:jc w:val="both"/>
        <w:rPr>
          <w:rFonts w:ascii="Times New Roman" w:hAnsi="Times New Roman" w:cs="Times New Roman"/>
          <w:sz w:val="24"/>
          <w:szCs w:val="24"/>
        </w:rPr>
      </w:pPr>
    </w:p>
    <w:p w:rsidR="00690C1C" w:rsidRPr="00897576" w:rsidRDefault="00690C1C" w:rsidP="00690C1C">
      <w:pPr>
        <w:spacing w:after="0" w:line="360" w:lineRule="auto"/>
        <w:ind w:firstLine="720"/>
        <w:jc w:val="both"/>
        <w:rPr>
          <w:rFonts w:ascii="Times New Roman" w:hAnsi="Times New Roman" w:cs="Times New Roman"/>
          <w:sz w:val="24"/>
          <w:szCs w:val="24"/>
        </w:rPr>
      </w:pPr>
    </w:p>
    <w:tbl>
      <w:tblPr>
        <w:tblW w:w="7403" w:type="dxa"/>
        <w:tblLayout w:type="fixed"/>
        <w:tblCellMar>
          <w:left w:w="0" w:type="dxa"/>
          <w:right w:w="0" w:type="dxa"/>
        </w:tblCellMar>
        <w:tblLook w:val="0000" w:firstRow="0" w:lastRow="0" w:firstColumn="0" w:lastColumn="0" w:noHBand="0" w:noVBand="0"/>
      </w:tblPr>
      <w:tblGrid>
        <w:gridCol w:w="2448"/>
        <w:gridCol w:w="1024"/>
        <w:gridCol w:w="1024"/>
        <w:gridCol w:w="1438"/>
        <w:gridCol w:w="1469"/>
      </w:tblGrid>
      <w:tr w:rsidR="00FC42E0" w:rsidRPr="00897576">
        <w:trPr>
          <w:cantSplit/>
        </w:trPr>
        <w:tc>
          <w:tcPr>
            <w:tcW w:w="7400" w:type="dxa"/>
            <w:gridSpan w:val="5"/>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4.18: One-Sample Statistics</w:t>
            </w:r>
          </w:p>
        </w:tc>
      </w:tr>
      <w:tr w:rsidR="00FC42E0" w:rsidRPr="00897576">
        <w:trPr>
          <w:cantSplit/>
        </w:trPr>
        <w:tc>
          <w:tcPr>
            <w:tcW w:w="2447" w:type="dxa"/>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Deviation</w:t>
            </w:r>
          </w:p>
        </w:tc>
        <w:tc>
          <w:tcPr>
            <w:tcW w:w="1468"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Error Mean</w:t>
            </w:r>
          </w:p>
        </w:tc>
      </w:tr>
      <w:tr w:rsidR="00FC42E0" w:rsidRPr="00897576">
        <w:trPr>
          <w:cantSplit/>
        </w:trPr>
        <w:tc>
          <w:tcPr>
            <w:tcW w:w="2447"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The drivers of land speculation in the </w:t>
            </w:r>
            <w:proofErr w:type="spellStart"/>
            <w:r w:rsidRPr="00897576">
              <w:rPr>
                <w:rFonts w:ascii="Times New Roman" w:hAnsi="Times New Roman" w:cs="Times New Roman"/>
                <w:color w:val="264A60"/>
                <w:sz w:val="24"/>
                <w:szCs w:val="24"/>
              </w:rPr>
              <w:t>Asa</w:t>
            </w:r>
            <w:proofErr w:type="spellEnd"/>
            <w:r w:rsidRPr="00897576">
              <w:rPr>
                <w:rFonts w:ascii="Times New Roman" w:hAnsi="Times New Roman" w:cs="Times New Roman"/>
                <w:color w:val="264A60"/>
                <w:sz w:val="24"/>
                <w:szCs w:val="24"/>
              </w:rPr>
              <w:t>-dam area.</w:t>
            </w:r>
          </w:p>
        </w:tc>
        <w:tc>
          <w:tcPr>
            <w:tcW w:w="1024"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73.0000</w:t>
            </w:r>
          </w:p>
        </w:tc>
        <w:tc>
          <w:tcPr>
            <w:tcW w:w="1437"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8.75595</w:t>
            </w:r>
          </w:p>
        </w:tc>
        <w:tc>
          <w:tcPr>
            <w:tcW w:w="1468"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4.37798</w:t>
            </w:r>
          </w:p>
        </w:tc>
      </w:tr>
      <w:tr w:rsidR="00FC42E0" w:rsidRPr="00897576">
        <w:trPr>
          <w:cantSplit/>
        </w:trPr>
        <w:tc>
          <w:tcPr>
            <w:tcW w:w="2447"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The impact of land speculation on property development in the study area.</w:t>
            </w:r>
          </w:p>
        </w:tc>
        <w:tc>
          <w:tcPr>
            <w:tcW w:w="1024"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66.0000</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4.08248</w:t>
            </w:r>
          </w:p>
        </w:tc>
        <w:tc>
          <w:tcPr>
            <w:tcW w:w="1468"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2.04124</w:t>
            </w:r>
          </w:p>
        </w:tc>
      </w:tr>
      <w:tr w:rsidR="00FC42E0" w:rsidRPr="00897576">
        <w:trPr>
          <w:cantSplit/>
        </w:trPr>
        <w:tc>
          <w:tcPr>
            <w:tcW w:w="2447"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Strategies for mitigating the negative effects of land speculation on private property development.</w:t>
            </w:r>
          </w:p>
        </w:tc>
        <w:tc>
          <w:tcPr>
            <w:tcW w:w="1024"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89.7500</w:t>
            </w:r>
          </w:p>
        </w:tc>
        <w:tc>
          <w:tcPr>
            <w:tcW w:w="1437"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2.98608</w:t>
            </w:r>
          </w:p>
        </w:tc>
        <w:tc>
          <w:tcPr>
            <w:tcW w:w="1468" w:type="dxa"/>
            <w:tcBorders>
              <w:top w:val="single" w:sz="8" w:space="0" w:color="AEAEAE"/>
              <w:left w:val="single" w:sz="8" w:space="0" w:color="E0E0E0"/>
              <w:bottom w:val="single" w:sz="8" w:space="0" w:color="152935"/>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1.49304</w:t>
            </w:r>
          </w:p>
        </w:tc>
      </w:tr>
    </w:tbl>
    <w:p w:rsidR="00FC42E0" w:rsidRPr="00897576" w:rsidRDefault="00897576" w:rsidP="00CB0771">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Source: </w:t>
      </w:r>
      <w:r w:rsidR="006E5C1E">
        <w:rPr>
          <w:rFonts w:ascii="Times New Roman" w:hAnsi="Times New Roman" w:cs="Times New Roman"/>
          <w:b/>
          <w:bCs/>
          <w:sz w:val="24"/>
          <w:szCs w:val="24"/>
        </w:rPr>
        <w:t>SPSS27 Output, 2025</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one-sample statistics for the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strategies for mitigating its negative effects provide insights into the perceived significance of these factors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For the drivers of land speculation, the mean score of 73.00 suggests a relatively high perceived importance of these drivers. The standard deviation of 8.76 indicates a moderate level of variability in respondents' opinions. This implies that while there is a general consensus on the importance of these drivers, there are varying degrees of emphasis among the respondents. The standard error mean of 4.38 indicates the precision of the mean estimate, providing a range within which the true population mean is likely to fall. Overall, the results suggest that there is a collective acknowledgment of the significance of the drivers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terms of the impact of land speculation </w:t>
      </w:r>
      <w:proofErr w:type="gramStart"/>
      <w:r w:rsidRPr="00897576">
        <w:rPr>
          <w:rFonts w:ascii="Times New Roman" w:hAnsi="Times New Roman" w:cs="Times New Roman"/>
          <w:sz w:val="24"/>
          <w:szCs w:val="24"/>
        </w:rPr>
        <w:t xml:space="preserve">on  </w:t>
      </w:r>
      <w:r w:rsidRPr="00897576">
        <w:rPr>
          <w:rFonts w:ascii="Times New Roman" w:hAnsi="Times New Roman" w:cs="Times New Roman"/>
          <w:sz w:val="24"/>
          <w:szCs w:val="24"/>
          <w:lang w:val="en-US"/>
        </w:rPr>
        <w:t>public</w:t>
      </w:r>
      <w:proofErr w:type="gram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property development, the mean score of 66.00 indicates a moderate perception of the impact. The relatively low standard deviation (4.08) suggests a more consistent opinion among respondents regarding the negative effects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standard error mean of 2.04 indicates a reasonable level of precision in estimating the true population mean. The </w:t>
      </w:r>
      <w:r w:rsidRPr="00897576">
        <w:rPr>
          <w:rFonts w:ascii="Times New Roman" w:hAnsi="Times New Roman" w:cs="Times New Roman"/>
          <w:sz w:val="24"/>
          <w:szCs w:val="24"/>
        </w:rPr>
        <w:lastRenderedPageBreak/>
        <w:t xml:space="preserve">results suggest that while there is recognition of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degree of concern may not be as pronounced as with the drivers of speculation.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Regarding strategies for mitigating the negative effects of land speculation, the high mean score of 89.75 suggests a strong consensus among respondents on the perceived effectiveness of these strategies. The low standard deviation (2.99) indicates minimal variability in opinions, emphasizing a shared belief in the efficacy of mitigation strategies. The standard error mean of 1.49 reflects a high level of precision in estimating the mean score. Overall, the results indicate a robust collective agreement on the importance of implementing effective strategies to mitigate the adverse effects of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4.3</w:t>
      </w:r>
      <w:r w:rsidRPr="00897576">
        <w:rPr>
          <w:rFonts w:ascii="Times New Roman" w:hAnsi="Times New Roman" w:cs="Times New Roman"/>
          <w:b/>
          <w:bCs/>
          <w:sz w:val="24"/>
          <w:szCs w:val="24"/>
        </w:rPr>
        <w:tab/>
        <w:t>Test of Hypotheses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results of the one-sample t-test conducted on the hypotheses related to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the effectiveness of strategies for mitigation are presented in Table 4.18. An assumed mean of 0 was used to test the hypotheses, with a critical table value of 2.92 at a 5% level of significance.</w:t>
      </w:r>
    </w:p>
    <w:p w:rsidR="004905A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For the first hypothesis, which posits that there is no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mean score of 73.00 is significantly higher than the assumed mean of 0 (t(3) = 4.43, p &lt; 0.05). Therefore, the null hypothesis is rejected, indicating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second hypothesis, asserting that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 is not significant, is also rejected. The mean score of 66.00 is significantly different from the assumed mean of 0 (</w:t>
      </w:r>
      <w:proofErr w:type="gramStart"/>
      <w:r w:rsidRPr="00897576">
        <w:rPr>
          <w:rFonts w:ascii="Times New Roman" w:hAnsi="Times New Roman" w:cs="Times New Roman"/>
          <w:sz w:val="24"/>
          <w:szCs w:val="24"/>
        </w:rPr>
        <w:t>t(</w:t>
      </w:r>
      <w:proofErr w:type="gramEnd"/>
      <w:r w:rsidRPr="00897576">
        <w:rPr>
          <w:rFonts w:ascii="Times New Roman" w:hAnsi="Times New Roman" w:cs="Times New Roman"/>
          <w:sz w:val="24"/>
          <w:szCs w:val="24"/>
        </w:rPr>
        <w:t xml:space="preserve">3) = 7.19, p &lt; 0.05). This suggests a statistically significant perception of the impact of land speculation on </w:t>
      </w:r>
      <w:proofErr w:type="gramStart"/>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 property</w:t>
      </w:r>
      <w:proofErr w:type="gramEnd"/>
      <w:r w:rsidRPr="00897576">
        <w:rPr>
          <w:rFonts w:ascii="Times New Roman" w:hAnsi="Times New Roman" w:cs="Times New Roman"/>
          <w:sz w:val="24"/>
          <w:szCs w:val="24"/>
        </w:rPr>
        <w:t xml:space="preserve"> development, contrary to the null hypothesis.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For the third hypothesis, which states that implementing strategies to mitigate land speculation does not have a significant effect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the mean score of 89.75 is significantly different from the assumed mean of 0 (t(3) = 60.31, p &lt; 0.05). Hence, the null hypothesis is rejected, indicating a substantial perceived effect of mitigation strategies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In summary, the results of the one-sample t-test provide strong evidence to reject all three null hypotheses. There is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 significant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a significant effect of implementing strategies to mitigate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4.4</w:t>
      </w:r>
      <w:r w:rsidRPr="00897576">
        <w:rPr>
          <w:rFonts w:ascii="Times New Roman" w:hAnsi="Times New Roman" w:cs="Times New Roman"/>
          <w:b/>
          <w:bCs/>
          <w:sz w:val="24"/>
          <w:szCs w:val="24"/>
        </w:rPr>
        <w:tab/>
        <w:t>Discussion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4.6 to 4.9 present the respondents' perceptions regarding factors influencing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Table 4.6 reveals that a substantial majority, with 67.3% either strongly agreeing or agreeing, believes that land scarcity and high demand are significant factors driving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indicates a consensus among respondents regarding the role of these factors in fuelling speculative activities. The findings align with existing literature, which often identifies scarcity as a key driver of land speculation (Smith, 2015).</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 4.7, it explores the respondents' views on economic incentives motivating individuals to engage in land speculation. A combined 73.1% of respondents either strongly agree or agree that economic incentives, such as the potential for high returns, drive land speculation. This underscores the economic motivations behind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need to address financial considerations when developing strategies to regulate land speculation (Rose,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4.8 delves into the respondents' perspectives on the role of clear land-use policies in influencing speculative behaviours. A significant majority, with 68.3% either strongly agreeing or agreeing, believes that the lack of clear land-use policies contributes to speculative behaviours. This finding emphasizes the importance of regulatory frameworks in shaping land-use patterns and curbing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(Yin,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4.9 explores the impact of infrastructural developments and government interventions on the increase in land speculation. A notable 77.9% of respondents either strongly agree or agree that such factors influence the rise in land speculation. This highlights the interconnectedness of infrastructure, governance, and speculative activities, suggesting that holistic approaches involving both public and private sectors are crucial in addressing the challenges posed by land speculation (</w:t>
      </w:r>
      <w:proofErr w:type="spellStart"/>
      <w:r w:rsidRPr="00897576">
        <w:rPr>
          <w:rFonts w:ascii="Times New Roman" w:hAnsi="Times New Roman" w:cs="Times New Roman"/>
          <w:sz w:val="24"/>
          <w:szCs w:val="24"/>
        </w:rPr>
        <w:t>Knaap</w:t>
      </w:r>
      <w:proofErr w:type="spellEnd"/>
      <w:r w:rsidRPr="00897576">
        <w:rPr>
          <w:rFonts w:ascii="Times New Roman" w:hAnsi="Times New Roman" w:cs="Times New Roman"/>
          <w:sz w:val="24"/>
          <w:szCs w:val="24"/>
        </w:rPr>
        <w:t xml:space="preserve"> et al.,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summary, the findings from Tables 4.6 to 4.9 provide valuable insights into</w:t>
      </w:r>
      <w:r w:rsidR="004905A2">
        <w:rPr>
          <w:rFonts w:ascii="Times New Roman" w:hAnsi="Times New Roman" w:cs="Times New Roman"/>
          <w:sz w:val="24"/>
          <w:szCs w:val="24"/>
        </w:rPr>
        <w:t xml:space="preserve"> the </w:t>
      </w:r>
      <w:r w:rsidRPr="00897576">
        <w:rPr>
          <w:rFonts w:ascii="Times New Roman" w:hAnsi="Times New Roman" w:cs="Times New Roman"/>
          <w:sz w:val="24"/>
          <w:szCs w:val="24"/>
        </w:rPr>
        <w:t xml:space="preserve">multifaceted nature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roles of economic incentives, regulatory frameworks, and infrastructure in shaping speculative </w:t>
      </w:r>
      <w:r w:rsidRPr="00897576">
        <w:rPr>
          <w:rFonts w:ascii="Times New Roman" w:hAnsi="Times New Roman" w:cs="Times New Roman"/>
          <w:sz w:val="24"/>
          <w:szCs w:val="24"/>
        </w:rPr>
        <w:lastRenderedPageBreak/>
        <w:t>behaviours. These insights can inform policy decisions aimed at mitigating the adverse effects of land speculation on the local community and its development.</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4.10 to 4.13 delve into respondents' perspectives on the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the potential measures to address these issues. Starting with Table 4.10, which explores the relationship between land speculation and housing affordability, 67.3% of respondents either strongly agree or agree that speculation negatively affects the affordability of housing in the area. This suggests a widespread recognition among respondents of the impact of speculative activities on the housing market, emphasizing the need for interventions to ensure housing affordability in the community.</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Moving to Table 4.11, which focuses on the delay and disruption of planned property development projects due to speculation, a s</w:t>
      </w:r>
      <w:r w:rsidR="004905A2">
        <w:rPr>
          <w:rFonts w:ascii="Times New Roman" w:hAnsi="Times New Roman" w:cs="Times New Roman"/>
          <w:sz w:val="24"/>
          <w:szCs w:val="24"/>
        </w:rPr>
        <w:t xml:space="preserve">ignificant 76.0% of respondents </w:t>
      </w:r>
      <w:r w:rsidRPr="00897576">
        <w:rPr>
          <w:rFonts w:ascii="Times New Roman" w:hAnsi="Times New Roman" w:cs="Times New Roman"/>
          <w:sz w:val="24"/>
          <w:szCs w:val="24"/>
        </w:rPr>
        <w:t xml:space="preserve">either strongly agree or agree. This underscores the disruptive influence of speculative practices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timelines, which can have broader implications for urban planning and community development efforts (Song &amp; Shao,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4.12 investigates respondents' perceptions of the compromise in the quality of property developments due to speculative practices. A combined 70.2% of respondents either strongly agree or agree that speculation compromises the quality of property developments. This finding signals </w:t>
      </w:r>
      <w:proofErr w:type="gramStart"/>
      <w:r w:rsidRPr="00897576">
        <w:rPr>
          <w:rFonts w:ascii="Times New Roman" w:hAnsi="Times New Roman" w:cs="Times New Roman"/>
          <w:sz w:val="24"/>
          <w:szCs w:val="24"/>
        </w:rPr>
        <w:t>concerns</w:t>
      </w:r>
      <w:proofErr w:type="gramEnd"/>
      <w:r w:rsidRPr="00897576">
        <w:rPr>
          <w:rFonts w:ascii="Times New Roman" w:hAnsi="Times New Roman" w:cs="Times New Roman"/>
          <w:sz w:val="24"/>
          <w:szCs w:val="24"/>
        </w:rPr>
        <w:t xml:space="preserve"> about the potential trade-offs between quantity and quality in property development in the context of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Finally, Table 4.13 explores the impact of speculation on the distribution of developed land within the community. A significant 72.1% of respondents either strongly agree or agree that speculation leads to an unequal distribution of developed land, affecting the overall landscape. This highlights the potential social and spatial implications of speculative activities, necessitating attention to issues of equity and community planning in the face of </w:t>
      </w:r>
      <w:r w:rsidR="004905A2" w:rsidRPr="00897576">
        <w:rPr>
          <w:rFonts w:ascii="Times New Roman" w:hAnsi="Times New Roman" w:cs="Times New Roman"/>
          <w:sz w:val="24"/>
          <w:szCs w:val="24"/>
        </w:rPr>
        <w:t>on</w:t>
      </w:r>
      <w:r w:rsidR="004905A2">
        <w:rPr>
          <w:rFonts w:ascii="Times New Roman" w:hAnsi="Times New Roman" w:cs="Times New Roman"/>
          <w:sz w:val="24"/>
          <w:szCs w:val="24"/>
        </w:rPr>
        <w:t>-</w:t>
      </w:r>
      <w:r w:rsidR="004905A2" w:rsidRPr="00897576">
        <w:rPr>
          <w:rFonts w:ascii="Times New Roman" w:hAnsi="Times New Roman" w:cs="Times New Roman"/>
          <w:sz w:val="24"/>
          <w:szCs w:val="24"/>
        </w:rPr>
        <w:t>going</w:t>
      </w:r>
      <w:r w:rsidRPr="00897576">
        <w:rPr>
          <w:rFonts w:ascii="Times New Roman" w:hAnsi="Times New Roman" w:cs="Times New Roman"/>
          <w:sz w:val="24"/>
          <w:szCs w:val="24"/>
        </w:rPr>
        <w:t xml:space="preserve"> development (</w:t>
      </w:r>
      <w:proofErr w:type="spellStart"/>
      <w:r w:rsidRPr="00897576">
        <w:rPr>
          <w:rFonts w:ascii="Times New Roman" w:hAnsi="Times New Roman" w:cs="Times New Roman"/>
          <w:sz w:val="24"/>
          <w:szCs w:val="24"/>
        </w:rPr>
        <w:t>Xie</w:t>
      </w:r>
      <w:proofErr w:type="spellEnd"/>
      <w:r w:rsidRPr="00897576">
        <w:rPr>
          <w:rFonts w:ascii="Times New Roman" w:hAnsi="Times New Roman" w:cs="Times New Roman"/>
          <w:sz w:val="24"/>
          <w:szCs w:val="24"/>
        </w:rPr>
        <w:t xml:space="preserve"> et al.,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4.10 to 4.13 shed light on the perceived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4905A2">
        <w:rPr>
          <w:rFonts w:ascii="Times New Roman" w:hAnsi="Times New Roman" w:cs="Times New Roman"/>
          <w:sz w:val="24"/>
          <w:szCs w:val="24"/>
        </w:rPr>
        <w:t xml:space="preserve"> emphasizing challenges related </w:t>
      </w:r>
      <w:r w:rsidRPr="00897576">
        <w:rPr>
          <w:rFonts w:ascii="Times New Roman" w:hAnsi="Times New Roman" w:cs="Times New Roman"/>
          <w:sz w:val="24"/>
          <w:szCs w:val="24"/>
        </w:rPr>
        <w:t>to housing affordability, project delays, compromised quality, and unequal distribution of developed land. Addressing these issues requires comprehensive strategies that balance economic interests with community well-being and sustainable development goals.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Turning to Tables 4.14 to 4.17, these tables explore respondents' opinions on potential strategies to address land speculation and its associated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Beginning with Table 4.14, which investigates the effectiveness of implementing clear and enforceable land-use policies in reducing speculation, 84.6% of respondents either </w:t>
      </w:r>
      <w:r w:rsidRPr="00897576">
        <w:rPr>
          <w:rFonts w:ascii="Times New Roman" w:hAnsi="Times New Roman" w:cs="Times New Roman"/>
          <w:sz w:val="24"/>
          <w:szCs w:val="24"/>
        </w:rPr>
        <w:lastRenderedPageBreak/>
        <w:t>strongly agree or agree with this strategy. This indicates a strong consensus among participants regarding the importance of regulatory measures in curbing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on to Table 4.15, which assesses the potential of community-based land management to mitigate the adverse effects of speculation, 78.8% of respondents either strongly agree or agree. This suggests </w:t>
      </w:r>
      <w:proofErr w:type="gramStart"/>
      <w:r w:rsidRPr="00897576">
        <w:rPr>
          <w:rFonts w:ascii="Times New Roman" w:hAnsi="Times New Roman" w:cs="Times New Roman"/>
          <w:sz w:val="24"/>
          <w:szCs w:val="24"/>
        </w:rPr>
        <w:t>a recognition</w:t>
      </w:r>
      <w:proofErr w:type="gramEnd"/>
      <w:r w:rsidRPr="00897576">
        <w:rPr>
          <w:rFonts w:ascii="Times New Roman" w:hAnsi="Times New Roman" w:cs="Times New Roman"/>
          <w:sz w:val="24"/>
          <w:szCs w:val="24"/>
        </w:rPr>
        <w:t xml:space="preserve"> of the role that community involvement and local governance can play in promoting sustainable land practices.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 4.16 explores the idea of taxing speculative transactions as a means to discourage speculative activities and fund community development. The majority of respondents, 79.8%, either strongly agree or agree with this strategy. This aligns with the notion that economic incentives, such as taxation, can be leveraged to influence behaviour and contribute to community welfare.</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4.17 examines the possibility of establishing partnerships between the government and the private sector to promote sustainable and inclusive property development. A substantial 81.7% of respondents either strongly agree or agree with this strategy. This indicates a broad acknowledgment of the potential benefits of collaborative efforts between public and private entities in driving positive change.</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4.14 to 4.17 suggest that respondents view regulatory measures, community involvement, taxation, and public-private partnerships as viable strategies to address land speculation and promote sustainable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Implementing a combination of these strategies could form a holistic approach to mitigating the adverse effects of speculation while fostering inclusive and responsible property development.</w:t>
      </w:r>
    </w:p>
    <w:p w:rsidR="00690C1C" w:rsidRDefault="00690C1C">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FIVE</w:t>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SUMMARY OF FINDINGS, CONCLUSION AND RECOMMENDATIONS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5.1</w:t>
      </w:r>
      <w:r w:rsidRPr="00897576">
        <w:rPr>
          <w:rFonts w:ascii="Times New Roman" w:hAnsi="Times New Roman" w:cs="Times New Roman"/>
          <w:b/>
          <w:bCs/>
          <w:sz w:val="24"/>
          <w:szCs w:val="24"/>
        </w:rPr>
        <w:tab/>
        <w:t>Summary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findings of this study, rooted in a comprehensive exploration of land speculation dynamics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 nuanced insights into the complex interplay of factors influencing property development. The study employed a quantitative survey research design, collecting data from 120 respondents through a structured questionnaire, analysed using SPSS27. The key objectives were to understand the drivers of land speculation, assess i</w:t>
      </w:r>
      <w:r w:rsidR="004905A2">
        <w:rPr>
          <w:rFonts w:ascii="Times New Roman" w:hAnsi="Times New Roman" w:cs="Times New Roman"/>
          <w:sz w:val="24"/>
          <w:szCs w:val="24"/>
        </w:rPr>
        <w:t xml:space="preserve">ts impact on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and explore strategies to mitigate its adverse effects.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4.6 to 4.9 shed light on the respondents' perspectives regarding the factors influencing land speculation. The majority of respondents acknowledged the significance of both economic incentives and the lack of clear land-use policies in driving speculative behaviours. Economic motivations, such as potential high returns, were deemed substantial drivers, as indicated by 67.3% of respondents either strongly agreeing or agreeing. Furthermore, 88.5% of respondents acknowledged that unclear land-use policies contribute significantly to speculative practices.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underscore the importance of aligning economic policies and regulatory frameworks to deter speculative activities. The data suggests a need for policymakers to craft transparent land-use policies that provide clear guidelines for property development, reducing ambiguity and deterring speculative practices. Additionally, addressing economic incentives, such as through taxation, could help steer investment towards more sustainable and community-focused endeavours.</w:t>
      </w:r>
    </w:p>
    <w:p w:rsidR="002B30D5"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Tables 4.10 to 4.13, which explore the perceived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majority of respondents expressed concerns about the negative consequences of speculative activities. A significant proportion, 67.3%, strongly agreed or agreed that land speculation negatively affects the affordability of housing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finding is crucial, indicating that speculative practices may be contributing to housing market challenges, potentially excluding certain segments of the population from affordable housing opportunities.</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Tables 4.12 and 4.13 reveal that respondents believe speculation compromises the quality of property developments and leads to an unequal distribution of developed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Overwhelmingly, 70.2% strongly agreed or agreed that speculative activities contribute to the delay and disruption of planned property </w:t>
      </w:r>
      <w:r w:rsidRPr="00897576">
        <w:rPr>
          <w:rFonts w:ascii="Times New Roman" w:hAnsi="Times New Roman" w:cs="Times New Roman"/>
          <w:sz w:val="24"/>
          <w:szCs w:val="24"/>
        </w:rPr>
        <w:lastRenderedPageBreak/>
        <w:t>development projects, and 72.1% expressed concerns about the compromised quality of property developments due to speculation.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highlight the multifaceted impact of land speculation on the local property market, affecting not only affordability but also the overall quality and distribution of developed land. Policymakers and urban planners should consider these implications when formulating strategies to promote sustainable property development and ensure that the benefits are accessible to a broader spectrum of the community.</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4.14 to 4.17 delve into potential strategies for mitigating the negative effects of land speculation, providing crucial insights into the preferences and attitudes of respondents. A clear consensus emerges regarding the effectiveness of specific measures: implementing clear and enforceable land-use policies, community-based land management, taxing speculative transactions, and establishing partnerships between the government and the private sector.</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majority of respondents, ranging from 78.8% to 84.6%, expressed strong agreement or agreement with these proposed strategies. These findings underscore the importance of a holistic and collaborative approach to address land speculation. Regulatory measures, community engagement, economic incentives, and public-private partnerships can collectively contribute to a more sustainable and inclusive property development landscape.</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study's findings contribute valuable perspectives to the discourse on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acknowledgment of economic drivers, the impact on housing affordability and quality, and the endorsement of specific mitigation strategies provide a foundation for informed policymaking and urban planning. Policymakers and stakeholders can leverage these insights to formulate targeted interventions that promote responsible and inclusive property development while addressing the challenges posed by land speculation in the study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5.2</w:t>
      </w:r>
      <w:r w:rsidRPr="00897576">
        <w:rPr>
          <w:rFonts w:ascii="Times New Roman" w:hAnsi="Times New Roman" w:cs="Times New Roman"/>
          <w:b/>
          <w:bCs/>
          <w:sz w:val="24"/>
          <w:szCs w:val="24"/>
        </w:rPr>
        <w:tab/>
        <w:t>Conclusion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conclusion, the hypotheses tested in this study, aimed at understanding the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assessing the significance of land speculation's impact, and exploring the effectiveness of mitigation strategies, have yielded valuable insights. The findings overwhelmingly support the rejection of the null hypotheses, indicating that there is indeed a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the impact of land speculation o</w:t>
      </w:r>
      <w:r w:rsidRPr="00897576">
        <w:rPr>
          <w:rFonts w:ascii="Times New Roman" w:hAnsi="Times New Roman" w:cs="Times New Roman"/>
          <w:sz w:val="24"/>
          <w:szCs w:val="24"/>
          <w:lang w:val="en-US"/>
        </w:rPr>
        <w:t>n public</w:t>
      </w:r>
      <w:r w:rsidRPr="00897576">
        <w:rPr>
          <w:rFonts w:ascii="Times New Roman" w:hAnsi="Times New Roman" w:cs="Times New Roman"/>
          <w:sz w:val="24"/>
          <w:szCs w:val="24"/>
        </w:rPr>
        <w:t xml:space="preserve"> property development is substantial, and implementing strategies to mitigate land speculation significantly affects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These results underline the intricate dynamics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economic incentives, unclear land-use policies, and speculative activities intertwine to shape the local property development landscape. The study further emphasizes the urgency of adopting effective measures to regulate speculative behaviours, enhance housing affordability, and ensure the sustainability and inclusivity of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initiatives. Policymakers and urban planners can leverage these findings to tailor interventions that address the unique challenges posed by land speculation in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fostering a more equitable and resilient local property market.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5.3</w:t>
      </w:r>
      <w:r w:rsidRPr="00897576">
        <w:rPr>
          <w:rFonts w:ascii="Times New Roman" w:hAnsi="Times New Roman" w:cs="Times New Roman"/>
          <w:b/>
          <w:bCs/>
          <w:sz w:val="24"/>
          <w:szCs w:val="24"/>
        </w:rPr>
        <w:tab/>
        <w:t>Recommendations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following recommendations were proposed for this study: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Strengthen Land-Use Policies: Given the identified impact of unclear land-use policies on speculative behaviors, there is a critical need to review and strengthen existing policies. Clear, enforceable regulations should be established to guide property development, curb land speculation, and ensure sustainable urban growth.</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Community-Based Land Management: Encouraging community involvement in land management can foster a sense of responsibility and ownership. Local residents should actively participate in decision-making processes related to public property development, ensuring that developments align with community needs and aspirations.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Taxation on Speculative Transactions: To discourage speculative activities and fund community development, implementing taxes on speculative transactions is recommended. This can serve as both a deterrent for speculation and a means to generate revenue for local development initiatives.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Partnerships for Sustainable Development: Establishing collaborative partnerships between the government and the private sector is crucial. Such partnerships can promote sustainable and inclusive property development by combining resources, expertise, and a shared commitment to community welfare.</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Clear Communication Strategies: The study highlights the role of communication in shaping public perception and influencing land-related behaviors. Governments and stakeholders should employ clear and effective communication strategies to educate the public about the consequences of land speculation and the benefits of sustainable property development.</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Regular Review of Policies: In the dynamic landscape of urban development, policies should be subject to regular review and updates. This ensures that they remain </w:t>
      </w:r>
      <w:r w:rsidRPr="00897576">
        <w:rPr>
          <w:rFonts w:ascii="Times New Roman" w:hAnsi="Times New Roman" w:cs="Times New Roman"/>
          <w:sz w:val="24"/>
          <w:szCs w:val="24"/>
        </w:rPr>
        <w:lastRenderedPageBreak/>
        <w:t>relevant, responsive to emerging challenges, and aligned with the evolving needs of the community.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Incentives for Affordable Housing: Governments can introduce incentives for developers who prioritize affordable housing projects. This can include tax breaks, grants, or other financial incentives to encourage the construction of housing that meets the needs of a diverse population.</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Capacity Building for Urban Planners: Enhancing the capacity of urban planners and relevant stakeholders is crucial for effective land management. Training programs, workshops, and continuous professional development opportunities can ensure that those responsible for shaping urban landscapes are well-equipped to address the complexities of property development and speculation.</w:t>
      </w: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2B30D5" w:rsidRDefault="00897576" w:rsidP="002B30D5">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References</w:t>
      </w:r>
    </w:p>
    <w:p w:rsidR="00FC42E0" w:rsidRPr="00897576" w:rsidRDefault="00897576" w:rsidP="002B30D5">
      <w:pPr>
        <w:spacing w:after="0" w:line="276" w:lineRule="auto"/>
        <w:ind w:left="720" w:hanging="72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Abuja Geographic Information </w:t>
      </w:r>
      <w:r w:rsidR="002B30D5">
        <w:rPr>
          <w:rFonts w:ascii="Times New Roman" w:hAnsi="Times New Roman" w:cs="Times New Roman"/>
          <w:sz w:val="24"/>
          <w:szCs w:val="24"/>
        </w:rPr>
        <w:t>Service.</w:t>
      </w:r>
      <w:proofErr w:type="gramEnd"/>
      <w:r w:rsidR="002B30D5">
        <w:rPr>
          <w:rFonts w:ascii="Times New Roman" w:hAnsi="Times New Roman" w:cs="Times New Roman"/>
          <w:sz w:val="24"/>
          <w:szCs w:val="24"/>
        </w:rPr>
        <w:t xml:space="preserve"> (2017). Retrieved from</w:t>
      </w:r>
      <w:hyperlink r:id="rId8" w:tgtFrame="_new" w:history="1">
        <w:r w:rsidRPr="00897576">
          <w:rPr>
            <w:rFonts w:ascii="Times New Roman" w:hAnsi="Times New Roman" w:cs="Times New Roman"/>
            <w:sz w:val="24"/>
            <w:szCs w:val="24"/>
          </w:rPr>
          <w:t>http://www.abujagis.com/faq.htm</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A. O.,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D.,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A. (2017).</w:t>
      </w:r>
      <w:proofErr w:type="gramEnd"/>
      <w:r w:rsidRPr="00897576">
        <w:rPr>
          <w:rFonts w:ascii="Times New Roman" w:hAnsi="Times New Roman" w:cs="Times New Roman"/>
          <w:sz w:val="24"/>
          <w:szCs w:val="24"/>
        </w:rPr>
        <w:t xml:space="preserve"> Understanding property market operations from a dual institutional perspective: The case of Lagos, Nigeria.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68, 89–96.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Alonso, W. (2018).</w:t>
      </w:r>
      <w:proofErr w:type="gramEnd"/>
      <w:r w:rsidRPr="00897576">
        <w:rPr>
          <w:rFonts w:ascii="Times New Roman" w:hAnsi="Times New Roman" w:cs="Times New Roman"/>
          <w:sz w:val="24"/>
          <w:szCs w:val="24"/>
        </w:rPr>
        <w:t xml:space="preserve"> The historic and the structural theories of urban form: Their implications for urban renewal.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40(2), 227–231.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Anderson, V., </w:t>
      </w:r>
      <w:proofErr w:type="spellStart"/>
      <w:r w:rsidRPr="00897576">
        <w:rPr>
          <w:rFonts w:ascii="Times New Roman" w:hAnsi="Times New Roman" w:cs="Times New Roman"/>
          <w:sz w:val="24"/>
          <w:szCs w:val="24"/>
        </w:rPr>
        <w:t>Fontinha</w:t>
      </w:r>
      <w:proofErr w:type="spellEnd"/>
      <w:r w:rsidRPr="00897576">
        <w:rPr>
          <w:rFonts w:ascii="Times New Roman" w:hAnsi="Times New Roman" w:cs="Times New Roman"/>
          <w:sz w:val="24"/>
          <w:szCs w:val="24"/>
        </w:rPr>
        <w:t>, R., &amp; Robson, F.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Methods in Human Resource Management: Investigating a Business Issue</w:t>
      </w:r>
      <w:r w:rsidRPr="00897576">
        <w:rPr>
          <w:rFonts w:ascii="Times New Roman" w:hAnsi="Times New Roman" w:cs="Times New Roman"/>
          <w:sz w:val="24"/>
          <w:szCs w:val="24"/>
        </w:rPr>
        <w:t xml:space="preserve">. (4th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London: CIPD. Chapter 5: Planning the research process.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S., Nguyen, D. K., &amp;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G. S. (2021). </w:t>
      </w:r>
      <w:proofErr w:type="gramStart"/>
      <w:r w:rsidRPr="00897576">
        <w:rPr>
          <w:rFonts w:ascii="Times New Roman" w:hAnsi="Times New Roman" w:cs="Times New Roman"/>
          <w:sz w:val="24"/>
          <w:szCs w:val="24"/>
        </w:rPr>
        <w:t>Impact of speculation and economic uncertainty on commodity markets.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International Review of Financial Analysis</w:t>
      </w:r>
      <w:r w:rsidRPr="00897576">
        <w:rPr>
          <w:rFonts w:ascii="Times New Roman" w:hAnsi="Times New Roman" w:cs="Times New Roman"/>
          <w:sz w:val="24"/>
          <w:szCs w:val="24"/>
        </w:rPr>
        <w:t>, 100(7), 1–17.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J. A.,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D. O.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agricultural production among peasants in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12, 31–46.</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Beiske</w:t>
      </w:r>
      <w:proofErr w:type="spellEnd"/>
      <w:r w:rsidRPr="00897576">
        <w:rPr>
          <w:rFonts w:ascii="Times New Roman" w:hAnsi="Times New Roman" w:cs="Times New Roman"/>
          <w:sz w:val="24"/>
          <w:szCs w:val="24"/>
        </w:rPr>
        <w:t xml:space="preserve">, B. (2017). </w:t>
      </w:r>
      <w:proofErr w:type="gramStart"/>
      <w:r w:rsidRPr="00897576">
        <w:rPr>
          <w:rFonts w:ascii="Times New Roman" w:hAnsi="Times New Roman" w:cs="Times New Roman"/>
          <w:i/>
          <w:iCs/>
          <w:sz w:val="24"/>
          <w:szCs w:val="24"/>
        </w:rPr>
        <w:t>Research Methods: Uses and Limitations of questionnaires, interviews and case studies.</w:t>
      </w:r>
      <w:proofErr w:type="gramEnd"/>
      <w:r w:rsidRPr="00897576">
        <w:rPr>
          <w:rFonts w:ascii="Times New Roman" w:hAnsi="Times New Roman" w:cs="Times New Roman"/>
          <w:sz w:val="24"/>
          <w:szCs w:val="24"/>
        </w:rPr>
        <w:t xml:space="preserve"> GRIN </w:t>
      </w:r>
      <w:proofErr w:type="spellStart"/>
      <w:r w:rsidRPr="00897576">
        <w:rPr>
          <w:rFonts w:ascii="Times New Roman" w:hAnsi="Times New Roman" w:cs="Times New Roman"/>
          <w:sz w:val="24"/>
          <w:szCs w:val="24"/>
        </w:rPr>
        <w:t>Verlag</w:t>
      </w:r>
      <w:proofErr w:type="spellEnd"/>
      <w:r w:rsidRPr="00897576">
        <w:rPr>
          <w:rFonts w:ascii="Times New Roman" w:hAnsi="Times New Roman" w:cs="Times New Roman"/>
          <w:sz w:val="24"/>
          <w:szCs w:val="24"/>
        </w:rPr>
        <w: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Bell, E., </w:t>
      </w:r>
      <w:proofErr w:type="spellStart"/>
      <w:r w:rsidRPr="00897576">
        <w:rPr>
          <w:rFonts w:ascii="Times New Roman" w:hAnsi="Times New Roman" w:cs="Times New Roman"/>
          <w:sz w:val="24"/>
          <w:szCs w:val="24"/>
        </w:rPr>
        <w:t>Bryman</w:t>
      </w:r>
      <w:proofErr w:type="spellEnd"/>
      <w:r w:rsidRPr="00897576">
        <w:rPr>
          <w:rFonts w:ascii="Times New Roman" w:hAnsi="Times New Roman" w:cs="Times New Roman"/>
          <w:sz w:val="24"/>
          <w:szCs w:val="24"/>
        </w:rPr>
        <w:t>, A., &amp; Harley, B.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Business Research Methods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Oxford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Brown, H. G.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9" w:tgtFrame="_new" w:history="1">
        <w:r w:rsidRPr="00897576">
          <w:rPr>
            <w:rFonts w:ascii="Times New Roman" w:hAnsi="Times New Roman" w:cs="Times New Roman"/>
            <w:sz w:val="24"/>
            <w:szCs w:val="24"/>
          </w:rPr>
          <w:t>http://www.wealthandwant.com/themes/Speculation.html</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Burgess, E. (2019). The growth of the city: An introduction to a research project. In R. E. Park (Ed.), </w:t>
      </w:r>
      <w:proofErr w:type="gramStart"/>
      <w:r w:rsidRPr="00897576">
        <w:rPr>
          <w:rFonts w:ascii="Times New Roman" w:hAnsi="Times New Roman" w:cs="Times New Roman"/>
          <w:sz w:val="24"/>
          <w:szCs w:val="24"/>
        </w:rPr>
        <w:t>The</w:t>
      </w:r>
      <w:proofErr w:type="gramEnd"/>
      <w:r w:rsidRPr="00897576">
        <w:rPr>
          <w:rFonts w:ascii="Times New Roman" w:hAnsi="Times New Roman" w:cs="Times New Roman"/>
          <w:sz w:val="24"/>
          <w:szCs w:val="24"/>
        </w:rPr>
        <w:t xml:space="preserve"> city (pp. 47–62). Chicago, IL: The University of Chicago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Chang, V., Newman, R., Walters, R. J., &amp; Wills, G. B. (2022).</w:t>
      </w:r>
      <w:proofErr w:type="gramEnd"/>
      <w:r w:rsidRPr="00897576">
        <w:rPr>
          <w:rFonts w:ascii="Times New Roman" w:hAnsi="Times New Roman" w:cs="Times New Roman"/>
          <w:sz w:val="24"/>
          <w:szCs w:val="24"/>
        </w:rPr>
        <w:t xml:space="preserve"> Review of economic bubbles. </w:t>
      </w:r>
      <w:r w:rsidRPr="00897576">
        <w:rPr>
          <w:rFonts w:ascii="Times New Roman" w:hAnsi="Times New Roman" w:cs="Times New Roman"/>
          <w:i/>
          <w:iCs/>
          <w:sz w:val="24"/>
          <w:szCs w:val="24"/>
        </w:rPr>
        <w:t>International Journal of Information Management</w:t>
      </w:r>
      <w:r w:rsidRPr="00897576">
        <w:rPr>
          <w:rFonts w:ascii="Times New Roman" w:hAnsi="Times New Roman" w:cs="Times New Roman"/>
          <w:sz w:val="24"/>
          <w:szCs w:val="24"/>
        </w:rPr>
        <w:t>, 36, 497–506.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K. (2016). </w:t>
      </w:r>
      <w:r w:rsidRPr="00897576">
        <w:rPr>
          <w:rFonts w:ascii="Times New Roman" w:hAnsi="Times New Roman" w:cs="Times New Roman"/>
          <w:i/>
          <w:iCs/>
          <w:sz w:val="24"/>
          <w:szCs w:val="24"/>
        </w:rPr>
        <w:t>Constructing Grounded Theory: A Practical Guide through Qualitative Analysis</w:t>
      </w:r>
      <w:r w:rsidRPr="00897576">
        <w:rPr>
          <w:rFonts w:ascii="Times New Roman" w:hAnsi="Times New Roman" w:cs="Times New Roman"/>
          <w:sz w:val="24"/>
          <w:szCs w:val="24"/>
        </w:rPr>
        <w:t>. London: Sage Publications.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Clawson, M. (2020).</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Urban Sprawl and Speculation in Suburban Land.</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38(2), 99–111.</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Colin, J. (2021). </w:t>
      </w:r>
      <w:proofErr w:type="gramStart"/>
      <w:r w:rsidRPr="00897576">
        <w:rPr>
          <w:rFonts w:ascii="Times New Roman" w:hAnsi="Times New Roman" w:cs="Times New Roman"/>
          <w:sz w:val="24"/>
          <w:szCs w:val="24"/>
        </w:rPr>
        <w:t>Securing rural land transactions in Africa.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An Ivorian perspective.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31, 430–440.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Cotula</w:t>
      </w:r>
      <w:proofErr w:type="spellEnd"/>
      <w:r w:rsidRPr="00897576">
        <w:rPr>
          <w:rFonts w:ascii="Times New Roman" w:hAnsi="Times New Roman" w:cs="Times New Roman"/>
          <w:sz w:val="24"/>
          <w:szCs w:val="24"/>
        </w:rPr>
        <w:t>, L. (2022).</w:t>
      </w:r>
      <w:proofErr w:type="gramEnd"/>
      <w:r w:rsidRPr="00897576">
        <w:rPr>
          <w:rFonts w:ascii="Times New Roman" w:hAnsi="Times New Roman" w:cs="Times New Roman"/>
          <w:sz w:val="24"/>
          <w:szCs w:val="24"/>
        </w:rPr>
        <w:t xml:space="preserve"> The international political economy of the global land rush: A critical appraisal of trends, scale, geography and drivers. </w:t>
      </w:r>
      <w:r w:rsidRPr="00897576">
        <w:rPr>
          <w:rFonts w:ascii="Times New Roman" w:hAnsi="Times New Roman" w:cs="Times New Roman"/>
          <w:i/>
          <w:iCs/>
          <w:sz w:val="24"/>
          <w:szCs w:val="24"/>
        </w:rPr>
        <w:t>Journal of Peasant Studies</w:t>
      </w:r>
      <w:r w:rsidRPr="00897576">
        <w:rPr>
          <w:rFonts w:ascii="Times New Roman" w:hAnsi="Times New Roman" w:cs="Times New Roman"/>
          <w:sz w:val="24"/>
          <w:szCs w:val="24"/>
        </w:rPr>
        <w:t>, 39(3–4), 649–680.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Creswell, J. W., &amp; Creswell, J. D.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design: Qualitative, quantitative, and mixed method approaches</w:t>
      </w:r>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Dimuna</w:t>
      </w:r>
      <w:proofErr w:type="spellEnd"/>
      <w:r w:rsidRPr="00897576">
        <w:rPr>
          <w:rFonts w:ascii="Times New Roman" w:hAnsi="Times New Roman" w:cs="Times New Roman"/>
          <w:sz w:val="24"/>
          <w:szCs w:val="24"/>
        </w:rPr>
        <w:t xml:space="preserve">, K. O. (2022). Enhancing land acquisition for individual housing development in Nigeria: A case study of Benin metropolis Edo State, Nigeria. </w:t>
      </w:r>
      <w:r w:rsidRPr="00897576">
        <w:rPr>
          <w:rFonts w:ascii="Times New Roman" w:hAnsi="Times New Roman" w:cs="Times New Roman"/>
          <w:i/>
          <w:iCs/>
          <w:sz w:val="24"/>
          <w:szCs w:val="24"/>
        </w:rPr>
        <w:t>International Journal of Research and Innovation in Applied Science</w:t>
      </w:r>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w:t>
      </w:r>
      <w:proofErr w:type="gramEnd"/>
      <w:r w:rsidRPr="00897576">
        <w:rPr>
          <w:rFonts w:ascii="Times New Roman" w:hAnsi="Times New Roman" w:cs="Times New Roman"/>
          <w:sz w:val="24"/>
          <w:szCs w:val="24"/>
        </w:rPr>
        <w:t>7), 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Ding, C., &amp; Zhao, X. (2022). </w:t>
      </w:r>
      <w:proofErr w:type="gramStart"/>
      <w:r w:rsidRPr="00897576">
        <w:rPr>
          <w:rFonts w:ascii="Times New Roman" w:hAnsi="Times New Roman" w:cs="Times New Roman"/>
          <w:sz w:val="24"/>
          <w:szCs w:val="24"/>
        </w:rPr>
        <w:t>Land market, land development and urban spatial structure in Beijing.</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40, 83–90.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Easterby</w:t>
      </w:r>
      <w:proofErr w:type="spellEnd"/>
      <w:r w:rsidRPr="00897576">
        <w:rPr>
          <w:rFonts w:ascii="Times New Roman" w:hAnsi="Times New Roman" w:cs="Times New Roman"/>
          <w:sz w:val="24"/>
          <w:szCs w:val="24"/>
        </w:rPr>
        <w:t>-Smith, M., Thorpe, R., &amp; Jackson, P. R.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Management and Business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Eisenhardt</w:t>
      </w:r>
      <w:proofErr w:type="spellEnd"/>
      <w:r w:rsidRPr="00897576">
        <w:rPr>
          <w:rFonts w:ascii="Times New Roman" w:hAnsi="Times New Roman" w:cs="Times New Roman"/>
          <w:sz w:val="24"/>
          <w:szCs w:val="24"/>
        </w:rPr>
        <w:t xml:space="preserve">, K. M. (2015). Building Theories </w:t>
      </w:r>
      <w:proofErr w:type="gramStart"/>
      <w:r w:rsidRPr="00897576">
        <w:rPr>
          <w:rFonts w:ascii="Times New Roman" w:hAnsi="Times New Roman" w:cs="Times New Roman"/>
          <w:sz w:val="24"/>
          <w:szCs w:val="24"/>
        </w:rPr>
        <w:t>From</w:t>
      </w:r>
      <w:proofErr w:type="gramEnd"/>
      <w:r w:rsidRPr="00897576">
        <w:rPr>
          <w:rFonts w:ascii="Times New Roman" w:hAnsi="Times New Roman" w:cs="Times New Roman"/>
          <w:sz w:val="24"/>
          <w:szCs w:val="24"/>
        </w:rPr>
        <w:t xml:space="preserve"> Case Study Research. </w:t>
      </w:r>
      <w:r w:rsidRPr="00897576">
        <w:rPr>
          <w:rFonts w:ascii="Times New Roman" w:hAnsi="Times New Roman" w:cs="Times New Roman"/>
          <w:i/>
          <w:iCs/>
          <w:sz w:val="24"/>
          <w:szCs w:val="24"/>
        </w:rPr>
        <w:t>Academy Of Management Review</w:t>
      </w:r>
      <w:r w:rsidRPr="00897576">
        <w:rPr>
          <w:rFonts w:ascii="Times New Roman" w:hAnsi="Times New Roman" w:cs="Times New Roman"/>
          <w:sz w:val="24"/>
          <w:szCs w:val="24"/>
        </w:rPr>
        <w:t>, 14(4), 532-550.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Ezenagu</w:t>
      </w:r>
      <w:proofErr w:type="spellEnd"/>
      <w:r w:rsidRPr="00897576">
        <w:rPr>
          <w:rFonts w:ascii="Times New Roman" w:hAnsi="Times New Roman" w:cs="Times New Roman"/>
          <w:sz w:val="24"/>
          <w:szCs w:val="24"/>
        </w:rPr>
        <w:t>, V.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 xml:space="preserve">Fundamentals of housing: </w:t>
      </w:r>
      <w:proofErr w:type="spellStart"/>
      <w:r w:rsidRPr="00897576">
        <w:rPr>
          <w:rFonts w:ascii="Times New Roman" w:hAnsi="Times New Roman" w:cs="Times New Roman"/>
          <w:i/>
          <w:iCs/>
          <w:sz w:val="24"/>
          <w:szCs w:val="24"/>
        </w:rPr>
        <w:t>Anambra</w:t>
      </w:r>
      <w:proofErr w:type="spellEnd"/>
      <w:r w:rsidRPr="00897576">
        <w:rPr>
          <w:rFonts w:ascii="Times New Roman" w:hAnsi="Times New Roman" w:cs="Times New Roman"/>
          <w:i/>
          <w:iCs/>
          <w:sz w:val="24"/>
          <w:szCs w:val="24"/>
        </w:rPr>
        <w:t xml:space="preserve"> state</w:t>
      </w:r>
      <w:r w:rsidRPr="00897576">
        <w:rPr>
          <w:rFonts w:ascii="Times New Roman" w:hAnsi="Times New Roman" w:cs="Times New Roman"/>
          <w:sz w:val="24"/>
          <w:szCs w:val="24"/>
        </w:rPr>
        <w:t>. Nigeria: Fountain Publishers.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Goddard, W., &amp; Melville, S. (2020). </w:t>
      </w:r>
      <w:r w:rsidRPr="00897576">
        <w:rPr>
          <w:rFonts w:ascii="Times New Roman" w:hAnsi="Times New Roman" w:cs="Times New Roman"/>
          <w:i/>
          <w:iCs/>
          <w:sz w:val="24"/>
          <w:szCs w:val="24"/>
        </w:rPr>
        <w:t>Research Methodology: An Introduction</w:t>
      </w:r>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Blackwell Publishing.</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Golland</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Boelhouwer</w:t>
      </w:r>
      <w:proofErr w:type="spellEnd"/>
      <w:r w:rsidRPr="00897576">
        <w:rPr>
          <w:rFonts w:ascii="Times New Roman" w:hAnsi="Times New Roman" w:cs="Times New Roman"/>
          <w:sz w:val="24"/>
          <w:szCs w:val="24"/>
        </w:rPr>
        <w:t>, P. (2022).</w:t>
      </w:r>
      <w:proofErr w:type="gramEnd"/>
      <w:r w:rsidRPr="00897576">
        <w:rPr>
          <w:rFonts w:ascii="Times New Roman" w:hAnsi="Times New Roman" w:cs="Times New Roman"/>
          <w:sz w:val="24"/>
          <w:szCs w:val="24"/>
        </w:rPr>
        <w:t xml:space="preserve"> Speculative housing supply land and housing, markets: A comparison. </w:t>
      </w:r>
      <w:r w:rsidRPr="00897576">
        <w:rPr>
          <w:rFonts w:ascii="Times New Roman" w:hAnsi="Times New Roman" w:cs="Times New Roman"/>
          <w:i/>
          <w:iCs/>
          <w:sz w:val="24"/>
          <w:szCs w:val="24"/>
        </w:rPr>
        <w:t>Journal of Property Research</w:t>
      </w:r>
      <w:r w:rsidRPr="00897576">
        <w:rPr>
          <w:rFonts w:ascii="Times New Roman" w:hAnsi="Times New Roman" w:cs="Times New Roman"/>
          <w:sz w:val="24"/>
          <w:szCs w:val="24"/>
        </w:rPr>
        <w:t>, 19(3), 231–251.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(Chapter 11: Designing Case Studies).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Gugushvili</w:t>
      </w:r>
      <w:proofErr w:type="spellEnd"/>
      <w:r w:rsidRPr="00897576">
        <w:rPr>
          <w:rFonts w:ascii="Times New Roman" w:hAnsi="Times New Roman" w:cs="Times New Roman"/>
          <w:sz w:val="24"/>
          <w:szCs w:val="24"/>
        </w:rPr>
        <w:t xml:space="preserve">, A. (2020). Money can’t buy me land: Foreign land ownership regime and public opinion in a transition society.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55, 142–153.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Holtslag-Broekhof</w:t>
      </w:r>
      <w:proofErr w:type="spellEnd"/>
      <w:r w:rsidRPr="00897576">
        <w:rPr>
          <w:rFonts w:ascii="Times New Roman" w:hAnsi="Times New Roman" w:cs="Times New Roman"/>
          <w:sz w:val="24"/>
          <w:szCs w:val="24"/>
        </w:rPr>
        <w:t xml:space="preserve">, S. M., </w:t>
      </w:r>
      <w:proofErr w:type="spellStart"/>
      <w:r w:rsidRPr="00897576">
        <w:rPr>
          <w:rFonts w:ascii="Times New Roman" w:hAnsi="Times New Roman" w:cs="Times New Roman"/>
          <w:sz w:val="24"/>
          <w:szCs w:val="24"/>
        </w:rPr>
        <w:t>Beunen</w:t>
      </w:r>
      <w:proofErr w:type="spellEnd"/>
      <w:r w:rsidRPr="00897576">
        <w:rPr>
          <w:rFonts w:ascii="Times New Roman" w:hAnsi="Times New Roman" w:cs="Times New Roman"/>
          <w:sz w:val="24"/>
          <w:szCs w:val="24"/>
        </w:rPr>
        <w:t>, R., van-</w:t>
      </w:r>
      <w:proofErr w:type="spellStart"/>
      <w:r w:rsidRPr="00897576">
        <w:rPr>
          <w:rFonts w:ascii="Times New Roman" w:hAnsi="Times New Roman" w:cs="Times New Roman"/>
          <w:sz w:val="24"/>
          <w:szCs w:val="24"/>
        </w:rPr>
        <w:t>Marwijk</w:t>
      </w:r>
      <w:proofErr w:type="spellEnd"/>
      <w:r w:rsidRPr="00897576">
        <w:rPr>
          <w:rFonts w:ascii="Times New Roman" w:hAnsi="Times New Roman" w:cs="Times New Roman"/>
          <w:sz w:val="24"/>
          <w:szCs w:val="24"/>
        </w:rPr>
        <w:t xml:space="preserve">, R., &amp; </w:t>
      </w:r>
      <w:proofErr w:type="spellStart"/>
      <w:r w:rsidRPr="00897576">
        <w:rPr>
          <w:rFonts w:ascii="Times New Roman" w:hAnsi="Times New Roman" w:cs="Times New Roman"/>
          <w:sz w:val="24"/>
          <w:szCs w:val="24"/>
        </w:rPr>
        <w:t>Wiskerke</w:t>
      </w:r>
      <w:proofErr w:type="spellEnd"/>
      <w:r w:rsidRPr="00897576">
        <w:rPr>
          <w:rFonts w:ascii="Times New Roman" w:hAnsi="Times New Roman" w:cs="Times New Roman"/>
          <w:sz w:val="24"/>
          <w:szCs w:val="24"/>
        </w:rPr>
        <w:t>, J. S. C. (2022).</w:t>
      </w:r>
      <w:proofErr w:type="gramEnd"/>
      <w:r w:rsidRPr="00897576">
        <w:rPr>
          <w:rFonts w:ascii="Times New Roman" w:hAnsi="Times New Roman" w:cs="Times New Roman"/>
          <w:sz w:val="24"/>
          <w:szCs w:val="24"/>
        </w:rPr>
        <w:t xml:space="preserve"> “Let’s try to get the best out of it” understanding land transactions during land use change.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41, 561–570.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Hoyt, H. (2019). </w:t>
      </w:r>
      <w:proofErr w:type="gramStart"/>
      <w:r w:rsidRPr="00897576">
        <w:rPr>
          <w:rFonts w:ascii="Times New Roman" w:hAnsi="Times New Roman" w:cs="Times New Roman"/>
          <w:sz w:val="24"/>
          <w:szCs w:val="24"/>
        </w:rPr>
        <w:t>Structure and growth of residential neighbourhoods in American cities.</w:t>
      </w:r>
      <w:proofErr w:type="gramEnd"/>
      <w:r w:rsidRPr="00897576">
        <w:rPr>
          <w:rFonts w:ascii="Times New Roman" w:hAnsi="Times New Roman" w:cs="Times New Roman"/>
          <w:sz w:val="24"/>
          <w:szCs w:val="24"/>
        </w:rPr>
        <w:t xml:space="preserve"> Washington, DC: Federal Housing Administration.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IMF.</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(2021). International monetary fund report.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Jonas, A. E. G., &amp; Wilson, D. (2019).</w:t>
      </w:r>
      <w:proofErr w:type="gramEnd"/>
      <w:r w:rsidRPr="00897576">
        <w:rPr>
          <w:rFonts w:ascii="Times New Roman" w:hAnsi="Times New Roman" w:cs="Times New Roman"/>
          <w:sz w:val="24"/>
          <w:szCs w:val="24"/>
        </w:rPr>
        <w:t xml:space="preserve"> The city as a growth machine: Critical reflections two decades later (p. 312). </w:t>
      </w:r>
      <w:proofErr w:type="gramStart"/>
      <w:r w:rsidRPr="00897576">
        <w:rPr>
          <w:rFonts w:ascii="Times New Roman" w:hAnsi="Times New Roman" w:cs="Times New Roman"/>
          <w:sz w:val="24"/>
          <w:szCs w:val="24"/>
        </w:rPr>
        <w:t>SUNY series in Urban Public Policy.</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Joseph, L., &amp; </w:t>
      </w:r>
      <w:proofErr w:type="spellStart"/>
      <w:r w:rsidRPr="00897576">
        <w:rPr>
          <w:rFonts w:ascii="Times New Roman" w:hAnsi="Times New Roman" w:cs="Times New Roman"/>
          <w:sz w:val="24"/>
          <w:szCs w:val="24"/>
        </w:rPr>
        <w:t>Belisle</w:t>
      </w:r>
      <w:proofErr w:type="spellEnd"/>
      <w:r w:rsidRPr="00897576">
        <w:rPr>
          <w:rFonts w:ascii="Times New Roman" w:hAnsi="Times New Roman" w:cs="Times New Roman"/>
          <w:sz w:val="24"/>
          <w:szCs w:val="24"/>
        </w:rPr>
        <w:t>, P. (2021).</w:t>
      </w:r>
      <w:proofErr w:type="gramEnd"/>
      <w:r w:rsidRPr="00897576">
        <w:rPr>
          <w:rFonts w:ascii="Times New Roman" w:hAnsi="Times New Roman" w:cs="Times New Roman"/>
          <w:sz w:val="24"/>
          <w:szCs w:val="24"/>
        </w:rPr>
        <w:t xml:space="preserve"> Bayesian sample size determination for case-control studies when exposure may be misclassified. </w:t>
      </w:r>
      <w:r w:rsidRPr="00897576">
        <w:rPr>
          <w:rFonts w:ascii="Times New Roman" w:hAnsi="Times New Roman" w:cs="Times New Roman"/>
          <w:i/>
          <w:iCs/>
          <w:sz w:val="24"/>
          <w:szCs w:val="24"/>
        </w:rPr>
        <w:t>The American Journal of Epidemiology</w:t>
      </w:r>
      <w:r w:rsidRPr="00897576">
        <w:rPr>
          <w:rFonts w:ascii="Times New Roman" w:hAnsi="Times New Roman" w:cs="Times New Roman"/>
          <w:sz w:val="24"/>
          <w:szCs w:val="24"/>
        </w:rPr>
        <w:t>, 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Joshua, P. B., </w:t>
      </w:r>
      <w:proofErr w:type="spellStart"/>
      <w:r w:rsidRPr="00897576">
        <w:rPr>
          <w:rFonts w:ascii="Times New Roman" w:hAnsi="Times New Roman" w:cs="Times New Roman"/>
          <w:sz w:val="24"/>
          <w:szCs w:val="24"/>
        </w:rPr>
        <w:t>Glanda</w:t>
      </w:r>
      <w:proofErr w:type="spellEnd"/>
      <w:r w:rsidRPr="00897576">
        <w:rPr>
          <w:rFonts w:ascii="Times New Roman" w:hAnsi="Times New Roman" w:cs="Times New Roman"/>
          <w:sz w:val="24"/>
          <w:szCs w:val="24"/>
        </w:rPr>
        <w:t xml:space="preserve">, G. G., &amp; </w:t>
      </w:r>
      <w:proofErr w:type="spellStart"/>
      <w:r w:rsidRPr="00897576">
        <w:rPr>
          <w:rFonts w:ascii="Times New Roman" w:hAnsi="Times New Roman" w:cs="Times New Roman"/>
          <w:sz w:val="24"/>
          <w:szCs w:val="24"/>
        </w:rPr>
        <w:t>Ilesanmi</w:t>
      </w:r>
      <w:proofErr w:type="spellEnd"/>
      <w:r w:rsidRPr="00897576">
        <w:rPr>
          <w:rFonts w:ascii="Times New Roman" w:hAnsi="Times New Roman" w:cs="Times New Roman"/>
          <w:sz w:val="24"/>
          <w:szCs w:val="24"/>
        </w:rPr>
        <w:t>, F. A.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urban planning and development in </w:t>
      </w:r>
      <w:proofErr w:type="spellStart"/>
      <w:r w:rsidRPr="00897576">
        <w:rPr>
          <w:rFonts w:ascii="Times New Roman" w:hAnsi="Times New Roman" w:cs="Times New Roman"/>
          <w:sz w:val="24"/>
          <w:szCs w:val="24"/>
        </w:rPr>
        <w:t>Bajabure</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Girei</w:t>
      </w:r>
      <w:proofErr w:type="spellEnd"/>
      <w:r w:rsidRPr="00897576">
        <w:rPr>
          <w:rFonts w:ascii="Times New Roman" w:hAnsi="Times New Roman" w:cs="Times New Roman"/>
          <w:sz w:val="24"/>
          <w:szCs w:val="24"/>
        </w:rPr>
        <w:t xml:space="preserve"> Local Government, Adamawa State.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Environmental and Earth Science</w:t>
      </w:r>
      <w:r w:rsidRPr="00897576">
        <w:rPr>
          <w:rFonts w:ascii="Times New Roman" w:hAnsi="Times New Roman" w:cs="Times New Roman"/>
          <w:sz w:val="24"/>
          <w:szCs w:val="24"/>
        </w:rPr>
        <w:t>, 6(4), 128–133.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Knittel</w:t>
      </w:r>
      <w:proofErr w:type="spellEnd"/>
      <w:r w:rsidRPr="00897576">
        <w:rPr>
          <w:rFonts w:ascii="Times New Roman" w:hAnsi="Times New Roman" w:cs="Times New Roman"/>
          <w:sz w:val="24"/>
          <w:szCs w:val="24"/>
        </w:rPr>
        <w:t xml:space="preserve">, C. R., &amp; </w:t>
      </w:r>
      <w:proofErr w:type="spellStart"/>
      <w:r w:rsidRPr="00897576">
        <w:rPr>
          <w:rFonts w:ascii="Times New Roman" w:hAnsi="Times New Roman" w:cs="Times New Roman"/>
          <w:sz w:val="24"/>
          <w:szCs w:val="24"/>
        </w:rPr>
        <w:t>Pindyck</w:t>
      </w:r>
      <w:proofErr w:type="spellEnd"/>
      <w:r w:rsidRPr="00897576">
        <w:rPr>
          <w:rFonts w:ascii="Times New Roman" w:hAnsi="Times New Roman" w:cs="Times New Roman"/>
          <w:sz w:val="24"/>
          <w:szCs w:val="24"/>
        </w:rPr>
        <w:t>, R. S. (2021).</w:t>
      </w:r>
      <w:proofErr w:type="gramEnd"/>
      <w:r w:rsidRPr="00897576">
        <w:rPr>
          <w:rFonts w:ascii="Times New Roman" w:hAnsi="Times New Roman" w:cs="Times New Roman"/>
          <w:sz w:val="24"/>
          <w:szCs w:val="24"/>
        </w:rPr>
        <w:t xml:space="preserve"> The simple economics of commodity price speculation. </w:t>
      </w:r>
      <w:r w:rsidRPr="00897576">
        <w:rPr>
          <w:rFonts w:ascii="Times New Roman" w:hAnsi="Times New Roman" w:cs="Times New Roman"/>
          <w:i/>
          <w:iCs/>
          <w:sz w:val="24"/>
          <w:szCs w:val="24"/>
        </w:rPr>
        <w:t xml:space="preserve">National Bureau of Economic Research (NBER), </w:t>
      </w:r>
      <w:proofErr w:type="gramStart"/>
      <w:r w:rsidRPr="00897576">
        <w:rPr>
          <w:rFonts w:ascii="Times New Roman" w:hAnsi="Times New Roman" w:cs="Times New Roman"/>
          <w:i/>
          <w:iCs/>
          <w:sz w:val="24"/>
          <w:szCs w:val="24"/>
        </w:rPr>
        <w:t>Working</w:t>
      </w:r>
      <w:proofErr w:type="gramEnd"/>
      <w:r w:rsidRPr="00897576">
        <w:rPr>
          <w:rFonts w:ascii="Times New Roman" w:hAnsi="Times New Roman" w:cs="Times New Roman"/>
          <w:i/>
          <w:iCs/>
          <w:sz w:val="24"/>
          <w:szCs w:val="24"/>
        </w:rPr>
        <w:t xml:space="preserve"> paper series</w:t>
      </w:r>
      <w:r w:rsidRPr="00897576">
        <w:rPr>
          <w:rFonts w:ascii="Times New Roman" w:hAnsi="Times New Roman" w:cs="Times New Roman"/>
          <w:sz w:val="24"/>
          <w:szCs w:val="24"/>
        </w:rPr>
        <w:t>, 18951, 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Kombe</w:t>
      </w:r>
      <w:proofErr w:type="spellEnd"/>
      <w:r w:rsidRPr="00897576">
        <w:rPr>
          <w:rFonts w:ascii="Times New Roman" w:hAnsi="Times New Roman" w:cs="Times New Roman"/>
          <w:sz w:val="24"/>
          <w:szCs w:val="24"/>
        </w:rPr>
        <w:t xml:space="preserve">, W. J. (2021). Land use dynamics in </w:t>
      </w:r>
      <w:proofErr w:type="spellStart"/>
      <w:r w:rsidRPr="00897576">
        <w:rPr>
          <w:rFonts w:ascii="Times New Roman" w:hAnsi="Times New Roman" w:cs="Times New Roman"/>
          <w:sz w:val="24"/>
          <w:szCs w:val="24"/>
        </w:rPr>
        <w:t>peri</w:t>
      </w:r>
      <w:proofErr w:type="spellEnd"/>
      <w:r w:rsidRPr="00897576">
        <w:rPr>
          <w:rFonts w:ascii="Times New Roman" w:hAnsi="Times New Roman" w:cs="Times New Roman"/>
          <w:sz w:val="24"/>
          <w:szCs w:val="24"/>
        </w:rPr>
        <w:t xml:space="preserve">-urban area and their implications on the urban growth and form: The case of Dar </w:t>
      </w:r>
      <w:proofErr w:type="spellStart"/>
      <w:r w:rsidRPr="00897576">
        <w:rPr>
          <w:rFonts w:ascii="Times New Roman" w:hAnsi="Times New Roman" w:cs="Times New Roman"/>
          <w:sz w:val="24"/>
          <w:szCs w:val="24"/>
        </w:rPr>
        <w:t>es</w:t>
      </w:r>
      <w:proofErr w:type="spellEnd"/>
      <w:r w:rsidRPr="00897576">
        <w:rPr>
          <w:rFonts w:ascii="Times New Roman" w:hAnsi="Times New Roman" w:cs="Times New Roman"/>
          <w:sz w:val="24"/>
          <w:szCs w:val="24"/>
        </w:rPr>
        <w:t xml:space="preserve"> Salaam, Tanzania.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29(1), 113–135.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Krejcie</w:t>
      </w:r>
      <w:proofErr w:type="spellEnd"/>
      <w:r w:rsidRPr="00897576">
        <w:rPr>
          <w:rFonts w:ascii="Times New Roman" w:hAnsi="Times New Roman" w:cs="Times New Roman"/>
          <w:sz w:val="24"/>
          <w:szCs w:val="24"/>
        </w:rPr>
        <w:t xml:space="preserve">, R. V., &amp; Morgan, D. W. (2020). </w:t>
      </w:r>
      <w:proofErr w:type="gramStart"/>
      <w:r w:rsidRPr="00897576">
        <w:rPr>
          <w:rFonts w:ascii="Times New Roman" w:hAnsi="Times New Roman" w:cs="Times New Roman"/>
          <w:sz w:val="24"/>
          <w:szCs w:val="24"/>
        </w:rPr>
        <w:t>Determining sample size for research activities.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Educational and Psychological Measurement</w:t>
      </w:r>
      <w:r w:rsidRPr="00897576">
        <w:rPr>
          <w:rFonts w:ascii="Times New Roman" w:hAnsi="Times New Roman" w:cs="Times New Roman"/>
          <w:sz w:val="24"/>
          <w:szCs w:val="24"/>
        </w:rPr>
        <w:t>, 30, 607–610.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Lagos living: Solving Nigeria’s megacity housing crisis. Retrieved September 21, 2017, from http:// </w:t>
      </w:r>
      <w:hyperlink r:id="rId10" w:tgtFrame="_new" w:history="1">
        <w:r w:rsidRPr="00897576">
          <w:rPr>
            <w:rFonts w:ascii="Times New Roman" w:hAnsi="Times New Roman" w:cs="Times New Roman"/>
            <w:sz w:val="24"/>
            <w:szCs w:val="24"/>
          </w:rPr>
          <w:t>www.bbc.com/news/world-africa-38688796</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Lawanson</w:t>
      </w:r>
      <w:proofErr w:type="spellEnd"/>
      <w:r w:rsidRPr="00897576">
        <w:rPr>
          <w:rFonts w:ascii="Times New Roman" w:hAnsi="Times New Roman" w:cs="Times New Roman"/>
          <w:sz w:val="24"/>
          <w:szCs w:val="24"/>
        </w:rPr>
        <w:t xml:space="preserve">, T., </w:t>
      </w:r>
      <w:proofErr w:type="spellStart"/>
      <w:r w:rsidRPr="00897576">
        <w:rPr>
          <w:rFonts w:ascii="Times New Roman" w:hAnsi="Times New Roman" w:cs="Times New Roman"/>
          <w:sz w:val="24"/>
          <w:szCs w:val="24"/>
        </w:rPr>
        <w:t>Yadua</w:t>
      </w:r>
      <w:proofErr w:type="spellEnd"/>
      <w:r w:rsidRPr="00897576">
        <w:rPr>
          <w:rFonts w:ascii="Times New Roman" w:hAnsi="Times New Roman" w:cs="Times New Roman"/>
          <w:sz w:val="24"/>
          <w:szCs w:val="24"/>
        </w:rPr>
        <w:t xml:space="preserve">, O., &amp; </w:t>
      </w:r>
      <w:proofErr w:type="spellStart"/>
      <w:r w:rsidRPr="00897576">
        <w:rPr>
          <w:rFonts w:ascii="Times New Roman" w:hAnsi="Times New Roman" w:cs="Times New Roman"/>
          <w:sz w:val="24"/>
          <w:szCs w:val="24"/>
        </w:rPr>
        <w:t>Salako</w:t>
      </w:r>
      <w:proofErr w:type="spellEnd"/>
      <w:r w:rsidRPr="00897576">
        <w:rPr>
          <w:rFonts w:ascii="Times New Roman" w:hAnsi="Times New Roman" w:cs="Times New Roman"/>
          <w:sz w:val="24"/>
          <w:szCs w:val="24"/>
        </w:rPr>
        <w:t>, I.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Investigation of urban-rural linkages of the Lagos megacity.</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Journal of Construction, Project Management and Innovation.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University of Johannesburg, South Africa</w:t>
      </w:r>
      <w:r w:rsidRPr="00897576">
        <w:rPr>
          <w:rFonts w:ascii="Times New Roman" w:hAnsi="Times New Roman" w:cs="Times New Roman"/>
          <w:sz w:val="24"/>
          <w:szCs w:val="24"/>
        </w:rPr>
        <w:t>, 2(2), 461–481.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Logan, J. R., &amp;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H. (2019).</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Urban fortunes: The political economy of place</w:t>
      </w:r>
      <w:r w:rsidRPr="00897576">
        <w:rPr>
          <w:rFonts w:ascii="Times New Roman" w:hAnsi="Times New Roman" w:cs="Times New Roman"/>
          <w:sz w:val="24"/>
          <w:szCs w:val="24"/>
        </w:rPr>
        <w:t>. Berkeley: University of California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Malpezzi</w:t>
      </w:r>
      <w:proofErr w:type="spellEnd"/>
      <w:r w:rsidRPr="00897576">
        <w:rPr>
          <w:rFonts w:ascii="Times New Roman" w:hAnsi="Times New Roman" w:cs="Times New Roman"/>
          <w:sz w:val="24"/>
          <w:szCs w:val="24"/>
        </w:rPr>
        <w:t xml:space="preserve">, S., &amp; </w:t>
      </w:r>
      <w:proofErr w:type="spellStart"/>
      <w:r w:rsidRPr="00897576">
        <w:rPr>
          <w:rFonts w:ascii="Times New Roman" w:hAnsi="Times New Roman" w:cs="Times New Roman"/>
          <w:sz w:val="24"/>
          <w:szCs w:val="24"/>
        </w:rPr>
        <w:t>Wachter</w:t>
      </w:r>
      <w:proofErr w:type="spellEnd"/>
      <w:r w:rsidRPr="00897576">
        <w:rPr>
          <w:rFonts w:ascii="Times New Roman" w:hAnsi="Times New Roman" w:cs="Times New Roman"/>
          <w:sz w:val="24"/>
          <w:szCs w:val="24"/>
        </w:rPr>
        <w:t>, S.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role of speculation in real estate cycles.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Research report of the Centre for Urban Land Economics.</w:t>
      </w:r>
      <w:proofErr w:type="gramEnd"/>
      <w:r w:rsidRPr="00897576">
        <w:rPr>
          <w:rFonts w:ascii="Times New Roman" w:hAnsi="Times New Roman" w:cs="Times New Roman"/>
          <w:sz w:val="24"/>
          <w:szCs w:val="24"/>
        </w:rPr>
        <w:t xml:space="preserve"> Madison: Research School of Business, University of Wisconsin.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Maruani</w:t>
      </w:r>
      <w:proofErr w:type="spellEnd"/>
      <w:r w:rsidRPr="00897576">
        <w:rPr>
          <w:rFonts w:ascii="Times New Roman" w:hAnsi="Times New Roman" w:cs="Times New Roman"/>
          <w:sz w:val="24"/>
          <w:szCs w:val="24"/>
        </w:rPr>
        <w:t xml:space="preserve">, T., &amp; </w:t>
      </w:r>
      <w:proofErr w:type="spellStart"/>
      <w:r w:rsidRPr="00897576">
        <w:rPr>
          <w:rFonts w:ascii="Times New Roman" w:hAnsi="Times New Roman" w:cs="Times New Roman"/>
          <w:sz w:val="24"/>
          <w:szCs w:val="24"/>
        </w:rPr>
        <w:t>Amit</w:t>
      </w:r>
      <w:proofErr w:type="spellEnd"/>
      <w:r w:rsidRPr="00897576">
        <w:rPr>
          <w:rFonts w:ascii="Times New Roman" w:hAnsi="Times New Roman" w:cs="Times New Roman"/>
          <w:sz w:val="24"/>
          <w:szCs w:val="24"/>
        </w:rPr>
        <w:t>-Cohen, I. (2021).</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Characteristics of developers and their relations to open space conservation.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28, 887–897.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Masum</w:t>
      </w:r>
      <w:proofErr w:type="spellEnd"/>
      <w:r w:rsidRPr="00897576">
        <w:rPr>
          <w:rFonts w:ascii="Times New Roman" w:hAnsi="Times New Roman" w:cs="Times New Roman"/>
          <w:sz w:val="24"/>
          <w:szCs w:val="24"/>
        </w:rPr>
        <w:t>, F. (2009).</w:t>
      </w:r>
      <w:proofErr w:type="gramEnd"/>
      <w:r w:rsidRPr="00897576">
        <w:rPr>
          <w:rFonts w:ascii="Times New Roman" w:hAnsi="Times New Roman" w:cs="Times New Roman"/>
          <w:sz w:val="24"/>
          <w:szCs w:val="24"/>
        </w:rPr>
        <w:t xml:space="preserve"> Actors and processes behind urban fringe development: Mechanism to guide urban land management. Study on Dhaka, Bangladesh (An unpublished PhD thesis). University of </w:t>
      </w:r>
      <w:proofErr w:type="spellStart"/>
      <w:r w:rsidRPr="00897576">
        <w:rPr>
          <w:rFonts w:ascii="Times New Roman" w:hAnsi="Times New Roman" w:cs="Times New Roman"/>
          <w:sz w:val="24"/>
          <w:szCs w:val="24"/>
        </w:rPr>
        <w:t>Munchen</w:t>
      </w:r>
      <w:proofErr w:type="spellEnd"/>
      <w:r w:rsidRPr="00897576">
        <w:rPr>
          <w:rFonts w:ascii="Times New Roman" w:hAnsi="Times New Roman" w:cs="Times New Roman"/>
          <w:sz w:val="24"/>
          <w:szCs w:val="24"/>
        </w:rPr>
        <w:t>, Germany.</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Melesse</w:t>
      </w:r>
      <w:proofErr w:type="spellEnd"/>
      <w:r w:rsidRPr="00897576">
        <w:rPr>
          <w:rFonts w:ascii="Times New Roman" w:hAnsi="Times New Roman" w:cs="Times New Roman"/>
          <w:sz w:val="24"/>
          <w:szCs w:val="24"/>
        </w:rPr>
        <w:t>, M. (2021).</w:t>
      </w:r>
      <w:proofErr w:type="gramEnd"/>
      <w:r w:rsidRPr="00897576">
        <w:rPr>
          <w:rFonts w:ascii="Times New Roman" w:hAnsi="Times New Roman" w:cs="Times New Roman"/>
          <w:sz w:val="24"/>
          <w:szCs w:val="24"/>
        </w:rPr>
        <w:t xml:space="preserve"> City expansion, squatter settlements and policy implementations in Addis Ababa: The case of </w:t>
      </w:r>
      <w:proofErr w:type="spellStart"/>
      <w:r w:rsidRPr="00897576">
        <w:rPr>
          <w:rFonts w:ascii="Times New Roman" w:hAnsi="Times New Roman" w:cs="Times New Roman"/>
          <w:sz w:val="24"/>
          <w:szCs w:val="24"/>
        </w:rPr>
        <w:t>KolfeKeranio</w:t>
      </w:r>
      <w:proofErr w:type="spellEnd"/>
      <w:r w:rsidRPr="00897576">
        <w:rPr>
          <w:rFonts w:ascii="Times New Roman" w:hAnsi="Times New Roman" w:cs="Times New Roman"/>
          <w:sz w:val="24"/>
          <w:szCs w:val="24"/>
        </w:rPr>
        <w:t xml:space="preserve"> sub-city. </w:t>
      </w:r>
      <w:proofErr w:type="gramStart"/>
      <w:r w:rsidRPr="00897576">
        <w:rPr>
          <w:rFonts w:ascii="Times New Roman" w:hAnsi="Times New Roman" w:cs="Times New Roman"/>
          <w:sz w:val="24"/>
          <w:szCs w:val="24"/>
        </w:rPr>
        <w:t>Working paper on population and land use change in central Ethiopia, Series A. No. 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MERCER.</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(2016). Western European cities – Top quality of living ranking.</w:t>
      </w:r>
      <w:proofErr w:type="gramEnd"/>
      <w:r w:rsidRPr="00897576">
        <w:rPr>
          <w:rFonts w:ascii="Times New Roman" w:hAnsi="Times New Roman" w:cs="Times New Roman"/>
          <w:sz w:val="24"/>
          <w:szCs w:val="24"/>
        </w:rPr>
        <w:t xml:space="preserve"> London: Author.</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Messerli</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Giger</w:t>
      </w:r>
      <w:proofErr w:type="spellEnd"/>
      <w:r w:rsidRPr="00897576">
        <w:rPr>
          <w:rFonts w:ascii="Times New Roman" w:hAnsi="Times New Roman" w:cs="Times New Roman"/>
          <w:sz w:val="24"/>
          <w:szCs w:val="24"/>
        </w:rPr>
        <w:t xml:space="preserve">, M., Dwyer, M. B., </w:t>
      </w:r>
      <w:proofErr w:type="spellStart"/>
      <w:r w:rsidRPr="00897576">
        <w:rPr>
          <w:rFonts w:ascii="Times New Roman" w:hAnsi="Times New Roman" w:cs="Times New Roman"/>
          <w:sz w:val="24"/>
          <w:szCs w:val="24"/>
        </w:rPr>
        <w:t>Breu</w:t>
      </w:r>
      <w:proofErr w:type="spellEnd"/>
      <w:r w:rsidRPr="00897576">
        <w:rPr>
          <w:rFonts w:ascii="Times New Roman" w:hAnsi="Times New Roman" w:cs="Times New Roman"/>
          <w:sz w:val="24"/>
          <w:szCs w:val="24"/>
        </w:rPr>
        <w:t>, T., &amp; Eckert, S. (2014).</w:t>
      </w:r>
      <w:proofErr w:type="gramEnd"/>
      <w:r w:rsidRPr="00897576">
        <w:rPr>
          <w:rFonts w:ascii="Times New Roman" w:hAnsi="Times New Roman" w:cs="Times New Roman"/>
          <w:sz w:val="24"/>
          <w:szCs w:val="24"/>
        </w:rPr>
        <w:t xml:space="preserve"> The geography of large-scale land acquisitions: Analysing socio-ecological patterns of target contexts in the global South.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53, 449–459.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Mohamed, R. (2006). </w:t>
      </w:r>
      <w:proofErr w:type="gramStart"/>
      <w:r w:rsidRPr="00897576">
        <w:rPr>
          <w:rFonts w:ascii="Times New Roman" w:hAnsi="Times New Roman" w:cs="Times New Roman"/>
          <w:sz w:val="24"/>
          <w:szCs w:val="24"/>
        </w:rPr>
        <w:t>The psychology of residential developers.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Lessons from behavioural economics and additional explanations for satisfying.</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Journal of Planning Education and Research</w:t>
      </w:r>
      <w:r w:rsidRPr="00897576">
        <w:rPr>
          <w:rFonts w:ascii="Times New Roman" w:hAnsi="Times New Roman" w:cs="Times New Roman"/>
          <w:sz w:val="24"/>
          <w:szCs w:val="24"/>
        </w:rPr>
        <w:t>, 26, 28–37.</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H. (1976). The city as a growth machine: Towards a political economy of place. </w:t>
      </w:r>
      <w:r w:rsidRPr="00897576">
        <w:rPr>
          <w:rFonts w:ascii="Times New Roman" w:hAnsi="Times New Roman" w:cs="Times New Roman"/>
          <w:i/>
          <w:iCs/>
          <w:sz w:val="24"/>
          <w:szCs w:val="24"/>
        </w:rPr>
        <w:t>American Journal of Sociology</w:t>
      </w:r>
      <w:r w:rsidRPr="00897576">
        <w:rPr>
          <w:rFonts w:ascii="Times New Roman" w:hAnsi="Times New Roman" w:cs="Times New Roman"/>
          <w:sz w:val="24"/>
          <w:szCs w:val="24"/>
        </w:rPr>
        <w:t>, 82, 309–332.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Monkkonen</w:t>
      </w:r>
      <w:proofErr w:type="spellEnd"/>
      <w:r w:rsidRPr="00897576">
        <w:rPr>
          <w:rFonts w:ascii="Times New Roman" w:hAnsi="Times New Roman" w:cs="Times New Roman"/>
          <w:sz w:val="24"/>
          <w:szCs w:val="24"/>
        </w:rPr>
        <w:t xml:space="preserve">, P. (2013). Urban land-use regulations and housing markets in developing countries: Evidence from Indonesia on the importance of enforcement.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34, 255–264.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Morshed</w:t>
      </w:r>
      <w:proofErr w:type="spellEnd"/>
      <w:r w:rsidRPr="00897576">
        <w:rPr>
          <w:rFonts w:ascii="Times New Roman" w:hAnsi="Times New Roman" w:cs="Times New Roman"/>
          <w:sz w:val="24"/>
          <w:szCs w:val="24"/>
        </w:rPr>
        <w:t xml:space="preserve">, M. M., &amp; </w:t>
      </w:r>
      <w:proofErr w:type="spellStart"/>
      <w:r w:rsidRPr="00897576">
        <w:rPr>
          <w:rFonts w:ascii="Times New Roman" w:hAnsi="Times New Roman" w:cs="Times New Roman"/>
          <w:sz w:val="24"/>
          <w:szCs w:val="24"/>
        </w:rPr>
        <w:t>Asami</w:t>
      </w:r>
      <w:proofErr w:type="spellEnd"/>
      <w:r w:rsidRPr="00897576">
        <w:rPr>
          <w:rFonts w:ascii="Times New Roman" w:hAnsi="Times New Roman" w:cs="Times New Roman"/>
          <w:sz w:val="24"/>
          <w:szCs w:val="24"/>
        </w:rPr>
        <w:t>, Y. (2014).</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illegality of private subdivisions and access to land for housing by the urban poor in Dhaka.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44, 386–393.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Motoro</w:t>
      </w:r>
      <w:proofErr w:type="spellEnd"/>
      <w:r w:rsidRPr="00897576">
        <w:rPr>
          <w:rFonts w:ascii="Times New Roman" w:hAnsi="Times New Roman" w:cs="Times New Roman"/>
          <w:sz w:val="24"/>
          <w:szCs w:val="24"/>
        </w:rPr>
        <w:t xml:space="preserve">, P. (2016, December). A comparative analysis of residential property rental markets in informal settlements and formal areas of </w:t>
      </w:r>
      <w:proofErr w:type="spellStart"/>
      <w:r w:rsidRPr="00897576">
        <w:rPr>
          <w:rFonts w:ascii="Times New Roman" w:hAnsi="Times New Roman" w:cs="Times New Roman"/>
          <w:sz w:val="24"/>
          <w:szCs w:val="24"/>
        </w:rPr>
        <w:t>Lae</w:t>
      </w:r>
      <w:proofErr w:type="spellEnd"/>
      <w:r w:rsidRPr="00897576">
        <w:rPr>
          <w:rFonts w:ascii="Times New Roman" w:hAnsi="Times New Roman" w:cs="Times New Roman"/>
          <w:sz w:val="24"/>
          <w:szCs w:val="24"/>
        </w:rPr>
        <w:t xml:space="preserve"> and Port Moresby (A Thesis submitted in partial fulfilment of the requirements for the Degree of Master of Philosophy (MPhil) in Property Studies).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Nesheim</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Reidsma</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Bezlepkina</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Verburg</w:t>
      </w:r>
      <w:proofErr w:type="spellEnd"/>
      <w:r w:rsidRPr="00897576">
        <w:rPr>
          <w:rFonts w:ascii="Times New Roman" w:hAnsi="Times New Roman" w:cs="Times New Roman"/>
          <w:sz w:val="24"/>
          <w:szCs w:val="24"/>
        </w:rPr>
        <w:t xml:space="preserve">, R., </w:t>
      </w:r>
      <w:proofErr w:type="spellStart"/>
      <w:r w:rsidRPr="00897576">
        <w:rPr>
          <w:rFonts w:ascii="Times New Roman" w:hAnsi="Times New Roman" w:cs="Times New Roman"/>
          <w:sz w:val="24"/>
          <w:szCs w:val="24"/>
        </w:rPr>
        <w:t>Abdeladhim</w:t>
      </w:r>
      <w:proofErr w:type="spellEnd"/>
      <w:r w:rsidRPr="00897576">
        <w:rPr>
          <w:rFonts w:ascii="Times New Roman" w:hAnsi="Times New Roman" w:cs="Times New Roman"/>
          <w:sz w:val="24"/>
          <w:szCs w:val="24"/>
        </w:rPr>
        <w:t xml:space="preserve">, M. A., </w:t>
      </w:r>
      <w:proofErr w:type="spellStart"/>
      <w:r w:rsidRPr="00897576">
        <w:rPr>
          <w:rFonts w:ascii="Times New Roman" w:hAnsi="Times New Roman" w:cs="Times New Roman"/>
          <w:sz w:val="24"/>
          <w:szCs w:val="24"/>
        </w:rPr>
        <w:t>Bursztyn</w:t>
      </w:r>
      <w:proofErr w:type="spellEnd"/>
      <w:r w:rsidRPr="00897576">
        <w:rPr>
          <w:rFonts w:ascii="Times New Roman" w:hAnsi="Times New Roman" w:cs="Times New Roman"/>
          <w:sz w:val="24"/>
          <w:szCs w:val="24"/>
        </w:rPr>
        <w:t xml:space="preserve">, M., &amp; </w:t>
      </w:r>
      <w:proofErr w:type="spellStart"/>
      <w:r w:rsidRPr="00897576">
        <w:rPr>
          <w:rFonts w:ascii="Times New Roman" w:hAnsi="Times New Roman" w:cs="Times New Roman"/>
          <w:sz w:val="24"/>
          <w:szCs w:val="24"/>
        </w:rPr>
        <w:t>Sghaier</w:t>
      </w:r>
      <w:proofErr w:type="spellEnd"/>
      <w:r w:rsidRPr="00897576">
        <w:rPr>
          <w:rFonts w:ascii="Times New Roman" w:hAnsi="Times New Roman" w:cs="Times New Roman"/>
          <w:sz w:val="24"/>
          <w:szCs w:val="24"/>
        </w:rPr>
        <w:t>, M. (2014).</w:t>
      </w:r>
      <w:proofErr w:type="gramEnd"/>
      <w:r w:rsidRPr="00897576">
        <w:rPr>
          <w:rFonts w:ascii="Times New Roman" w:hAnsi="Times New Roman" w:cs="Times New Roman"/>
          <w:sz w:val="24"/>
          <w:szCs w:val="24"/>
        </w:rPr>
        <w:t xml:space="preserve"> Causal chains, policy trade-offs and sustainability: Analysing land (</w:t>
      </w:r>
      <w:proofErr w:type="spellStart"/>
      <w:r w:rsidRPr="00897576">
        <w:rPr>
          <w:rFonts w:ascii="Times New Roman" w:hAnsi="Times New Roman" w:cs="Times New Roman"/>
          <w:sz w:val="24"/>
          <w:szCs w:val="24"/>
        </w:rPr>
        <w:t>mis</w:t>
      </w:r>
      <w:proofErr w:type="spellEnd"/>
      <w:r w:rsidRPr="00897576">
        <w:rPr>
          <w:rFonts w:ascii="Times New Roman" w:hAnsi="Times New Roman" w:cs="Times New Roman"/>
          <w:sz w:val="24"/>
          <w:szCs w:val="24"/>
        </w:rPr>
        <w:t xml:space="preserve">)use in seven countries in the South.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37, 60–70.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Newman, I., &amp; Benz, C. R.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Qualitative-quantitative research methodology: Exploring the interactive continuum</w:t>
      </w:r>
      <w:r w:rsidRPr="00897576">
        <w:rPr>
          <w:rFonts w:ascii="Times New Roman" w:hAnsi="Times New Roman" w:cs="Times New Roman"/>
          <w:sz w:val="24"/>
          <w:szCs w:val="24"/>
        </w:rPr>
        <w:t>. Carbondale: Southern Illinois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Nolte, K. (2014). </w:t>
      </w:r>
      <w:proofErr w:type="gramStart"/>
      <w:r w:rsidRPr="00897576">
        <w:rPr>
          <w:rFonts w:ascii="Times New Roman" w:hAnsi="Times New Roman" w:cs="Times New Roman"/>
          <w:sz w:val="24"/>
          <w:szCs w:val="24"/>
        </w:rPr>
        <w:t>Large-scale agricultural investments under poor land governance in Zambia.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38, 698–706.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Nubi</w:t>
      </w:r>
      <w:proofErr w:type="spellEnd"/>
      <w:r w:rsidRPr="00897576">
        <w:rPr>
          <w:rFonts w:ascii="Times New Roman" w:hAnsi="Times New Roman" w:cs="Times New Roman"/>
          <w:sz w:val="24"/>
          <w:szCs w:val="24"/>
        </w:rPr>
        <w:t xml:space="preserve">, T. O. (2015). Beyond Bricks and Mortar: An Inaugural Lecture Delivered at the University of Lagos Main Auditorium on Wednesday, 9th September, 2015. </w:t>
      </w:r>
      <w:r w:rsidRPr="00897576">
        <w:rPr>
          <w:rFonts w:ascii="Times New Roman" w:hAnsi="Times New Roman" w:cs="Times New Roman"/>
          <w:i/>
          <w:iCs/>
          <w:sz w:val="24"/>
          <w:szCs w:val="24"/>
        </w:rPr>
        <w:t xml:space="preserve">University of Lagos Press and Bookshop </w:t>
      </w:r>
      <w:proofErr w:type="gramStart"/>
      <w:r w:rsidRPr="00897576">
        <w:rPr>
          <w:rFonts w:ascii="Times New Roman" w:hAnsi="Times New Roman" w:cs="Times New Roman"/>
          <w:i/>
          <w:iCs/>
          <w:sz w:val="24"/>
          <w:szCs w:val="24"/>
        </w:rPr>
        <w:t>Limited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10–54.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Nwoko</w:t>
      </w:r>
      <w:proofErr w:type="spellEnd"/>
      <w:r w:rsidRPr="00897576">
        <w:rPr>
          <w:rFonts w:ascii="Times New Roman" w:hAnsi="Times New Roman" w:cs="Times New Roman"/>
          <w:sz w:val="24"/>
          <w:szCs w:val="24"/>
        </w:rPr>
        <w:t>, K. C. (2016). Land ownership versus development in the era of globalisation: A trajectory of conflict and wealth accumulation in Southern Nigeria</w:t>
      </w:r>
      <w:r w:rsidRPr="00897576">
        <w:rPr>
          <w:rFonts w:ascii="Times New Roman" w:hAnsi="Times New Roman" w:cs="Times New Roman"/>
          <w:i/>
          <w:iCs/>
          <w:sz w:val="24"/>
          <w:szCs w:val="24"/>
        </w:rPr>
        <w:t>. Journal of African Transformation</w:t>
      </w:r>
      <w:r w:rsidRPr="00897576">
        <w:rPr>
          <w:rFonts w:ascii="Times New Roman" w:hAnsi="Times New Roman" w:cs="Times New Roman"/>
          <w:sz w:val="24"/>
          <w:szCs w:val="24"/>
        </w:rPr>
        <w:t>, 1(2), 77–94.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Oduwaye</w:t>
      </w:r>
      <w:proofErr w:type="spellEnd"/>
      <w:r w:rsidRPr="00897576">
        <w:rPr>
          <w:rFonts w:ascii="Times New Roman" w:hAnsi="Times New Roman" w:cs="Times New Roman"/>
          <w:sz w:val="24"/>
          <w:szCs w:val="24"/>
        </w:rPr>
        <w:t xml:space="preserve">, L. (2009). </w:t>
      </w:r>
      <w:proofErr w:type="gramStart"/>
      <w:r w:rsidRPr="00897576">
        <w:rPr>
          <w:rFonts w:ascii="Times New Roman" w:hAnsi="Times New Roman" w:cs="Times New Roman"/>
          <w:sz w:val="24"/>
          <w:szCs w:val="24"/>
        </w:rPr>
        <w:t>Challenges of sustainable physical planning and development in metropolitan Lagos.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Sustainable Development</w:t>
      </w:r>
      <w:r w:rsidRPr="00897576">
        <w:rPr>
          <w:rFonts w:ascii="Times New Roman" w:hAnsi="Times New Roman" w:cs="Times New Roman"/>
          <w:sz w:val="24"/>
          <w:szCs w:val="24"/>
        </w:rPr>
        <w:t>, 2(1), 159–171.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Olmedo</w:t>
      </w:r>
      <w:proofErr w:type="spellEnd"/>
      <w:r w:rsidRPr="00897576">
        <w:rPr>
          <w:rFonts w:ascii="Times New Roman" w:hAnsi="Times New Roman" w:cs="Times New Roman"/>
          <w:sz w:val="24"/>
          <w:szCs w:val="24"/>
        </w:rPr>
        <w:t>, C., &amp; Ward, P. M. (2016).</w:t>
      </w:r>
      <w:proofErr w:type="gramEnd"/>
      <w:r w:rsidRPr="00897576">
        <w:rPr>
          <w:rFonts w:ascii="Times New Roman" w:hAnsi="Times New Roman" w:cs="Times New Roman"/>
          <w:sz w:val="24"/>
          <w:szCs w:val="24"/>
        </w:rPr>
        <w:t xml:space="preserve"> Model subdivision: The new face of developer lot sales for low-income colonial-type housing in Texas.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52, 181–194.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Osabuohien</w:t>
      </w:r>
      <w:proofErr w:type="spellEnd"/>
      <w:r w:rsidRPr="00897576">
        <w:rPr>
          <w:rFonts w:ascii="Times New Roman" w:hAnsi="Times New Roman" w:cs="Times New Roman"/>
          <w:sz w:val="24"/>
          <w:szCs w:val="24"/>
        </w:rPr>
        <w:t xml:space="preserve">, E. S. (2014). Large-scale agricultural land investments and local institutions in Africa: The Nigerian case.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39, 155–165.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Otubu</w:t>
      </w:r>
      <w:proofErr w:type="spellEnd"/>
      <w:r w:rsidRPr="00897576">
        <w:rPr>
          <w:rFonts w:ascii="Times New Roman" w:hAnsi="Times New Roman" w:cs="Times New Roman"/>
          <w:sz w:val="24"/>
          <w:szCs w:val="24"/>
        </w:rPr>
        <w:t xml:space="preserve">, A. K. (2020). Land reforms and the future of land use act in Nigeria. </w:t>
      </w:r>
      <w:r w:rsidRPr="00897576">
        <w:rPr>
          <w:rFonts w:ascii="Times New Roman" w:hAnsi="Times New Roman" w:cs="Times New Roman"/>
          <w:i/>
          <w:iCs/>
          <w:sz w:val="24"/>
          <w:szCs w:val="24"/>
        </w:rPr>
        <w:t>Nigerian Current Law Review</w:t>
      </w:r>
      <w:r w:rsidRPr="00897576">
        <w:rPr>
          <w:rFonts w:ascii="Times New Roman" w:hAnsi="Times New Roman" w:cs="Times New Roman"/>
          <w:sz w:val="24"/>
          <w:szCs w:val="24"/>
        </w:rPr>
        <w:t>, 4, 126–143.’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Petrick</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Wandel</w:t>
      </w:r>
      <w:proofErr w:type="spellEnd"/>
      <w:r w:rsidRPr="00897576">
        <w:rPr>
          <w:rFonts w:ascii="Times New Roman" w:hAnsi="Times New Roman" w:cs="Times New Roman"/>
          <w:sz w:val="24"/>
          <w:szCs w:val="24"/>
        </w:rPr>
        <w:t xml:space="preserve">, J., &amp; </w:t>
      </w:r>
      <w:proofErr w:type="spellStart"/>
      <w:r w:rsidRPr="00897576">
        <w:rPr>
          <w:rFonts w:ascii="Times New Roman" w:hAnsi="Times New Roman" w:cs="Times New Roman"/>
          <w:sz w:val="24"/>
          <w:szCs w:val="24"/>
        </w:rPr>
        <w:t>Karsten</w:t>
      </w:r>
      <w:proofErr w:type="spellEnd"/>
      <w:r w:rsidRPr="00897576">
        <w:rPr>
          <w:rFonts w:ascii="Times New Roman" w:hAnsi="Times New Roman" w:cs="Times New Roman"/>
          <w:sz w:val="24"/>
          <w:szCs w:val="24"/>
        </w:rPr>
        <w:t>, K.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Rediscovering the virgin lands: Agricultural investment and rural livelihoods in a Eurasian frontier area.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World Development</w:t>
      </w:r>
      <w:r w:rsidRPr="00897576">
        <w:rPr>
          <w:rFonts w:ascii="Times New Roman" w:hAnsi="Times New Roman" w:cs="Times New Roman"/>
          <w:sz w:val="24"/>
          <w:szCs w:val="24"/>
        </w:rPr>
        <w:t>, 43, 164–179.</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Rahimian</w:t>
      </w:r>
      <w:proofErr w:type="spellEnd"/>
      <w:r w:rsidRPr="00897576">
        <w:rPr>
          <w:rFonts w:ascii="Times New Roman" w:hAnsi="Times New Roman" w:cs="Times New Roman"/>
          <w:sz w:val="24"/>
          <w:szCs w:val="24"/>
        </w:rPr>
        <w:t xml:space="preserve">, F. P., </w:t>
      </w:r>
      <w:proofErr w:type="spellStart"/>
      <w:r w:rsidRPr="00897576">
        <w:rPr>
          <w:rFonts w:ascii="Times New Roman" w:hAnsi="Times New Roman" w:cs="Times New Roman"/>
          <w:sz w:val="24"/>
          <w:szCs w:val="24"/>
        </w:rPr>
        <w:t>Goulding</w:t>
      </w:r>
      <w:proofErr w:type="spellEnd"/>
      <w:r w:rsidRPr="00897576">
        <w:rPr>
          <w:rFonts w:ascii="Times New Roman" w:hAnsi="Times New Roman" w:cs="Times New Roman"/>
          <w:sz w:val="24"/>
          <w:szCs w:val="24"/>
        </w:rPr>
        <w:t xml:space="preserve">, J., </w:t>
      </w:r>
      <w:proofErr w:type="spellStart"/>
      <w:r w:rsidRPr="00897576">
        <w:rPr>
          <w:rFonts w:ascii="Times New Roman" w:hAnsi="Times New Roman" w:cs="Times New Roman"/>
          <w:sz w:val="24"/>
          <w:szCs w:val="24"/>
        </w:rPr>
        <w:t>Akintoye</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Kolo</w:t>
      </w:r>
      <w:proofErr w:type="spellEnd"/>
      <w:r w:rsidRPr="00897576">
        <w:rPr>
          <w:rFonts w:ascii="Times New Roman" w:hAnsi="Times New Roman" w:cs="Times New Roman"/>
          <w:sz w:val="24"/>
          <w:szCs w:val="24"/>
        </w:rPr>
        <w:t xml:space="preserve">, S. (2017). Review of motivations, success factors, and barriers to the adoption of offsite manufacturing in Nigeria. </w:t>
      </w:r>
      <w:proofErr w:type="spellStart"/>
      <w:r w:rsidRPr="00897576">
        <w:rPr>
          <w:rFonts w:ascii="Times New Roman" w:hAnsi="Times New Roman" w:cs="Times New Roman"/>
          <w:i/>
          <w:iCs/>
          <w:sz w:val="24"/>
          <w:szCs w:val="24"/>
        </w:rPr>
        <w:t>Procedia</w:t>
      </w:r>
      <w:proofErr w:type="spellEnd"/>
      <w:r w:rsidRPr="00897576">
        <w:rPr>
          <w:rFonts w:ascii="Times New Roman" w:hAnsi="Times New Roman" w:cs="Times New Roman"/>
          <w:i/>
          <w:iCs/>
          <w:sz w:val="24"/>
          <w:szCs w:val="24"/>
        </w:rPr>
        <w:t xml:space="preserve"> Engineering</w:t>
      </w:r>
      <w:r w:rsidRPr="00897576">
        <w:rPr>
          <w:rFonts w:ascii="Times New Roman" w:hAnsi="Times New Roman" w:cs="Times New Roman"/>
          <w:sz w:val="24"/>
          <w:szCs w:val="24"/>
        </w:rPr>
        <w:t>, 196, 512– 519.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Robson, C. (2020). </w:t>
      </w:r>
      <w:proofErr w:type="gramStart"/>
      <w:r w:rsidRPr="00897576">
        <w:rPr>
          <w:rFonts w:ascii="Times New Roman" w:hAnsi="Times New Roman" w:cs="Times New Roman"/>
          <w:i/>
          <w:iCs/>
          <w:sz w:val="24"/>
          <w:szCs w:val="24"/>
        </w:rPr>
        <w:t>Real World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Blackwell.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Rukwaro</w:t>
      </w:r>
      <w:proofErr w:type="spellEnd"/>
      <w:r w:rsidRPr="00897576">
        <w:rPr>
          <w:rFonts w:ascii="Times New Roman" w:hAnsi="Times New Roman" w:cs="Times New Roman"/>
          <w:sz w:val="24"/>
          <w:szCs w:val="24"/>
        </w:rPr>
        <w:t xml:space="preserve">, R. W., &amp; </w:t>
      </w:r>
      <w:proofErr w:type="spellStart"/>
      <w:r w:rsidRPr="00897576">
        <w:rPr>
          <w:rFonts w:ascii="Times New Roman" w:hAnsi="Times New Roman" w:cs="Times New Roman"/>
          <w:sz w:val="24"/>
          <w:szCs w:val="24"/>
        </w:rPr>
        <w:t>Olima</w:t>
      </w:r>
      <w:proofErr w:type="spellEnd"/>
      <w:r w:rsidRPr="00897576">
        <w:rPr>
          <w:rFonts w:ascii="Times New Roman" w:hAnsi="Times New Roman" w:cs="Times New Roman"/>
          <w:sz w:val="24"/>
          <w:szCs w:val="24"/>
        </w:rPr>
        <w:t>, W. H. A. (2003).</w:t>
      </w:r>
      <w:proofErr w:type="gramEnd"/>
      <w:r w:rsidRPr="00897576">
        <w:rPr>
          <w:rFonts w:ascii="Times New Roman" w:hAnsi="Times New Roman" w:cs="Times New Roman"/>
          <w:sz w:val="24"/>
          <w:szCs w:val="24"/>
        </w:rPr>
        <w:t xml:space="preserve"> Developer profits undermine residents’ satisfaction in </w:t>
      </w:r>
      <w:proofErr w:type="spellStart"/>
      <w:r w:rsidRPr="00897576">
        <w:rPr>
          <w:rFonts w:ascii="Times New Roman" w:hAnsi="Times New Roman" w:cs="Times New Roman"/>
          <w:sz w:val="24"/>
          <w:szCs w:val="24"/>
        </w:rPr>
        <w:t>Nairobis’s</w:t>
      </w:r>
      <w:proofErr w:type="spellEnd"/>
      <w:r w:rsidRPr="00897576">
        <w:rPr>
          <w:rFonts w:ascii="Times New Roman" w:hAnsi="Times New Roman" w:cs="Times New Roman"/>
          <w:sz w:val="24"/>
          <w:szCs w:val="24"/>
        </w:rPr>
        <w:t xml:space="preserve"> residential neighbourhood: Implication for local government in Kenya.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27, 143–157.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(2016).</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(7th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(8th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 Chapter 4: Understanding research philosophies and approaches to theory development.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Scott, A. J., Carter, C., Reed, M. R., </w:t>
      </w:r>
      <w:proofErr w:type="spellStart"/>
      <w:r w:rsidRPr="00897576">
        <w:rPr>
          <w:rFonts w:ascii="Times New Roman" w:hAnsi="Times New Roman" w:cs="Times New Roman"/>
          <w:sz w:val="24"/>
          <w:szCs w:val="24"/>
        </w:rPr>
        <w:t>Larkham</w:t>
      </w:r>
      <w:proofErr w:type="spellEnd"/>
      <w:r w:rsidRPr="00897576">
        <w:rPr>
          <w:rFonts w:ascii="Times New Roman" w:hAnsi="Times New Roman" w:cs="Times New Roman"/>
          <w:sz w:val="24"/>
          <w:szCs w:val="24"/>
        </w:rPr>
        <w:t>, P., Adams, D., Morton, N., &amp; Coles, R.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Disintegrated development at the rural-urban fringe: Reconnecting spatial planning theory and practice.</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Progress in Planning Report, 83, 1–52.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April 17, 2015, from </w:t>
      </w:r>
      <w:hyperlink r:id="rId11" w:tgtFrame="_new" w:history="1">
        <w:r w:rsidRPr="00897576">
          <w:rPr>
            <w:rFonts w:ascii="Times New Roman" w:hAnsi="Times New Roman" w:cs="Times New Roman"/>
            <w:sz w:val="24"/>
            <w:szCs w:val="24"/>
          </w:rPr>
          <w:t>http://www.bcu</w:t>
        </w:r>
      </w:hyperlink>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ac</w:t>
      </w:r>
      <w:proofErr w:type="gram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uk</w:t>
      </w:r>
      <w:proofErr w:type="spellEnd"/>
      <w:r w:rsidRPr="00897576">
        <w:rPr>
          <w:rFonts w:ascii="Times New Roman" w:hAnsi="Times New Roman" w:cs="Times New Roman"/>
          <w:sz w:val="24"/>
          <w:szCs w:val="24"/>
        </w:rPr>
        <w:t>/research/-centres-of-excellence/centre-for-environment-and society/projects/</w:t>
      </w:r>
      <w:proofErr w:type="spellStart"/>
      <w:r w:rsidRPr="00897576">
        <w:rPr>
          <w:rFonts w:ascii="Times New Roman" w:hAnsi="Times New Roman" w:cs="Times New Roman"/>
          <w:sz w:val="24"/>
          <w:szCs w:val="24"/>
        </w:rPr>
        <w:t>rel</w:t>
      </w:r>
      <w:proofErr w:type="spellEnd"/>
      <w:r w:rsidRPr="00897576">
        <w:rPr>
          <w:rFonts w:ascii="Times New Roman" w:hAnsi="Times New Roman" w:cs="Times New Roman"/>
          <w:sz w:val="24"/>
          <w:szCs w:val="24"/>
        </w:rPr>
        <w:t>/policy briefs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Section 11, Land Use Charge Law No. 11 of 2001 of Lagos State. Retrieved May 26, 2017, from https:// </w:t>
      </w:r>
      <w:hyperlink r:id="rId12" w:tgtFrame="_new" w:history="1">
        <w:r w:rsidRPr="00897576">
          <w:rPr>
            <w:rFonts w:ascii="Times New Roman" w:hAnsi="Times New Roman" w:cs="Times New Roman"/>
            <w:sz w:val="24"/>
            <w:szCs w:val="24"/>
          </w:rPr>
          <w:t>noses</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Sharmina</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Hoolohan</w:t>
      </w:r>
      <w:proofErr w:type="spellEnd"/>
      <w:r w:rsidRPr="00897576">
        <w:rPr>
          <w:rFonts w:ascii="Times New Roman" w:hAnsi="Times New Roman" w:cs="Times New Roman"/>
          <w:sz w:val="24"/>
          <w:szCs w:val="24"/>
        </w:rPr>
        <w:t xml:space="preserve">, C., Bows-Larkin, A., Burgess, P. J., </w:t>
      </w:r>
      <w:proofErr w:type="spellStart"/>
      <w:r w:rsidRPr="00897576">
        <w:rPr>
          <w:rFonts w:ascii="Times New Roman" w:hAnsi="Times New Roman" w:cs="Times New Roman"/>
          <w:sz w:val="24"/>
          <w:szCs w:val="24"/>
        </w:rPr>
        <w:t>Colwill</w:t>
      </w:r>
      <w:proofErr w:type="spellEnd"/>
      <w:r w:rsidRPr="00897576">
        <w:rPr>
          <w:rFonts w:ascii="Times New Roman" w:hAnsi="Times New Roman" w:cs="Times New Roman"/>
          <w:sz w:val="24"/>
          <w:szCs w:val="24"/>
        </w:rPr>
        <w:t>, J., Gilbert, P., &amp; Anderson, K. (2016).</w:t>
      </w:r>
      <w:proofErr w:type="gramEnd"/>
      <w:r w:rsidRPr="00897576">
        <w:rPr>
          <w:rFonts w:ascii="Times New Roman" w:hAnsi="Times New Roman" w:cs="Times New Roman"/>
          <w:sz w:val="24"/>
          <w:szCs w:val="24"/>
        </w:rPr>
        <w:t xml:space="preserve"> A nexus perspective on competing land demands: Wider lessons from a UK policy case study. </w:t>
      </w:r>
      <w:r w:rsidRPr="00897576">
        <w:rPr>
          <w:rFonts w:ascii="Times New Roman" w:hAnsi="Times New Roman" w:cs="Times New Roman"/>
          <w:i/>
          <w:iCs/>
          <w:sz w:val="24"/>
          <w:szCs w:val="24"/>
        </w:rPr>
        <w:t>Environmental Science &amp; Policy</w:t>
      </w:r>
      <w:r w:rsidRPr="00897576">
        <w:rPr>
          <w:rFonts w:ascii="Times New Roman" w:hAnsi="Times New Roman" w:cs="Times New Roman"/>
          <w:sz w:val="24"/>
          <w:szCs w:val="24"/>
        </w:rPr>
        <w:t>, 59, 74–84.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Shlens</w:t>
      </w:r>
      <w:proofErr w:type="spellEnd"/>
      <w:r w:rsidRPr="00897576">
        <w:rPr>
          <w:rFonts w:ascii="Times New Roman" w:hAnsi="Times New Roman" w:cs="Times New Roman"/>
          <w:sz w:val="24"/>
          <w:szCs w:val="24"/>
        </w:rPr>
        <w:t xml:space="preserve">, J. (2003). </w:t>
      </w:r>
      <w:proofErr w:type="gramStart"/>
      <w:r w:rsidRPr="00897576">
        <w:rPr>
          <w:rFonts w:ascii="Times New Roman" w:hAnsi="Times New Roman" w:cs="Times New Roman"/>
          <w:sz w:val="24"/>
          <w:szCs w:val="24"/>
        </w:rPr>
        <w:t>A Tutorial on principal component analysis, derivation, discussion and singular value decomposition.</w:t>
      </w:r>
      <w:proofErr w:type="gramEnd"/>
      <w:r w:rsidRPr="00897576">
        <w:rPr>
          <w:rFonts w:ascii="Times New Roman" w:hAnsi="Times New Roman" w:cs="Times New Roman"/>
          <w:sz w:val="24"/>
          <w:szCs w:val="24"/>
        </w:rPr>
        <w:t xml:space="preserve"> Retrieved June 25, 2017, </w:t>
      </w:r>
      <w:hyperlink r:id="rId13" w:tgtFrame="_new" w:history="1">
        <w:r w:rsidRPr="00897576">
          <w:rPr>
            <w:rFonts w:ascii="Times New Roman" w:hAnsi="Times New Roman" w:cs="Times New Roman"/>
            <w:sz w:val="24"/>
            <w:szCs w:val="24"/>
          </w:rPr>
          <w:t>https://www.cs.princeton.edu/picasso/mats/PCATutorial-Intuition_jp.pdf</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Siegel, J. (2003). What is an asset price bubble? </w:t>
      </w:r>
      <w:proofErr w:type="gramStart"/>
      <w:r w:rsidRPr="00897576">
        <w:rPr>
          <w:rFonts w:ascii="Times New Roman" w:hAnsi="Times New Roman" w:cs="Times New Roman"/>
          <w:sz w:val="24"/>
          <w:szCs w:val="24"/>
        </w:rPr>
        <w:t>An operational definition.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European Financial Management</w:t>
      </w:r>
      <w:r w:rsidRPr="00897576">
        <w:rPr>
          <w:rFonts w:ascii="Times New Roman" w:hAnsi="Times New Roman" w:cs="Times New Roman"/>
          <w:sz w:val="24"/>
          <w:szCs w:val="24"/>
        </w:rPr>
        <w:t>, 9(1), 11–24.</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Sinclair, U.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14" w:tgtFrame="_new" w:history="1">
        <w:r w:rsidRPr="00897576">
          <w:rPr>
            <w:rFonts w:ascii="Times New Roman" w:hAnsi="Times New Roman" w:cs="Times New Roman"/>
            <w:sz w:val="24"/>
            <w:szCs w:val="24"/>
          </w:rPr>
          <w:t>http://www.wealthandwant.com/</w:t>
        </w:r>
      </w:hyperlink>
      <w:r w:rsidRPr="00897576">
        <w:rPr>
          <w:rFonts w:ascii="Times New Roman" w:hAnsi="Times New Roman" w:cs="Times New Roman"/>
          <w:sz w:val="24"/>
          <w:szCs w:val="24"/>
        </w:rPr>
        <w:t xml:space="preserve"> themes/Speculation.html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Srirangan</w:t>
      </w:r>
      <w:proofErr w:type="spellEnd"/>
      <w:r w:rsidRPr="00897576">
        <w:rPr>
          <w:rFonts w:ascii="Times New Roman" w:hAnsi="Times New Roman" w:cs="Times New Roman"/>
          <w:sz w:val="24"/>
          <w:szCs w:val="24"/>
        </w:rPr>
        <w:t xml:space="preserve">, K. (1997). Land policies in Delhi: Their contribution to unauthorized land development (PhD dissertation). </w:t>
      </w:r>
      <w:proofErr w:type="gramStart"/>
      <w:r w:rsidRPr="00897576">
        <w:rPr>
          <w:rFonts w:ascii="Times New Roman" w:hAnsi="Times New Roman" w:cs="Times New Roman"/>
          <w:sz w:val="24"/>
          <w:szCs w:val="24"/>
        </w:rPr>
        <w:t>The Bartlett School, University College, London.</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Swierenga</w:t>
      </w:r>
      <w:proofErr w:type="spellEnd"/>
      <w:r w:rsidRPr="00897576">
        <w:rPr>
          <w:rFonts w:ascii="Times New Roman" w:hAnsi="Times New Roman" w:cs="Times New Roman"/>
          <w:sz w:val="24"/>
          <w:szCs w:val="24"/>
        </w:rPr>
        <w:t xml:space="preserve">, R. P. (1977). Land speculation and its impact on American economic growth and welfare: A historiographical review. </w:t>
      </w:r>
      <w:r w:rsidRPr="00897576">
        <w:rPr>
          <w:rFonts w:ascii="Times New Roman" w:hAnsi="Times New Roman" w:cs="Times New Roman"/>
          <w:i/>
          <w:iCs/>
          <w:sz w:val="24"/>
          <w:szCs w:val="24"/>
        </w:rPr>
        <w:t>The Western Historical Quarterly</w:t>
      </w:r>
      <w:r w:rsidRPr="00897576">
        <w:rPr>
          <w:rFonts w:ascii="Times New Roman" w:hAnsi="Times New Roman" w:cs="Times New Roman"/>
          <w:sz w:val="24"/>
          <w:szCs w:val="24"/>
        </w:rPr>
        <w:t>, 8, 283–302.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lastRenderedPageBreak/>
        <w:t>Taiwo</w:t>
      </w:r>
      <w:proofErr w:type="spellEnd"/>
      <w:r w:rsidRPr="00897576">
        <w:rPr>
          <w:rFonts w:ascii="Times New Roman" w:hAnsi="Times New Roman" w:cs="Times New Roman"/>
          <w:sz w:val="24"/>
          <w:szCs w:val="24"/>
        </w:rPr>
        <w:t xml:space="preserve">, D. O., </w:t>
      </w:r>
      <w:proofErr w:type="spellStart"/>
      <w:r w:rsidRPr="00897576">
        <w:rPr>
          <w:rFonts w:ascii="Times New Roman" w:hAnsi="Times New Roman" w:cs="Times New Roman"/>
          <w:sz w:val="24"/>
          <w:szCs w:val="24"/>
        </w:rPr>
        <w:t>Yusoff</w:t>
      </w:r>
      <w:proofErr w:type="spellEnd"/>
      <w:r w:rsidRPr="00897576">
        <w:rPr>
          <w:rFonts w:ascii="Times New Roman" w:hAnsi="Times New Roman" w:cs="Times New Roman"/>
          <w:sz w:val="24"/>
          <w:szCs w:val="24"/>
        </w:rPr>
        <w:t xml:space="preserve">, N. B., &amp; Abdul Aziz, N. B. (2017). </w:t>
      </w:r>
      <w:proofErr w:type="gramStart"/>
      <w:r w:rsidRPr="00897576">
        <w:rPr>
          <w:rFonts w:ascii="Times New Roman" w:hAnsi="Times New Roman" w:cs="Times New Roman"/>
          <w:sz w:val="24"/>
          <w:szCs w:val="24"/>
        </w:rPr>
        <w:t>Self-help approach as a panacea for housing delivery dilemma in Nigeria.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Applied Sciences &amp; Environmental Sustainability</w:t>
      </w:r>
      <w:r w:rsidRPr="00897576">
        <w:rPr>
          <w:rFonts w:ascii="Times New Roman" w:hAnsi="Times New Roman" w:cs="Times New Roman"/>
          <w:sz w:val="24"/>
          <w:szCs w:val="24"/>
        </w:rPr>
        <w:t>, 3(7), 146–162.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C. (Eds.).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(2017). </w:t>
      </w:r>
      <w:r w:rsidRPr="00897576">
        <w:rPr>
          <w:rFonts w:ascii="Times New Roman" w:hAnsi="Times New Roman" w:cs="Times New Roman"/>
          <w:i/>
          <w:iCs/>
          <w:sz w:val="24"/>
          <w:szCs w:val="24"/>
        </w:rPr>
        <w:t>Handbook of Mixed Methods in Social and Behavioural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Thousand Oaks: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Intelligence Unit Ltd. (2015). Retrieved May 15, 2015, from </w:t>
      </w:r>
      <w:hyperlink r:id="rId15" w:tgtFrame="_new" w:history="1">
        <w:r w:rsidRPr="00897576">
          <w:rPr>
            <w:rFonts w:ascii="Times New Roman" w:hAnsi="Times New Roman" w:cs="Times New Roman"/>
            <w:sz w:val="24"/>
            <w:szCs w:val="24"/>
          </w:rPr>
          <w:t>http://www.eiu.com/home.aspx</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Thontteh</w:t>
      </w:r>
      <w:proofErr w:type="spellEnd"/>
      <w:r w:rsidRPr="00897576">
        <w:rPr>
          <w:rFonts w:ascii="Times New Roman" w:hAnsi="Times New Roman" w:cs="Times New Roman"/>
          <w:sz w:val="24"/>
          <w:szCs w:val="24"/>
        </w:rPr>
        <w:t xml:space="preserve">, E. O. (2013). </w:t>
      </w:r>
      <w:proofErr w:type="gramStart"/>
      <w:r w:rsidRPr="00897576">
        <w:rPr>
          <w:rFonts w:ascii="Times New Roman" w:hAnsi="Times New Roman" w:cs="Times New Roman"/>
          <w:sz w:val="24"/>
          <w:szCs w:val="24"/>
        </w:rPr>
        <w:t>An appraisal of the extent of market maturity in Nigeria's property market.</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IOSR Journal of Economics and Finance</w:t>
      </w:r>
      <w:r w:rsidRPr="00897576">
        <w:rPr>
          <w:rFonts w:ascii="Times New Roman" w:hAnsi="Times New Roman" w:cs="Times New Roman"/>
          <w:sz w:val="24"/>
          <w:szCs w:val="24"/>
        </w:rPr>
        <w:t>, 1(4), 33–38.</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Triantafyllopoulos</w:t>
      </w:r>
      <w:proofErr w:type="spellEnd"/>
      <w:r w:rsidRPr="00897576">
        <w:rPr>
          <w:rFonts w:ascii="Times New Roman" w:hAnsi="Times New Roman" w:cs="Times New Roman"/>
          <w:sz w:val="24"/>
          <w:szCs w:val="24"/>
        </w:rPr>
        <w:t xml:space="preserve">, N. (2010). Land speculation and property market, in Efficiency. </w:t>
      </w:r>
      <w:proofErr w:type="gramStart"/>
      <w:r w:rsidRPr="00897576">
        <w:rPr>
          <w:rFonts w:ascii="Times New Roman" w:hAnsi="Times New Roman" w:cs="Times New Roman"/>
          <w:sz w:val="24"/>
          <w:szCs w:val="24"/>
        </w:rPr>
        <w:t>Discussion paper series, Department of Planning and Regional Development, University of Thessaly, 16(10), 223–252.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from </w:t>
      </w:r>
      <w:hyperlink r:id="rId16" w:tgtFrame="_new" w:history="1">
        <w:r w:rsidRPr="00897576">
          <w:rPr>
            <w:rFonts w:ascii="Times New Roman" w:hAnsi="Times New Roman" w:cs="Times New Roman"/>
            <w:sz w:val="24"/>
            <w:szCs w:val="24"/>
          </w:rPr>
          <w:t>http://www.prd.uth.gr/research/DP/2010/uth-prd-dp-2010-10-en.pdf</w:t>
        </w:r>
      </w:hyperlink>
      <w:r w:rsidRPr="00897576">
        <w:rPr>
          <w:rFonts w:ascii="Times New Roman" w:hAnsi="Times New Roman" w:cs="Times New Roman"/>
          <w:sz w:val="24"/>
          <w:szCs w:val="24"/>
        </w:rPr>
        <w: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Yin, R. K.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Case Study Research and Applications: Designs and Methods</w:t>
      </w:r>
      <w:r w:rsidRPr="00897576">
        <w:rPr>
          <w:rFonts w:ascii="Times New Roman" w:hAnsi="Times New Roman" w:cs="Times New Roman"/>
          <w:sz w:val="24"/>
          <w:szCs w:val="24"/>
        </w:rPr>
        <w:t xml:space="preserve">. (6th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 Publications.</w:t>
      </w:r>
    </w:p>
    <w:p w:rsidR="00FC42E0" w:rsidRPr="00897576" w:rsidRDefault="00FC42E0" w:rsidP="002B30D5">
      <w:pPr>
        <w:spacing w:after="0" w:line="276" w:lineRule="auto"/>
        <w:ind w:left="630" w:hanging="630"/>
        <w:jc w:val="both"/>
        <w:rPr>
          <w:rFonts w:ascii="Times New Roman" w:hAnsi="Times New Roman" w:cs="Times New Roman"/>
          <w:sz w:val="24"/>
          <w:szCs w:val="24"/>
        </w:rPr>
      </w:pPr>
    </w:p>
    <w:p w:rsidR="00FC42E0" w:rsidRPr="00897576" w:rsidRDefault="00FC42E0" w:rsidP="00897576">
      <w:pPr>
        <w:spacing w:after="0" w:line="360" w:lineRule="auto"/>
        <w:ind w:left="630" w:hanging="630"/>
        <w:jc w:val="both"/>
        <w:rPr>
          <w:rFonts w:ascii="Times New Roman" w:hAnsi="Times New Roman" w:cs="Times New Roman"/>
          <w:sz w:val="24"/>
          <w:szCs w:val="24"/>
        </w:rPr>
      </w:pP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690C1C">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Appendix</w:t>
      </w:r>
    </w:p>
    <w:p w:rsidR="00FC42E0" w:rsidRPr="00897576" w:rsidRDefault="00897576" w:rsidP="00690C1C">
      <w:pPr>
        <w:spacing w:after="0" w:line="360" w:lineRule="auto"/>
        <w:jc w:val="both"/>
        <w:rPr>
          <w:rFonts w:ascii="Times New Roman" w:hAnsi="Times New Roman" w:cs="Times New Roman"/>
          <w:b/>
          <w:bCs/>
          <w:sz w:val="24"/>
          <w:szCs w:val="24"/>
        </w:rPr>
      </w:pPr>
      <w:proofErr w:type="gramStart"/>
      <w:r w:rsidRPr="00897576">
        <w:rPr>
          <w:rFonts w:ascii="Times New Roman" w:hAnsi="Times New Roman" w:cs="Times New Roman"/>
          <w:b/>
          <w:bCs/>
          <w:sz w:val="24"/>
          <w:szCs w:val="24"/>
        </w:rPr>
        <w:t xml:space="preserve">Questionnaire for Research on Land Speculation </w:t>
      </w:r>
      <w:r w:rsidR="002B30D5" w:rsidRPr="00897576">
        <w:rPr>
          <w:rFonts w:ascii="Times New Roman" w:hAnsi="Times New Roman" w:cs="Times New Roman"/>
          <w:b/>
          <w:bCs/>
          <w:sz w:val="24"/>
          <w:szCs w:val="24"/>
        </w:rPr>
        <w:t>and public</w:t>
      </w:r>
      <w:r w:rsidRPr="00897576">
        <w:rPr>
          <w:rFonts w:ascii="Times New Roman" w:hAnsi="Times New Roman" w:cs="Times New Roman"/>
          <w:b/>
          <w:bCs/>
          <w:sz w:val="24"/>
          <w:szCs w:val="24"/>
          <w:lang w:val="en-US"/>
        </w:rPr>
        <w:t xml:space="preserve"> </w:t>
      </w:r>
      <w:r w:rsidRPr="00897576">
        <w:rPr>
          <w:rFonts w:ascii="Times New Roman" w:hAnsi="Times New Roman" w:cs="Times New Roman"/>
          <w:b/>
          <w:bCs/>
          <w:sz w:val="24"/>
          <w:szCs w:val="24"/>
        </w:rPr>
        <w:t xml:space="preserve">Property Development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lang w:val="en-US"/>
        </w:rPr>
        <w:t xml:space="preserve"> area.</w:t>
      </w:r>
      <w:proofErr w:type="gramEnd"/>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Dear Participant,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Thank you for participating in this research study. Your input is valuable for understanding the dynamics of land speculation and its impact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Please respond to the following statements by indicating your level of agreement on the provided scale.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Gender</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Female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Age</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18-24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25-34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35-44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45-54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55 and above</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Educational Background:</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SSCE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Bachelor's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Master's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Others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Years of Residence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rPr>
        <w:t xml:space="preserve"> Area:</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Less than 1 year</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1-5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6-10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More than 10 years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1: Drivers of Land Speculation</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scarcity and high demand are significant factors driving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Economic incentives, such as potential for high returns, motivate individuals to engage in land speculation activities.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Lack of clear land-use policies contributes to speculative </w:t>
      </w:r>
      <w:proofErr w:type="spellStart"/>
      <w:r w:rsidRPr="00897576">
        <w:rPr>
          <w:rFonts w:ascii="Times New Roman" w:hAnsi="Times New Roman" w:cs="Times New Roman"/>
          <w:sz w:val="24"/>
          <w:szCs w:val="24"/>
        </w:rPr>
        <w:t>behaviours</w:t>
      </w:r>
      <w:proofErr w:type="spellEnd"/>
      <w:r w:rsidRPr="00897576">
        <w:rPr>
          <w:rFonts w:ascii="Times New Roman" w:hAnsi="Times New Roman" w:cs="Times New Roman"/>
          <w:sz w:val="24"/>
          <w:szCs w:val="24"/>
        </w:rPr>
        <w:t xml:space="preserve"> among landowners and investors.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Infrastructural developments and government interventions influence the increase in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2: Impact of Land Speculation on Property Development</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negatively affects the affordability of housing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Speculative activities contribute to the delay and disruption of planned property development projects.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The quality of property developments is compromised due to speculative practices.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Speculation leads to unequal distribution of developed land, affecting the overall landscape of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community.</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3: Strategies to Mitigate Negative Effects of Land Speculation</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Implementing clear and enforceable land-use policies is an effective strategy to reduce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Encouraging community-based land management can help mitigate the adverse effects of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Taxing speculative transactions can discourage speculative activities and fund community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Establishing partnerships between the government and private sector can promote sustainable and inclusive property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FC42E0" w:rsidP="00690C1C">
      <w:pPr>
        <w:spacing w:after="0" w:line="276" w:lineRule="auto"/>
        <w:jc w:val="both"/>
        <w:rPr>
          <w:rFonts w:ascii="Times New Roman" w:hAnsi="Times New Roman" w:cs="Times New Roman"/>
          <w:sz w:val="24"/>
          <w:szCs w:val="24"/>
        </w:rPr>
      </w:pPr>
    </w:p>
    <w:p w:rsidR="00FC42E0" w:rsidRPr="00897576" w:rsidRDefault="00FC42E0" w:rsidP="00897576">
      <w:pPr>
        <w:spacing w:after="0" w:line="360" w:lineRule="auto"/>
        <w:jc w:val="both"/>
        <w:rPr>
          <w:rFonts w:ascii="Times New Roman" w:hAnsi="Times New Roman" w:cs="Times New Roman"/>
          <w:sz w:val="24"/>
          <w:szCs w:val="24"/>
        </w:rPr>
      </w:pPr>
    </w:p>
    <w:sectPr w:rsidR="00FC42E0" w:rsidRPr="00897576" w:rsidSect="0071189F">
      <w:footerReference w:type="default" r:id="rId17"/>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3F" w:rsidRDefault="0092613F" w:rsidP="00897576">
      <w:pPr>
        <w:spacing w:after="0" w:line="240" w:lineRule="auto"/>
      </w:pPr>
      <w:r>
        <w:separator/>
      </w:r>
    </w:p>
  </w:endnote>
  <w:endnote w:type="continuationSeparator" w:id="0">
    <w:p w:rsidR="0092613F" w:rsidRDefault="0092613F" w:rsidP="008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Bk">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76417"/>
      <w:docPartObj>
        <w:docPartGallery w:val="Page Numbers (Bottom of Page)"/>
        <w:docPartUnique/>
      </w:docPartObj>
    </w:sdtPr>
    <w:sdtEndPr>
      <w:rPr>
        <w:noProof/>
      </w:rPr>
    </w:sdtEndPr>
    <w:sdtContent>
      <w:p w:rsidR="002C3392" w:rsidRDefault="00051784">
        <w:pPr>
          <w:pStyle w:val="Footer"/>
          <w:jc w:val="center"/>
        </w:pPr>
        <w:proofErr w:type="gramStart"/>
        <w:r>
          <w:t>iv</w:t>
        </w:r>
        <w:proofErr w:type="gramEnd"/>
      </w:p>
    </w:sdtContent>
  </w:sdt>
  <w:p w:rsidR="002C3392" w:rsidRDefault="002C3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3F" w:rsidRDefault="0092613F" w:rsidP="00897576">
      <w:pPr>
        <w:spacing w:after="0" w:line="240" w:lineRule="auto"/>
      </w:pPr>
      <w:r>
        <w:separator/>
      </w:r>
    </w:p>
  </w:footnote>
  <w:footnote w:type="continuationSeparator" w:id="0">
    <w:p w:rsidR="0092613F" w:rsidRDefault="0092613F" w:rsidP="00897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75E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35B015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F76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D49E5E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4A96E9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A772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C670716A"/>
    <w:lvl w:ilvl="0" w:tplc="9C725D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B3704E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80A23D08"/>
    <w:lvl w:ilvl="0">
      <w:start w:val="1"/>
      <w:numFmt w:val="decimal"/>
      <w:lvlText w:val="%1."/>
      <w:lvlJc w:val="left"/>
      <w:pPr>
        <w:tabs>
          <w:tab w:val="left" w:pos="1260"/>
        </w:tabs>
        <w:ind w:left="12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2ED6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D35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1D5C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F00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8644D5"/>
    <w:multiLevelType w:val="hybridMultilevel"/>
    <w:tmpl w:val="A516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A06BA"/>
    <w:multiLevelType w:val="hybridMultilevel"/>
    <w:tmpl w:val="9D3A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57636"/>
    <w:multiLevelType w:val="hybridMultilevel"/>
    <w:tmpl w:val="7EE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D755F"/>
    <w:multiLevelType w:val="hybridMultilevel"/>
    <w:tmpl w:val="363CF7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53689"/>
    <w:multiLevelType w:val="multilevel"/>
    <w:tmpl w:val="48CC1E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3D116FEC"/>
    <w:multiLevelType w:val="hybridMultilevel"/>
    <w:tmpl w:val="DE6C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A679E7"/>
    <w:multiLevelType w:val="hybridMultilevel"/>
    <w:tmpl w:val="DB24A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40AA4"/>
    <w:multiLevelType w:val="hybridMultilevel"/>
    <w:tmpl w:val="E0FA677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73A70"/>
    <w:multiLevelType w:val="hybridMultilevel"/>
    <w:tmpl w:val="2FCA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7"/>
  </w:num>
  <w:num w:numId="5">
    <w:abstractNumId w:val="17"/>
  </w:num>
  <w:num w:numId="6">
    <w:abstractNumId w:val="1"/>
  </w:num>
  <w:num w:numId="7">
    <w:abstractNumId w:val="3"/>
  </w:num>
  <w:num w:numId="8">
    <w:abstractNumId w:val="8"/>
  </w:num>
  <w:num w:numId="9">
    <w:abstractNumId w:val="6"/>
  </w:num>
  <w:num w:numId="10">
    <w:abstractNumId w:val="10"/>
  </w:num>
  <w:num w:numId="11">
    <w:abstractNumId w:val="2"/>
  </w:num>
  <w:num w:numId="12">
    <w:abstractNumId w:val="0"/>
  </w:num>
  <w:num w:numId="13">
    <w:abstractNumId w:val="4"/>
  </w:num>
  <w:num w:numId="14">
    <w:abstractNumId w:val="11"/>
  </w:num>
  <w:num w:numId="15">
    <w:abstractNumId w:val="20"/>
  </w:num>
  <w:num w:numId="16">
    <w:abstractNumId w:val="16"/>
  </w:num>
  <w:num w:numId="17">
    <w:abstractNumId w:val="19"/>
  </w:num>
  <w:num w:numId="18">
    <w:abstractNumId w:val="15"/>
  </w:num>
  <w:num w:numId="19">
    <w:abstractNumId w:val="21"/>
  </w:num>
  <w:num w:numId="20">
    <w:abstractNumId w:val="13"/>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E0"/>
    <w:rsid w:val="00051784"/>
    <w:rsid w:val="00070E47"/>
    <w:rsid w:val="00094176"/>
    <w:rsid w:val="001F39D0"/>
    <w:rsid w:val="002B30D5"/>
    <w:rsid w:val="002C3392"/>
    <w:rsid w:val="0033562F"/>
    <w:rsid w:val="0044639D"/>
    <w:rsid w:val="00475AAB"/>
    <w:rsid w:val="004905A2"/>
    <w:rsid w:val="004E43FE"/>
    <w:rsid w:val="005B6084"/>
    <w:rsid w:val="00690C1C"/>
    <w:rsid w:val="006E5C1E"/>
    <w:rsid w:val="006E6C06"/>
    <w:rsid w:val="0071189F"/>
    <w:rsid w:val="0076487B"/>
    <w:rsid w:val="00897576"/>
    <w:rsid w:val="008F0614"/>
    <w:rsid w:val="0092613F"/>
    <w:rsid w:val="00A74064"/>
    <w:rsid w:val="00B53A3E"/>
    <w:rsid w:val="00B62257"/>
    <w:rsid w:val="00B64B1E"/>
    <w:rsid w:val="00C36737"/>
    <w:rsid w:val="00CB0771"/>
    <w:rsid w:val="00D05DC9"/>
    <w:rsid w:val="00D42D3D"/>
    <w:rsid w:val="00D80C4D"/>
    <w:rsid w:val="00DB603B"/>
    <w:rsid w:val="00FC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 w:type="paragraph" w:styleId="BalloonText">
    <w:name w:val="Balloon Text"/>
    <w:basedOn w:val="Normal"/>
    <w:link w:val="BalloonTextChar"/>
    <w:uiPriority w:val="99"/>
    <w:semiHidden/>
    <w:unhideWhenUsed/>
    <w:rsid w:val="00A7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 w:type="paragraph" w:styleId="BalloonText">
    <w:name w:val="Balloon Text"/>
    <w:basedOn w:val="Normal"/>
    <w:link w:val="BalloonTextChar"/>
    <w:uiPriority w:val="99"/>
    <w:semiHidden/>
    <w:unhideWhenUsed/>
    <w:rsid w:val="00A74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bujagis.com/faq.htm" TargetMode="External"/><Relationship Id="rId13" Type="http://schemas.openxmlformats.org/officeDocument/2006/relationships/hyperlink" Target="https://www.cs.princeton.edu/picasso/mats/PCATutorial-Intuition_jp.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nkedin.com/pulse/land-use-charge-whose-duty-bear-edward-chizea-nwosis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d.uth.gr/research/DP/2010/uth-prd-dp-2010-10-e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cu/" TargetMode="External"/><Relationship Id="rId5" Type="http://schemas.openxmlformats.org/officeDocument/2006/relationships/webSettings" Target="webSettings.xml"/><Relationship Id="rId15" Type="http://schemas.openxmlformats.org/officeDocument/2006/relationships/hyperlink" Target="http://www.eiu.com/home.aspx" TargetMode="External"/><Relationship Id="rId10" Type="http://schemas.openxmlformats.org/officeDocument/2006/relationships/hyperlink" Target="http://www.bbc.com/news/world-africa-386887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althandwant.com/themes/Speculation.html" TargetMode="External"/><Relationship Id="rId14" Type="http://schemas.openxmlformats.org/officeDocument/2006/relationships/hyperlink" Target="http://www.wealthandw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73</Pages>
  <Words>22506</Words>
  <Characters>128290</Characters>
  <Application>Microsoft Office Word</Application>
  <DocSecurity>0</DocSecurity>
  <Lines>1069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adeniji.ayyub.7@gmail.com</dc:creator>
  <cp:lastModifiedBy>user</cp:lastModifiedBy>
  <cp:revision>18</cp:revision>
  <cp:lastPrinted>2025-07-16T09:48:00Z</cp:lastPrinted>
  <dcterms:created xsi:type="dcterms:W3CDTF">2025-05-04T09:08:00Z</dcterms:created>
  <dcterms:modified xsi:type="dcterms:W3CDTF">2025-07-23T11:43:00Z</dcterms:modified>
</cp:coreProperties>
</file>