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CE655" w14:textId="7CC6DA3B"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1A668E4B"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 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patulin from </w:t>
      </w:r>
      <w:r w:rsidRPr="0025665D">
        <w:rPr>
          <w:rFonts w:ascii="Times New Roman" w:hAnsi="Times New Roman" w:cs="Times New Roman"/>
          <w:i/>
          <w:iCs/>
          <w:sz w:val="28"/>
          <w:szCs w:val="28"/>
        </w:rPr>
        <w:t xml:space="preserve">Penicillium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w:t>
      </w:r>
      <w:r w:rsidRPr="00EC2D00">
        <w:rPr>
          <w:rFonts w:ascii="Times New Roman" w:hAnsi="Times New Roman" w:cs="Times New Roman"/>
          <w:sz w:val="28"/>
          <w:szCs w:val="28"/>
        </w:rPr>
        <w:lastRenderedPageBreak/>
        <w:t xml:space="preserve">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appearing as a continuous mass). The fungal cell wall is composed of chitin and 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r w:rsidRPr="00787668">
        <w:rPr>
          <w:rFonts w:ascii="Times New Roman" w:hAnsi="Times New Roman" w:cs="Times New Roman"/>
          <w:i/>
          <w:iCs/>
          <w:sz w:val="28"/>
          <w:szCs w:val="28"/>
        </w:rPr>
        <w:t>zygospores</w:t>
      </w:r>
      <w:r w:rsidRPr="00EC2D00">
        <w:rPr>
          <w:rFonts w:ascii="Times New Roman" w:hAnsi="Times New Roman" w:cs="Times New Roman"/>
          <w:sz w:val="28"/>
          <w:szCs w:val="28"/>
        </w:rPr>
        <w:t xml:space="preserve"> (Naranjo-Ortiz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r w:rsidRPr="00787668">
        <w:rPr>
          <w:rFonts w:ascii="Times New Roman" w:hAnsi="Times New Roman" w:cs="Times New Roman"/>
          <w:i/>
          <w:iCs/>
          <w:sz w:val="28"/>
          <w:szCs w:val="28"/>
        </w:rPr>
        <w:t xml:space="preserve">Rhizopus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w:t>
      </w:r>
      <w:r w:rsidRPr="00EC2D00">
        <w:rPr>
          <w:rFonts w:ascii="Times New Roman" w:hAnsi="Times New Roman" w:cs="Times New Roman"/>
          <w:sz w:val="28"/>
          <w:szCs w:val="28"/>
        </w:rPr>
        <w:lastRenderedPageBreak/>
        <w:t xml:space="preserve">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r w:rsidRPr="00606391">
        <w:rPr>
          <w:rFonts w:ascii="Times New Roman" w:hAnsi="Times New Roman" w:cs="Times New Roman"/>
          <w:i/>
          <w:iCs/>
          <w:sz w:val="28"/>
          <w:szCs w:val="28"/>
        </w:rPr>
        <w:t xml:space="preserve">Penicillium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which produces patulin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phalloides (death cap mushroom), which is highly toxic due to its potent mycotoxins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r w:rsidRPr="00614D43">
        <w:rPr>
          <w:rFonts w:ascii="Times New Roman" w:hAnsi="Times New Roman" w:cs="Times New Roman"/>
          <w:i/>
          <w:iCs/>
          <w:sz w:val="28"/>
          <w:szCs w:val="28"/>
        </w:rPr>
        <w:t>Batrachochytrium</w:t>
      </w:r>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r w:rsidRPr="00614D43">
        <w:rPr>
          <w:rFonts w:ascii="Times New Roman" w:hAnsi="Times New Roman" w:cs="Times New Roman"/>
          <w:i/>
          <w:iCs/>
          <w:sz w:val="28"/>
          <w:szCs w:val="28"/>
        </w:rPr>
        <w:t>chytridiomycosis</w:t>
      </w:r>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w:t>
      </w:r>
      <w:r w:rsidR="00005981" w:rsidRPr="00EC2D00">
        <w:rPr>
          <w:rFonts w:ascii="Times New Roman" w:hAnsi="Times New Roman" w:cs="Times New Roman"/>
          <w:sz w:val="28"/>
          <w:szCs w:val="28"/>
        </w:rPr>
        <w:lastRenderedPageBreak/>
        <w:t xml:space="preserve">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w:t>
      </w:r>
      <w:r w:rsidR="00CA19A9" w:rsidRPr="00EC2D00">
        <w:rPr>
          <w:rFonts w:ascii="Times New Roman" w:hAnsi="Times New Roman" w:cs="Times New Roman"/>
          <w:sz w:val="28"/>
          <w:szCs w:val="28"/>
        </w:rPr>
        <w:lastRenderedPageBreak/>
        <w:t>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flavus</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 xml:space="preserve">Aspergillus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r w:rsidR="00CA19A9" w:rsidRPr="009A01C7">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and </w:t>
      </w:r>
      <w:r w:rsidR="00CA19A9" w:rsidRPr="009A01C7">
        <w:rPr>
          <w:rFonts w:ascii="Times New Roman" w:hAnsi="Times New Roman" w:cs="Times New Roman"/>
          <w:i/>
          <w:iCs/>
          <w:sz w:val="28"/>
          <w:szCs w:val="28"/>
        </w:rPr>
        <w:t>Penicillium</w:t>
      </w:r>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immunotoxicity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verticillioides </w:t>
      </w:r>
      <w:r w:rsidR="00CA19A9" w:rsidRPr="00EC2D00">
        <w:rPr>
          <w:rFonts w:ascii="Times New Roman" w:hAnsi="Times New Roman" w:cs="Times New Roman"/>
          <w:sz w:val="28"/>
          <w:szCs w:val="28"/>
        </w:rPr>
        <w:t xml:space="preserve">and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products. They disrupt sphingolipid </w:t>
      </w:r>
      <w:r w:rsidR="00CA19A9" w:rsidRPr="00EC2D00">
        <w:rPr>
          <w:rFonts w:ascii="Times New Roman" w:hAnsi="Times New Roman" w:cs="Times New Roman"/>
          <w:sz w:val="28"/>
          <w:szCs w:val="28"/>
        </w:rPr>
        <w:lastRenderedPageBreak/>
        <w:t>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r w:rsidR="00CA19A9" w:rsidRPr="00117B77">
        <w:rPr>
          <w:rFonts w:ascii="Times New Roman" w:hAnsi="Times New Roman" w:cs="Times New Roman"/>
          <w:i/>
          <w:iCs/>
          <w:sz w:val="28"/>
          <w:szCs w:val="28"/>
        </w:rPr>
        <w:t xml:space="preserve">Penicillium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w:t>
      </w:r>
      <w:r w:rsidR="00CA19A9" w:rsidRPr="00EC2D00">
        <w:rPr>
          <w:rFonts w:ascii="Times New Roman" w:hAnsi="Times New Roman" w:cs="Times New Roman"/>
          <w:sz w:val="28"/>
          <w:szCs w:val="28"/>
        </w:rPr>
        <w:lastRenderedPageBreak/>
        <w:t>liver and kidney damage, immune suppression, carcinogenesis, and reproductive toxicity (Marin et al., 2021). Vulnerable populations, including children, 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w:t>
      </w:r>
      <w:r w:rsidR="00647617" w:rsidRPr="00EC2D00">
        <w:rPr>
          <w:rFonts w:ascii="Times New Roman" w:hAnsi="Times New Roman" w:cs="Times New Roman"/>
          <w:sz w:val="28"/>
          <w:szCs w:val="28"/>
        </w:rPr>
        <w:lastRenderedPageBreak/>
        <w:t xml:space="preserve">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Ragab,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w:t>
      </w:r>
      <w:r w:rsidRPr="00EC2D00">
        <w:rPr>
          <w:rFonts w:ascii="Times New Roman" w:hAnsi="Times New Roman" w:cs="Times New Roman"/>
          <w:sz w:val="28"/>
          <w:szCs w:val="28"/>
        </w:rPr>
        <w:lastRenderedPageBreak/>
        <w:t xml:space="preserve">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Peraica,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damage </w:t>
      </w:r>
      <w:r>
        <w:rPr>
          <w:rFonts w:ascii="Times New Roman" w:hAnsi="Times New Roman" w:cs="Times New Roman"/>
          <w:sz w:val="28"/>
          <w:szCs w:val="28"/>
        </w:rPr>
        <w:lastRenderedPageBreak/>
        <w:t xml:space="preserve">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w:t>
      </w:r>
      <w:r w:rsidR="001207AC">
        <w:rPr>
          <w:sz w:val="28"/>
          <w:szCs w:val="28"/>
        </w:rPr>
        <w:lastRenderedPageBreak/>
        <w:t>potency of toxin at different concentration</w:t>
      </w:r>
      <w:r>
        <w:rPr>
          <w:sz w:val="28"/>
          <w:szCs w:val="28"/>
        </w:rPr>
        <w:t xml:space="preserve">. While studies have established that </w:t>
      </w:r>
      <w:r>
        <w:rPr>
          <w:rStyle w:val="Emphasis"/>
          <w:sz w:val="28"/>
          <w:szCs w:val="28"/>
        </w:rPr>
        <w:t xml:space="preserve">Penicillium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w:t>
      </w:r>
      <w:r>
        <w:rPr>
          <w:sz w:val="28"/>
          <w:szCs w:val="28"/>
        </w:rPr>
        <w:lastRenderedPageBreak/>
        <w:t xml:space="preserve">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w:t>
      </w:r>
      <w:r>
        <w:rPr>
          <w:sz w:val="28"/>
          <w:szCs w:val="28"/>
        </w:rPr>
        <w:lastRenderedPageBreak/>
        <w:t xml:space="preserve">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patulin with other mycotoxins commonly found in food, as co-exposure may lead to synergistic toxic effects that are not well understood (Escobar et al., 2020). Furthermore, given the growing interest in natural and biological methods </w:t>
      </w:r>
      <w:r>
        <w:rPr>
          <w:sz w:val="28"/>
          <w:szCs w:val="28"/>
        </w:rPr>
        <w:lastRenderedPageBreak/>
        <w:t xml:space="preserve">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r>
        <w:rPr>
          <w:i/>
          <w:iCs/>
          <w:sz w:val="28"/>
          <w:szCs w:val="28"/>
        </w:rPr>
        <w:t>Penicillium</w:t>
      </w:r>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w:t>
      </w:r>
      <w:r>
        <w:rPr>
          <w:sz w:val="28"/>
          <w:szCs w:val="28"/>
        </w:rPr>
        <w:lastRenderedPageBreak/>
        <w:t xml:space="preserve">under which these fungi produce patulin, their impact on food safety, and their potential interaction with other 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w:t>
      </w:r>
      <w:r>
        <w:rPr>
          <w:sz w:val="28"/>
          <w:szCs w:val="28"/>
        </w:rPr>
        <w:lastRenderedPageBreak/>
        <w:t>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w:t>
      </w:r>
      <w:r>
        <w:rPr>
          <w:sz w:val="28"/>
          <w:szCs w:val="28"/>
        </w:rPr>
        <w:lastRenderedPageBreak/>
        <w:t xml:space="preserve">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w:t>
      </w:r>
      <w:proofErr w:type="spellStart"/>
      <w:r>
        <w:rPr>
          <w:sz w:val="28"/>
          <w:szCs w:val="28"/>
        </w:rPr>
        <w:t>immunotoxic</w:t>
      </w:r>
      <w:proofErr w:type="spellEnd"/>
      <w:r>
        <w:rPr>
          <w:sz w:val="28"/>
          <w:szCs w:val="28"/>
        </w:rPr>
        <w:t xml:space="preserve"> effects of </w:t>
      </w:r>
      <w:r w:rsidRPr="00B503E2">
        <w:rPr>
          <w:iCs/>
          <w:sz w:val="28"/>
          <w:szCs w:val="28"/>
        </w:rPr>
        <w:t>patulin</w:t>
      </w:r>
      <w:r w:rsidRPr="00B503E2">
        <w:rPr>
          <w:sz w:val="28"/>
          <w:szCs w:val="28"/>
        </w:rPr>
        <w:t xml:space="preserve"> </w:t>
      </w:r>
      <w:r>
        <w:rPr>
          <w:sz w:val="28"/>
          <w:szCs w:val="28"/>
        </w:rPr>
        <w:t xml:space="preserve">in animal models is crucial. Studies should 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w:t>
      </w:r>
      <w:r>
        <w:rPr>
          <w:sz w:val="28"/>
          <w:szCs w:val="28"/>
        </w:rPr>
        <w:lastRenderedPageBreak/>
        <w:t>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t xml:space="preserve">This research aim to address the gap in toxicological profiling of patulin by examining its pathological impact at varying concentrations on laboratory animals, thereby providing insights into safe exposure </w:t>
      </w:r>
      <w:r>
        <w:rPr>
          <w:sz w:val="28"/>
          <w:szCs w:val="28"/>
        </w:rPr>
        <w:lastRenderedPageBreak/>
        <w:t>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r w:rsidR="004764C4" w:rsidRPr="00AA25DA">
        <w:rPr>
          <w:rFonts w:ascii="Times New Roman" w:hAnsi="Times New Roman" w:cs="Times New Roman"/>
          <w:i/>
          <w:iCs/>
          <w:sz w:val="28"/>
          <w:szCs w:val="28"/>
        </w:rPr>
        <w:t>Penicillium</w:t>
      </w:r>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77777777" w:rsidR="00843793" w:rsidRPr="00EC2D00" w:rsidRDefault="00843793"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Pure fungal isolates grown on PDA were transferred into PDB in sterile flasks, placed on a rotary shaker for 3 days to stimulate mycelial growth and secondary metabolite production, then left undisturbed for 5 more days at room temperature to complete patulin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6C2EFB">
        <w:rPr>
          <w:rFonts w:ascii="Times New Roman" w:hAnsi="Times New Roman" w:cs="Times New Roman"/>
          <w:i/>
          <w:iCs/>
          <w:sz w:val="28"/>
          <w:szCs w:val="28"/>
        </w:rPr>
        <w:t xml:space="preserve">Penicillium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6F58ABE0" w:rsidR="004C00E4" w:rsidRPr="00EC2D00"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7"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w:t>
      </w:r>
      <w:r>
        <w:rPr>
          <w:rFonts w:ascii="Times New Roman" w:hAnsi="Times New Roman" w:cs="Times New Roman"/>
          <w:sz w:val="28"/>
          <w:szCs w:val="28"/>
        </w:rPr>
        <w:t>Showing microscopic view</w:t>
      </w:r>
      <w:r>
        <w:rPr>
          <w:rFonts w:ascii="Times New Roman" w:hAnsi="Times New Roman" w:cs="Times New Roman"/>
          <w:sz w:val="28"/>
          <w:szCs w:val="28"/>
        </w:rPr>
        <w:t xml:space="preserve">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6C27D225" w14:textId="77777777"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lastRenderedPageBreak/>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2"/>
        <w:gridCol w:w="1493"/>
        <w:gridCol w:w="2166"/>
        <w:gridCol w:w="1898"/>
        <w:gridCol w:w="1626"/>
        <w:gridCol w:w="2160"/>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0" w:name="_Hlk202154477"/>
            <w:r>
              <w:rPr>
                <w:rFonts w:ascii="Times New Roman" w:hAnsi="Times New Roman" w:cs="Times New Roman"/>
                <w:sz w:val="28"/>
                <w:szCs w:val="28"/>
              </w:rPr>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0"/>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lastRenderedPageBreak/>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Pr>
          <w:rFonts w:ascii="Times New Roman" w:hAnsi="Times New Roman" w:cs="Times New Roman"/>
          <w:sz w:val="28"/>
          <w:szCs w:val="28"/>
        </w:rPr>
        <w:t>3</w:t>
      </w:r>
      <w:r>
        <w:rPr>
          <w:rFonts w:ascii="Times New Roman" w:hAnsi="Times New Roman" w:cs="Times New Roman"/>
          <w:sz w:val="28"/>
          <w:szCs w:val="28"/>
        </w:rPr>
        <w:t>: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lastRenderedPageBreak/>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lastRenderedPageBreak/>
        <w:drawing>
          <wp:anchor distT="0" distB="0" distL="114300" distR="114300" simplePos="0" relativeHeight="251666432"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6A4936E7" w14:textId="77777777" w:rsidR="00C879C5" w:rsidRDefault="00C879C5" w:rsidP="00EC2D00">
      <w:pPr>
        <w:spacing w:line="480" w:lineRule="auto"/>
        <w:jc w:val="both"/>
        <w:rPr>
          <w:rFonts w:ascii="Times New Roman" w:hAnsi="Times New Roman" w:cs="Times New Roman"/>
          <w:sz w:val="28"/>
          <w:szCs w:val="28"/>
        </w:rPr>
      </w:pPr>
    </w:p>
    <w:p w14:paraId="15CC1A68" w14:textId="6AB0FA26" w:rsidR="00C879C5" w:rsidRDefault="00C879C5" w:rsidP="00EC2D00">
      <w:pPr>
        <w:spacing w:line="480" w:lineRule="auto"/>
        <w:jc w:val="both"/>
        <w:rPr>
          <w:rFonts w:ascii="Times New Roman" w:hAnsi="Times New Roman" w:cs="Times New Roman"/>
          <w:sz w:val="28"/>
          <w:szCs w:val="28"/>
        </w:rPr>
      </w:pPr>
    </w:p>
    <w:p w14:paraId="22798642" w14:textId="2B204E85" w:rsidR="0049560D" w:rsidRDefault="0049560D" w:rsidP="00EC2D00">
      <w:pPr>
        <w:spacing w:line="480" w:lineRule="auto"/>
        <w:jc w:val="both"/>
        <w:rPr>
          <w:rFonts w:ascii="Times New Roman" w:hAnsi="Times New Roman" w:cs="Times New Roman"/>
          <w:sz w:val="28"/>
          <w:szCs w:val="28"/>
        </w:rPr>
      </w:pPr>
    </w:p>
    <w:p w14:paraId="1171152B" w14:textId="3A45C5B9" w:rsidR="0049560D" w:rsidRDefault="0049560D" w:rsidP="00EC2D00">
      <w:pPr>
        <w:spacing w:line="480" w:lineRule="auto"/>
        <w:jc w:val="both"/>
        <w:rPr>
          <w:rFonts w:ascii="Times New Roman" w:hAnsi="Times New Roman" w:cs="Times New Roman"/>
          <w:sz w:val="28"/>
          <w:szCs w:val="28"/>
        </w:rPr>
      </w:pPr>
    </w:p>
    <w:p w14:paraId="21BF1F67" w14:textId="3C247A0D" w:rsidR="0049560D" w:rsidRDefault="0049560D" w:rsidP="00EC2D00">
      <w:pPr>
        <w:spacing w:line="480" w:lineRule="auto"/>
        <w:jc w:val="both"/>
        <w:rPr>
          <w:rFonts w:ascii="Times New Roman" w:hAnsi="Times New Roman" w:cs="Times New Roman"/>
          <w:sz w:val="28"/>
          <w:szCs w:val="28"/>
        </w:rPr>
      </w:pPr>
    </w:p>
    <w:p w14:paraId="5E6B1113" w14:textId="4C7AE343" w:rsidR="0049560D" w:rsidRDefault="0049560D" w:rsidP="00EC2D00">
      <w:pPr>
        <w:spacing w:line="480" w:lineRule="auto"/>
        <w:jc w:val="both"/>
        <w:rPr>
          <w:rFonts w:ascii="Times New Roman" w:hAnsi="Times New Roman" w:cs="Times New Roman"/>
          <w:sz w:val="28"/>
          <w:szCs w:val="28"/>
        </w:rPr>
      </w:pPr>
    </w:p>
    <w:p w14:paraId="216D679F" w14:textId="77777777" w:rsidR="0049560D" w:rsidRDefault="0049560D" w:rsidP="00EC2D00">
      <w:pPr>
        <w:spacing w:line="480" w:lineRule="auto"/>
        <w:jc w:val="both"/>
        <w:rPr>
          <w:rFonts w:ascii="Times New Roman" w:hAnsi="Times New Roman" w:cs="Times New Roman"/>
          <w:sz w:val="28"/>
          <w:szCs w:val="28"/>
        </w:rPr>
      </w:pPr>
      <w:bookmarkStart w:id="1" w:name="_GoBack"/>
      <w:bookmarkEnd w:id="1"/>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 xml:space="preserve">Penicillium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descriptions to confirm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red-coded rat (80% concentration) also displayed marked toxicity, including </w:t>
      </w:r>
      <w:r>
        <w:rPr>
          <w:rFonts w:ascii="Times New Roman" w:hAnsi="Times New Roman" w:cs="Times New Roman"/>
          <w:sz w:val="28"/>
          <w:szCs w:val="28"/>
        </w:rPr>
        <w:lastRenderedPageBreak/>
        <w:t>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w:t>
      </w:r>
      <w:r>
        <w:rPr>
          <w:rFonts w:ascii="Times New Roman" w:hAnsi="Times New Roman" w:cs="Times New Roman"/>
          <w:sz w:val="28"/>
          <w:szCs w:val="28"/>
        </w:rPr>
        <w:lastRenderedPageBreak/>
        <w:t>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confirms patulin’s toxic effects in albino rats, revealing dose-dependent weight loss, behavioral changes, and organ damage. The results </w:t>
      </w:r>
      <w:r>
        <w:rPr>
          <w:rFonts w:ascii="Times New Roman" w:hAnsi="Times New Roman" w:cs="Times New Roman"/>
          <w:sz w:val="28"/>
          <w:szCs w:val="28"/>
        </w:rPr>
        <w:lastRenderedPageBreak/>
        <w:t>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Alshannaq</w:t>
      </w:r>
      <w:proofErr w:type="spellEnd"/>
      <w:r>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041E10B6"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7777777" w:rsidR="00BC74E8" w:rsidRPr="008B420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Bonfante</w:t>
      </w:r>
      <w:proofErr w:type="spellEnd"/>
      <w:r>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Drusch</w:t>
      </w:r>
      <w:proofErr w:type="spellEnd"/>
      <w:r>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Escobar, I. E., Lopes, J. M., </w:t>
      </w:r>
      <w:proofErr w:type="spellStart"/>
      <w:r>
        <w:rPr>
          <w:rFonts w:ascii="Times New Roman" w:hAnsi="Times New Roman" w:cs="Times New Roman"/>
          <w:sz w:val="28"/>
          <w:szCs w:val="28"/>
        </w:rPr>
        <w:t>Muthukrishnan</w:t>
      </w:r>
      <w:proofErr w:type="spellEnd"/>
      <w:r>
        <w:rPr>
          <w:rFonts w:ascii="Times New Roman" w:hAnsi="Times New Roman" w:cs="Times New Roman"/>
          <w:sz w:val="28"/>
          <w:szCs w:val="28"/>
        </w:rPr>
        <w:t xml:space="preserve">, G., Smith, H., Hernandez, C., &amp; Dandekar, A. A. (2020). The role of enterotoxins in Staphylococcus aureus pathogenesis and </w:t>
      </w:r>
      <w:r>
        <w:rPr>
          <w:rFonts w:ascii="Times New Roman" w:hAnsi="Times New Roman" w:cs="Times New Roman"/>
          <w:sz w:val="28"/>
          <w:szCs w:val="28"/>
        </w:rPr>
        <w:lastRenderedPageBreak/>
        <w:t>host immune response. Infection and Immunity, 88(10), e00354-20. https://doi.org/10.1128/IAI.00354-20</w:t>
      </w:r>
    </w:p>
    <w:p w14:paraId="3B821199"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Eskola</w:t>
      </w:r>
      <w:proofErr w:type="spellEnd"/>
      <w:r>
        <w:rPr>
          <w:rFonts w:ascii="Times New Roman" w:hAnsi="Times New Roman" w:cs="Times New Roman"/>
          <w:sz w:val="28"/>
          <w:szCs w:val="28"/>
        </w:rPr>
        <w:t xml:space="preserve">, M., Kos, G., Elliott, C. T., </w:t>
      </w:r>
      <w:proofErr w:type="spellStart"/>
      <w:r>
        <w:rPr>
          <w:rFonts w:ascii="Times New Roman" w:hAnsi="Times New Roman" w:cs="Times New Roman"/>
          <w:sz w:val="28"/>
          <w:szCs w:val="28"/>
        </w:rPr>
        <w:t>Hajšlová</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Mayar</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Krska</w:t>
      </w:r>
      <w:proofErr w:type="spellEnd"/>
      <w:r>
        <w:rPr>
          <w:rFonts w:ascii="Times New Roman" w:hAnsi="Times New Roman" w:cs="Times New Roman"/>
          <w:sz w:val="28"/>
          <w:szCs w:val="28"/>
        </w:rPr>
        <w:t>, R. (2020). Worldwide contamination of food-crops with mycotoxins: Validity of the widely cited ‘FAO estimate’ of 25%. Critical Reviews in Food Science and Nutrition, 60(16), 2773-2789.</w:t>
      </w:r>
    </w:p>
    <w:p w14:paraId="07E9E67D"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Flajs</w:t>
      </w:r>
      <w:proofErr w:type="spellEnd"/>
      <w:r>
        <w:rPr>
          <w:rFonts w:ascii="Times New Roman" w:hAnsi="Times New Roman" w:cs="Times New Roman"/>
          <w:sz w:val="28"/>
          <w:szCs w:val="28"/>
        </w:rPr>
        <w:t>, D., &amp; Peraica, M. (2019). Mycotoxins in food: Detection, monitoring, and detoxification. Toxins, 11(6), 328.</w:t>
      </w:r>
    </w:p>
    <w:p w14:paraId="333BFCF6"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Forneris</w:t>
      </w:r>
      <w:proofErr w:type="spellEnd"/>
      <w:r>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Gonçalves, M., </w:t>
      </w:r>
      <w:proofErr w:type="spellStart"/>
      <w:r>
        <w:rPr>
          <w:rFonts w:ascii="Times New Roman" w:hAnsi="Times New Roman" w:cs="Times New Roman"/>
          <w:kern w:val="0"/>
          <w:sz w:val="28"/>
          <w:szCs w:val="28"/>
          <w14:ligatures w14:val="none"/>
        </w:rPr>
        <w:t>Wisecaver</w:t>
      </w:r>
      <w:proofErr w:type="spellEnd"/>
      <w:r>
        <w:rPr>
          <w:rFonts w:ascii="Times New Roman" w:hAnsi="Times New Roman" w:cs="Times New Roman"/>
          <w:kern w:val="0"/>
          <w:sz w:val="28"/>
          <w:szCs w:val="28"/>
          <w14:ligatures w14:val="none"/>
        </w:rPr>
        <w:t xml:space="preserve">, J. H., </w:t>
      </w:r>
      <w:proofErr w:type="spellStart"/>
      <w:r>
        <w:rPr>
          <w:rFonts w:ascii="Times New Roman" w:hAnsi="Times New Roman" w:cs="Times New Roman"/>
          <w:kern w:val="0"/>
          <w:sz w:val="28"/>
          <w:szCs w:val="28"/>
          <w14:ligatures w14:val="none"/>
        </w:rPr>
        <w:t>Kominek</w:t>
      </w:r>
      <w:proofErr w:type="spellEnd"/>
      <w:r>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Hayes, A. W., Phillips, T. D., Williams, W. L., &amp; </w:t>
      </w:r>
      <w:proofErr w:type="spellStart"/>
      <w:r>
        <w:rPr>
          <w:rFonts w:ascii="Times New Roman" w:hAnsi="Times New Roman" w:cs="Times New Roman"/>
          <w:sz w:val="28"/>
          <w:szCs w:val="28"/>
        </w:rPr>
        <w:t>Ciegler</w:t>
      </w:r>
      <w:proofErr w:type="spellEnd"/>
      <w:r>
        <w:rPr>
          <w:rFonts w:ascii="Times New Roman" w:hAnsi="Times New Roman" w:cs="Times New Roman"/>
          <w:sz w:val="28"/>
          <w:szCs w:val="28"/>
        </w:rPr>
        <w:t xml:space="preserve">, A. (1979). Acute toxicity of patulin in mice and rats. Toxicology, 13(1), 91–100. </w:t>
      </w:r>
    </w:p>
    <w:p w14:paraId="4A4FD43C"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proofErr w:type="spellStart"/>
      <w:r>
        <w:rPr>
          <w:rFonts w:ascii="Times New Roman" w:hAnsi="Times New Roman" w:cs="Times New Roman"/>
          <w:kern w:val="0"/>
          <w:sz w:val="28"/>
          <w:szCs w:val="28"/>
          <w14:ligatures w14:val="none"/>
        </w:rPr>
        <w:lastRenderedPageBreak/>
        <w:t>Houbraken</w:t>
      </w:r>
      <w:proofErr w:type="spellEnd"/>
      <w:r>
        <w:rPr>
          <w:rFonts w:ascii="Times New Roman" w:hAnsi="Times New Roman" w:cs="Times New Roman"/>
          <w:kern w:val="0"/>
          <w:sz w:val="28"/>
          <w:szCs w:val="28"/>
          <w14:ligatures w14:val="none"/>
        </w:rPr>
        <w:t xml:space="preserve">, J., </w:t>
      </w:r>
      <w:proofErr w:type="spellStart"/>
      <w:r>
        <w:rPr>
          <w:rFonts w:ascii="Times New Roman" w:hAnsi="Times New Roman" w:cs="Times New Roman"/>
          <w:kern w:val="0"/>
          <w:sz w:val="28"/>
          <w:szCs w:val="28"/>
          <w14:ligatures w14:val="none"/>
        </w:rPr>
        <w:t>Kocsubé</w:t>
      </w:r>
      <w:proofErr w:type="spellEnd"/>
      <w:r>
        <w:rPr>
          <w:rFonts w:ascii="Times New Roman" w:hAnsi="Times New Roman" w:cs="Times New Roman"/>
          <w:kern w:val="0"/>
          <w:sz w:val="28"/>
          <w:szCs w:val="28"/>
          <w14:ligatures w14:val="none"/>
        </w:rPr>
        <w:t xml:space="preserve">, S., Visagie, C. M., Yilmaz, N., &amp; </w:t>
      </w:r>
      <w:proofErr w:type="spellStart"/>
      <w:r>
        <w:rPr>
          <w:rFonts w:ascii="Times New Roman" w:hAnsi="Times New Roman" w:cs="Times New Roman"/>
          <w:kern w:val="0"/>
          <w:sz w:val="28"/>
          <w:szCs w:val="28"/>
          <w14:ligatures w14:val="none"/>
        </w:rPr>
        <w:t>Frisvad</w:t>
      </w:r>
      <w:proofErr w:type="spellEnd"/>
      <w:r>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A17BDB"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kern w:val="0"/>
          <w:sz w:val="28"/>
          <w:szCs w:val="28"/>
          <w14:ligatures w14:val="none"/>
        </w:rPr>
        <w:t xml:space="preserve">Hyde, K. D., Xu, J., </w:t>
      </w:r>
      <w:proofErr w:type="spellStart"/>
      <w:r>
        <w:rPr>
          <w:rFonts w:ascii="Times New Roman" w:hAnsi="Times New Roman" w:cs="Times New Roman"/>
          <w:kern w:val="0"/>
          <w:sz w:val="28"/>
          <w:szCs w:val="28"/>
          <w14:ligatures w14:val="none"/>
        </w:rPr>
        <w:t>Rapior</w:t>
      </w:r>
      <w:proofErr w:type="spellEnd"/>
      <w:r>
        <w:rPr>
          <w:rFonts w:ascii="Times New Roman" w:hAnsi="Times New Roman" w:cs="Times New Roman"/>
          <w:kern w:val="0"/>
          <w:sz w:val="28"/>
          <w:szCs w:val="28"/>
          <w14:ligatures w14:val="none"/>
        </w:rPr>
        <w:t xml:space="preserve">, S., </w:t>
      </w:r>
      <w:proofErr w:type="spellStart"/>
      <w:r>
        <w:rPr>
          <w:rFonts w:ascii="Times New Roman" w:hAnsi="Times New Roman" w:cs="Times New Roman"/>
          <w:kern w:val="0"/>
          <w:sz w:val="28"/>
          <w:szCs w:val="28"/>
          <w14:ligatures w14:val="none"/>
        </w:rPr>
        <w:t>Jeewon</w:t>
      </w:r>
      <w:proofErr w:type="spellEnd"/>
      <w:r>
        <w:rPr>
          <w:rFonts w:ascii="Times New Roman" w:hAnsi="Times New Roman" w:cs="Times New Roman"/>
          <w:kern w:val="0"/>
          <w:sz w:val="28"/>
          <w:szCs w:val="28"/>
          <w14:ligatures w14:val="none"/>
        </w:rPr>
        <w:t xml:space="preserve">, R., &amp; </w:t>
      </w:r>
      <w:proofErr w:type="spellStart"/>
      <w:r>
        <w:rPr>
          <w:rFonts w:ascii="Times New Roman" w:hAnsi="Times New Roman" w:cs="Times New Roman"/>
          <w:kern w:val="0"/>
          <w:sz w:val="28"/>
          <w:szCs w:val="28"/>
          <w14:ligatures w14:val="none"/>
        </w:rPr>
        <w:t>Lumyong</w:t>
      </w:r>
      <w:proofErr w:type="spellEnd"/>
      <w:r>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lastRenderedPageBreak/>
        <w:t>Kumar, S., Kaushik, N., Proffitt, E., &amp; Mehrotra, R. (2021). Fungal ecology and diversity in changing environments. Environmental Microbiology Reports, 13(1), 19–35.</w:t>
      </w:r>
    </w:p>
    <w:p w14:paraId="32B2A6E0"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Longcore</w:t>
      </w:r>
      <w:proofErr w:type="spellEnd"/>
      <w:r>
        <w:rPr>
          <w:rFonts w:ascii="Times New Roman" w:hAnsi="Times New Roman" w:cs="Times New Roman"/>
          <w:sz w:val="28"/>
          <w:szCs w:val="28"/>
        </w:rPr>
        <w:t xml:space="preserve">, J. E., </w:t>
      </w:r>
      <w:proofErr w:type="spellStart"/>
      <w:r>
        <w:rPr>
          <w:rFonts w:ascii="Times New Roman" w:hAnsi="Times New Roman" w:cs="Times New Roman"/>
          <w:sz w:val="28"/>
          <w:szCs w:val="28"/>
        </w:rPr>
        <w:t>Pessier</w:t>
      </w:r>
      <w:proofErr w:type="spellEnd"/>
      <w:r>
        <w:rPr>
          <w:rFonts w:ascii="Times New Roman" w:hAnsi="Times New Roman" w:cs="Times New Roman"/>
          <w:sz w:val="28"/>
          <w:szCs w:val="28"/>
        </w:rPr>
        <w:t xml:space="preserve">, A. P., &amp; Nichols, D. K. (2019). Batrachochytrium </w:t>
      </w:r>
      <w:proofErr w:type="spellStart"/>
      <w:r>
        <w:rPr>
          <w:rFonts w:ascii="Times New Roman" w:hAnsi="Times New Roman" w:cs="Times New Roman"/>
          <w:sz w:val="28"/>
          <w:szCs w:val="28"/>
        </w:rPr>
        <w:t>dendrobatidis</w:t>
      </w:r>
      <w:proofErr w:type="spellEnd"/>
      <w:r>
        <w:rPr>
          <w:rFonts w:ascii="Times New Roman" w:hAnsi="Times New Roman" w:cs="Times New Roman"/>
          <w:sz w:val="28"/>
          <w:szCs w:val="28"/>
        </w:rPr>
        <w:t>: A fungus linked to global amphibian declines. Journal of Wildlife Diseases, 55(3), 454–469.</w:t>
      </w:r>
    </w:p>
    <w:p w14:paraId="6AE5AD51"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Marin, S., Ramos, A. J., Cano-Sancho, G., &amp; </w:t>
      </w:r>
      <w:proofErr w:type="spellStart"/>
      <w:r>
        <w:rPr>
          <w:rFonts w:ascii="Times New Roman" w:hAnsi="Times New Roman" w:cs="Times New Roman"/>
          <w:sz w:val="28"/>
          <w:szCs w:val="28"/>
        </w:rPr>
        <w:t>Sanchis</w:t>
      </w:r>
      <w:proofErr w:type="spellEnd"/>
      <w:r>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McKinley, E. R., Carlton, W. W., &amp; Boon, G. D. (1982). Patulin mycotoxicosis in the rat: Toxicology, pathology and </w:t>
      </w:r>
      <w:r>
        <w:rPr>
          <w:rFonts w:ascii="Times New Roman" w:hAnsi="Times New Roman" w:cs="Times New Roman"/>
          <w:sz w:val="28"/>
          <w:szCs w:val="28"/>
        </w:rPr>
        <w:lastRenderedPageBreak/>
        <w:t xml:space="preserve">clinical pathology. Food and Chemical Toxicology, 20(3), 289–300. </w:t>
      </w:r>
    </w:p>
    <w:p w14:paraId="3BD7D43D"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M. M., Padilla-</w:t>
      </w:r>
      <w:proofErr w:type="spellStart"/>
      <w:r>
        <w:rPr>
          <w:rFonts w:ascii="Times New Roman" w:hAnsi="Times New Roman" w:cs="Times New Roman"/>
          <w:sz w:val="28"/>
          <w:szCs w:val="28"/>
        </w:rPr>
        <w:t>Zakour</w:t>
      </w:r>
      <w:proofErr w:type="spellEnd"/>
      <w:r>
        <w:rPr>
          <w:rFonts w:ascii="Times New Roman" w:hAnsi="Times New Roman" w:cs="Times New Roman"/>
          <w:sz w:val="28"/>
          <w:szCs w:val="28"/>
        </w:rPr>
        <w:t xml:space="preserve">, O. I., &amp; </w:t>
      </w:r>
      <w:proofErr w:type="spellStart"/>
      <w:r>
        <w:rPr>
          <w:rFonts w:ascii="Times New Roman" w:hAnsi="Times New Roman" w:cs="Times New Roman"/>
          <w:sz w:val="28"/>
          <w:szCs w:val="28"/>
        </w:rPr>
        <w:t>Worobo</w:t>
      </w:r>
      <w:proofErr w:type="spellEnd"/>
      <w:r>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Munkvold</w:t>
      </w:r>
      <w:proofErr w:type="spellEnd"/>
      <w:r>
        <w:rPr>
          <w:rFonts w:ascii="Times New Roman" w:hAnsi="Times New Roman" w:cs="Times New Roman"/>
          <w:sz w:val="28"/>
          <w:szCs w:val="28"/>
        </w:rPr>
        <w:t xml:space="preserve">, G. P., </w:t>
      </w:r>
      <w:proofErr w:type="spellStart"/>
      <w:r>
        <w:rPr>
          <w:rFonts w:ascii="Times New Roman" w:hAnsi="Times New Roman" w:cs="Times New Roman"/>
          <w:sz w:val="28"/>
          <w:szCs w:val="28"/>
        </w:rPr>
        <w:t>Ariño</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Mahuku</w:t>
      </w:r>
      <w:proofErr w:type="spellEnd"/>
      <w:r>
        <w:rPr>
          <w:rFonts w:ascii="Times New Roman" w:hAnsi="Times New Roman" w:cs="Times New Roman"/>
          <w:sz w:val="28"/>
          <w:szCs w:val="28"/>
        </w:rPr>
        <w:t xml:space="preserve">, G. (2019). </w:t>
      </w:r>
      <w:proofErr w:type="spellStart"/>
      <w:r>
        <w:rPr>
          <w:rFonts w:ascii="Times New Roman" w:hAnsi="Times New Roman" w:cs="Times New Roman"/>
          <w:sz w:val="28"/>
          <w:szCs w:val="28"/>
        </w:rPr>
        <w:t>Fumonisins</w:t>
      </w:r>
      <w:proofErr w:type="spellEnd"/>
      <w:r>
        <w:rPr>
          <w:rFonts w:ascii="Times New Roman" w:hAnsi="Times New Roman" w:cs="Times New Roman"/>
          <w:sz w:val="28"/>
          <w:szCs w:val="28"/>
        </w:rPr>
        <w:t xml:space="preserve"> and their implications in plant disease and food safety. Toxins, 11(6), 328.</w:t>
      </w:r>
    </w:p>
    <w:p w14:paraId="368F21F9"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Naranjo-Ortiz, M. A., &amp; </w:t>
      </w:r>
      <w:proofErr w:type="spellStart"/>
      <w:r>
        <w:rPr>
          <w:rFonts w:ascii="Times New Roman" w:hAnsi="Times New Roman" w:cs="Times New Roman"/>
          <w:sz w:val="28"/>
          <w:szCs w:val="28"/>
        </w:rPr>
        <w:t>Gabaldón</w:t>
      </w:r>
      <w:proofErr w:type="spellEnd"/>
      <w:r>
        <w:rPr>
          <w:rFonts w:ascii="Times New Roman" w:hAnsi="Times New Roman" w:cs="Times New Roman"/>
          <w:sz w:val="28"/>
          <w:szCs w:val="28"/>
        </w:rPr>
        <w:t>, T. (2019). Fungal evolution: Diversity, taxonomy, and phylogeny of the Fungi. Biological Reviews, 94(6), 2101–2137.</w:t>
      </w:r>
    </w:p>
    <w:p w14:paraId="2C1724AD"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Petzinger</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Weidenbach</w:t>
      </w:r>
      <w:proofErr w:type="spellEnd"/>
      <w:r>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Pfohl-Leszkowicz</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kern w:val="0"/>
          <w:sz w:val="28"/>
          <w:szCs w:val="28"/>
          <w14:ligatures w14:val="none"/>
        </w:rPr>
        <w:t>Puel</w:t>
      </w:r>
      <w:proofErr w:type="spellEnd"/>
      <w:r>
        <w:rPr>
          <w:rFonts w:ascii="Times New Roman" w:hAnsi="Times New Roman" w:cs="Times New Roman"/>
          <w:kern w:val="0"/>
          <w:sz w:val="28"/>
          <w:szCs w:val="28"/>
          <w14:ligatures w14:val="none"/>
        </w:rPr>
        <w:t xml:space="preserve">, O., </w:t>
      </w:r>
      <w:proofErr w:type="spellStart"/>
      <w:r>
        <w:rPr>
          <w:rFonts w:ascii="Times New Roman" w:hAnsi="Times New Roman" w:cs="Times New Roman"/>
          <w:kern w:val="0"/>
          <w:sz w:val="28"/>
          <w:szCs w:val="28"/>
          <w14:ligatures w14:val="none"/>
        </w:rPr>
        <w:t>Galtier</w:t>
      </w:r>
      <w:proofErr w:type="spellEnd"/>
      <w:r>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Galtier</w:t>
      </w:r>
      <w:proofErr w:type="spellEnd"/>
      <w:r>
        <w:rPr>
          <w:rFonts w:ascii="Times New Roman" w:hAnsi="Times New Roman" w:cs="Times New Roman"/>
          <w:sz w:val="28"/>
          <w:szCs w:val="28"/>
        </w:rPr>
        <w:t>, P., &amp; Oswald, I. P. (2018). Biosynthesis and toxicological effects of patulin. Toxins, 10(10), 406.</w:t>
      </w:r>
    </w:p>
    <w:p w14:paraId="378D85D5"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Riley, L. W., &amp; </w:t>
      </w:r>
      <w:proofErr w:type="spellStart"/>
      <w:r>
        <w:rPr>
          <w:rFonts w:ascii="Times New Roman" w:hAnsi="Times New Roman" w:cs="Times New Roman"/>
          <w:sz w:val="28"/>
          <w:szCs w:val="28"/>
        </w:rPr>
        <w:t>Norreed</w:t>
      </w:r>
      <w:proofErr w:type="spellEnd"/>
      <w:r>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15" w:history="1">
        <w:r>
          <w:rPr>
            <w:rStyle w:val="Hyperlink"/>
            <w:rFonts w:ascii="Times New Roman" w:hAnsi="Times New Roman" w:cs="Times New Roman"/>
            <w:sz w:val="28"/>
            <w:szCs w:val="28"/>
          </w:rPr>
          <w:t>https://doi.org/10.1128/JCM.00215-18</w:t>
        </w:r>
      </w:hyperlink>
    </w:p>
    <w:p w14:paraId="4B5400A3"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Smith, M. C., </w:t>
      </w:r>
      <w:proofErr w:type="spellStart"/>
      <w:r>
        <w:rPr>
          <w:rFonts w:ascii="Times New Roman" w:hAnsi="Times New Roman" w:cs="Times New Roman"/>
          <w:sz w:val="28"/>
          <w:szCs w:val="28"/>
        </w:rPr>
        <w:t>Madec</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Coton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Hymery</w:t>
      </w:r>
      <w:proofErr w:type="spellEnd"/>
      <w:r>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Spatafora</w:t>
      </w:r>
      <w:proofErr w:type="spellEnd"/>
      <w:r>
        <w:rPr>
          <w:rFonts w:ascii="Times New Roman" w:hAnsi="Times New Roman" w:cs="Times New Roman"/>
          <w:sz w:val="28"/>
          <w:szCs w:val="28"/>
        </w:rPr>
        <w:t xml:space="preserve">, J. W., Chang, Y., Benny, G. L., Lazarus, K., &amp; Smith, M. E. (2018). A phylum-level phylogenetic classification of fungi.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110(1), 1–12.</w:t>
      </w:r>
    </w:p>
    <w:p w14:paraId="2BD23655"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Speijers</w:t>
      </w:r>
      <w:proofErr w:type="spellEnd"/>
      <w:r>
        <w:rPr>
          <w:rFonts w:ascii="Times New Roman" w:hAnsi="Times New Roman" w:cs="Times New Roman"/>
          <w:sz w:val="28"/>
          <w:szCs w:val="28"/>
        </w:rPr>
        <w:t xml:space="preserve">, G. J. A., Franken, M. A. M., Van Leeuwen, F. X. R., &amp;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H. P. (1986). </w:t>
      </w:r>
      <w:proofErr w:type="spellStart"/>
      <w:r>
        <w:rPr>
          <w:rFonts w:ascii="Times New Roman" w:hAnsi="Times New Roman" w:cs="Times New Roman"/>
          <w:sz w:val="28"/>
          <w:szCs w:val="28"/>
        </w:rPr>
        <w:t>Subchronic</w:t>
      </w:r>
      <w:proofErr w:type="spellEnd"/>
      <w:r>
        <w:rPr>
          <w:rFonts w:ascii="Times New Roman" w:hAnsi="Times New Roman" w:cs="Times New Roman"/>
          <w:sz w:val="28"/>
          <w:szCs w:val="28"/>
        </w:rPr>
        <w:t xml:space="preserve"> oral toxicity study of patulin in the rat. </w:t>
      </w:r>
      <w:proofErr w:type="spellStart"/>
      <w:r>
        <w:rPr>
          <w:rFonts w:ascii="Times New Roman" w:hAnsi="Times New Roman" w:cs="Times New Roman"/>
          <w:sz w:val="28"/>
          <w:szCs w:val="28"/>
        </w:rPr>
        <w:t>Rijksinstituut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Volksgezondheid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Milieuhygiëne</w:t>
      </w:r>
      <w:proofErr w:type="spellEnd"/>
      <w:r>
        <w:rPr>
          <w:rFonts w:ascii="Times New Roman" w:hAnsi="Times New Roman" w:cs="Times New Roman"/>
          <w:sz w:val="28"/>
          <w:szCs w:val="28"/>
        </w:rPr>
        <w:t>, Report no. 618314 001.</w:t>
      </w:r>
    </w:p>
    <w:p w14:paraId="3A7B305F"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J., El Khoury, R., &amp; </w:t>
      </w:r>
      <w:proofErr w:type="spellStart"/>
      <w:r>
        <w:rPr>
          <w:rFonts w:ascii="Times New Roman" w:hAnsi="Times New Roman" w:cs="Times New Roman"/>
          <w:sz w:val="28"/>
          <w:szCs w:val="28"/>
        </w:rPr>
        <w:t>Atoui</w:t>
      </w:r>
      <w:proofErr w:type="spellEnd"/>
      <w:r>
        <w:rPr>
          <w:rFonts w:ascii="Times New Roman" w:hAnsi="Times New Roman" w:cs="Times New Roman"/>
          <w:sz w:val="28"/>
          <w:szCs w:val="28"/>
        </w:rPr>
        <w:t xml:space="preserve">, A. (2017). Patulin biosynthesis and regulation in Penicillium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A review. Microorganisms, 5(4), 49.</w:t>
      </w:r>
    </w:p>
    <w:p w14:paraId="22FB9005"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Turner, N. W., Subrahmanyam, S., &amp; </w:t>
      </w:r>
      <w:proofErr w:type="spellStart"/>
      <w:r>
        <w:rPr>
          <w:rFonts w:ascii="Times New Roman" w:hAnsi="Times New Roman" w:cs="Times New Roman"/>
          <w:sz w:val="28"/>
          <w:szCs w:val="28"/>
        </w:rPr>
        <w:t>Piletsky</w:t>
      </w:r>
      <w:proofErr w:type="spellEnd"/>
      <w:r>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Vanhoutte</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Audenaert</w:t>
      </w:r>
      <w:proofErr w:type="spellEnd"/>
      <w:r>
        <w:rPr>
          <w:rFonts w:ascii="Times New Roman" w:hAnsi="Times New Roman" w:cs="Times New Roman"/>
          <w:sz w:val="28"/>
          <w:szCs w:val="28"/>
        </w:rPr>
        <w:t xml:space="preserve">, K., &amp; De Gelder, L. (2017). Biocontrol of patulin-producing Penicillium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xml:space="preserve"> with antagonistic microorganisms in post-harvest apples. International Journal of Food Microbiology, 246, 31-39.</w:t>
      </w:r>
    </w:p>
    <w:p w14:paraId="1022D770"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Wang, Y., Zhang, X., Chen, L., Liu, Y., Zhao, X., Xu, M., &amp; Li, J. (2020). Prevalence and characterization of enterotoxin genes in Staphylococcus aureus isolates from food </w:t>
      </w:r>
      <w:r>
        <w:rPr>
          <w:rFonts w:ascii="Times New Roman" w:hAnsi="Times New Roman" w:cs="Times New Roman"/>
          <w:sz w:val="28"/>
          <w:szCs w:val="28"/>
        </w:rPr>
        <w:lastRenderedPageBreak/>
        <w:t xml:space="preserve">samples. Food Control, 113, 107164. </w:t>
      </w:r>
      <w:hyperlink r:id="rId16" w:history="1">
        <w:r>
          <w:rPr>
            <w:rStyle w:val="Hyperlink"/>
            <w:rFonts w:ascii="Times New Roman" w:hAnsi="Times New Roman" w:cs="Times New Roman"/>
            <w:sz w:val="28"/>
            <w:szCs w:val="28"/>
          </w:rPr>
          <w:t>https://doi.org/10.1016/j.foodcont.2020.107164</w:t>
        </w:r>
      </w:hyperlink>
    </w:p>
    <w:p w14:paraId="23AF9584" w14:textId="77777777" w:rsidR="00BC74E8"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 xml:space="preserve">Wu, S., </w:t>
      </w:r>
      <w:proofErr w:type="spellStart"/>
      <w:r>
        <w:rPr>
          <w:rFonts w:ascii="Times New Roman" w:hAnsi="Times New Roman" w:cs="Times New Roman"/>
          <w:sz w:val="28"/>
          <w:szCs w:val="28"/>
        </w:rPr>
        <w:t>Duan</w:t>
      </w:r>
      <w:proofErr w:type="spellEnd"/>
      <w:r>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17" w:history="1">
        <w:r>
          <w:rPr>
            <w:rStyle w:val="Hyperlink"/>
            <w:rFonts w:ascii="Times New Roman" w:hAnsi="Times New Roman" w:cs="Times New Roman"/>
            <w:sz w:val="28"/>
            <w:szCs w:val="28"/>
          </w:rPr>
          <w:t>https://doi.org/10.1080/10408398.2017.1372412</w:t>
        </w:r>
      </w:hyperlink>
    </w:p>
    <w:p w14:paraId="2207BAC7" w14:textId="77777777" w:rsidR="00BC74E8" w:rsidRDefault="00BC74E8" w:rsidP="004A2140">
      <w:pPr>
        <w:spacing w:after="0" w:line="480" w:lineRule="auto"/>
        <w:ind w:left="1440" w:right="720" w:hanging="72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Default="00BC74E8" w:rsidP="004A2140">
      <w:pPr>
        <w:spacing w:after="0" w:line="480" w:lineRule="auto"/>
        <w:ind w:left="1440" w:right="720" w:hanging="720"/>
        <w:jc w:val="both"/>
        <w:rPr>
          <w:rFonts w:ascii="Times New Roman" w:hAnsi="Times New Roman" w:cs="Times New Roman"/>
          <w:sz w:val="28"/>
          <w:szCs w:val="28"/>
        </w:rPr>
      </w:pPr>
      <w:proofErr w:type="spellStart"/>
      <w:r>
        <w:rPr>
          <w:rFonts w:ascii="Times New Roman" w:hAnsi="Times New Roman" w:cs="Times New Roman"/>
          <w:sz w:val="28"/>
          <w:szCs w:val="28"/>
        </w:rPr>
        <w:t>Zervakis</w:t>
      </w:r>
      <w:proofErr w:type="spellEnd"/>
      <w:r>
        <w:rPr>
          <w:rFonts w:ascii="Times New Roman" w:hAnsi="Times New Roman" w:cs="Times New Roman"/>
          <w:sz w:val="28"/>
          <w:szCs w:val="28"/>
        </w:rPr>
        <w:t xml:space="preserve">, G. I., </w:t>
      </w:r>
      <w:proofErr w:type="spellStart"/>
      <w:r>
        <w:rPr>
          <w:rFonts w:ascii="Times New Roman" w:hAnsi="Times New Roman" w:cs="Times New Roman"/>
          <w:sz w:val="28"/>
          <w:szCs w:val="28"/>
        </w:rPr>
        <w:t>Venturella</w:t>
      </w:r>
      <w:proofErr w:type="spellEnd"/>
      <w:r>
        <w:rPr>
          <w:rFonts w:ascii="Times New Roman" w:hAnsi="Times New Roman" w:cs="Times New Roman"/>
          <w:sz w:val="28"/>
          <w:szCs w:val="28"/>
        </w:rPr>
        <w:t xml:space="preserve">, G., &amp; </w:t>
      </w:r>
      <w:proofErr w:type="spellStart"/>
      <w:r>
        <w:rPr>
          <w:rFonts w:ascii="Times New Roman" w:hAnsi="Times New Roman" w:cs="Times New Roman"/>
          <w:sz w:val="28"/>
          <w:szCs w:val="28"/>
        </w:rPr>
        <w:t>Papazi</w:t>
      </w:r>
      <w:proofErr w:type="spellEnd"/>
      <w:r>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EC2D00" w:rsidRDefault="00BC74E8" w:rsidP="004A2140">
      <w:pPr>
        <w:spacing w:after="0" w:line="480" w:lineRule="auto"/>
        <w:ind w:left="1440" w:right="720" w:hanging="720"/>
        <w:jc w:val="both"/>
        <w:rPr>
          <w:rFonts w:ascii="Times New Roman" w:hAnsi="Times New Roman" w:cs="Times New Roman"/>
          <w:sz w:val="28"/>
          <w:szCs w:val="28"/>
        </w:rPr>
      </w:pPr>
      <w:r>
        <w:rPr>
          <w:rFonts w:ascii="Times New Roman" w:hAnsi="Times New Roman" w:cs="Times New Roman"/>
          <w:sz w:val="28"/>
          <w:szCs w:val="28"/>
        </w:rPr>
        <w:t>Zhang, K., Zhang, L., Pan, L., &amp; Zhang, W. (2021). A review of mycotoxin detection techniques in food. Food Chemistry, 353, 12944.</w:t>
      </w:r>
    </w:p>
    <w:sectPr w:rsidR="00BC74E8" w:rsidRPr="00EC2D00" w:rsidSect="00BC2C51">
      <w:footerReference w:type="even" r:id="rId18"/>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1798499"/>
      <w:docPartObj>
        <w:docPartGallery w:val="Page Numbers (Bottom of Page)"/>
        <w:docPartUnique/>
      </w:docPartObj>
    </w:sdtPr>
    <w:sdtEndPr>
      <w:rPr>
        <w:rStyle w:val="PageNumber"/>
      </w:rPr>
    </w:sdtEndPr>
    <w:sdtContent>
      <w:p w14:paraId="0641C5A1" w14:textId="10F597AE"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879C5">
          <w:rPr>
            <w:rStyle w:val="PageNumber"/>
            <w:noProof/>
          </w:rPr>
          <w:t>37</w:t>
        </w:r>
        <w:r>
          <w:rPr>
            <w:rStyle w:val="PageNumber"/>
          </w:rPr>
          <w:fldChar w:fldCharType="end"/>
        </w:r>
      </w:p>
    </w:sdtContent>
  </w:sdt>
  <w:p w14:paraId="7E9E6F32" w14:textId="77777777" w:rsidR="00445846" w:rsidRDefault="0044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15:docId w15:val="{7A62BFA7-F93F-4870-843F-AEE6E9A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doi.org/10.1080/10408398.2017.1372412" TargetMode="External"/><Relationship Id="rId2" Type="http://schemas.openxmlformats.org/officeDocument/2006/relationships/styles" Target="styles.xml"/><Relationship Id="rId16" Type="http://schemas.openxmlformats.org/officeDocument/2006/relationships/hyperlink" Target="https://doi.org/10.1016/j.foodcont.2020.107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128/JCM.00215-18" TargetMode="Externa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63894784"/>
        <c:axId val="163896320"/>
      </c:barChart>
      <c:catAx>
        <c:axId val="163894784"/>
        <c:scaling>
          <c:orientation val="minMax"/>
        </c:scaling>
        <c:delete val="0"/>
        <c:axPos val="b"/>
        <c:numFmt formatCode="General" sourceLinked="0"/>
        <c:majorTickMark val="none"/>
        <c:minorTickMark val="none"/>
        <c:tickLblPos val="nextTo"/>
        <c:crossAx val="163896320"/>
        <c:crosses val="autoZero"/>
        <c:auto val="1"/>
        <c:lblAlgn val="ctr"/>
        <c:lblOffset val="100"/>
        <c:noMultiLvlLbl val="0"/>
      </c:catAx>
      <c:valAx>
        <c:axId val="163896320"/>
        <c:scaling>
          <c:orientation val="minMax"/>
        </c:scaling>
        <c:delete val="0"/>
        <c:axPos val="l"/>
        <c:majorGridlines/>
        <c:numFmt formatCode="General" sourceLinked="1"/>
        <c:majorTickMark val="none"/>
        <c:minorTickMark val="none"/>
        <c:tickLblPos val="nextTo"/>
        <c:spPr>
          <a:ln w="12700">
            <a:noFill/>
          </a:ln>
        </c:spPr>
        <c:crossAx val="163894784"/>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4980</TotalTime>
  <Pages>44</Pages>
  <Words>6565</Words>
  <Characters>37426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371</cp:revision>
  <dcterms:created xsi:type="dcterms:W3CDTF">2025-04-17T13:50:00Z</dcterms:created>
  <dcterms:modified xsi:type="dcterms:W3CDTF">2025-06-29T23:01:00Z</dcterms:modified>
</cp:coreProperties>
</file>