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D89BF" w14:textId="77777777" w:rsidR="00284496" w:rsidRPr="00284496" w:rsidRDefault="00284496" w:rsidP="00284496">
      <w:pPr>
        <w:ind w:left="720"/>
        <w:jc w:val="center"/>
        <w:rPr>
          <w:rFonts w:ascii="Times New Roman" w:hAnsi="Times New Roman" w:cs="Times New Roman"/>
          <w:b/>
          <w:bCs/>
          <w:color w:val="000000" w:themeColor="text1"/>
          <w:sz w:val="32"/>
          <w:szCs w:val="32"/>
        </w:rPr>
      </w:pPr>
      <w:r w:rsidRPr="00284496">
        <w:rPr>
          <w:rFonts w:ascii="Times New Roman" w:hAnsi="Times New Roman" w:cs="Times New Roman"/>
          <w:b/>
          <w:bCs/>
          <w:color w:val="000000" w:themeColor="text1"/>
          <w:sz w:val="32"/>
          <w:szCs w:val="32"/>
        </w:rPr>
        <w:t>PROJECT RESEARCH WORK ON</w:t>
      </w:r>
    </w:p>
    <w:p w14:paraId="0D9A2188" w14:textId="31422B77" w:rsidR="00576867" w:rsidRDefault="008C2625" w:rsidP="00284496">
      <w:pPr>
        <w:ind w:left="72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      </w:t>
      </w:r>
    </w:p>
    <w:p w14:paraId="1E5220AE" w14:textId="77777777" w:rsidR="008C2625" w:rsidRDefault="008C2625" w:rsidP="00284496">
      <w:pPr>
        <w:ind w:left="720"/>
        <w:jc w:val="center"/>
        <w:rPr>
          <w:rFonts w:ascii="Times New Roman" w:hAnsi="Times New Roman" w:cs="Times New Roman"/>
          <w:b/>
          <w:bCs/>
          <w:color w:val="000000" w:themeColor="text1"/>
          <w:sz w:val="32"/>
          <w:szCs w:val="32"/>
        </w:rPr>
      </w:pPr>
    </w:p>
    <w:p w14:paraId="6D051A46" w14:textId="77777777" w:rsidR="00105EBB" w:rsidRPr="00105EBB" w:rsidRDefault="00105EBB" w:rsidP="00105EBB">
      <w:pPr>
        <w:ind w:firstLine="720"/>
        <w:jc w:val="center"/>
        <w:rPr>
          <w:rFonts w:ascii="Times New Roman" w:hAnsi="Times New Roman" w:cs="Times New Roman"/>
          <w:b/>
          <w:bCs/>
          <w:color w:val="000000" w:themeColor="text1"/>
          <w:sz w:val="32"/>
          <w:szCs w:val="32"/>
        </w:rPr>
      </w:pPr>
      <w:r w:rsidRPr="00105EBB">
        <w:rPr>
          <w:rFonts w:ascii="Times New Roman" w:hAnsi="Times New Roman" w:cs="Times New Roman"/>
          <w:b/>
          <w:bCs/>
          <w:color w:val="000000" w:themeColor="text1"/>
          <w:sz w:val="32"/>
          <w:szCs w:val="32"/>
        </w:rPr>
        <w:t>IDENTIFICATION OF HYDROTHERMAL ALTERATION ZONES AND ITS RELATION TO MINERAL DEPOSITS OVER ISANLU ISIN, NORTHCENTRAL, NIGERIA</w:t>
      </w:r>
    </w:p>
    <w:p w14:paraId="77CDCE49" w14:textId="77777777" w:rsidR="00105EBB" w:rsidRDefault="00105EBB" w:rsidP="00105EBB">
      <w:pPr>
        <w:ind w:firstLine="720"/>
        <w:jc w:val="center"/>
        <w:rPr>
          <w:rFonts w:ascii="Monotype Corsiva" w:hAnsi="Monotype Corsiva"/>
          <w:b/>
          <w:color w:val="000000" w:themeColor="text1"/>
          <w:sz w:val="32"/>
          <w:szCs w:val="32"/>
        </w:rPr>
      </w:pPr>
    </w:p>
    <w:p w14:paraId="2D6FC513" w14:textId="77777777" w:rsidR="00EB1C58" w:rsidRPr="0048087C" w:rsidRDefault="00105EBB" w:rsidP="0048087C">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w:t>
      </w:r>
      <w:r w:rsidR="0048087C">
        <w:rPr>
          <w:rFonts w:ascii="Monotype Corsiva" w:hAnsi="Monotype Corsiva"/>
          <w:b/>
          <w:color w:val="000000" w:themeColor="text1"/>
          <w:sz w:val="40"/>
          <w:szCs w:val="40"/>
        </w:rPr>
        <w:t>Y:</w:t>
      </w:r>
      <w:r w:rsidR="00EB1C58">
        <w:rPr>
          <w:rFonts w:ascii="Times New Roman" w:hAnsi="Times New Roman" w:cs="Times New Roman"/>
          <w:b/>
          <w:bCs/>
          <w:sz w:val="24"/>
          <w:szCs w:val="24"/>
        </w:rPr>
        <w:tab/>
      </w:r>
      <w:r w:rsidR="00EB1C58">
        <w:rPr>
          <w:rFonts w:ascii="Times New Roman" w:hAnsi="Times New Roman" w:cs="Times New Roman"/>
          <w:b/>
          <w:bCs/>
          <w:sz w:val="24"/>
          <w:szCs w:val="24"/>
        </w:rPr>
        <w:tab/>
      </w:r>
      <w:r w:rsidR="00EB1C58">
        <w:rPr>
          <w:rFonts w:ascii="Times New Roman" w:hAnsi="Times New Roman" w:cs="Times New Roman"/>
          <w:b/>
          <w:bCs/>
          <w:sz w:val="24"/>
          <w:szCs w:val="24"/>
        </w:rPr>
        <w:tab/>
      </w:r>
    </w:p>
    <w:p w14:paraId="32BC9947" w14:textId="45D393A6" w:rsidR="000A1525" w:rsidRDefault="000A1525" w:rsidP="00EB1C58">
      <w:pPr>
        <w:spacing w:after="0" w:line="24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0068016F">
        <w:rPr>
          <w:rFonts w:ascii="Times New Roman" w:hAnsi="Times New Roman" w:cs="Times New Roman"/>
          <w:b/>
          <w:bCs/>
          <w:sz w:val="24"/>
          <w:szCs w:val="24"/>
        </w:rPr>
        <w:t xml:space="preserve">        </w:t>
      </w:r>
      <w:r w:rsidR="009E71E4">
        <w:rPr>
          <w:rFonts w:ascii="Times New Roman" w:hAnsi="Times New Roman" w:cs="Times New Roman"/>
          <w:b/>
          <w:bCs/>
          <w:sz w:val="24"/>
          <w:szCs w:val="24"/>
        </w:rPr>
        <w:t xml:space="preserve">     </w:t>
      </w:r>
      <w:r w:rsidR="0068016F">
        <w:rPr>
          <w:rFonts w:ascii="Times New Roman" w:hAnsi="Times New Roman" w:cs="Times New Roman"/>
          <w:b/>
          <w:bCs/>
          <w:sz w:val="24"/>
          <w:szCs w:val="24"/>
        </w:rPr>
        <w:t xml:space="preserve"> </w:t>
      </w:r>
      <w:r>
        <w:rPr>
          <w:rFonts w:ascii="Times New Roman" w:hAnsi="Times New Roman" w:cs="Times New Roman"/>
          <w:b/>
          <w:bCs/>
          <w:sz w:val="24"/>
          <w:szCs w:val="24"/>
        </w:rPr>
        <w:t>JIMOH ROFIAT AJOKE</w:t>
      </w:r>
      <w:r w:rsidR="00EB1C58" w:rsidRPr="00EB1C58">
        <w:rPr>
          <w:rFonts w:ascii="Times New Roman" w:hAnsi="Times New Roman" w:cs="Times New Roman"/>
          <w:b/>
          <w:bCs/>
          <w:sz w:val="24"/>
          <w:szCs w:val="24"/>
        </w:rPr>
        <w:t xml:space="preserve"> </w:t>
      </w:r>
      <w:r w:rsidR="00EB1C58">
        <w:rPr>
          <w:rFonts w:ascii="Times New Roman" w:hAnsi="Times New Roman" w:cs="Times New Roman"/>
          <w:b/>
          <w:bCs/>
          <w:sz w:val="24"/>
          <w:szCs w:val="24"/>
        </w:rPr>
        <w:tab/>
      </w:r>
      <w:r w:rsidR="00EB1C58">
        <w:rPr>
          <w:rFonts w:ascii="Times New Roman" w:hAnsi="Times New Roman" w:cs="Times New Roman"/>
          <w:b/>
          <w:bCs/>
          <w:sz w:val="24"/>
          <w:szCs w:val="24"/>
        </w:rPr>
        <w:tab/>
      </w:r>
      <w:r w:rsidR="00EB1C58">
        <w:rPr>
          <w:rFonts w:ascii="Times New Roman" w:hAnsi="Times New Roman" w:cs="Times New Roman"/>
          <w:b/>
          <w:bCs/>
          <w:sz w:val="24"/>
          <w:szCs w:val="24"/>
        </w:rPr>
        <w:tab/>
      </w:r>
      <w:r>
        <w:rPr>
          <w:rFonts w:ascii="Times New Roman" w:hAnsi="Times New Roman" w:cs="Times New Roman"/>
          <w:b/>
          <w:bCs/>
          <w:sz w:val="24"/>
          <w:szCs w:val="24"/>
        </w:rPr>
        <w:t xml:space="preserve">  </w:t>
      </w:r>
    </w:p>
    <w:p w14:paraId="33E83BCD" w14:textId="5890BE78" w:rsidR="00EB1C58" w:rsidRPr="000A1525" w:rsidRDefault="000A1525" w:rsidP="000A1525">
      <w:pPr>
        <w:pStyle w:val="ListParagraph"/>
        <w:spacing w:after="0" w:line="240" w:lineRule="auto"/>
        <w:ind w:left="1440"/>
        <w:rPr>
          <w:rFonts w:ascii="Times New Roman" w:hAnsi="Times New Roman" w:cs="Times New Roman"/>
          <w:b/>
          <w:bCs/>
          <w:sz w:val="24"/>
          <w:szCs w:val="24"/>
        </w:rPr>
      </w:pPr>
      <w:r>
        <w:rPr>
          <w:rFonts w:ascii="Times New Roman" w:hAnsi="Times New Roman" w:cs="Times New Roman"/>
          <w:b/>
          <w:bCs/>
          <w:sz w:val="24"/>
          <w:szCs w:val="24"/>
        </w:rPr>
        <w:t xml:space="preserve">      </w:t>
      </w:r>
      <w:r w:rsidR="0068016F">
        <w:rPr>
          <w:rFonts w:ascii="Times New Roman" w:hAnsi="Times New Roman" w:cs="Times New Roman"/>
          <w:b/>
          <w:bCs/>
          <w:sz w:val="24"/>
          <w:szCs w:val="24"/>
        </w:rPr>
        <w:t xml:space="preserve">        </w:t>
      </w:r>
      <w:r w:rsidR="009E71E4">
        <w:rPr>
          <w:rFonts w:ascii="Times New Roman" w:hAnsi="Times New Roman" w:cs="Times New Roman"/>
          <w:b/>
          <w:bCs/>
          <w:sz w:val="24"/>
          <w:szCs w:val="24"/>
        </w:rPr>
        <w:t xml:space="preserve">      </w:t>
      </w:r>
      <w:r w:rsidR="00EB1C58" w:rsidRPr="000A1525">
        <w:rPr>
          <w:rFonts w:ascii="Times New Roman" w:hAnsi="Times New Roman" w:cs="Times New Roman"/>
          <w:b/>
          <w:bCs/>
          <w:sz w:val="24"/>
          <w:szCs w:val="24"/>
        </w:rPr>
        <w:t>HND/23/SLT/FT/</w:t>
      </w:r>
      <w:r w:rsidRPr="000A1525">
        <w:rPr>
          <w:rFonts w:ascii="Times New Roman" w:hAnsi="Times New Roman" w:cs="Times New Roman"/>
          <w:b/>
          <w:bCs/>
          <w:sz w:val="24"/>
          <w:szCs w:val="24"/>
        </w:rPr>
        <w:t>0784</w:t>
      </w:r>
    </w:p>
    <w:p w14:paraId="6F4AEF67" w14:textId="77777777" w:rsidR="00105EBB" w:rsidRDefault="00105EBB" w:rsidP="00105EBB">
      <w:pPr>
        <w:spacing w:after="0" w:line="240" w:lineRule="auto"/>
        <w:jc w:val="center"/>
        <w:rPr>
          <w:rFonts w:ascii="Eras Light ITC" w:hAnsi="Eras Light ITC"/>
          <w:b/>
          <w:color w:val="000000" w:themeColor="text1"/>
          <w:sz w:val="24"/>
          <w:szCs w:val="24"/>
        </w:rPr>
      </w:pPr>
    </w:p>
    <w:p w14:paraId="28CF2AA5" w14:textId="77777777" w:rsidR="00B70D54" w:rsidRDefault="00B70D54" w:rsidP="00105EBB">
      <w:pPr>
        <w:spacing w:after="0" w:line="240" w:lineRule="auto"/>
        <w:jc w:val="center"/>
        <w:rPr>
          <w:rFonts w:ascii="Eras Light ITC" w:hAnsi="Eras Light ITC"/>
          <w:b/>
          <w:color w:val="000000" w:themeColor="text1"/>
          <w:sz w:val="24"/>
          <w:szCs w:val="24"/>
        </w:rPr>
      </w:pPr>
    </w:p>
    <w:p w14:paraId="2EA3C8E5" w14:textId="77777777" w:rsidR="00B70D54" w:rsidRPr="004F199F" w:rsidRDefault="00B70D54" w:rsidP="00105EBB">
      <w:pPr>
        <w:spacing w:after="0" w:line="240" w:lineRule="auto"/>
        <w:jc w:val="center"/>
        <w:rPr>
          <w:rFonts w:ascii="Eras Light ITC" w:hAnsi="Eras Light ITC"/>
          <w:b/>
          <w:color w:val="000000" w:themeColor="text1"/>
          <w:sz w:val="24"/>
          <w:szCs w:val="24"/>
        </w:rPr>
      </w:pPr>
    </w:p>
    <w:p w14:paraId="5C5EC192" w14:textId="77777777" w:rsidR="00105EBB" w:rsidRPr="004F199F" w:rsidRDefault="00105EBB" w:rsidP="00105EBB">
      <w:pPr>
        <w:pStyle w:val="NoSpacing"/>
        <w:jc w:val="center"/>
        <w:rPr>
          <w:rFonts w:ascii="Algerian" w:hAnsi="Algerian"/>
          <w:b/>
          <w:color w:val="000000" w:themeColor="text1"/>
          <w:sz w:val="26"/>
          <w:szCs w:val="28"/>
        </w:rPr>
      </w:pPr>
      <w:bookmarkStart w:id="0" w:name="_Hlk145587188"/>
      <w:r w:rsidRPr="004F199F">
        <w:rPr>
          <w:rFonts w:ascii="Algerian" w:hAnsi="Algerian"/>
          <w:b/>
          <w:color w:val="000000" w:themeColor="text1"/>
          <w:sz w:val="26"/>
          <w:szCs w:val="28"/>
        </w:rPr>
        <w:t xml:space="preserve">BEING A PROJECT REPORT </w:t>
      </w:r>
      <w:bookmarkEnd w:id="0"/>
      <w:r w:rsidRPr="004F199F">
        <w:rPr>
          <w:rFonts w:ascii="Algerian" w:hAnsi="Algerian"/>
          <w:b/>
          <w:color w:val="000000" w:themeColor="text1"/>
          <w:sz w:val="26"/>
          <w:szCs w:val="28"/>
        </w:rPr>
        <w:t>SUBMITTED TO THE DEPARTMENT OF SCIENCE LABORATORY TECHNOLOGY (PHYSICS/ELECTRONIC</w:t>
      </w:r>
      <w:r w:rsidR="002100CD">
        <w:rPr>
          <w:rFonts w:ascii="Algerian" w:hAnsi="Algerian"/>
          <w:b/>
          <w:color w:val="000000" w:themeColor="text1"/>
          <w:sz w:val="26"/>
          <w:szCs w:val="28"/>
        </w:rPr>
        <w:t>S</w:t>
      </w:r>
      <w:r w:rsidRPr="004F199F">
        <w:rPr>
          <w:rFonts w:ascii="Algerian" w:hAnsi="Algerian"/>
          <w:b/>
          <w:color w:val="000000" w:themeColor="text1"/>
          <w:sz w:val="26"/>
          <w:szCs w:val="28"/>
        </w:rPr>
        <w:t xml:space="preserve"> UNIT), INSTITUTE OF APPLIED SCIENCES, KWARA STATE POLYTECHNIC ILORIN</w:t>
      </w:r>
    </w:p>
    <w:p w14:paraId="3A34E9B6" w14:textId="77777777" w:rsidR="00105EBB" w:rsidRPr="004F199F" w:rsidRDefault="00105EBB" w:rsidP="00105EBB">
      <w:pPr>
        <w:pStyle w:val="NoSpacing"/>
        <w:jc w:val="center"/>
        <w:rPr>
          <w:rFonts w:ascii="Algerian" w:hAnsi="Algerian"/>
          <w:b/>
          <w:color w:val="000000" w:themeColor="text1"/>
          <w:sz w:val="26"/>
          <w:szCs w:val="28"/>
        </w:rPr>
      </w:pPr>
    </w:p>
    <w:p w14:paraId="1AF6C5A2" w14:textId="77777777" w:rsidR="00105EBB" w:rsidRPr="004F199F" w:rsidRDefault="00105EBB" w:rsidP="00105EBB">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14:paraId="08089B84" w14:textId="77777777" w:rsidR="00105EBB" w:rsidRPr="004F199F" w:rsidRDefault="00105EBB" w:rsidP="00105EBB">
      <w:pPr>
        <w:spacing w:line="240" w:lineRule="auto"/>
        <w:rPr>
          <w:rFonts w:ascii="Monotype Corsiva" w:hAnsi="Monotype Corsiva" w:cs="Tahoma"/>
          <w:b/>
          <w:color w:val="000000" w:themeColor="text1"/>
          <w:sz w:val="2"/>
        </w:rPr>
      </w:pPr>
    </w:p>
    <w:p w14:paraId="4D42CB41" w14:textId="77777777" w:rsidR="00105EBB" w:rsidRPr="004F199F" w:rsidRDefault="00105EBB" w:rsidP="00105EBB">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14:paraId="167C4E37" w14:textId="77777777" w:rsidR="00105EBB" w:rsidRPr="004F199F" w:rsidRDefault="00105EBB" w:rsidP="00105EBB">
      <w:pPr>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t>CERTIFICATION</w:t>
      </w:r>
    </w:p>
    <w:p w14:paraId="39D1400A" w14:textId="518515F4" w:rsidR="00105EBB" w:rsidRPr="004F199F" w:rsidRDefault="00105EBB" w:rsidP="00105EBB">
      <w:pPr>
        <w:spacing w:line="360" w:lineRule="auto"/>
        <w:ind w:firstLine="720"/>
        <w:jc w:val="both"/>
        <w:rPr>
          <w:rFonts w:ascii="Times New Roman" w:hAnsi="Times New Roman" w:cs="Times New Roman"/>
          <w:b/>
          <w:color w:val="000000" w:themeColor="text1"/>
          <w:sz w:val="24"/>
          <w:szCs w:val="24"/>
        </w:rPr>
      </w:pPr>
      <w:bookmarkStart w:id="1" w:name="_Hlk145587243"/>
      <w:bookmarkStart w:id="2" w:name="_Hlk172645585"/>
      <w:r w:rsidRPr="004F199F">
        <w:rPr>
          <w:rFonts w:ascii="Times New Roman" w:hAnsi="Times New Roman" w:cs="Times New Roman"/>
          <w:color w:val="000000" w:themeColor="text1"/>
          <w:sz w:val="24"/>
          <w:szCs w:val="24"/>
        </w:rPr>
        <w:t xml:space="preserve">This is to certify that </w:t>
      </w:r>
      <w:bookmarkEnd w:id="1"/>
      <w:r w:rsidRPr="004F199F">
        <w:rPr>
          <w:rFonts w:ascii="Times New Roman" w:hAnsi="Times New Roman" w:cs="Times New Roman"/>
          <w:color w:val="000000" w:themeColor="text1"/>
          <w:sz w:val="24"/>
          <w:szCs w:val="24"/>
        </w:rPr>
        <w:t>th</w:t>
      </w:r>
      <w:r w:rsidR="002772AE">
        <w:rPr>
          <w:rFonts w:ascii="Times New Roman" w:hAnsi="Times New Roman" w:cs="Times New Roman"/>
          <w:color w:val="000000" w:themeColor="text1"/>
          <w:sz w:val="24"/>
          <w:szCs w:val="24"/>
        </w:rPr>
        <w:t xml:space="preserve">e </w:t>
      </w:r>
      <w:r w:rsidRPr="004F199F">
        <w:rPr>
          <w:rFonts w:ascii="Times New Roman" w:hAnsi="Times New Roman" w:cs="Times New Roman"/>
          <w:color w:val="000000" w:themeColor="text1"/>
          <w:sz w:val="24"/>
          <w:szCs w:val="24"/>
        </w:rPr>
        <w:t>project</w:t>
      </w:r>
      <w:r w:rsidR="002772AE">
        <w:rPr>
          <w:rFonts w:ascii="Times New Roman" w:hAnsi="Times New Roman" w:cs="Times New Roman"/>
          <w:color w:val="000000" w:themeColor="text1"/>
          <w:sz w:val="24"/>
          <w:szCs w:val="24"/>
        </w:rPr>
        <w:t xml:space="preserve"> </w:t>
      </w:r>
      <w:r w:rsidR="002C2A35">
        <w:rPr>
          <w:rFonts w:ascii="Times New Roman" w:hAnsi="Times New Roman" w:cs="Times New Roman"/>
          <w:color w:val="000000" w:themeColor="text1"/>
          <w:sz w:val="24"/>
          <w:szCs w:val="24"/>
        </w:rPr>
        <w:t>titled</w:t>
      </w:r>
      <w:r w:rsidR="002772AE">
        <w:rPr>
          <w:rFonts w:ascii="Times New Roman" w:hAnsi="Times New Roman" w:cs="Times New Roman"/>
          <w:color w:val="000000" w:themeColor="text1"/>
          <w:sz w:val="24"/>
          <w:szCs w:val="24"/>
        </w:rPr>
        <w:t xml:space="preserve"> </w:t>
      </w:r>
      <w:r w:rsidR="00C20D53">
        <w:rPr>
          <w:rFonts w:ascii="Times New Roman" w:hAnsi="Times New Roman" w:cs="Times New Roman"/>
          <w:color w:val="000000" w:themeColor="text1"/>
          <w:sz w:val="24"/>
          <w:szCs w:val="24"/>
        </w:rPr>
        <w:t>IDENTIFICATION OF HYDROTHERMAL ALT</w:t>
      </w:r>
      <w:r w:rsidR="00C1161B">
        <w:rPr>
          <w:rFonts w:ascii="Times New Roman" w:hAnsi="Times New Roman" w:cs="Times New Roman"/>
          <w:color w:val="000000" w:themeColor="text1"/>
          <w:sz w:val="24"/>
          <w:szCs w:val="24"/>
        </w:rPr>
        <w:t xml:space="preserve">ERATION ZONES AND ITS RELATION TO MINERAL DEPOSITS OVER </w:t>
      </w:r>
      <w:r w:rsidR="005F58B9">
        <w:rPr>
          <w:rFonts w:ascii="Times New Roman" w:hAnsi="Times New Roman" w:cs="Times New Roman"/>
          <w:color w:val="000000" w:themeColor="text1"/>
          <w:sz w:val="24"/>
          <w:szCs w:val="24"/>
        </w:rPr>
        <w:t>ISANLU ISIN,</w:t>
      </w:r>
      <w:r w:rsidR="00836737">
        <w:rPr>
          <w:rFonts w:ascii="Times New Roman" w:hAnsi="Times New Roman" w:cs="Times New Roman"/>
          <w:color w:val="000000" w:themeColor="text1"/>
          <w:sz w:val="24"/>
          <w:szCs w:val="24"/>
        </w:rPr>
        <w:t xml:space="preserve">NORTH-CENTRAL,NIGERIA </w:t>
      </w:r>
      <w:r w:rsidRPr="004F199F">
        <w:rPr>
          <w:rFonts w:ascii="Times New Roman" w:hAnsi="Times New Roman" w:cs="Times New Roman"/>
          <w:color w:val="000000" w:themeColor="text1"/>
          <w:sz w:val="24"/>
          <w:szCs w:val="24"/>
        </w:rPr>
        <w:t>was</w:t>
      </w:r>
      <w:r w:rsidR="00BF1ADC">
        <w:rPr>
          <w:rFonts w:ascii="Times New Roman" w:hAnsi="Times New Roman" w:cs="Times New Roman"/>
          <w:color w:val="000000" w:themeColor="text1"/>
          <w:sz w:val="24"/>
          <w:szCs w:val="24"/>
        </w:rPr>
        <w:t xml:space="preserve"> successfully written and submitted by </w:t>
      </w:r>
      <w:r w:rsidR="008C2625">
        <w:rPr>
          <w:rFonts w:ascii="Times New Roman" w:hAnsi="Times New Roman" w:cs="Times New Roman"/>
          <w:color w:val="000000" w:themeColor="text1"/>
          <w:sz w:val="24"/>
          <w:szCs w:val="24"/>
        </w:rPr>
        <w:t>JIMOH ROFIAT AJOKE</w:t>
      </w:r>
      <w:r w:rsidR="00EC18CB">
        <w:rPr>
          <w:rFonts w:ascii="Times New Roman" w:hAnsi="Times New Roman" w:cs="Times New Roman"/>
          <w:color w:val="000000" w:themeColor="text1"/>
          <w:sz w:val="24"/>
          <w:szCs w:val="24"/>
        </w:rPr>
        <w:t xml:space="preserve"> with </w:t>
      </w:r>
      <w:proofErr w:type="spellStart"/>
      <w:r w:rsidR="00EC18CB">
        <w:rPr>
          <w:rFonts w:ascii="Times New Roman" w:hAnsi="Times New Roman" w:cs="Times New Roman"/>
          <w:color w:val="000000" w:themeColor="text1"/>
          <w:sz w:val="24"/>
          <w:szCs w:val="24"/>
        </w:rPr>
        <w:t>matric</w:t>
      </w:r>
      <w:proofErr w:type="spellEnd"/>
      <w:r w:rsidR="00EC18CB">
        <w:rPr>
          <w:rFonts w:ascii="Times New Roman" w:hAnsi="Times New Roman" w:cs="Times New Roman"/>
          <w:color w:val="000000" w:themeColor="text1"/>
          <w:sz w:val="24"/>
          <w:szCs w:val="24"/>
        </w:rPr>
        <w:t xml:space="preserve"> number HND/23/SLT/FT/0</w:t>
      </w:r>
      <w:r w:rsidR="008C2625">
        <w:rPr>
          <w:rFonts w:ascii="Times New Roman" w:hAnsi="Times New Roman" w:cs="Times New Roman"/>
          <w:color w:val="000000" w:themeColor="text1"/>
          <w:sz w:val="24"/>
          <w:szCs w:val="24"/>
        </w:rPr>
        <w:t>784</w:t>
      </w:r>
      <w:r w:rsidRPr="004F199F">
        <w:rPr>
          <w:rFonts w:ascii="Times New Roman" w:hAnsi="Times New Roman" w:cs="Times New Roman"/>
          <w:color w:val="000000" w:themeColor="text1"/>
          <w:sz w:val="24"/>
          <w:szCs w:val="24"/>
        </w:rPr>
        <w:t xml:space="preserve"> </w:t>
      </w:r>
      <w:r w:rsidR="00581C33">
        <w:rPr>
          <w:rFonts w:ascii="Times New Roman" w:hAnsi="Times New Roman" w:cs="Times New Roman"/>
          <w:color w:val="000000" w:themeColor="text1"/>
          <w:sz w:val="24"/>
          <w:szCs w:val="24"/>
        </w:rPr>
        <w:t xml:space="preserve">submitted </w:t>
      </w:r>
      <w:r w:rsidRPr="004F199F">
        <w:rPr>
          <w:rFonts w:ascii="Times New Roman" w:hAnsi="Times New Roman" w:cs="Times New Roman"/>
          <w:color w:val="000000" w:themeColor="text1"/>
          <w:sz w:val="24"/>
          <w:szCs w:val="24"/>
        </w:rPr>
        <w:t xml:space="preserve">to the Department of Science Laboratory Technology, Physics/Electronics unit, Institute of Applied Science (IAS), Kwara State Polytechnic, Ilorin, in partial </w:t>
      </w:r>
      <w:r w:rsidR="005870D0" w:rsidRPr="004F199F">
        <w:rPr>
          <w:rFonts w:ascii="Times New Roman" w:hAnsi="Times New Roman" w:cs="Times New Roman"/>
          <w:color w:val="000000" w:themeColor="text1"/>
          <w:sz w:val="24"/>
          <w:szCs w:val="24"/>
        </w:rPr>
        <w:t>fulfillment</w:t>
      </w:r>
      <w:r w:rsidRPr="004F199F">
        <w:rPr>
          <w:rFonts w:ascii="Times New Roman" w:hAnsi="Times New Roman" w:cs="Times New Roman"/>
          <w:color w:val="000000" w:themeColor="text1"/>
          <w:sz w:val="24"/>
          <w:szCs w:val="24"/>
        </w:rPr>
        <w:t xml:space="preserve"> for the requirement of the award of Higher National Diploma (HND) in Science Laboratory Technology (SLT).</w:t>
      </w:r>
    </w:p>
    <w:bookmarkEnd w:id="2"/>
    <w:p w14:paraId="2B9291FB" w14:textId="77777777" w:rsidR="00105EBB" w:rsidRPr="004F199F" w:rsidRDefault="00105EBB" w:rsidP="00105EBB">
      <w:pPr>
        <w:spacing w:line="240" w:lineRule="auto"/>
        <w:rPr>
          <w:rFonts w:ascii="Times New Roman" w:hAnsi="Times New Roman" w:cs="Times New Roman"/>
          <w:color w:val="000000" w:themeColor="text1"/>
          <w:sz w:val="24"/>
          <w:szCs w:val="24"/>
        </w:rPr>
      </w:pPr>
    </w:p>
    <w:p w14:paraId="30F71590" w14:textId="77777777" w:rsidR="00105EBB" w:rsidRPr="004F199F" w:rsidRDefault="00105EBB" w:rsidP="00105EBB">
      <w:pPr>
        <w:spacing w:line="240" w:lineRule="auto"/>
        <w:rPr>
          <w:rFonts w:ascii="Times New Roman" w:hAnsi="Times New Roman" w:cs="Times New Roman"/>
          <w:color w:val="000000" w:themeColor="text1"/>
          <w:sz w:val="24"/>
          <w:szCs w:val="24"/>
        </w:rPr>
      </w:pPr>
    </w:p>
    <w:p w14:paraId="120304D1"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18DC6EB1" w14:textId="77777777" w:rsidR="00105EBB" w:rsidRPr="004F199F" w:rsidRDefault="00105EBB" w:rsidP="00105EBB">
      <w:pPr>
        <w:spacing w:after="0" w:line="240" w:lineRule="auto"/>
        <w:rPr>
          <w:rFonts w:ascii="Times New Roman" w:hAnsi="Times New Roman" w:cs="Times New Roman"/>
          <w:b/>
          <w:i/>
          <w:iCs/>
          <w:color w:val="000000" w:themeColor="text1"/>
          <w:sz w:val="24"/>
          <w:szCs w:val="24"/>
        </w:rPr>
      </w:pPr>
      <w:r w:rsidRPr="004F199F">
        <w:rPr>
          <w:rFonts w:ascii="Times New Roman" w:hAnsi="Times New Roman" w:cs="Times New Roman"/>
          <w:b/>
          <w:color w:val="000000" w:themeColor="text1"/>
          <w:sz w:val="24"/>
          <w:szCs w:val="24"/>
        </w:rPr>
        <w:t>Dr.</w:t>
      </w:r>
      <w:r>
        <w:rPr>
          <w:rFonts w:ascii="Times New Roman" w:hAnsi="Times New Roman" w:cs="Times New Roman"/>
          <w:b/>
          <w:color w:val="000000" w:themeColor="text1"/>
          <w:sz w:val="24"/>
          <w:szCs w:val="24"/>
        </w:rPr>
        <w:t xml:space="preserve"> 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p>
    <w:p w14:paraId="5B8F2895"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14:paraId="1E14C362"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1D98459E"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75B38F05"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04829DBE"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p>
    <w:p w14:paraId="21EA3D4B"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323E33B9"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F1093D">
        <w:rPr>
          <w:rFonts w:ascii="Times New Roman" w:hAnsi="Times New Roman" w:cs="Times New Roman"/>
          <w:b/>
          <w:sz w:val="24"/>
          <w:szCs w:val="24"/>
        </w:rPr>
        <w:t xml:space="preserve">Mr. </w:t>
      </w:r>
      <w:proofErr w:type="spellStart"/>
      <w:r w:rsidRPr="00F1093D">
        <w:rPr>
          <w:rFonts w:ascii="Times New Roman" w:hAnsi="Times New Roman" w:cs="Times New Roman"/>
          <w:b/>
          <w:sz w:val="24"/>
          <w:szCs w:val="24"/>
        </w:rPr>
        <w:t>Salahu</w:t>
      </w:r>
      <w:proofErr w:type="spellEnd"/>
      <w:r w:rsidRPr="00F1093D">
        <w:rPr>
          <w:rFonts w:ascii="Times New Roman" w:hAnsi="Times New Roman" w:cs="Times New Roman"/>
          <w:b/>
          <w:sz w:val="24"/>
          <w:szCs w:val="24"/>
        </w:rPr>
        <w:t xml:space="preserve"> </w:t>
      </w:r>
      <w:proofErr w:type="spellStart"/>
      <w:r w:rsidRPr="00F1093D">
        <w:rPr>
          <w:rFonts w:ascii="Times New Roman" w:hAnsi="Times New Roman" w:cs="Times New Roman"/>
          <w:b/>
          <w:sz w:val="24"/>
          <w:szCs w:val="24"/>
        </w:rPr>
        <w:t>Bashir</w:t>
      </w:r>
      <w:proofErr w:type="spellEnd"/>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Date</w:t>
      </w:r>
    </w:p>
    <w:p w14:paraId="17531301"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Pr="00D468F3">
        <w:rPr>
          <w:rFonts w:ascii="Times New Roman" w:hAnsi="Times New Roman" w:cs="Times New Roman"/>
          <w:i/>
          <w:color w:val="000000" w:themeColor="text1"/>
          <w:sz w:val="24"/>
          <w:szCs w:val="24"/>
        </w:rPr>
        <w:t>Physic/Electronics</w:t>
      </w:r>
    </w:p>
    <w:p w14:paraId="690CDC30"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2D67FA93"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0904AAC7"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131851D0"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270750E9"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5EB7C4E6"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Dr. </w:t>
      </w:r>
      <w:proofErr w:type="spellStart"/>
      <w:r w:rsidRPr="000470B2">
        <w:rPr>
          <w:rFonts w:ascii="Times New Roman" w:hAnsi="Times New Roman" w:cs="Times New Roman"/>
          <w:b/>
          <w:color w:val="000000" w:themeColor="text1"/>
          <w:sz w:val="24"/>
          <w:szCs w:val="24"/>
        </w:rPr>
        <w:t>Abdulkareem</w:t>
      </w:r>
      <w:proofErr w:type="spellEnd"/>
      <w:r w:rsidRPr="000470B2">
        <w:rPr>
          <w:rFonts w:ascii="Times New Roman" w:hAnsi="Times New Roman" w:cs="Times New Roman"/>
          <w:b/>
          <w:color w:val="000000" w:themeColor="text1"/>
          <w:sz w:val="24"/>
          <w:szCs w:val="24"/>
        </w:rPr>
        <w:t xml:space="preserve"> Usman</w:t>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 xml:space="preserve"> Date</w:t>
      </w:r>
    </w:p>
    <w:p w14:paraId="4B09859E"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Pr>
          <w:rFonts w:ascii="Times New Roman" w:hAnsi="Times New Roman" w:cs="Times New Roman"/>
          <w:i/>
          <w:color w:val="000000" w:themeColor="text1"/>
          <w:sz w:val="24"/>
          <w:szCs w:val="24"/>
        </w:rPr>
        <w:t xml:space="preserve"> (SLT)</w:t>
      </w:r>
    </w:p>
    <w:p w14:paraId="4757E4FA"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11F817DA"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75B7AF2E"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22C85F44"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7BFB6839"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76DA5F92"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14:paraId="32915076"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0BC8926A"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28A5B44A"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7802552B"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0C8A4E1B"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 xml:space="preserve">DEDICATION </w:t>
      </w:r>
    </w:p>
    <w:p w14:paraId="30E32279" w14:textId="587CC030" w:rsidR="00105EBB" w:rsidRPr="00EE561E" w:rsidRDefault="0044259C" w:rsidP="00105EB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w:t>
      </w:r>
      <w:r w:rsidR="00E31078">
        <w:rPr>
          <w:rFonts w:ascii="Times New Roman" w:hAnsi="Times New Roman" w:cs="Times New Roman"/>
          <w:color w:val="000000" w:themeColor="text1"/>
          <w:sz w:val="24"/>
          <w:szCs w:val="24"/>
        </w:rPr>
        <w:t xml:space="preserve"> project </w:t>
      </w:r>
      <w:r>
        <w:rPr>
          <w:rFonts w:ascii="Times New Roman" w:hAnsi="Times New Roman" w:cs="Times New Roman"/>
          <w:color w:val="000000" w:themeColor="text1"/>
          <w:sz w:val="24"/>
          <w:szCs w:val="24"/>
        </w:rPr>
        <w:t xml:space="preserve">is dedicated </w:t>
      </w:r>
      <w:r w:rsidR="00E31078">
        <w:rPr>
          <w:rFonts w:ascii="Times New Roman" w:hAnsi="Times New Roman" w:cs="Times New Roman"/>
          <w:color w:val="000000" w:themeColor="text1"/>
          <w:sz w:val="24"/>
          <w:szCs w:val="24"/>
        </w:rPr>
        <w:t>to Almighty</w:t>
      </w:r>
      <w:r>
        <w:rPr>
          <w:rFonts w:ascii="Times New Roman" w:hAnsi="Times New Roman" w:cs="Times New Roman"/>
          <w:color w:val="000000" w:themeColor="text1"/>
          <w:sz w:val="24"/>
          <w:szCs w:val="24"/>
        </w:rPr>
        <w:t xml:space="preserve"> GOD</w:t>
      </w:r>
      <w:r w:rsidR="00E31078">
        <w:rPr>
          <w:rFonts w:ascii="Times New Roman" w:hAnsi="Times New Roman" w:cs="Times New Roman"/>
          <w:color w:val="000000" w:themeColor="text1"/>
          <w:sz w:val="24"/>
          <w:szCs w:val="24"/>
        </w:rPr>
        <w:t xml:space="preserve"> </w:t>
      </w:r>
      <w:r w:rsidR="00EE561E">
        <w:rPr>
          <w:rFonts w:ascii="Times New Roman" w:hAnsi="Times New Roman" w:cs="Times New Roman"/>
          <w:color w:val="000000" w:themeColor="text1"/>
          <w:sz w:val="24"/>
          <w:szCs w:val="24"/>
        </w:rPr>
        <w:t xml:space="preserve">for his infinite mercy and grace.My outmost gratitude goes to my parents </w:t>
      </w:r>
      <w:r w:rsidR="00EE561E" w:rsidRPr="00EE561E">
        <w:rPr>
          <w:rFonts w:ascii="Times New Roman" w:hAnsi="Times New Roman" w:cs="Times New Roman"/>
          <w:b/>
          <w:bCs/>
          <w:color w:val="000000" w:themeColor="text1"/>
          <w:sz w:val="24"/>
          <w:szCs w:val="24"/>
        </w:rPr>
        <w:t>MR&amp;MRS JIMOH</w:t>
      </w:r>
      <w:r w:rsidR="00EE561E">
        <w:rPr>
          <w:rFonts w:ascii="Times New Roman" w:hAnsi="Times New Roman" w:cs="Times New Roman"/>
          <w:b/>
          <w:bCs/>
          <w:color w:val="000000" w:themeColor="text1"/>
          <w:sz w:val="24"/>
          <w:szCs w:val="24"/>
        </w:rPr>
        <w:t xml:space="preserve"> </w:t>
      </w:r>
      <w:r w:rsidR="00EE561E">
        <w:rPr>
          <w:rFonts w:ascii="Times New Roman" w:hAnsi="Times New Roman" w:cs="Times New Roman"/>
          <w:color w:val="000000" w:themeColor="text1"/>
          <w:sz w:val="24"/>
          <w:szCs w:val="24"/>
        </w:rPr>
        <w:t>for their parental support all through this academic journey.</w:t>
      </w:r>
    </w:p>
    <w:p w14:paraId="6EDFD1B6" w14:textId="77777777" w:rsidR="00105EBB" w:rsidRDefault="00105EBB" w:rsidP="00105EBB">
      <w:pPr>
        <w:jc w:val="center"/>
        <w:rPr>
          <w:rFonts w:ascii="Times New Roman" w:hAnsi="Times New Roman" w:cs="Times New Roman"/>
          <w:b/>
          <w:color w:val="000000" w:themeColor="text1"/>
          <w:sz w:val="24"/>
          <w:szCs w:val="24"/>
        </w:rPr>
      </w:pPr>
    </w:p>
    <w:p w14:paraId="365E1659" w14:textId="77777777" w:rsidR="0083086B" w:rsidRPr="004F199F" w:rsidRDefault="0083086B" w:rsidP="00105EBB">
      <w:pPr>
        <w:jc w:val="center"/>
        <w:rPr>
          <w:rFonts w:ascii="Times New Roman" w:hAnsi="Times New Roman" w:cs="Times New Roman"/>
          <w:b/>
          <w:color w:val="000000" w:themeColor="text1"/>
          <w:sz w:val="24"/>
          <w:szCs w:val="24"/>
        </w:rPr>
      </w:pPr>
    </w:p>
    <w:p w14:paraId="1B7D1F3E" w14:textId="77777777" w:rsidR="00105EBB" w:rsidRPr="004F199F" w:rsidRDefault="00105EBB" w:rsidP="00105EBB">
      <w:pPr>
        <w:jc w:val="center"/>
        <w:rPr>
          <w:rFonts w:ascii="Times New Roman" w:hAnsi="Times New Roman" w:cs="Times New Roman"/>
          <w:b/>
          <w:color w:val="000000" w:themeColor="text1"/>
          <w:sz w:val="24"/>
          <w:szCs w:val="24"/>
        </w:rPr>
      </w:pPr>
      <w:bookmarkStart w:id="3" w:name="_Hlk146530912"/>
      <w:r w:rsidRPr="004F199F">
        <w:rPr>
          <w:rFonts w:ascii="Times New Roman" w:hAnsi="Times New Roman" w:cs="Times New Roman"/>
          <w:b/>
          <w:color w:val="000000" w:themeColor="text1"/>
          <w:sz w:val="24"/>
          <w:szCs w:val="24"/>
        </w:rPr>
        <w:t>ACKNOWLEDGEMENT</w:t>
      </w:r>
    </w:p>
    <w:p w14:paraId="260D9E9C" w14:textId="31E6F341" w:rsidR="00917D4E" w:rsidRDefault="00917D4E" w:rsidP="00105EBB">
      <w:pPr>
        <w:spacing w:line="360" w:lineRule="auto"/>
        <w:ind w:firstLine="720"/>
        <w:jc w:val="both"/>
        <w:rPr>
          <w:rFonts w:ascii="Times New Roman" w:hAnsi="Times New Roman" w:cs="Times New Roman"/>
          <w:sz w:val="24"/>
          <w:szCs w:val="24"/>
        </w:rPr>
      </w:pPr>
      <w:bookmarkStart w:id="4" w:name="_Hlk172645730"/>
      <w:bookmarkEnd w:id="3"/>
      <w:r>
        <w:rPr>
          <w:rFonts w:ascii="Times New Roman" w:hAnsi="Times New Roman" w:cs="Times New Roman"/>
          <w:sz w:val="24"/>
          <w:szCs w:val="24"/>
        </w:rPr>
        <w:t xml:space="preserve">I express my sincere appreciation to GOD the most high for his mercy, goodness and love towards the successful completion of my academic </w:t>
      </w:r>
      <w:r w:rsidR="00AF4EF7">
        <w:rPr>
          <w:rFonts w:ascii="Times New Roman" w:hAnsi="Times New Roman" w:cs="Times New Roman"/>
          <w:sz w:val="24"/>
          <w:szCs w:val="24"/>
        </w:rPr>
        <w:t>pursuit. Glory be to GOD.</w:t>
      </w:r>
    </w:p>
    <w:p w14:paraId="4C7F676E" w14:textId="7C43BC44" w:rsidR="00105EBB" w:rsidRPr="00C13398" w:rsidRDefault="006E2DDB"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105EBB" w:rsidRPr="00C13398">
        <w:rPr>
          <w:rFonts w:ascii="Times New Roman" w:hAnsi="Times New Roman" w:cs="Times New Roman"/>
          <w:sz w:val="24"/>
          <w:szCs w:val="24"/>
        </w:rPr>
        <w:t xml:space="preserve"> heartily appreciate my wonderful supervisor, </w:t>
      </w:r>
      <w:r w:rsidR="00105EBB" w:rsidRPr="00C13398">
        <w:rPr>
          <w:rFonts w:ascii="Times New Roman" w:hAnsi="Times New Roman" w:cs="Times New Roman"/>
          <w:b/>
          <w:sz w:val="24"/>
          <w:szCs w:val="24"/>
        </w:rPr>
        <w:t>Dr. Sunday A.J.</w:t>
      </w:r>
      <w:r w:rsidR="00105EBB" w:rsidRPr="00C13398">
        <w:rPr>
          <w:rFonts w:ascii="Times New Roman" w:hAnsi="Times New Roman" w:cs="Times New Roman"/>
          <w:sz w:val="24"/>
          <w:szCs w:val="24"/>
        </w:rPr>
        <w:t xml:space="preserve"> for th</w:t>
      </w:r>
      <w:r>
        <w:rPr>
          <w:rFonts w:ascii="Times New Roman" w:hAnsi="Times New Roman" w:cs="Times New Roman"/>
          <w:sz w:val="24"/>
          <w:szCs w:val="24"/>
        </w:rPr>
        <w:t xml:space="preserve">e </w:t>
      </w:r>
      <w:r w:rsidR="00105EBB" w:rsidRPr="00C13398">
        <w:rPr>
          <w:rFonts w:ascii="Times New Roman" w:hAnsi="Times New Roman" w:cs="Times New Roman"/>
          <w:sz w:val="24"/>
          <w:szCs w:val="24"/>
        </w:rPr>
        <w:t xml:space="preserve"> selfless efforts, support, advise, encouragement, training and criticism during the exercise of this research. May all your dreams come true</w:t>
      </w:r>
      <w:r w:rsidR="00AF4EF7">
        <w:rPr>
          <w:rFonts w:ascii="Times New Roman" w:hAnsi="Times New Roman" w:cs="Times New Roman"/>
          <w:sz w:val="24"/>
          <w:szCs w:val="24"/>
        </w:rPr>
        <w:t>.</w:t>
      </w:r>
    </w:p>
    <w:p w14:paraId="4EAFBFC0" w14:textId="18671E69" w:rsidR="00105EBB" w:rsidRPr="007103F6" w:rsidRDefault="00406DB0"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00892040">
        <w:rPr>
          <w:rFonts w:ascii="Times New Roman" w:hAnsi="Times New Roman" w:cs="Times New Roman"/>
          <w:sz w:val="24"/>
          <w:szCs w:val="24"/>
        </w:rPr>
        <w:t xml:space="preserve">appreciation also </w:t>
      </w:r>
      <w:r>
        <w:rPr>
          <w:rFonts w:ascii="Times New Roman" w:hAnsi="Times New Roman" w:cs="Times New Roman"/>
          <w:sz w:val="24"/>
          <w:szCs w:val="24"/>
        </w:rPr>
        <w:t xml:space="preserve"> goes to my </w:t>
      </w:r>
      <w:r w:rsidR="004A19A5">
        <w:rPr>
          <w:rFonts w:ascii="Times New Roman" w:hAnsi="Times New Roman" w:cs="Times New Roman"/>
          <w:sz w:val="24"/>
          <w:szCs w:val="24"/>
        </w:rPr>
        <w:t>parents</w:t>
      </w:r>
      <w:r>
        <w:rPr>
          <w:rFonts w:ascii="Times New Roman" w:hAnsi="Times New Roman" w:cs="Times New Roman"/>
          <w:sz w:val="24"/>
          <w:szCs w:val="24"/>
        </w:rPr>
        <w:t xml:space="preserve"> </w:t>
      </w:r>
      <w:r w:rsidRPr="00281A70">
        <w:rPr>
          <w:rFonts w:ascii="Times New Roman" w:hAnsi="Times New Roman" w:cs="Times New Roman"/>
          <w:b/>
          <w:bCs/>
          <w:sz w:val="24"/>
          <w:szCs w:val="24"/>
        </w:rPr>
        <w:t>MR</w:t>
      </w:r>
      <w:r w:rsidR="004A19A5" w:rsidRPr="00281A70">
        <w:rPr>
          <w:rFonts w:ascii="Times New Roman" w:hAnsi="Times New Roman" w:cs="Times New Roman"/>
          <w:b/>
          <w:bCs/>
          <w:sz w:val="24"/>
          <w:szCs w:val="24"/>
        </w:rPr>
        <w:t xml:space="preserve"> &amp; MRS</w:t>
      </w:r>
      <w:r w:rsidRPr="00281A70">
        <w:rPr>
          <w:rFonts w:ascii="Times New Roman" w:hAnsi="Times New Roman" w:cs="Times New Roman"/>
          <w:b/>
          <w:bCs/>
          <w:sz w:val="24"/>
          <w:szCs w:val="24"/>
        </w:rPr>
        <w:t xml:space="preserve"> </w:t>
      </w:r>
      <w:r w:rsidR="00AF4EF7">
        <w:rPr>
          <w:rFonts w:ascii="Times New Roman" w:hAnsi="Times New Roman" w:cs="Times New Roman"/>
          <w:b/>
          <w:bCs/>
          <w:sz w:val="24"/>
          <w:szCs w:val="24"/>
        </w:rPr>
        <w:t>JIMOH</w:t>
      </w:r>
      <w:r w:rsidRPr="00281A70">
        <w:rPr>
          <w:rFonts w:ascii="Times New Roman" w:hAnsi="Times New Roman" w:cs="Times New Roman"/>
          <w:b/>
          <w:bCs/>
          <w:sz w:val="24"/>
          <w:szCs w:val="24"/>
        </w:rPr>
        <w:t xml:space="preserve"> </w:t>
      </w:r>
      <w:r w:rsidR="00BA0462">
        <w:rPr>
          <w:rFonts w:ascii="Times New Roman" w:hAnsi="Times New Roman" w:cs="Times New Roman"/>
          <w:b/>
          <w:bCs/>
          <w:sz w:val="24"/>
          <w:szCs w:val="24"/>
        </w:rPr>
        <w:t xml:space="preserve"> </w:t>
      </w:r>
      <w:r w:rsidR="007103F6" w:rsidRPr="007103F6">
        <w:rPr>
          <w:rFonts w:ascii="Times New Roman" w:hAnsi="Times New Roman" w:cs="Times New Roman"/>
          <w:sz w:val="24"/>
          <w:szCs w:val="24"/>
        </w:rPr>
        <w:t>fo</w:t>
      </w:r>
      <w:r w:rsidR="007103F6">
        <w:rPr>
          <w:rFonts w:ascii="Times New Roman" w:hAnsi="Times New Roman" w:cs="Times New Roman"/>
          <w:sz w:val="24"/>
          <w:szCs w:val="24"/>
        </w:rPr>
        <w:t>r their constant encouragement</w:t>
      </w:r>
      <w:r w:rsidR="00BA0462">
        <w:rPr>
          <w:rFonts w:ascii="Times New Roman" w:hAnsi="Times New Roman" w:cs="Times New Roman"/>
          <w:sz w:val="24"/>
          <w:szCs w:val="24"/>
        </w:rPr>
        <w:t>, patience, love and understanding.May you reap the fruits of your labor.</w:t>
      </w:r>
    </w:p>
    <w:p w14:paraId="475C0BF4" w14:textId="5BDA245E" w:rsidR="000542E7" w:rsidRDefault="000542E7"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Special </w:t>
      </w:r>
      <w:r w:rsidR="007A31B4">
        <w:rPr>
          <w:rFonts w:ascii="Times New Roman" w:hAnsi="Times New Roman" w:cs="Times New Roman"/>
          <w:sz w:val="24"/>
          <w:szCs w:val="24"/>
        </w:rPr>
        <w:t xml:space="preserve">gratitude goes to my </w:t>
      </w:r>
      <w:r w:rsidR="00082254">
        <w:rPr>
          <w:rFonts w:ascii="Times New Roman" w:hAnsi="Times New Roman" w:cs="Times New Roman"/>
          <w:sz w:val="24"/>
          <w:szCs w:val="24"/>
        </w:rPr>
        <w:t xml:space="preserve">siblings, friends and colleagues.i am grateful for your support </w:t>
      </w:r>
      <w:r w:rsidR="00311504">
        <w:rPr>
          <w:rFonts w:ascii="Times New Roman" w:hAnsi="Times New Roman" w:cs="Times New Roman"/>
          <w:sz w:val="24"/>
          <w:szCs w:val="24"/>
        </w:rPr>
        <w:t>for the past few years especially during the course of study.</w:t>
      </w:r>
    </w:p>
    <w:bookmarkEnd w:id="4"/>
    <w:p w14:paraId="6A665619" w14:textId="19B76198" w:rsidR="00105EBB" w:rsidRDefault="005E2D10" w:rsidP="00B70D54">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To the entire academic &amp; non academic staff of the department, I am grateful for your kind support.</w:t>
      </w:r>
    </w:p>
    <w:p w14:paraId="7301EA1A" w14:textId="77777777" w:rsidR="00105EBB" w:rsidRDefault="00105EBB" w:rsidP="00105EBB">
      <w:pPr>
        <w:spacing w:after="0"/>
        <w:ind w:firstLine="720"/>
        <w:jc w:val="both"/>
        <w:rPr>
          <w:rFonts w:ascii="Times New Roman" w:hAnsi="Times New Roman"/>
          <w:color w:val="000000" w:themeColor="text1"/>
          <w:sz w:val="24"/>
          <w:szCs w:val="24"/>
        </w:rPr>
      </w:pPr>
    </w:p>
    <w:p w14:paraId="2B7ECC4D" w14:textId="77777777" w:rsidR="00105EBB" w:rsidRDefault="00105EBB" w:rsidP="00105EBB">
      <w:pPr>
        <w:spacing w:line="360" w:lineRule="auto"/>
        <w:ind w:firstLine="720"/>
        <w:jc w:val="center"/>
        <w:rPr>
          <w:rFonts w:ascii="Times New Roman" w:hAnsi="Times New Roman" w:cs="Times New Roman"/>
          <w:b/>
          <w:color w:val="000000" w:themeColor="text1"/>
          <w:sz w:val="24"/>
          <w:szCs w:val="24"/>
        </w:rPr>
      </w:pPr>
    </w:p>
    <w:p w14:paraId="3A706C2E" w14:textId="77777777" w:rsidR="00105EBB" w:rsidRDefault="00105EBB" w:rsidP="00105EBB">
      <w:pPr>
        <w:spacing w:line="360" w:lineRule="auto"/>
        <w:ind w:firstLine="720"/>
        <w:jc w:val="center"/>
        <w:rPr>
          <w:rFonts w:ascii="Times New Roman" w:hAnsi="Times New Roman" w:cs="Times New Roman"/>
          <w:b/>
          <w:color w:val="000000" w:themeColor="text1"/>
          <w:sz w:val="24"/>
          <w:szCs w:val="24"/>
        </w:rPr>
      </w:pPr>
    </w:p>
    <w:p w14:paraId="05F3021F" w14:textId="77777777" w:rsidR="00105EBB" w:rsidRDefault="00105EBB" w:rsidP="00105EBB">
      <w:pPr>
        <w:spacing w:line="360" w:lineRule="auto"/>
        <w:ind w:firstLine="720"/>
        <w:jc w:val="center"/>
        <w:rPr>
          <w:rFonts w:ascii="Times New Roman" w:hAnsi="Times New Roman" w:cs="Times New Roman"/>
          <w:b/>
          <w:color w:val="000000" w:themeColor="text1"/>
          <w:sz w:val="24"/>
          <w:szCs w:val="24"/>
        </w:rPr>
      </w:pPr>
    </w:p>
    <w:p w14:paraId="56A517D5" w14:textId="77777777" w:rsidR="00105EBB" w:rsidRPr="004F199F" w:rsidRDefault="00105EBB" w:rsidP="00105EBB">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t>TABLE OF CONTENTS</w:t>
      </w:r>
    </w:p>
    <w:p w14:paraId="1690258A"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14:paraId="32FCECD6"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14:paraId="2C168F15"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14:paraId="787BDB16"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14:paraId="4290DF9E" w14:textId="77777777" w:rsidR="00105EBB"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14:paraId="4ADF7735"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14:paraId="79ECF8AD" w14:textId="77777777" w:rsidR="00105EBB" w:rsidRPr="004F199F" w:rsidRDefault="00105EBB" w:rsidP="00105EBB">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14:paraId="130D0F8B"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1.1</w:t>
      </w:r>
      <w:r w:rsidRPr="004A0CCA">
        <w:rPr>
          <w:rFonts w:ascii="Times New Roman" w:hAnsi="Times New Roman" w:cs="Times New Roman"/>
          <w:bCs/>
          <w:color w:val="000000" w:themeColor="text1"/>
          <w:sz w:val="24"/>
          <w:szCs w:val="24"/>
        </w:rPr>
        <w:tab/>
        <w:t>Background to the Study</w:t>
      </w:r>
    </w:p>
    <w:p w14:paraId="771A035C" w14:textId="77777777" w:rsidR="005A291E" w:rsidRPr="004A0CCA" w:rsidRDefault="005A291E" w:rsidP="004A0CCA">
      <w:pPr>
        <w:numPr>
          <w:ilvl w:val="2"/>
          <w:numId w:val="20"/>
        </w:num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Statement of Problem</w:t>
      </w:r>
    </w:p>
    <w:p w14:paraId="3BFFE5A5"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1.3</w:t>
      </w:r>
      <w:r w:rsidRPr="004A0CCA">
        <w:rPr>
          <w:rFonts w:ascii="Times New Roman" w:hAnsi="Times New Roman" w:cs="Times New Roman"/>
          <w:bCs/>
          <w:color w:val="000000" w:themeColor="text1"/>
          <w:sz w:val="24"/>
          <w:szCs w:val="24"/>
        </w:rPr>
        <w:tab/>
        <w:t>Significance of the Study</w:t>
      </w:r>
    </w:p>
    <w:p w14:paraId="6319C321" w14:textId="77777777" w:rsidR="004A0CCA" w:rsidRPr="004A0CCA" w:rsidRDefault="004A0CCA" w:rsidP="004A0CCA">
      <w:pPr>
        <w:spacing w:after="0" w:line="360" w:lineRule="auto"/>
        <w:jc w:val="both"/>
        <w:rPr>
          <w:rFonts w:ascii="Times New Roman" w:hAnsi="Times New Roman" w:cs="Times New Roman"/>
          <w:b/>
          <w:bCs/>
          <w:color w:val="000000" w:themeColor="text1"/>
          <w:sz w:val="24"/>
          <w:szCs w:val="24"/>
        </w:rPr>
      </w:pPr>
      <w:r w:rsidRPr="004A0CCA">
        <w:rPr>
          <w:rFonts w:ascii="Times New Roman" w:hAnsi="Times New Roman" w:cs="Times New Roman"/>
          <w:bCs/>
          <w:color w:val="000000" w:themeColor="text1"/>
          <w:sz w:val="24"/>
          <w:szCs w:val="24"/>
        </w:rPr>
        <w:t>1.4</w:t>
      </w:r>
      <w:r w:rsidRPr="004A0CCA">
        <w:rPr>
          <w:rFonts w:ascii="Times New Roman" w:hAnsi="Times New Roman" w:cs="Times New Roman"/>
          <w:bCs/>
          <w:color w:val="000000" w:themeColor="text1"/>
          <w:sz w:val="24"/>
          <w:szCs w:val="24"/>
        </w:rPr>
        <w:tab/>
        <w:t>Aim and Objectives</w:t>
      </w:r>
    </w:p>
    <w:p w14:paraId="6E5FC12C"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TWO</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LITERATURE REVIEW</w:t>
      </w:r>
    </w:p>
    <w:p w14:paraId="6A829C4F"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2.1</w:t>
      </w:r>
      <w:r w:rsidRPr="004A0CCA">
        <w:rPr>
          <w:rFonts w:ascii="Times New Roman" w:hAnsi="Times New Roman" w:cs="Times New Roman"/>
          <w:bCs/>
          <w:color w:val="000000" w:themeColor="text1"/>
          <w:sz w:val="24"/>
          <w:szCs w:val="24"/>
        </w:rPr>
        <w:tab/>
        <w:t>Mineral Deposits</w:t>
      </w:r>
    </w:p>
    <w:p w14:paraId="2FB36F1F"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2.2</w:t>
      </w:r>
      <w:r w:rsidRPr="004A0CCA">
        <w:rPr>
          <w:rFonts w:ascii="Times New Roman" w:hAnsi="Times New Roman" w:cs="Times New Roman"/>
          <w:bCs/>
          <w:color w:val="000000" w:themeColor="text1"/>
          <w:sz w:val="24"/>
          <w:szCs w:val="24"/>
        </w:rPr>
        <w:tab/>
        <w:t>Hydrothermal Alteration Zones</w:t>
      </w:r>
    </w:p>
    <w:p w14:paraId="11BACBBC"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2.3</w:t>
      </w:r>
      <w:r w:rsidRPr="004A0CCA">
        <w:rPr>
          <w:rFonts w:ascii="Times New Roman" w:hAnsi="Times New Roman" w:cs="Times New Roman"/>
          <w:bCs/>
          <w:color w:val="000000" w:themeColor="text1"/>
          <w:sz w:val="24"/>
          <w:szCs w:val="24"/>
        </w:rPr>
        <w:tab/>
        <w:t>Relationship Between Mineral Deposits and Hydrothermal Alteration Zones</w:t>
      </w:r>
    </w:p>
    <w:p w14:paraId="4626AC1C"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2.4</w:t>
      </w:r>
      <w:r w:rsidRPr="004A0CCA">
        <w:rPr>
          <w:rFonts w:ascii="Times New Roman" w:hAnsi="Times New Roman" w:cs="Times New Roman"/>
          <w:bCs/>
          <w:color w:val="000000" w:themeColor="text1"/>
          <w:sz w:val="24"/>
          <w:szCs w:val="24"/>
        </w:rPr>
        <w:tab/>
        <w:t>RADIOMETRIC DATA</w:t>
      </w:r>
    </w:p>
    <w:p w14:paraId="54A58C95"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2.5</w:t>
      </w:r>
      <w:r w:rsidRPr="004A0CCA">
        <w:rPr>
          <w:rFonts w:ascii="Times New Roman" w:hAnsi="Times New Roman" w:cs="Times New Roman"/>
          <w:bCs/>
          <w:color w:val="000000" w:themeColor="text1"/>
          <w:sz w:val="24"/>
          <w:szCs w:val="24"/>
        </w:rPr>
        <w:tab/>
        <w:t>Interpretation Methods</w:t>
      </w:r>
    </w:p>
    <w:p w14:paraId="6E0F04DF"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14:paraId="513AC98F"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3.1</w:t>
      </w:r>
      <w:r w:rsidRPr="004A0CCA">
        <w:rPr>
          <w:rFonts w:ascii="Times New Roman" w:hAnsi="Times New Roman" w:cs="Times New Roman"/>
          <w:bCs/>
          <w:color w:val="000000" w:themeColor="text1"/>
          <w:sz w:val="24"/>
          <w:szCs w:val="24"/>
        </w:rPr>
        <w:tab/>
        <w:t xml:space="preserve">Introduction </w:t>
      </w:r>
    </w:p>
    <w:p w14:paraId="57535807"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3.2 </w:t>
      </w:r>
      <w:r w:rsidRPr="004A0CCA">
        <w:rPr>
          <w:rFonts w:ascii="Times New Roman" w:hAnsi="Times New Roman" w:cs="Times New Roman"/>
          <w:bCs/>
          <w:color w:val="000000" w:themeColor="text1"/>
          <w:sz w:val="24"/>
          <w:szCs w:val="24"/>
        </w:rPr>
        <w:tab/>
        <w:t>Data Acquisition</w:t>
      </w:r>
    </w:p>
    <w:p w14:paraId="3364DFA8"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3.3 </w:t>
      </w:r>
      <w:r w:rsidRPr="004A0CCA">
        <w:rPr>
          <w:rFonts w:ascii="Times New Roman" w:hAnsi="Times New Roman" w:cs="Times New Roman"/>
          <w:bCs/>
          <w:color w:val="000000" w:themeColor="text1"/>
          <w:sz w:val="24"/>
          <w:szCs w:val="24"/>
        </w:rPr>
        <w:tab/>
        <w:t>Data Processing</w:t>
      </w:r>
    </w:p>
    <w:p w14:paraId="3FE50513"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3.4 </w:t>
      </w:r>
      <w:r w:rsidRPr="004A0CCA">
        <w:rPr>
          <w:rFonts w:ascii="Times New Roman" w:hAnsi="Times New Roman" w:cs="Times New Roman"/>
          <w:bCs/>
          <w:color w:val="000000" w:themeColor="text1"/>
          <w:sz w:val="24"/>
          <w:szCs w:val="24"/>
        </w:rPr>
        <w:tab/>
        <w:t>Data Integration and Analysis</w:t>
      </w:r>
    </w:p>
    <w:p w14:paraId="500089F6"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3.5 </w:t>
      </w:r>
      <w:r w:rsidRPr="004A0CCA">
        <w:rPr>
          <w:rFonts w:ascii="Times New Roman" w:hAnsi="Times New Roman" w:cs="Times New Roman"/>
          <w:bCs/>
          <w:color w:val="000000" w:themeColor="text1"/>
          <w:sz w:val="24"/>
          <w:szCs w:val="24"/>
        </w:rPr>
        <w:tab/>
        <w:t>Validation</w:t>
      </w:r>
    </w:p>
    <w:p w14:paraId="3FB976F6"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p>
    <w:p w14:paraId="491597FA"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14:paraId="5C743F24"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14:paraId="72A72270"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4.2</w:t>
      </w:r>
      <w:r w:rsidRPr="00A47142">
        <w:rPr>
          <w:rFonts w:ascii="Times New Roman" w:hAnsi="Times New Roman" w:cs="Times New Roman"/>
          <w:bCs/>
          <w:color w:val="000000" w:themeColor="text1"/>
          <w:sz w:val="24"/>
          <w:szCs w:val="24"/>
        </w:rPr>
        <w:tab/>
        <w:t>Data Presentation and Interpretation</w:t>
      </w:r>
    </w:p>
    <w:p w14:paraId="10E12524"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4.3 </w:t>
      </w:r>
      <w:r w:rsidRPr="00A47142">
        <w:rPr>
          <w:rFonts w:ascii="Times New Roman" w:hAnsi="Times New Roman" w:cs="Times New Roman"/>
          <w:bCs/>
          <w:color w:val="000000" w:themeColor="text1"/>
          <w:sz w:val="24"/>
          <w:szCs w:val="24"/>
        </w:rPr>
        <w:tab/>
        <w:t>Profile A – A’</w:t>
      </w:r>
    </w:p>
    <w:p w14:paraId="285A92B2"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14:paraId="35BA8E7B" w14:textId="77777777" w:rsidR="00105EBB" w:rsidRPr="00A47142" w:rsidRDefault="00105EBB" w:rsidP="00105EBB">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14:paraId="50F8DA07"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4.6 </w:t>
      </w:r>
      <w:r w:rsidRPr="00A47142">
        <w:rPr>
          <w:rFonts w:ascii="Times New Roman" w:hAnsi="Times New Roman" w:cs="Times New Roman"/>
          <w:bCs/>
          <w:color w:val="000000" w:themeColor="text1"/>
          <w:sz w:val="24"/>
          <w:szCs w:val="24"/>
        </w:rPr>
        <w:tab/>
        <w:t>Profile D – D’</w:t>
      </w:r>
    </w:p>
    <w:p w14:paraId="75D1141C"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14:paraId="70FD60A4" w14:textId="77777777" w:rsidR="00105EBB" w:rsidRPr="00A47142" w:rsidRDefault="00105EBB" w:rsidP="00105EBB">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Conclusion</w:t>
      </w:r>
    </w:p>
    <w:p w14:paraId="43717820" w14:textId="77777777" w:rsidR="00105EBB" w:rsidRPr="00A47142" w:rsidRDefault="00105EBB" w:rsidP="00105EBB">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References</w:t>
      </w:r>
    </w:p>
    <w:p w14:paraId="731A49E6" w14:textId="77777777" w:rsidR="00105EBB" w:rsidRDefault="00105EBB" w:rsidP="00105EBB">
      <w:pPr>
        <w:spacing w:after="0" w:line="360" w:lineRule="auto"/>
        <w:jc w:val="both"/>
        <w:rPr>
          <w:rFonts w:ascii="Times New Roman" w:hAnsi="Times New Roman" w:cs="Times New Roman"/>
          <w:bCs/>
          <w:color w:val="000000" w:themeColor="text1"/>
          <w:sz w:val="24"/>
          <w:szCs w:val="24"/>
        </w:rPr>
      </w:pPr>
    </w:p>
    <w:p w14:paraId="5291FA6F" w14:textId="77777777" w:rsidR="00105EBB" w:rsidRDefault="00105EBB" w:rsidP="00105EBB">
      <w:pPr>
        <w:spacing w:after="0" w:line="360" w:lineRule="auto"/>
        <w:jc w:val="both"/>
        <w:rPr>
          <w:rFonts w:ascii="Times New Roman" w:hAnsi="Times New Roman" w:cs="Times New Roman"/>
          <w:bCs/>
          <w:color w:val="000000" w:themeColor="text1"/>
          <w:sz w:val="24"/>
          <w:szCs w:val="24"/>
        </w:rPr>
      </w:pPr>
    </w:p>
    <w:p w14:paraId="45415428" w14:textId="77777777" w:rsidR="00105EBB" w:rsidRPr="00196AC6" w:rsidRDefault="00105EBB" w:rsidP="00105EBB">
      <w:pPr>
        <w:spacing w:after="0" w:line="360" w:lineRule="auto"/>
        <w:ind w:firstLine="720"/>
        <w:jc w:val="both"/>
        <w:rPr>
          <w:rFonts w:ascii="Times New Roman" w:hAnsi="Times New Roman" w:cs="Times New Roman"/>
          <w:bCs/>
          <w:color w:val="000000" w:themeColor="text1"/>
          <w:sz w:val="24"/>
          <w:szCs w:val="24"/>
        </w:rPr>
      </w:pPr>
    </w:p>
    <w:p w14:paraId="76466895"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627051B"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21FBA2B8"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4D9E3260"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48FF7C4B"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C5026E9"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79F16E11"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3E186F92"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4A7D155F"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3BA9B57A"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78A3EC99"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43B89D45"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1C764B4B"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1332CF4"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235042AA"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591A4C2C"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0E92636"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B6BCF44" w14:textId="77777777" w:rsidR="00105EBB" w:rsidRPr="00CF4185" w:rsidRDefault="00105EBB" w:rsidP="004A0CCA">
      <w:pPr>
        <w:spacing w:after="0" w:line="360" w:lineRule="auto"/>
        <w:jc w:val="center"/>
        <w:rPr>
          <w:rFonts w:ascii="Times New Roman" w:hAnsi="Times New Roman" w:cs="Times New Roman"/>
          <w:b/>
          <w:bCs/>
          <w:color w:val="000000" w:themeColor="text1"/>
          <w:sz w:val="24"/>
          <w:szCs w:val="24"/>
        </w:rPr>
      </w:pPr>
      <w:r w:rsidRPr="00CF4185">
        <w:rPr>
          <w:rFonts w:ascii="Times New Roman" w:hAnsi="Times New Roman" w:cs="Times New Roman"/>
          <w:b/>
          <w:bCs/>
          <w:color w:val="000000" w:themeColor="text1"/>
          <w:sz w:val="24"/>
          <w:szCs w:val="24"/>
        </w:rPr>
        <w:t>ABSTRACT</w:t>
      </w:r>
    </w:p>
    <w:p w14:paraId="21FB41E4" w14:textId="77777777" w:rsidR="00140329" w:rsidRPr="00140329" w:rsidRDefault="00140329" w:rsidP="00140329">
      <w:pPr>
        <w:spacing w:after="0" w:line="360" w:lineRule="auto"/>
        <w:jc w:val="both"/>
        <w:rPr>
          <w:rFonts w:ascii="Times New Roman" w:hAnsi="Times New Roman" w:cs="Times New Roman"/>
          <w:bCs/>
          <w:i/>
          <w:color w:val="000000" w:themeColor="text1"/>
          <w:sz w:val="24"/>
          <w:szCs w:val="24"/>
        </w:rPr>
      </w:pPr>
      <w:r w:rsidRPr="00140329">
        <w:rPr>
          <w:rFonts w:ascii="Times New Roman" w:hAnsi="Times New Roman" w:cs="Times New Roman"/>
          <w:bCs/>
          <w:i/>
          <w:color w:val="000000" w:themeColor="text1"/>
          <w:sz w:val="24"/>
          <w:szCs w:val="24"/>
        </w:rPr>
        <w:t xml:space="preserve">This study focuses on identifying and characterizing hydrothermal alteration zones and their association with mineral deposits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Northcentral</w:t>
      </w:r>
      <w:proofErr w:type="spellEnd"/>
      <w:r w:rsidRPr="00140329">
        <w:rPr>
          <w:rFonts w:ascii="Times New Roman" w:hAnsi="Times New Roman" w:cs="Times New Roman"/>
          <w:bCs/>
          <w:i/>
          <w:color w:val="000000" w:themeColor="text1"/>
          <w:sz w:val="24"/>
          <w:szCs w:val="24"/>
        </w:rPr>
        <w:t xml:space="preserve"> Nigeria, within the Nigerian Basement Complex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sheet 225, latitudes 8°15'N to 8°30'N, longitudes 5°15'E to 5°30'E). Utilizing airborne radiometric data from the Nigerian Geological Survey Agency, processed with </w:t>
      </w:r>
      <w:proofErr w:type="spellStart"/>
      <w:r w:rsidRPr="00140329">
        <w:rPr>
          <w:rFonts w:ascii="Times New Roman" w:hAnsi="Times New Roman" w:cs="Times New Roman"/>
          <w:bCs/>
          <w:i/>
          <w:color w:val="000000" w:themeColor="text1"/>
          <w:sz w:val="24"/>
          <w:szCs w:val="24"/>
        </w:rPr>
        <w:t>Geosoft</w:t>
      </w:r>
      <w:proofErr w:type="spellEnd"/>
      <w:r w:rsidRPr="00140329">
        <w:rPr>
          <w:rFonts w:ascii="Times New Roman" w:hAnsi="Times New Roman" w:cs="Times New Roman"/>
          <w:bCs/>
          <w:i/>
          <w:color w:val="000000" w:themeColor="text1"/>
          <w:sz w:val="24"/>
          <w:szCs w:val="24"/>
        </w:rPr>
        <w:t xml:space="preserve"> Oasis </w:t>
      </w:r>
      <w:proofErr w:type="spellStart"/>
      <w:r w:rsidRPr="00140329">
        <w:rPr>
          <w:rFonts w:ascii="Times New Roman" w:hAnsi="Times New Roman" w:cs="Times New Roman"/>
          <w:bCs/>
          <w:i/>
          <w:color w:val="000000" w:themeColor="text1"/>
          <w:sz w:val="24"/>
          <w:szCs w:val="24"/>
        </w:rPr>
        <w:t>Montaj</w:t>
      </w:r>
      <w:proofErr w:type="spellEnd"/>
      <w:r w:rsidRPr="00140329">
        <w:rPr>
          <w:rFonts w:ascii="Times New Roman" w:hAnsi="Times New Roman" w:cs="Times New Roman"/>
          <w:bCs/>
          <w:i/>
          <w:color w:val="000000" w:themeColor="text1"/>
          <w:sz w:val="24"/>
          <w:szCs w:val="24"/>
        </w:rPr>
        <w:t xml:space="preserve"> and Surfer software, the research mapped potassium (K), equivalent uranium (eU), and equivalent thorium (eTh) distributions to delineate alteration zones. Techniques such as gridding, filtering, ratio enhancement (K/eTh, K/eU), and ternary imaging were employed to highlight potassic,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argillic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propylitic</w:t>
      </w:r>
      <w:proofErr w:type="spellEnd"/>
      <w:r w:rsidRPr="00140329">
        <w:rPr>
          <w:rFonts w:ascii="Times New Roman" w:hAnsi="Times New Roman" w:cs="Times New Roman"/>
          <w:bCs/>
          <w:i/>
          <w:color w:val="000000" w:themeColor="text1"/>
          <w:sz w:val="24"/>
          <w:szCs w:val="24"/>
        </w:rPr>
        <w:t xml:space="preserve"> alteration zones, with K/eTh ratios &gt;0.2 indicating potassic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w:t>
      </w:r>
      <w:proofErr w:type="spellStart"/>
      <w:r w:rsidRPr="00140329">
        <w:rPr>
          <w:rFonts w:ascii="Times New Roman" w:hAnsi="Times New Roman" w:cs="Times New Roman"/>
          <w:bCs/>
          <w:i/>
          <w:color w:val="000000" w:themeColor="text1"/>
          <w:sz w:val="24"/>
          <w:szCs w:val="24"/>
        </w:rPr>
        <w:t>prospectivity</w:t>
      </w:r>
      <w:proofErr w:type="spellEnd"/>
      <w:r w:rsidRPr="00140329">
        <w:rPr>
          <w:rFonts w:ascii="Times New Roman" w:hAnsi="Times New Roman" w:cs="Times New Roman"/>
          <w:bCs/>
          <w:i/>
          <w:color w:val="000000" w:themeColor="text1"/>
          <w:sz w:val="24"/>
          <w:szCs w:val="24"/>
        </w:rPr>
        <w:t xml:space="preserve"> scores (0.8–0.95) for potassic and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zones near </w:t>
      </w:r>
      <w:proofErr w:type="spellStart"/>
      <w:r w:rsidRPr="00140329">
        <w:rPr>
          <w:rFonts w:ascii="Times New Roman" w:hAnsi="Times New Roman" w:cs="Times New Roman"/>
          <w:bCs/>
          <w:i/>
          <w:color w:val="000000" w:themeColor="text1"/>
          <w:sz w:val="24"/>
          <w:szCs w:val="24"/>
        </w:rPr>
        <w:t>Odogbe</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Okolom</w:t>
      </w:r>
      <w:proofErr w:type="spellEnd"/>
      <w:r w:rsidRPr="00140329">
        <w:rPr>
          <w:rFonts w:ascii="Times New Roman" w:hAnsi="Times New Roman" w:cs="Times New Roman"/>
          <w:bCs/>
          <w:i/>
          <w:color w:val="000000" w:themeColor="text1"/>
          <w:sz w:val="24"/>
          <w:szCs w:val="24"/>
        </w:rPr>
        <w:t xml:space="preserve">,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orogenic gold deposits, and highlights prospective areas for further investigation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w:t>
      </w:r>
    </w:p>
    <w:p w14:paraId="3F1B87BE" w14:textId="77777777" w:rsidR="00105EBB" w:rsidRPr="00CF4185" w:rsidRDefault="00105EBB" w:rsidP="00105EBB">
      <w:pPr>
        <w:spacing w:after="0" w:line="360" w:lineRule="auto"/>
        <w:jc w:val="both"/>
        <w:rPr>
          <w:rFonts w:ascii="Times New Roman" w:hAnsi="Times New Roman" w:cs="Times New Roman"/>
          <w:bCs/>
          <w:i/>
          <w:color w:val="000000" w:themeColor="text1"/>
          <w:sz w:val="24"/>
          <w:szCs w:val="24"/>
        </w:rPr>
      </w:pPr>
    </w:p>
    <w:p w14:paraId="1E335B8B"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334B9CF8" w14:textId="77777777" w:rsidR="00105EBB" w:rsidRDefault="00105EBB" w:rsidP="00D611B0">
      <w:pPr>
        <w:spacing w:line="360" w:lineRule="auto"/>
        <w:jc w:val="center"/>
        <w:rPr>
          <w:rFonts w:ascii="Times New Roman" w:hAnsi="Times New Roman" w:cs="Times New Roman"/>
          <w:b/>
          <w:sz w:val="24"/>
          <w:szCs w:val="24"/>
        </w:rPr>
        <w:sectPr w:rsidR="00105EBB" w:rsidSect="00105EBB">
          <w:footerReference w:type="default" r:id="rId7"/>
          <w:pgSz w:w="12240" w:h="15840"/>
          <w:pgMar w:top="1440" w:right="1440" w:bottom="1440" w:left="1440" w:header="720" w:footer="2160" w:gutter="0"/>
          <w:pgNumType w:fmt="lowerRoman"/>
          <w:cols w:space="720"/>
          <w:docGrid w:linePitch="360"/>
        </w:sectPr>
      </w:pPr>
    </w:p>
    <w:p w14:paraId="76D195C8" w14:textId="77777777" w:rsidR="0056118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 xml:space="preserve">CHAPTER </w:t>
      </w:r>
      <w:r w:rsidR="0056118E">
        <w:rPr>
          <w:rFonts w:ascii="Times New Roman" w:hAnsi="Times New Roman" w:cs="Times New Roman"/>
          <w:b/>
          <w:bCs/>
          <w:sz w:val="24"/>
          <w:szCs w:val="24"/>
        </w:rPr>
        <w:t>ONE</w:t>
      </w:r>
    </w:p>
    <w:p w14:paraId="616C02A1" w14:textId="77777777" w:rsidR="005A291E" w:rsidRPr="005A291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INTRODUCTION</w:t>
      </w:r>
    </w:p>
    <w:p w14:paraId="07ADC6C3" w14:textId="77777777" w:rsidR="005F465B" w:rsidRDefault="005F465B"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14:paraId="30AEEC60"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Environmental physics explores the physical principles governing natural systems, integrating disciplines like geophysics, atmospheric physics, and hydrology to study energy transfer, fluid dynamics, and material interactions in the Earth's crust, atmosphere, and hydrosphere (</w:t>
      </w: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006675A8">
        <w:rPr>
          <w:rFonts w:ascii="Times New Roman" w:hAnsi="Times New Roman" w:cs="Times New Roman"/>
          <w:sz w:val="24"/>
          <w:szCs w:val="24"/>
        </w:rPr>
        <w:t xml:space="preserve"> van </w:t>
      </w:r>
      <w:proofErr w:type="spellStart"/>
      <w:r w:rsidR="006675A8">
        <w:rPr>
          <w:rFonts w:ascii="Times New Roman" w:hAnsi="Times New Roman" w:cs="Times New Roman"/>
          <w:sz w:val="24"/>
          <w:szCs w:val="24"/>
        </w:rPr>
        <w:t>Grondelle</w:t>
      </w:r>
      <w:proofErr w:type="spellEnd"/>
      <w:r w:rsidR="006675A8">
        <w:rPr>
          <w:rFonts w:ascii="Times New Roman" w:hAnsi="Times New Roman" w:cs="Times New Roman"/>
          <w:sz w:val="24"/>
          <w:szCs w:val="24"/>
        </w:rPr>
        <w:t xml:space="preserve">, </w:t>
      </w:r>
      <w:r w:rsidRPr="005A291E">
        <w:rPr>
          <w:rFonts w:ascii="Times New Roman" w:hAnsi="Times New Roman" w:cs="Times New Roman"/>
          <w:sz w:val="24"/>
          <w:szCs w:val="24"/>
        </w:rPr>
        <w:t xml:space="preserve">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These meth</w:t>
      </w:r>
      <w:r w:rsidR="0000665D">
        <w:rPr>
          <w:rFonts w:ascii="Times New Roman" w:hAnsi="Times New Roman" w:cs="Times New Roman"/>
          <w:sz w:val="24"/>
          <w:szCs w:val="24"/>
        </w:rPr>
        <w:t xml:space="preserve">ods rely on physical properties </w:t>
      </w:r>
      <w:r w:rsidRPr="005A291E">
        <w:rPr>
          <w:rFonts w:ascii="Times New Roman" w:hAnsi="Times New Roman" w:cs="Times New Roman"/>
          <w:sz w:val="24"/>
          <w:szCs w:val="24"/>
        </w:rPr>
        <w:t>radioactivity, electri</w:t>
      </w:r>
      <w:r w:rsidR="0056118E">
        <w:rPr>
          <w:rFonts w:ascii="Times New Roman" w:hAnsi="Times New Roman" w:cs="Times New Roman"/>
          <w:sz w:val="24"/>
          <w:szCs w:val="24"/>
        </w:rPr>
        <w:t xml:space="preserve">cal conductivity, and magnetism </w:t>
      </w:r>
      <w:r w:rsidRPr="005A291E">
        <w:rPr>
          <w:rFonts w:ascii="Times New Roman" w:hAnsi="Times New Roman" w:cs="Times New Roman"/>
          <w:sz w:val="24"/>
          <w:szCs w:val="24"/>
        </w:rPr>
        <w:t>to infer subsurface features, providing a non-invasive approach to exploration (</w:t>
      </w: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2013).</w:t>
      </w:r>
    </w:p>
    <w:p w14:paraId="41AEE7EE" w14:textId="77777777" w:rsidR="00504B35" w:rsidRPr="005A291E" w:rsidRDefault="00504B35" w:rsidP="00D611B0">
      <w:pPr>
        <w:spacing w:line="360" w:lineRule="auto"/>
        <w:jc w:val="both"/>
        <w:rPr>
          <w:rFonts w:ascii="Times New Roman" w:hAnsi="Times New Roman" w:cs="Times New Roman"/>
          <w:sz w:val="24"/>
          <w:szCs w:val="24"/>
        </w:rPr>
      </w:pPr>
      <w:r w:rsidRPr="00504B35">
        <w:rPr>
          <w:rFonts w:ascii="Times New Roman" w:hAnsi="Times New Roman" w:cs="Times New Roman"/>
          <w:sz w:val="24"/>
          <w:szCs w:val="24"/>
        </w:rPr>
        <w:t>It has become a</w:t>
      </w:r>
      <w:r>
        <w:rPr>
          <w:rFonts w:ascii="Times New Roman" w:hAnsi="Times New Roman" w:cs="Times New Roman"/>
          <w:sz w:val="24"/>
          <w:szCs w:val="24"/>
        </w:rPr>
        <w:t xml:space="preserve"> </w:t>
      </w:r>
      <w:r w:rsidRPr="00504B35">
        <w:rPr>
          <w:rFonts w:ascii="Times New Roman" w:hAnsi="Times New Roman" w:cs="Times New Roman"/>
          <w:sz w:val="24"/>
          <w:szCs w:val="24"/>
        </w:rPr>
        <w:t>powerful tool adopted by geo-scientist in gaining information about the</w:t>
      </w:r>
      <w:r>
        <w:rPr>
          <w:rFonts w:ascii="Times New Roman" w:hAnsi="Times New Roman" w:cs="Times New Roman"/>
          <w:sz w:val="24"/>
          <w:szCs w:val="24"/>
        </w:rPr>
        <w:t xml:space="preserve"> </w:t>
      </w:r>
      <w:r w:rsidRPr="00504B35">
        <w:rPr>
          <w:rFonts w:ascii="Times New Roman" w:hAnsi="Times New Roman" w:cs="Times New Roman"/>
          <w:sz w:val="24"/>
          <w:szCs w:val="24"/>
        </w:rPr>
        <w:t>composition and structure of rocks and soil (</w:t>
      </w:r>
      <w:proofErr w:type="spellStart"/>
      <w:r w:rsidRPr="00504B35">
        <w:rPr>
          <w:rFonts w:ascii="Times New Roman" w:hAnsi="Times New Roman" w:cs="Times New Roman"/>
          <w:sz w:val="24"/>
          <w:szCs w:val="24"/>
        </w:rPr>
        <w:t>Ajeigbe</w:t>
      </w:r>
      <w:proofErr w:type="spellEnd"/>
      <w:r w:rsidRPr="00504B35">
        <w:rPr>
          <w:rFonts w:ascii="Times New Roman" w:hAnsi="Times New Roman" w:cs="Times New Roman"/>
          <w:sz w:val="24"/>
          <w:szCs w:val="24"/>
        </w:rPr>
        <w:t xml:space="preserve"> et al, 2014). The</w:t>
      </w:r>
      <w:r>
        <w:rPr>
          <w:rFonts w:ascii="Times New Roman" w:hAnsi="Times New Roman" w:cs="Times New Roman"/>
          <w:sz w:val="24"/>
          <w:szCs w:val="24"/>
        </w:rPr>
        <w:t xml:space="preserve"> </w:t>
      </w:r>
      <w:r w:rsidRPr="00504B35">
        <w:rPr>
          <w:rFonts w:ascii="Times New Roman" w:hAnsi="Times New Roman" w:cs="Times New Roman"/>
          <w:sz w:val="24"/>
          <w:szCs w:val="24"/>
        </w:rPr>
        <w:t>radiometric measurement can be used to confirm the presence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abundance of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(e.g., uranium (U), thorium (Th)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potassium (K).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occur naturally and are typically</w:t>
      </w:r>
      <w:r>
        <w:rPr>
          <w:rFonts w:ascii="Times New Roman" w:hAnsi="Times New Roman" w:cs="Times New Roman"/>
          <w:sz w:val="24"/>
          <w:szCs w:val="24"/>
        </w:rPr>
        <w:t xml:space="preserve"> </w:t>
      </w:r>
      <w:r w:rsidRPr="00504B35">
        <w:rPr>
          <w:rFonts w:ascii="Times New Roman" w:hAnsi="Times New Roman" w:cs="Times New Roman"/>
          <w:sz w:val="24"/>
          <w:szCs w:val="24"/>
        </w:rPr>
        <w:t>found as trace contents in rocks and soil. The analysis</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provides useful insights into numerous geological</w:t>
      </w:r>
      <w:r>
        <w:rPr>
          <w:rFonts w:ascii="Times New Roman" w:hAnsi="Times New Roman" w:cs="Times New Roman"/>
          <w:sz w:val="24"/>
          <w:szCs w:val="24"/>
        </w:rPr>
        <w:t xml:space="preserve"> </w:t>
      </w:r>
      <w:r w:rsidRPr="00504B35">
        <w:rPr>
          <w:rFonts w:ascii="Times New Roman" w:hAnsi="Times New Roman" w:cs="Times New Roman"/>
          <w:sz w:val="24"/>
          <w:szCs w:val="24"/>
        </w:rPr>
        <w:t>processes and phenomena (</w:t>
      </w:r>
      <w:proofErr w:type="spellStart"/>
      <w:r w:rsidRPr="00504B35">
        <w:rPr>
          <w:rFonts w:ascii="Times New Roman" w:hAnsi="Times New Roman" w:cs="Times New Roman"/>
          <w:sz w:val="24"/>
          <w:szCs w:val="24"/>
        </w:rPr>
        <w:t>Dentith</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Mudge</w:t>
      </w:r>
      <w:proofErr w:type="spellEnd"/>
      <w:r w:rsidRPr="00504B35">
        <w:rPr>
          <w:rFonts w:ascii="Times New Roman" w:hAnsi="Times New Roman" w:cs="Times New Roman"/>
          <w:sz w:val="24"/>
          <w:szCs w:val="24"/>
        </w:rPr>
        <w:t>, 2014). For instance, the</w:t>
      </w:r>
      <w:r>
        <w:rPr>
          <w:rFonts w:ascii="Times New Roman" w:hAnsi="Times New Roman" w:cs="Times New Roman"/>
          <w:sz w:val="24"/>
          <w:szCs w:val="24"/>
        </w:rPr>
        <w:t xml:space="preserve"> </w:t>
      </w:r>
      <w:r w:rsidRPr="00504B35">
        <w:rPr>
          <w:rFonts w:ascii="Times New Roman" w:hAnsi="Times New Roman" w:cs="Times New Roman"/>
          <w:sz w:val="24"/>
          <w:szCs w:val="24"/>
        </w:rPr>
        <w:t>indirect measurements of uranium and thorium activity concentrations</w:t>
      </w:r>
      <w:r>
        <w:rPr>
          <w:rFonts w:ascii="Times New Roman" w:hAnsi="Times New Roman" w:cs="Times New Roman"/>
          <w:sz w:val="24"/>
          <w:szCs w:val="24"/>
        </w:rPr>
        <w:t xml:space="preserve"> </w:t>
      </w:r>
      <w:r w:rsidRPr="00504B35">
        <w:rPr>
          <w:rFonts w:ascii="Times New Roman" w:hAnsi="Times New Roman" w:cs="Times New Roman"/>
          <w:sz w:val="24"/>
          <w:szCs w:val="24"/>
        </w:rPr>
        <w:t>warrants the usage of the prefix equivalent as thus uranium (eU)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thorium (eTh). The measurement 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is usually related</w:t>
      </w:r>
      <w:r>
        <w:rPr>
          <w:rFonts w:ascii="Times New Roman" w:hAnsi="Times New Roman" w:cs="Times New Roman"/>
          <w:sz w:val="24"/>
          <w:szCs w:val="24"/>
        </w:rPr>
        <w:t xml:space="preserve"> </w:t>
      </w:r>
      <w:r w:rsidRPr="00504B35">
        <w:rPr>
          <w:rFonts w:ascii="Times New Roman" w:hAnsi="Times New Roman" w:cs="Times New Roman"/>
          <w:sz w:val="24"/>
          <w:szCs w:val="24"/>
        </w:rPr>
        <w:t>to certain lithological formations which may indicate presence of ore</w:t>
      </w:r>
      <w:r>
        <w:rPr>
          <w:rFonts w:ascii="Times New Roman" w:hAnsi="Times New Roman" w:cs="Times New Roman"/>
          <w:sz w:val="24"/>
          <w:szCs w:val="24"/>
        </w:rPr>
        <w:t xml:space="preserve"> </w:t>
      </w:r>
      <w:r w:rsidRPr="00504B35">
        <w:rPr>
          <w:rFonts w:ascii="Times New Roman" w:hAnsi="Times New Roman" w:cs="Times New Roman"/>
          <w:sz w:val="24"/>
          <w:szCs w:val="24"/>
        </w:rPr>
        <w:t>deposits (Urquhart, 2013). The direct measurement of potassium (K%) on</w:t>
      </w:r>
      <w:r>
        <w:rPr>
          <w:rFonts w:ascii="Times New Roman" w:hAnsi="Times New Roman" w:cs="Times New Roman"/>
          <w:sz w:val="24"/>
          <w:szCs w:val="24"/>
        </w:rPr>
        <w:t xml:space="preserve"> </w:t>
      </w:r>
      <w:r w:rsidRPr="00504B35">
        <w:rPr>
          <w:rFonts w:ascii="Times New Roman" w:hAnsi="Times New Roman" w:cs="Times New Roman"/>
          <w:sz w:val="24"/>
          <w:szCs w:val="24"/>
        </w:rPr>
        <w:t>the other hand, is an essential element in many rocks and minerals and</w:t>
      </w:r>
      <w:r>
        <w:rPr>
          <w:rFonts w:ascii="Times New Roman" w:hAnsi="Times New Roman" w:cs="Times New Roman"/>
          <w:sz w:val="24"/>
          <w:szCs w:val="24"/>
        </w:rPr>
        <w:t xml:space="preserve"> </w:t>
      </w:r>
      <w:r w:rsidRPr="00504B35">
        <w:rPr>
          <w:rFonts w:ascii="Times New Roman" w:hAnsi="Times New Roman" w:cs="Times New Roman"/>
          <w:sz w:val="24"/>
          <w:szCs w:val="24"/>
        </w:rPr>
        <w:t>can provide information about the age and geological history of a</w:t>
      </w:r>
      <w:r>
        <w:rPr>
          <w:rFonts w:ascii="Times New Roman" w:hAnsi="Times New Roman" w:cs="Times New Roman"/>
          <w:sz w:val="24"/>
          <w:szCs w:val="24"/>
        </w:rPr>
        <w:t xml:space="preserve"> </w:t>
      </w:r>
      <w:r w:rsidRPr="00504B35">
        <w:rPr>
          <w:rFonts w:ascii="Times New Roman" w:hAnsi="Times New Roman" w:cs="Times New Roman"/>
          <w:sz w:val="24"/>
          <w:szCs w:val="24"/>
        </w:rPr>
        <w:t>particular area (</w:t>
      </w:r>
      <w:proofErr w:type="spellStart"/>
      <w:r w:rsidRPr="00504B35">
        <w:rPr>
          <w:rFonts w:ascii="Times New Roman" w:hAnsi="Times New Roman" w:cs="Times New Roman"/>
          <w:sz w:val="24"/>
          <w:szCs w:val="24"/>
        </w:rPr>
        <w:t>Sanusi</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Amigun</w:t>
      </w:r>
      <w:proofErr w:type="spellEnd"/>
      <w:r w:rsidRPr="00504B35">
        <w:rPr>
          <w:rFonts w:ascii="Times New Roman" w:hAnsi="Times New Roman" w:cs="Times New Roman"/>
          <w:sz w:val="24"/>
          <w:szCs w:val="24"/>
        </w:rPr>
        <w:t>, 2020)</w:t>
      </w:r>
    </w:p>
    <w:p w14:paraId="6E04731E"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Hydrothermal alteration occurs when hot, mineral-rich fluids (50–400°C) interact with rocks, causing chemical and mineralogical changes (</w:t>
      </w: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2009). These fluids, originating from magmatic, meteoric, or metamorphic sources, circulate through fractures, altering host rocks into distinct mineral assemblages. Common alteration types include:</w:t>
      </w:r>
    </w:p>
    <w:p w14:paraId="3BC1480D"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Potassic</w:t>
      </w:r>
      <w:r w:rsidRPr="005A291E">
        <w:rPr>
          <w:rFonts w:ascii="Times New Roman" w:hAnsi="Times New Roman" w:cs="Times New Roman"/>
          <w:sz w:val="24"/>
          <w:szCs w:val="24"/>
        </w:rPr>
        <w:t>: K-feldspar and biotite, associated with high-temperature fluids.</w:t>
      </w:r>
    </w:p>
    <w:p w14:paraId="00F5E1D5"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Phyllic</w:t>
      </w:r>
      <w:proofErr w:type="spellEnd"/>
      <w:r w:rsidRPr="005A291E">
        <w:rPr>
          <w:rFonts w:ascii="Times New Roman" w:hAnsi="Times New Roman" w:cs="Times New Roman"/>
          <w:sz w:val="24"/>
          <w:szCs w:val="24"/>
        </w:rPr>
        <w:t>: Sericite and quartz, linked to moderate-temperature alteration.</w:t>
      </w:r>
    </w:p>
    <w:p w14:paraId="73E56A50"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Argillic</w:t>
      </w:r>
      <w:proofErr w:type="spellEnd"/>
      <w:r w:rsidRPr="005A291E">
        <w:rPr>
          <w:rFonts w:ascii="Times New Roman" w:hAnsi="Times New Roman" w:cs="Times New Roman"/>
          <w:sz w:val="24"/>
          <w:szCs w:val="24"/>
        </w:rPr>
        <w:t>: Clay minerals like kaolinite, formed at lower temperatures.</w:t>
      </w:r>
    </w:p>
    <w:p w14:paraId="432C7946"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Propylitic</w:t>
      </w:r>
      <w:proofErr w:type="spellEnd"/>
      <w:r w:rsidRPr="005A291E">
        <w:rPr>
          <w:rFonts w:ascii="Times New Roman" w:hAnsi="Times New Roman" w:cs="Times New Roman"/>
          <w:sz w:val="24"/>
          <w:szCs w:val="24"/>
        </w:rPr>
        <w:t>: Chlorite, epidote, and carbonates, typically distal to ore zones (Robb, 2005).</w:t>
      </w:r>
    </w:p>
    <w:p w14:paraId="1C353B30"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These alteration zones often form haloes around mineral deposits, serving as key exploration indicators for metals like gold, copper, and molybdenum (Sillitoe, 2010). In Nigeria’s Basement Complex, such zones are critical for identifying orogenic gold deposits, where fluid-rock interactions are controlled by structural features like faults and shear zones (</w:t>
      </w: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2003).</w:t>
      </w:r>
    </w:p>
    <w:p w14:paraId="412C623A" w14:textId="77777777" w:rsidR="005F465B" w:rsidRDefault="0003345E" w:rsidP="00D611B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0C9CAC" wp14:editId="07E3383F">
            <wp:extent cx="5605573" cy="3487479"/>
            <wp:effectExtent l="19050" t="0" r="0" b="0"/>
            <wp:docPr id="1"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wnload.jpg"/>
                    <pic:cNvPicPr>
                      <a:picLocks noChangeAspect="1" noChangeArrowheads="1"/>
                    </pic:cNvPicPr>
                  </pic:nvPicPr>
                  <pic:blipFill>
                    <a:blip r:embed="rId8"/>
                    <a:srcRect/>
                    <a:stretch>
                      <a:fillRect/>
                    </a:stretch>
                  </pic:blipFill>
                  <pic:spPr bwMode="auto">
                    <a:xfrm>
                      <a:off x="0" y="0"/>
                      <a:ext cx="5604745" cy="3486964"/>
                    </a:xfrm>
                    <a:prstGeom prst="rect">
                      <a:avLst/>
                    </a:prstGeom>
                    <a:noFill/>
                    <a:ln w="9525">
                      <a:noFill/>
                      <a:miter lim="800000"/>
                      <a:headEnd/>
                      <a:tailEnd/>
                    </a:ln>
                  </pic:spPr>
                </pic:pic>
              </a:graphicData>
            </a:graphic>
          </wp:inline>
        </w:drawing>
      </w:r>
    </w:p>
    <w:p w14:paraId="5EC110FA" w14:textId="77777777" w:rsidR="005A291E" w:rsidRPr="00481733" w:rsidRDefault="00481733" w:rsidP="00D611B0">
      <w:pPr>
        <w:spacing w:line="360" w:lineRule="auto"/>
        <w:jc w:val="both"/>
        <w:rPr>
          <w:rFonts w:ascii="Times New Roman" w:hAnsi="Times New Roman" w:cs="Times New Roman"/>
          <w:i/>
          <w:sz w:val="24"/>
          <w:szCs w:val="24"/>
        </w:rPr>
      </w:pPr>
      <w:r w:rsidRPr="00481733">
        <w:rPr>
          <w:rFonts w:ascii="Times New Roman" w:hAnsi="Times New Roman" w:cs="Times New Roman"/>
          <w:i/>
          <w:iCs/>
          <w:sz w:val="24"/>
          <w:szCs w:val="24"/>
        </w:rPr>
        <w:t>Fig. 1</w:t>
      </w:r>
      <w:r w:rsidR="005A291E" w:rsidRPr="00481733">
        <w:rPr>
          <w:rFonts w:ascii="Times New Roman" w:hAnsi="Times New Roman" w:cs="Times New Roman"/>
          <w:i/>
          <w:iCs/>
          <w:sz w:val="24"/>
          <w:szCs w:val="24"/>
        </w:rPr>
        <w:t>: "Schematic of Hydrothermal Alteration Zones"</w:t>
      </w:r>
      <w:r w:rsidR="006675A8">
        <w:rPr>
          <w:rFonts w:ascii="Times New Roman" w:hAnsi="Times New Roman" w:cs="Times New Roman"/>
          <w:i/>
          <w:iCs/>
          <w:sz w:val="24"/>
          <w:szCs w:val="24"/>
        </w:rPr>
        <w:t xml:space="preserve"> (</w:t>
      </w:r>
      <w:proofErr w:type="spellStart"/>
      <w:r w:rsidR="006675A8">
        <w:rPr>
          <w:rFonts w:ascii="Times New Roman" w:hAnsi="Times New Roman" w:cs="Times New Roman"/>
          <w:i/>
          <w:iCs/>
          <w:sz w:val="24"/>
          <w:szCs w:val="24"/>
        </w:rPr>
        <w:t>Ajeigbe</w:t>
      </w:r>
      <w:proofErr w:type="spellEnd"/>
      <w:r w:rsidR="006675A8">
        <w:rPr>
          <w:rFonts w:ascii="Times New Roman" w:hAnsi="Times New Roman" w:cs="Times New Roman"/>
          <w:i/>
          <w:iCs/>
          <w:sz w:val="24"/>
          <w:szCs w:val="24"/>
        </w:rPr>
        <w:t xml:space="preserve"> et al., 2014)</w:t>
      </w:r>
    </w:p>
    <w:p w14:paraId="2FB532B8" w14:textId="77777777" w:rsid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located in Kwara State, </w:t>
      </w:r>
      <w:proofErr w:type="spellStart"/>
      <w:r w:rsidRPr="005A291E">
        <w:rPr>
          <w:rFonts w:ascii="Times New Roman" w:hAnsi="Times New Roman" w:cs="Times New Roman"/>
          <w:sz w:val="24"/>
          <w:szCs w:val="24"/>
        </w:rPr>
        <w:t>Northcentral</w:t>
      </w:r>
      <w:proofErr w:type="spellEnd"/>
      <w:r w:rsidRPr="005A291E">
        <w:rPr>
          <w:rFonts w:ascii="Times New Roman" w:hAnsi="Times New Roman" w:cs="Times New Roman"/>
          <w:sz w:val="24"/>
          <w:szCs w:val="24"/>
        </w:rPr>
        <w:t xml:space="preserve"> Nigeria, falls within the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sheet 225 (1:100,000 scale). The study area spans approximately latitudes 8°15'N to 8°30'N and longitudes 5°15'E to 5°30'E, covering part of the Nigerian Basement Complex, known for its Precambrian schists, migmatites, and granites (</w:t>
      </w: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1972).</w:t>
      </w:r>
    </w:p>
    <w:p w14:paraId="556785E6" w14:textId="77777777" w:rsidR="0003345E" w:rsidRDefault="00481733" w:rsidP="00D611B0">
      <w:pPr>
        <w:spacing w:line="360" w:lineRule="auto"/>
        <w:jc w:val="both"/>
        <w:rPr>
          <w:rFonts w:ascii="Times New Roman" w:hAnsi="Times New Roman" w:cs="Times New Roman"/>
          <w:sz w:val="24"/>
          <w:szCs w:val="24"/>
        </w:rPr>
      </w:pPr>
      <w:r w:rsidRPr="00481733">
        <w:rPr>
          <w:rFonts w:ascii="Times New Roman" w:hAnsi="Times New Roman" w:cs="Times New Roman"/>
          <w:noProof/>
          <w:sz w:val="24"/>
          <w:szCs w:val="24"/>
        </w:rPr>
        <w:drawing>
          <wp:inline distT="0" distB="0" distL="0" distR="0" wp14:anchorId="32F1807C" wp14:editId="75DAE657">
            <wp:extent cx="5943600" cy="3859530"/>
            <wp:effectExtent l="19050" t="0" r="0" b="0"/>
            <wp:docPr id="33264" name="Picture 3326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859530"/>
                    </a:xfrm>
                    <a:prstGeom prst="rect">
                      <a:avLst/>
                    </a:prstGeom>
                  </pic:spPr>
                </pic:pic>
              </a:graphicData>
            </a:graphic>
          </wp:inline>
        </w:drawing>
      </w:r>
    </w:p>
    <w:p w14:paraId="7F88A636" w14:textId="77777777" w:rsidR="00481733" w:rsidRPr="00481733" w:rsidRDefault="00481733" w:rsidP="00D611B0">
      <w:pPr>
        <w:spacing w:line="360" w:lineRule="auto"/>
        <w:jc w:val="both"/>
        <w:rPr>
          <w:rFonts w:ascii="Times New Roman" w:hAnsi="Times New Roman" w:cs="Times New Roman"/>
          <w:i/>
          <w:sz w:val="24"/>
          <w:szCs w:val="24"/>
        </w:rPr>
      </w:pPr>
      <w:r w:rsidRPr="00481733">
        <w:rPr>
          <w:rFonts w:ascii="Times New Roman" w:hAnsi="Times New Roman" w:cs="Times New Roman"/>
          <w:i/>
          <w:sz w:val="24"/>
          <w:szCs w:val="24"/>
          <w:lang w:val="en-GB"/>
        </w:rPr>
        <w:t>Fig. 2:</w:t>
      </w:r>
      <w:r w:rsidRPr="00481733">
        <w:rPr>
          <w:rFonts w:ascii="Times New Roman" w:hAnsi="Times New Roman" w:cs="Times New Roman"/>
          <w:i/>
          <w:sz w:val="24"/>
          <w:szCs w:val="24"/>
        </w:rPr>
        <w:t xml:space="preserve">The Area of the study lies within the </w:t>
      </w:r>
      <w:proofErr w:type="spellStart"/>
      <w:r w:rsidRPr="00481733">
        <w:rPr>
          <w:rFonts w:ascii="Times New Roman" w:hAnsi="Times New Roman" w:cs="Times New Roman"/>
          <w:i/>
          <w:sz w:val="24"/>
          <w:szCs w:val="24"/>
          <w:lang w:val="en-GB"/>
        </w:rPr>
        <w:t>Northcentral</w:t>
      </w:r>
      <w:proofErr w:type="spellEnd"/>
      <w:r w:rsidRPr="00481733">
        <w:rPr>
          <w:rFonts w:ascii="Times New Roman" w:hAnsi="Times New Roman" w:cs="Times New Roman"/>
          <w:i/>
          <w:sz w:val="24"/>
          <w:szCs w:val="24"/>
        </w:rPr>
        <w:t xml:space="preserve"> part of Nigeria</w:t>
      </w:r>
      <w:r w:rsidR="00127AB2">
        <w:rPr>
          <w:rFonts w:ascii="Times New Roman" w:hAnsi="Times New Roman" w:cs="Times New Roman"/>
          <w:i/>
          <w:sz w:val="24"/>
          <w:szCs w:val="24"/>
        </w:rPr>
        <w:t xml:space="preserve"> (</w:t>
      </w:r>
      <w:proofErr w:type="spellStart"/>
      <w:r w:rsidR="00127AB2" w:rsidRPr="00127AB2">
        <w:rPr>
          <w:rFonts w:ascii="Times New Roman" w:hAnsi="Times New Roman" w:cs="Times New Roman"/>
          <w:i/>
          <w:sz w:val="24"/>
          <w:szCs w:val="24"/>
        </w:rPr>
        <w:t>Oyawo</w:t>
      </w:r>
      <w:r w:rsidR="00127AB2">
        <w:rPr>
          <w:rFonts w:ascii="Times New Roman" w:hAnsi="Times New Roman" w:cs="Times New Roman"/>
          <w:i/>
          <w:sz w:val="24"/>
          <w:szCs w:val="24"/>
        </w:rPr>
        <w:t>ye</w:t>
      </w:r>
      <w:proofErr w:type="spellEnd"/>
      <w:r w:rsidR="00127AB2">
        <w:rPr>
          <w:rFonts w:ascii="Times New Roman" w:hAnsi="Times New Roman" w:cs="Times New Roman"/>
          <w:i/>
          <w:sz w:val="24"/>
          <w:szCs w:val="24"/>
        </w:rPr>
        <w:t>, 1972)</w:t>
      </w:r>
      <w:r w:rsidRPr="00481733">
        <w:rPr>
          <w:rFonts w:ascii="Times New Roman" w:hAnsi="Times New Roman" w:cs="Times New Roman"/>
          <w:i/>
          <w:sz w:val="24"/>
          <w:szCs w:val="24"/>
        </w:rPr>
        <w:t>.</w:t>
      </w:r>
    </w:p>
    <w:p w14:paraId="385D67C5"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hydrogeology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is characterized by shallow aquifers in weathered regolith and fractured basement rocks (</w:t>
      </w: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1993). Fractures and shear zones act as conduits for groundwater and hydrothermal fluids, facilitating mineralization processes. The region’s low permeability limits large-scale aquifer development, but localized fracture systems enhance fluid flow critical for ore deposition (</w:t>
      </w: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2009).</w:t>
      </w:r>
    </w:p>
    <w:p w14:paraId="7262B7AC"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terrain features gently undulating plains with elevations of 300–500 meters, punctuated by </w:t>
      </w:r>
      <w:proofErr w:type="spellStart"/>
      <w:r w:rsidRPr="005A291E">
        <w:rPr>
          <w:rFonts w:ascii="Times New Roman" w:hAnsi="Times New Roman" w:cs="Times New Roman"/>
          <w:sz w:val="24"/>
          <w:szCs w:val="24"/>
        </w:rPr>
        <w:t>inselbergs</w:t>
      </w:r>
      <w:proofErr w:type="spellEnd"/>
      <w:r w:rsidRPr="005A291E">
        <w:rPr>
          <w:rFonts w:ascii="Times New Roman" w:hAnsi="Times New Roman" w:cs="Times New Roman"/>
          <w:sz w:val="24"/>
          <w:szCs w:val="24"/>
        </w:rPr>
        <w:t xml:space="preserve"> and ridges of resistant quartzites and granites. This physiography results from prolonged weathering and erosion, exposing basement rocks suitable for geophysical mapping (</w:t>
      </w: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1988).</w:t>
      </w:r>
    </w:p>
    <w:p w14:paraId="502D29C9"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experiences a tropical savanna climate with wet (April–October) and dry (November–March) seasons. Annual rainfall ranges from 1200–1500 mm, and temperatures vary between 25°C and 35°C (</w:t>
      </w: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2001). This climate influences weathering rates and fluid mobility, impacting alteration zone formation.</w:t>
      </w:r>
    </w:p>
    <w:p w14:paraId="6FA8D7DD"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 relief consists of low hills and flat plains, shaped by differential erosion of basement rocks. Structural features like faults and folds are exposed, aiding the identification of alteration zones through geophysical surveys (</w:t>
      </w: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1987).</w:t>
      </w:r>
    </w:p>
    <w:p w14:paraId="3B6E1CF1" w14:textId="77777777" w:rsidR="005A291E" w:rsidRPr="00021AE8" w:rsidRDefault="005A291E" w:rsidP="00021AE8">
      <w:pPr>
        <w:pStyle w:val="ListParagraph"/>
        <w:numPr>
          <w:ilvl w:val="1"/>
          <w:numId w:val="20"/>
        </w:numPr>
        <w:spacing w:line="360" w:lineRule="auto"/>
        <w:jc w:val="both"/>
        <w:rPr>
          <w:rFonts w:ascii="Times New Roman" w:hAnsi="Times New Roman" w:cs="Times New Roman"/>
          <w:b/>
          <w:bCs/>
          <w:sz w:val="24"/>
          <w:szCs w:val="24"/>
        </w:rPr>
      </w:pPr>
      <w:r w:rsidRPr="00021AE8">
        <w:rPr>
          <w:rFonts w:ascii="Times New Roman" w:hAnsi="Times New Roman" w:cs="Times New Roman"/>
          <w:b/>
          <w:bCs/>
          <w:sz w:val="24"/>
          <w:szCs w:val="24"/>
        </w:rPr>
        <w:t>Statement of Problem</w:t>
      </w:r>
    </w:p>
    <w:p w14:paraId="0A59135C" w14:textId="77777777" w:rsidR="00E413C3"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Despite the mineral potential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w:t>
      </w: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2019). Existing data often lack the resolution needed to pinpoint high-priority targets, necessitating advanced radiometric and remote sensing approaches.</w:t>
      </w:r>
    </w:p>
    <w:p w14:paraId="164860AE" w14:textId="77777777" w:rsidR="00E413C3" w:rsidRDefault="00D611B0" w:rsidP="00D611B0">
      <w:pPr>
        <w:spacing w:line="360" w:lineRule="auto"/>
        <w:jc w:val="both"/>
        <w:rPr>
          <w:rFonts w:ascii="Times New Roman" w:hAnsi="Times New Roman" w:cs="Times New Roman"/>
          <w:sz w:val="24"/>
          <w:szCs w:val="24"/>
          <w:lang w:val="en-GB"/>
        </w:rPr>
      </w:pPr>
      <w:r w:rsidRPr="00E413C3">
        <w:rPr>
          <w:rFonts w:ascii="Times New Roman" w:hAnsi="Times New Roman" w:cs="Times New Roman"/>
          <w:sz w:val="24"/>
          <w:szCs w:val="24"/>
        </w:rPr>
        <w:t>Many hydrothermal alteration zones are located in geologically remote and challenging terrains, often far from established infrastructure. Therefore, accessibility and logistical constraints in reaching these areas for fieldwork and data collection present significant hurdles.</w:t>
      </w:r>
      <w:r w:rsidR="00E413C3">
        <w:rPr>
          <w:rFonts w:ascii="Times New Roman" w:hAnsi="Times New Roman" w:cs="Times New Roman"/>
          <w:sz w:val="24"/>
          <w:szCs w:val="24"/>
        </w:rPr>
        <w:t xml:space="preserve"> </w:t>
      </w:r>
      <w:r w:rsidR="00E413C3" w:rsidRPr="00E413C3">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14:paraId="71B1A5C9" w14:textId="77777777" w:rsidR="003736E9" w:rsidRDefault="003736E9" w:rsidP="00D611B0">
      <w:pPr>
        <w:spacing w:line="360" w:lineRule="auto"/>
        <w:jc w:val="both"/>
        <w:rPr>
          <w:rFonts w:ascii="Times New Roman" w:hAnsi="Times New Roman" w:cs="Times New Roman"/>
          <w:sz w:val="24"/>
          <w:szCs w:val="24"/>
          <w:lang w:val="en-GB"/>
        </w:rPr>
      </w:pPr>
    </w:p>
    <w:p w14:paraId="47320129" w14:textId="77777777" w:rsidR="00021AE8" w:rsidRPr="005A291E" w:rsidRDefault="00021AE8" w:rsidP="00021A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r>
      <w:r w:rsidRPr="005A291E">
        <w:rPr>
          <w:rFonts w:ascii="Times New Roman" w:hAnsi="Times New Roman" w:cs="Times New Roman"/>
          <w:b/>
          <w:bCs/>
          <w:sz w:val="24"/>
          <w:szCs w:val="24"/>
        </w:rPr>
        <w:t>Significance of the Study</w:t>
      </w:r>
    </w:p>
    <w:p w14:paraId="6463665F" w14:textId="77777777" w:rsidR="00021AE8" w:rsidRPr="005A291E" w:rsidRDefault="00021AE8" w:rsidP="00021AE8">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This study enhances the understanding of hydrothermal alteration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providing a framework for targeted mineral exploration. By mapping alteration zones and structural controls, it supports efficient prospecting, potentially driving economic growth in Kwara State. The integration of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and remote sensing data offers a scalable, cost-effective approach applicable to other parts of Nigeria’s Basement Complex, contributing to sustainable mineral resource development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14:paraId="545B3A9B" w14:textId="77777777" w:rsidR="005A291E" w:rsidRPr="005A291E" w:rsidRDefault="00021AE8"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sidR="001072A9">
        <w:rPr>
          <w:rFonts w:ascii="Times New Roman" w:hAnsi="Times New Roman" w:cs="Times New Roman"/>
          <w:b/>
          <w:bCs/>
          <w:sz w:val="24"/>
          <w:szCs w:val="24"/>
        </w:rPr>
        <w:tab/>
      </w:r>
      <w:r w:rsidR="005A291E" w:rsidRPr="005A291E">
        <w:rPr>
          <w:rFonts w:ascii="Times New Roman" w:hAnsi="Times New Roman" w:cs="Times New Roman"/>
          <w:b/>
          <w:bCs/>
          <w:sz w:val="24"/>
          <w:szCs w:val="24"/>
        </w:rPr>
        <w:t>Aim and Objectives</w:t>
      </w:r>
    </w:p>
    <w:p w14:paraId="4AE41BF5"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Aim</w:t>
      </w:r>
    </w:p>
    <w:p w14:paraId="2C116311" w14:textId="77777777" w:rsidR="00803B04" w:rsidRPr="00282718" w:rsidRDefault="00D611B0" w:rsidP="00D611B0">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rPr>
        <w:t xml:space="preserve">This research work aims to identify and characterize hydrothermally altered zones that are associated with mineral deposits over parts of </w:t>
      </w:r>
      <w:proofErr w:type="spellStart"/>
      <w:r w:rsidRPr="00282718">
        <w:rPr>
          <w:rFonts w:ascii="Times New Roman" w:hAnsi="Times New Roman" w:cs="Times New Roman"/>
          <w:sz w:val="24"/>
          <w:szCs w:val="24"/>
        </w:rPr>
        <w:t>Isanlu</w:t>
      </w:r>
      <w:proofErr w:type="spellEnd"/>
      <w:r w:rsidRPr="00282718">
        <w:rPr>
          <w:rFonts w:ascii="Times New Roman" w:hAnsi="Times New Roman" w:cs="Times New Roman"/>
          <w:sz w:val="24"/>
          <w:szCs w:val="24"/>
          <w:lang w:val="en-GB"/>
        </w:rPr>
        <w:t>-</w:t>
      </w:r>
      <w:proofErr w:type="spellStart"/>
      <w:r w:rsidRPr="00282718">
        <w:rPr>
          <w:rFonts w:ascii="Times New Roman" w:hAnsi="Times New Roman" w:cs="Times New Roman"/>
          <w:sz w:val="24"/>
          <w:szCs w:val="24"/>
          <w:lang w:val="en-GB"/>
        </w:rPr>
        <w:t>Isin</w:t>
      </w:r>
      <w:proofErr w:type="spellEnd"/>
      <w:r w:rsidRPr="00282718">
        <w:rPr>
          <w:rFonts w:ascii="Times New Roman" w:hAnsi="Times New Roman" w:cs="Times New Roman"/>
          <w:sz w:val="24"/>
          <w:szCs w:val="24"/>
        </w:rPr>
        <w:t xml:space="preserve">, </w:t>
      </w:r>
      <w:proofErr w:type="spellStart"/>
      <w:r w:rsidRPr="00282718">
        <w:rPr>
          <w:rFonts w:ascii="Times New Roman" w:hAnsi="Times New Roman" w:cs="Times New Roman"/>
          <w:sz w:val="24"/>
          <w:szCs w:val="24"/>
        </w:rPr>
        <w:t>Northcentral</w:t>
      </w:r>
      <w:proofErr w:type="spellEnd"/>
      <w:r w:rsidRPr="00282718">
        <w:rPr>
          <w:rFonts w:ascii="Times New Roman" w:hAnsi="Times New Roman" w:cs="Times New Roman"/>
          <w:sz w:val="24"/>
          <w:szCs w:val="24"/>
        </w:rPr>
        <w:t xml:space="preserve"> Nigeria. </w:t>
      </w:r>
    </w:p>
    <w:p w14:paraId="32124D95" w14:textId="77777777" w:rsidR="00282718" w:rsidRPr="00282718" w:rsidRDefault="00282718" w:rsidP="00D611B0">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The objectives of this research work includes:</w:t>
      </w:r>
    </w:p>
    <w:p w14:paraId="03370EC5"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obtain </w:t>
      </w:r>
      <w:proofErr w:type="spellStart"/>
      <w:r w:rsidRPr="00282718">
        <w:rPr>
          <w:rFonts w:ascii="Times New Roman" w:hAnsi="Times New Roman" w:cs="Times New Roman"/>
          <w:sz w:val="24"/>
          <w:szCs w:val="24"/>
          <w:lang w:val="en-GB"/>
        </w:rPr>
        <w:t>surficial</w:t>
      </w:r>
      <w:proofErr w:type="spellEnd"/>
      <w:r w:rsidRPr="00282718">
        <w:rPr>
          <w:rFonts w:ascii="Times New Roman" w:hAnsi="Times New Roman" w:cs="Times New Roman"/>
          <w:sz w:val="24"/>
          <w:szCs w:val="24"/>
          <w:lang w:val="en-GB"/>
        </w:rPr>
        <w:t xml:space="preserve"> distribution of various radioactive elements,</w:t>
      </w:r>
    </w:p>
    <w:p w14:paraId="723E5389"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obtain potassic alteration zones,</w:t>
      </w:r>
    </w:p>
    <w:p w14:paraId="5C17A2E9"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identify zones that have undergone hydrothermal alterations,</w:t>
      </w:r>
    </w:p>
    <w:p w14:paraId="11D1A3E2"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reveal the possible signature areas of mineral deposits. </w:t>
      </w:r>
    </w:p>
    <w:p w14:paraId="3288C369" w14:textId="77777777" w:rsidR="00D611B0" w:rsidRDefault="00D611B0" w:rsidP="00D611B0">
      <w:pPr>
        <w:spacing w:line="360" w:lineRule="auto"/>
        <w:jc w:val="center"/>
        <w:rPr>
          <w:rFonts w:ascii="Times New Roman" w:hAnsi="Times New Roman" w:cs="Times New Roman"/>
          <w:b/>
          <w:bCs/>
          <w:sz w:val="24"/>
          <w:szCs w:val="24"/>
        </w:rPr>
      </w:pPr>
    </w:p>
    <w:p w14:paraId="43BD505C" w14:textId="77777777" w:rsidR="00D611B0" w:rsidRDefault="00D611B0" w:rsidP="00D611B0">
      <w:pPr>
        <w:spacing w:line="360" w:lineRule="auto"/>
        <w:jc w:val="center"/>
        <w:rPr>
          <w:rFonts w:ascii="Times New Roman" w:hAnsi="Times New Roman" w:cs="Times New Roman"/>
          <w:b/>
          <w:bCs/>
          <w:sz w:val="24"/>
          <w:szCs w:val="24"/>
        </w:rPr>
      </w:pPr>
    </w:p>
    <w:p w14:paraId="50C0C29F" w14:textId="77777777" w:rsidR="00D611B0" w:rsidRDefault="00D611B0" w:rsidP="00D611B0">
      <w:pPr>
        <w:spacing w:line="360" w:lineRule="auto"/>
        <w:jc w:val="center"/>
        <w:rPr>
          <w:rFonts w:ascii="Times New Roman" w:hAnsi="Times New Roman" w:cs="Times New Roman"/>
          <w:b/>
          <w:bCs/>
          <w:sz w:val="24"/>
          <w:szCs w:val="24"/>
        </w:rPr>
      </w:pPr>
    </w:p>
    <w:p w14:paraId="0DF72881" w14:textId="77777777" w:rsidR="00D611B0" w:rsidRDefault="00D611B0" w:rsidP="00D611B0">
      <w:pPr>
        <w:spacing w:line="360" w:lineRule="auto"/>
        <w:jc w:val="center"/>
        <w:rPr>
          <w:rFonts w:ascii="Times New Roman" w:hAnsi="Times New Roman" w:cs="Times New Roman"/>
          <w:b/>
          <w:bCs/>
          <w:sz w:val="24"/>
          <w:szCs w:val="24"/>
        </w:rPr>
      </w:pPr>
    </w:p>
    <w:p w14:paraId="5DD98F10" w14:textId="77777777" w:rsidR="00D611B0" w:rsidRDefault="00D611B0" w:rsidP="00D611B0">
      <w:pPr>
        <w:spacing w:line="360" w:lineRule="auto"/>
        <w:jc w:val="center"/>
        <w:rPr>
          <w:rFonts w:ascii="Times New Roman" w:hAnsi="Times New Roman" w:cs="Times New Roman"/>
          <w:b/>
          <w:bCs/>
          <w:sz w:val="24"/>
          <w:szCs w:val="24"/>
        </w:rPr>
      </w:pPr>
    </w:p>
    <w:p w14:paraId="7E524D79" w14:textId="77777777" w:rsidR="005A2A62" w:rsidRDefault="005A2A62" w:rsidP="00D611B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CHAPTER TWO</w:t>
      </w:r>
    </w:p>
    <w:p w14:paraId="3673140B" w14:textId="77777777" w:rsidR="005A291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LITERATURE REVIEW</w:t>
      </w:r>
    </w:p>
    <w:p w14:paraId="77D4B1D9" w14:textId="77777777" w:rsidR="00803B04" w:rsidRPr="00EC0335" w:rsidRDefault="00D611B0" w:rsidP="00D611B0">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w:t>
      </w:r>
      <w:proofErr w:type="spellStart"/>
      <w:r w:rsidRPr="00EC0335">
        <w:rPr>
          <w:rFonts w:ascii="Times New Roman" w:hAnsi="Times New Roman" w:cs="Times New Roman"/>
          <w:bCs/>
          <w:sz w:val="24"/>
          <w:szCs w:val="24"/>
        </w:rPr>
        <w:t>Tawey</w:t>
      </w:r>
      <w:proofErr w:type="spellEnd"/>
      <w:r w:rsidRPr="00EC0335">
        <w:rPr>
          <w:rFonts w:ascii="Times New Roman" w:hAnsi="Times New Roman" w:cs="Times New Roman"/>
          <w:bCs/>
          <w:sz w:val="24"/>
          <w:szCs w:val="24"/>
        </w:rPr>
        <w:t xml:space="preserve"> </w:t>
      </w:r>
      <w:r w:rsidR="006675A8" w:rsidRPr="006675A8">
        <w:rPr>
          <w:rFonts w:ascii="Times New Roman" w:hAnsi="Times New Roman" w:cs="Times New Roman"/>
          <w:bCs/>
          <w:i/>
          <w:iCs/>
          <w:sz w:val="24"/>
          <w:szCs w:val="24"/>
        </w:rPr>
        <w:t>et al.,</w:t>
      </w:r>
      <w:r w:rsidRPr="00EC0335">
        <w:rPr>
          <w:rFonts w:ascii="Times New Roman" w:hAnsi="Times New Roman" w:cs="Times New Roman"/>
          <w:bCs/>
          <w:sz w:val="24"/>
          <w:szCs w:val="24"/>
        </w:rPr>
        <w:t xml:space="preserve"> (2022) investigated on Zones that have undergone hydrothermal alteration and are associated with mineralization.</w:t>
      </w:r>
    </w:p>
    <w:p w14:paraId="35B7D974" w14:textId="77777777" w:rsidR="00803B04" w:rsidRPr="00EC0335" w:rsidRDefault="00D611B0" w:rsidP="00D611B0">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Sanusi</w:t>
      </w:r>
      <w:proofErr w:type="spellEnd"/>
      <w:r w:rsidRPr="00EC0335">
        <w:rPr>
          <w:rFonts w:ascii="Times New Roman" w:hAnsi="Times New Roman" w:cs="Times New Roman"/>
          <w:bCs/>
          <w:sz w:val="24"/>
          <w:szCs w:val="24"/>
        </w:rPr>
        <w:t xml:space="preserve"> et al.(2020) used the radiometric approach to establish the </w:t>
      </w:r>
      <w:proofErr w:type="spellStart"/>
      <w:r w:rsidRPr="00EC0335">
        <w:rPr>
          <w:rFonts w:ascii="Times New Roman" w:hAnsi="Times New Roman" w:cs="Times New Roman"/>
          <w:bCs/>
          <w:sz w:val="24"/>
          <w:szCs w:val="24"/>
        </w:rPr>
        <w:t>surficial</w:t>
      </w:r>
      <w:proofErr w:type="spellEnd"/>
      <w:r w:rsidRPr="00EC0335">
        <w:rPr>
          <w:rFonts w:ascii="Times New Roman" w:hAnsi="Times New Roman" w:cs="Times New Roman"/>
          <w:bCs/>
          <w:sz w:val="24"/>
          <w:szCs w:val="24"/>
        </w:rPr>
        <w:t xml:space="preserve"> distribution of various radioactive elements and then separate the hydrothermally changed zones </w:t>
      </w:r>
      <w:r w:rsid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Ayokunle</w:t>
      </w:r>
      <w:proofErr w:type="spellEnd"/>
      <w:r w:rsidRPr="00EC0335">
        <w:rPr>
          <w:rFonts w:ascii="Times New Roman" w:hAnsi="Times New Roman" w:cs="Times New Roman"/>
          <w:bCs/>
          <w:sz w:val="24"/>
          <w:szCs w:val="24"/>
        </w:rPr>
        <w:t xml:space="preserve"> et al. (2023) also used radiometric mapping approach for the identification of hydrothermally altered zones related to gold mineralization</w:t>
      </w:r>
      <w:r w:rsidRPr="00EC0335">
        <w:rPr>
          <w:rFonts w:ascii="Times New Roman" w:hAnsi="Times New Roman" w:cs="Times New Roman"/>
          <w:bCs/>
          <w:sz w:val="24"/>
          <w:szCs w:val="24"/>
          <w:lang w:val="es-ES"/>
        </w:rPr>
        <w:t xml:space="preserve"> </w:t>
      </w:r>
      <w:r w:rsidR="00EC0335">
        <w:rPr>
          <w:rFonts w:ascii="Times New Roman" w:hAnsi="Times New Roman" w:cs="Times New Roman"/>
          <w:bCs/>
          <w:sz w:val="24"/>
          <w:szCs w:val="24"/>
          <w:lang w:val="es-ES"/>
        </w:rPr>
        <w:t xml:space="preserve"> </w:t>
      </w:r>
      <w:r w:rsidRPr="00EC0335">
        <w:rPr>
          <w:rFonts w:ascii="Times New Roman" w:hAnsi="Times New Roman" w:cs="Times New Roman"/>
          <w:bCs/>
          <w:sz w:val="24"/>
          <w:szCs w:val="24"/>
          <w:lang w:val="es-ES"/>
        </w:rPr>
        <w:t xml:space="preserve">Reda A. Y. El </w:t>
      </w:r>
      <w:proofErr w:type="spellStart"/>
      <w:r w:rsidRPr="00EC0335">
        <w:rPr>
          <w:rFonts w:ascii="Times New Roman" w:hAnsi="Times New Roman" w:cs="Times New Roman"/>
          <w:bCs/>
          <w:sz w:val="24"/>
          <w:szCs w:val="24"/>
          <w:lang w:val="es-ES"/>
        </w:rPr>
        <w:t>Qassasa</w:t>
      </w:r>
      <w:proofErr w:type="spellEnd"/>
      <w:r w:rsidRPr="00EC0335">
        <w:rPr>
          <w:rFonts w:ascii="Times New Roman" w:hAnsi="Times New Roman" w:cs="Times New Roman"/>
          <w:bCs/>
          <w:sz w:val="24"/>
          <w:szCs w:val="24"/>
          <w:lang w:val="es-ES"/>
        </w:rPr>
        <w:t xml:space="preserve"> et al. (2020)</w:t>
      </w:r>
      <w:r w:rsidRPr="00EC0335">
        <w:rPr>
          <w:rFonts w:ascii="Times New Roman" w:hAnsi="Times New Roman" w:cs="Times New Roman"/>
          <w:bCs/>
          <w:sz w:val="24"/>
          <w:szCs w:val="24"/>
        </w:rPr>
        <w:t xml:space="preserve"> used Airborne gamma-ray spectrometric data interpretation on Wadi </w:t>
      </w:r>
      <w:proofErr w:type="spellStart"/>
      <w:r w:rsidRPr="00EC0335">
        <w:rPr>
          <w:rFonts w:ascii="Times New Roman" w:hAnsi="Times New Roman" w:cs="Times New Roman"/>
          <w:bCs/>
          <w:sz w:val="24"/>
          <w:szCs w:val="24"/>
        </w:rPr>
        <w:t>Queih</w:t>
      </w:r>
      <w:proofErr w:type="spellEnd"/>
      <w:r w:rsidRPr="00EC0335">
        <w:rPr>
          <w:rFonts w:ascii="Times New Roman" w:hAnsi="Times New Roman" w:cs="Times New Roman"/>
          <w:bCs/>
          <w:sz w:val="24"/>
          <w:szCs w:val="24"/>
        </w:rPr>
        <w:t xml:space="preserve"> and Wadi </w:t>
      </w:r>
      <w:proofErr w:type="spellStart"/>
      <w:r w:rsidRPr="00EC0335">
        <w:rPr>
          <w:rFonts w:ascii="Times New Roman" w:hAnsi="Times New Roman" w:cs="Times New Roman"/>
          <w:bCs/>
          <w:sz w:val="24"/>
          <w:szCs w:val="24"/>
        </w:rPr>
        <w:t>Safaga</w:t>
      </w:r>
      <w:proofErr w:type="spellEnd"/>
      <w:r w:rsidRPr="00EC0335">
        <w:rPr>
          <w:rFonts w:ascii="Times New Roman" w:hAnsi="Times New Roman" w:cs="Times New Roman"/>
          <w:bCs/>
          <w:sz w:val="24"/>
          <w:szCs w:val="24"/>
        </w:rPr>
        <w:t xml:space="preserve"> area, Central Eastern Desert, Egypt</w:t>
      </w:r>
    </w:p>
    <w:p w14:paraId="691E0823"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Mineral Deposits</w:t>
      </w:r>
    </w:p>
    <w:p w14:paraId="402B0E1E"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recrystallization (Robb, 2005). In the context of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located within Nigeria’s Basement Complex, mineral deposits are predominantly associated with orogenic gold systems and, to a lesser extent, base metals like lead, zinc, and tantalite (</w:t>
      </w:r>
      <w:proofErr w:type="spellStart"/>
      <w:r w:rsidRPr="005B1F34">
        <w:rPr>
          <w:rFonts w:ascii="Times New Roman" w:hAnsi="Times New Roman" w:cs="Times New Roman"/>
          <w:sz w:val="24"/>
          <w:szCs w:val="24"/>
        </w:rPr>
        <w:t>Garba</w:t>
      </w:r>
      <w:proofErr w:type="spellEnd"/>
      <w:r w:rsidRPr="005B1F34">
        <w:rPr>
          <w:rFonts w:ascii="Times New Roman" w:hAnsi="Times New Roman" w:cs="Times New Roman"/>
          <w:sz w:val="24"/>
          <w:szCs w:val="24"/>
        </w:rPr>
        <w:t>, 2003). These deposits are hosted in Precambrian rocks, including schists, gneisses, and granites, which have undergone extensive tectonic deformation and metamorphism. Gold mineralization, a primary focus in the region, typically occurs in quartz veins and shear zones, where hydrothermal fluids precipitate metals along structural conduits (</w:t>
      </w:r>
      <w:proofErr w:type="spellStart"/>
      <w:r w:rsidRPr="005B1F34">
        <w:rPr>
          <w:rFonts w:ascii="Times New Roman" w:hAnsi="Times New Roman" w:cs="Times New Roman"/>
          <w:sz w:val="24"/>
          <w:szCs w:val="24"/>
        </w:rPr>
        <w:t>Ohioma</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2017). The formation of these deposits is intricately linked to fluid-rock interactions, where hot, mineral-rich fluids dissolve and transport metals from source rocks, depositing them in favorable structural traps such as faults, folds, or </w:t>
      </w:r>
      <w:proofErr w:type="spellStart"/>
      <w:r w:rsidRPr="005B1F34">
        <w:rPr>
          <w:rFonts w:ascii="Times New Roman" w:hAnsi="Times New Roman" w:cs="Times New Roman"/>
          <w:sz w:val="24"/>
          <w:szCs w:val="24"/>
        </w:rPr>
        <w:t>brecciated</w:t>
      </w:r>
      <w:proofErr w:type="spellEnd"/>
      <w:r w:rsidRPr="005B1F34">
        <w:rPr>
          <w:rFonts w:ascii="Times New Roman" w:hAnsi="Times New Roman" w:cs="Times New Roman"/>
          <w:sz w:val="24"/>
          <w:szCs w:val="24"/>
        </w:rPr>
        <w:t xml:space="preserve"> zones (Sillitoe, 2010).</w:t>
      </w:r>
    </w:p>
    <w:p w14:paraId="4EC961D9"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The mineralizing fluids 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xml:space="preserve"> are often derived from deep-seated magmatic or metamorphic sources, with fluid temperatures ranging from 200–400°C, conducive to gold and sulfide mineral precipitation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The deposits are commonly associated with brittle-ductile shear zones, which act as pathways for fluid migration, enhancing the concentration of metals in localized zones (Goldfarb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2005). In addition to gold, the region shows potential for tantalite and base metal deposits, particularly in areas with </w:t>
      </w:r>
      <w:proofErr w:type="spellStart"/>
      <w:r w:rsidRPr="005B1F34">
        <w:rPr>
          <w:rFonts w:ascii="Times New Roman" w:hAnsi="Times New Roman" w:cs="Times New Roman"/>
          <w:sz w:val="24"/>
          <w:szCs w:val="24"/>
        </w:rPr>
        <w:t>pegmatitic</w:t>
      </w:r>
      <w:proofErr w:type="spellEnd"/>
      <w:r w:rsidRPr="005B1F34">
        <w:rPr>
          <w:rFonts w:ascii="Times New Roman" w:hAnsi="Times New Roman" w:cs="Times New Roman"/>
          <w:sz w:val="24"/>
          <w:szCs w:val="24"/>
        </w:rPr>
        <w:t xml:space="preserve"> intrusions and structurally controlled mineralization (</w:t>
      </w:r>
      <w:proofErr w:type="spellStart"/>
      <w:r w:rsidRPr="005B1F34">
        <w:rPr>
          <w:rFonts w:ascii="Times New Roman" w:hAnsi="Times New Roman" w:cs="Times New Roman"/>
          <w:sz w:val="24"/>
          <w:szCs w:val="24"/>
        </w:rPr>
        <w:t>Olade</w:t>
      </w:r>
      <w:proofErr w:type="spellEnd"/>
      <w:r w:rsidRPr="005B1F34">
        <w:rPr>
          <w:rFonts w:ascii="Times New Roman" w:hAnsi="Times New Roman" w:cs="Times New Roman"/>
          <w:sz w:val="24"/>
          <w:szCs w:val="24"/>
        </w:rPr>
        <w:t>,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w:t>
      </w:r>
      <w:proofErr w:type="spellStart"/>
      <w:r w:rsidRPr="005B1F34">
        <w:rPr>
          <w:rFonts w:ascii="Times New Roman" w:hAnsi="Times New Roman" w:cs="Times New Roman"/>
          <w:sz w:val="24"/>
          <w:szCs w:val="24"/>
        </w:rPr>
        <w:t>Sanusi</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w:t>
      </w:r>
    </w:p>
    <w:p w14:paraId="1EBBB094"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Hydrothermal Alteration Zones</w:t>
      </w:r>
    </w:p>
    <w:p w14:paraId="2171E314"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Hydrothermal alteration zones are regions of chemically and mineralogically altered rocks resulting from interactions with hot, mineral-rich fluids. These zones are classified based on their mineral assemblages, which reflect the temperature, pressure, and chemical composition of the fluids involved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the following alteration types are prevalent:</w:t>
      </w:r>
    </w:p>
    <w:p w14:paraId="29212A6B"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r w:rsidRPr="005B1F34">
        <w:rPr>
          <w:rFonts w:ascii="Times New Roman" w:hAnsi="Times New Roman" w:cs="Times New Roman"/>
          <w:b/>
          <w:bCs/>
          <w:sz w:val="24"/>
          <w:szCs w:val="24"/>
        </w:rPr>
        <w:t>Potassic Alteration</w:t>
      </w:r>
      <w:r w:rsidRPr="005B1F34">
        <w:rPr>
          <w:rFonts w:ascii="Times New Roman" w:hAnsi="Times New Roman" w:cs="Times New Roman"/>
          <w:sz w:val="24"/>
          <w:szCs w:val="24"/>
        </w:rPr>
        <w:t>: Characterized by K-feldspar, biotite, and minor quartz, this high-temperature (300–400°C) alteration is often proximal to ore bodies and associated with gold and porphyry copper deposits. It reflects intense fluid-rock interaction in structurally controlled environments (Robb, 2005).</w:t>
      </w:r>
    </w:p>
    <w:p w14:paraId="78650E87"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Phyllic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Dominated by sericite, quartz, and pyrite, this alteration occurs at moderate temperatures (200–300°C) and is commonly associated with gold and base metal deposits. It forms extensive haloes around mineralized zones, making it a key exploration target (Sillitoe, 2010).</w:t>
      </w:r>
    </w:p>
    <w:p w14:paraId="57EB5211"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Argillic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Characterized by clay minerals such as kaolinite and illite, this alteration forms at lower temperatures (150–200°C) and is often distal to the main ore body. It indicates waning fluid activity and is less directly associated with high-grade mineralization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2009).</w:t>
      </w:r>
    </w:p>
    <w:p w14:paraId="79B84E22"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Propylitic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Comprising chlorite, epidote, and carbonates, this low-temperature (100–200°C) alteration is typically found at the periphery of mineralized systems. It serves as a broader indicator of hydrothermal activity but is less specific to high-grade ore zones (Robb, 2005).</w:t>
      </w:r>
    </w:p>
    <w:p w14:paraId="2E9A6723"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xml:space="preserve">, these alteration zones are mapped using radiometric surveys, which detect variations in potassium (K), uranium (eU), and thorium (eTh) concentrations. Potassium-enriched zones, particularly around </w:t>
      </w:r>
      <w:proofErr w:type="spellStart"/>
      <w:r w:rsidRPr="005B1F34">
        <w:rPr>
          <w:rFonts w:ascii="Times New Roman" w:hAnsi="Times New Roman" w:cs="Times New Roman"/>
          <w:sz w:val="24"/>
          <w:szCs w:val="24"/>
        </w:rPr>
        <w:t>Odogbe</w:t>
      </w:r>
      <w:proofErr w:type="spellEnd"/>
      <w:r w:rsidRPr="005B1F34">
        <w:rPr>
          <w:rFonts w:ascii="Times New Roman" w:hAnsi="Times New Roman" w:cs="Times New Roman"/>
          <w:sz w:val="24"/>
          <w:szCs w:val="24"/>
        </w:rPr>
        <w:t xml:space="preserve"> and </w:t>
      </w:r>
      <w:proofErr w:type="spellStart"/>
      <w:r w:rsidRPr="005B1F34">
        <w:rPr>
          <w:rFonts w:ascii="Times New Roman" w:hAnsi="Times New Roman" w:cs="Times New Roman"/>
          <w:sz w:val="24"/>
          <w:szCs w:val="24"/>
        </w:rPr>
        <w:t>Okolom</w:t>
      </w:r>
      <w:proofErr w:type="spellEnd"/>
      <w:r w:rsidRPr="005B1F34">
        <w:rPr>
          <w:rFonts w:ascii="Times New Roman" w:hAnsi="Times New Roman" w:cs="Times New Roman"/>
          <w:sz w:val="24"/>
          <w:szCs w:val="24"/>
        </w:rPr>
        <w:t>, are indicative of potassic alteration and potential gold mineralization (</w:t>
      </w:r>
      <w:proofErr w:type="spellStart"/>
      <w:r w:rsidRPr="005B1F34">
        <w:rPr>
          <w:rFonts w:ascii="Times New Roman" w:hAnsi="Times New Roman" w:cs="Times New Roman"/>
          <w:sz w:val="24"/>
          <w:szCs w:val="24"/>
        </w:rPr>
        <w:t>Ohioma</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w:t>
      </w:r>
      <w:proofErr w:type="spellStart"/>
      <w:r w:rsidRPr="005B1F34">
        <w:rPr>
          <w:rFonts w:ascii="Times New Roman" w:hAnsi="Times New Roman" w:cs="Times New Roman"/>
          <w:sz w:val="24"/>
          <w:szCs w:val="24"/>
        </w:rPr>
        <w:t>Sanusi</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 Understanding the mineral assemblages and their spatial relationships is crucial for delineating exploration targets and prioritizing drilling programs.</w:t>
      </w:r>
    </w:p>
    <w:p w14:paraId="74737C0F"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Relationship Between Mineral Deposits and Hydrothermal Alteration Zones</w:t>
      </w:r>
    </w:p>
    <w:p w14:paraId="0D6B3D32"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Hydrothermal alteration zones are critical indicators of mineral deposits, as they mark fluid pathways and interaction zones. In orogenic gold systems, like those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gold precipitates in structurally controlled zones where fluids alter host rocks, forming alteration haloes (Sillitoe, 2010). High K/eTh ratios in radiometric data often correlate with sericite and K-feldspar alterations, directly linked to gold mineralization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2020). Shear zones and fractures enhance fluid flow, localizing deposits and making alteration mapping essential for exploration (Goldfarb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2005).</w:t>
      </w:r>
    </w:p>
    <w:p w14:paraId="6617504C" w14:textId="77777777" w:rsidR="003736E9" w:rsidRDefault="003736E9" w:rsidP="00D611B0">
      <w:pPr>
        <w:spacing w:line="360" w:lineRule="auto"/>
        <w:jc w:val="both"/>
        <w:rPr>
          <w:rFonts w:ascii="Times New Roman" w:hAnsi="Times New Roman" w:cs="Times New Roman"/>
          <w:b/>
          <w:bCs/>
          <w:sz w:val="24"/>
          <w:szCs w:val="24"/>
        </w:rPr>
      </w:pPr>
    </w:p>
    <w:p w14:paraId="27706919"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Review of Related Studies</w:t>
      </w:r>
    </w:p>
    <w:p w14:paraId="1E7CB6BB"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Ohioma</w:t>
      </w:r>
      <w:proofErr w:type="spellEnd"/>
      <w:r w:rsidRPr="00D611B0">
        <w:rPr>
          <w:rFonts w:ascii="Times New Roman" w:hAnsi="Times New Roman" w:cs="Times New Roman"/>
          <w:bCs/>
          <w:sz w:val="24"/>
          <w:szCs w:val="24"/>
        </w:rPr>
        <w:t xml:space="preserve"> et al. (2017)</w:t>
      </w:r>
      <w:r w:rsidRPr="00D611B0">
        <w:rPr>
          <w:rFonts w:ascii="Times New Roman" w:hAnsi="Times New Roman" w:cs="Times New Roman"/>
          <w:sz w:val="24"/>
          <w:szCs w:val="24"/>
        </w:rPr>
        <w:t xml:space="preserve"> used </w:t>
      </w:r>
      <w:proofErr w:type="spellStart"/>
      <w:r w:rsidRPr="00D611B0">
        <w:rPr>
          <w:rFonts w:ascii="Times New Roman" w:hAnsi="Times New Roman" w:cs="Times New Roman"/>
          <w:sz w:val="24"/>
          <w:szCs w:val="24"/>
        </w:rPr>
        <w:t>aeroradiometric</w:t>
      </w:r>
      <w:proofErr w:type="spellEnd"/>
      <w:r w:rsidRPr="00D611B0">
        <w:rPr>
          <w:rFonts w:ascii="Times New Roman" w:hAnsi="Times New Roman" w:cs="Times New Roman"/>
          <w:sz w:val="24"/>
          <w:szCs w:val="24"/>
        </w:rPr>
        <w:t xml:space="preserve"> data from </w:t>
      </w:r>
      <w:proofErr w:type="spellStart"/>
      <w:r w:rsidRPr="00D611B0">
        <w:rPr>
          <w:rFonts w:ascii="Times New Roman" w:hAnsi="Times New Roman" w:cs="Times New Roman"/>
          <w:sz w:val="24"/>
          <w:szCs w:val="24"/>
        </w:rPr>
        <w:t>Isanlu</w:t>
      </w:r>
      <w:proofErr w:type="spellEnd"/>
      <w:r w:rsidRPr="00D611B0">
        <w:rPr>
          <w:rFonts w:ascii="Times New Roman" w:hAnsi="Times New Roman" w:cs="Times New Roman"/>
          <w:sz w:val="24"/>
          <w:szCs w:val="24"/>
        </w:rPr>
        <w:t xml:space="preserve"> sheet 225 to map eight hydrothermal alteration zones, identifying </w:t>
      </w:r>
      <w:proofErr w:type="spellStart"/>
      <w:r w:rsidRPr="00D611B0">
        <w:rPr>
          <w:rFonts w:ascii="Times New Roman" w:hAnsi="Times New Roman" w:cs="Times New Roman"/>
          <w:sz w:val="24"/>
          <w:szCs w:val="24"/>
        </w:rPr>
        <w:t>Odogbe</w:t>
      </w:r>
      <w:proofErr w:type="spellEnd"/>
      <w:r w:rsidRPr="00D611B0">
        <w:rPr>
          <w:rFonts w:ascii="Times New Roman" w:hAnsi="Times New Roman" w:cs="Times New Roman"/>
          <w:sz w:val="24"/>
          <w:szCs w:val="24"/>
        </w:rPr>
        <w:t xml:space="preserve"> and </w:t>
      </w:r>
      <w:proofErr w:type="spellStart"/>
      <w:r w:rsidRPr="00D611B0">
        <w:rPr>
          <w:rFonts w:ascii="Times New Roman" w:hAnsi="Times New Roman" w:cs="Times New Roman"/>
          <w:sz w:val="24"/>
          <w:szCs w:val="24"/>
        </w:rPr>
        <w:t>Okolom</w:t>
      </w:r>
      <w:proofErr w:type="spellEnd"/>
      <w:r w:rsidRPr="00D611B0">
        <w:rPr>
          <w:rFonts w:ascii="Times New Roman" w:hAnsi="Times New Roman" w:cs="Times New Roman"/>
          <w:sz w:val="24"/>
          <w:szCs w:val="24"/>
        </w:rPr>
        <w:t xml:space="preserve"> as high-potential areas for gold. They applied shaded relief and K/eTh ratio enhancement using </w:t>
      </w:r>
      <w:proofErr w:type="spellStart"/>
      <w:r w:rsidRPr="00D611B0">
        <w:rPr>
          <w:rFonts w:ascii="Times New Roman" w:hAnsi="Times New Roman" w:cs="Times New Roman"/>
          <w:sz w:val="24"/>
          <w:szCs w:val="24"/>
        </w:rPr>
        <w:t>Geosoft</w:t>
      </w:r>
      <w:proofErr w:type="spellEnd"/>
      <w:r w:rsidRPr="00D611B0">
        <w:rPr>
          <w:rFonts w:ascii="Times New Roman" w:hAnsi="Times New Roman" w:cs="Times New Roman"/>
          <w:sz w:val="24"/>
          <w:szCs w:val="24"/>
        </w:rPr>
        <w:t xml:space="preserve"> Oasis </w:t>
      </w:r>
      <w:proofErr w:type="spellStart"/>
      <w:r w:rsidRPr="00D611B0">
        <w:rPr>
          <w:rFonts w:ascii="Times New Roman" w:hAnsi="Times New Roman" w:cs="Times New Roman"/>
          <w:sz w:val="24"/>
          <w:szCs w:val="24"/>
        </w:rPr>
        <w:t>Montaj</w:t>
      </w:r>
      <w:proofErr w:type="spellEnd"/>
      <w:r w:rsidRPr="00D611B0">
        <w:rPr>
          <w:rFonts w:ascii="Times New Roman" w:hAnsi="Times New Roman" w:cs="Times New Roman"/>
          <w:sz w:val="24"/>
          <w:szCs w:val="24"/>
        </w:rPr>
        <w:t>, confirming potassium enrichment as a key indicator.</w:t>
      </w:r>
    </w:p>
    <w:p w14:paraId="317AE4D3"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Sanusi</w:t>
      </w:r>
      <w:proofErr w:type="spellEnd"/>
      <w:r w:rsidRPr="00D611B0">
        <w:rPr>
          <w:rFonts w:ascii="Times New Roman" w:hAnsi="Times New Roman" w:cs="Times New Roman"/>
          <w:bCs/>
          <w:sz w:val="24"/>
          <w:szCs w:val="24"/>
        </w:rPr>
        <w:t xml:space="preserve"> and </w:t>
      </w:r>
      <w:proofErr w:type="spellStart"/>
      <w:r w:rsidRPr="00D611B0">
        <w:rPr>
          <w:rFonts w:ascii="Times New Roman" w:hAnsi="Times New Roman" w:cs="Times New Roman"/>
          <w:bCs/>
          <w:sz w:val="24"/>
          <w:szCs w:val="24"/>
        </w:rPr>
        <w:t>Amigun</w:t>
      </w:r>
      <w:proofErr w:type="spellEnd"/>
      <w:r w:rsidRPr="00D611B0">
        <w:rPr>
          <w:rFonts w:ascii="Times New Roman" w:hAnsi="Times New Roman" w:cs="Times New Roman"/>
          <w:bCs/>
          <w:sz w:val="24"/>
          <w:szCs w:val="24"/>
        </w:rPr>
        <w:t xml:space="preserve"> (2020)</w:t>
      </w:r>
      <w:r w:rsidRPr="00D611B0">
        <w:rPr>
          <w:rFonts w:ascii="Times New Roman" w:hAnsi="Times New Roman" w:cs="Times New Roman"/>
          <w:sz w:val="24"/>
          <w:szCs w:val="24"/>
        </w:rPr>
        <w:t xml:space="preserve"> integrated airborne magnetic and radiometric data in the </w:t>
      </w:r>
      <w:proofErr w:type="spellStart"/>
      <w:r w:rsidRPr="00D611B0">
        <w:rPr>
          <w:rFonts w:ascii="Times New Roman" w:hAnsi="Times New Roman" w:cs="Times New Roman"/>
          <w:sz w:val="24"/>
          <w:szCs w:val="24"/>
        </w:rPr>
        <w:t>Kushaka</w:t>
      </w:r>
      <w:proofErr w:type="spellEnd"/>
      <w:r w:rsidRPr="00D611B0">
        <w:rPr>
          <w:rFonts w:ascii="Times New Roman" w:hAnsi="Times New Roman" w:cs="Times New Roman"/>
          <w:sz w:val="24"/>
          <w:szCs w:val="24"/>
        </w:rPr>
        <w:t xml:space="preserve"> schist belt, mapping shear zones (427.96–607.61 m depth) linked to gold deposits. Their use of K/eTh ratios and reduction-to-equator techniques highlighted alteration zones.</w:t>
      </w:r>
    </w:p>
    <w:p w14:paraId="52A931AB"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Aisabokhae</w:t>
      </w:r>
      <w:proofErr w:type="spellEnd"/>
      <w:r w:rsidRPr="00D611B0">
        <w:rPr>
          <w:rFonts w:ascii="Times New Roman" w:hAnsi="Times New Roman" w:cs="Times New Roman"/>
          <w:bCs/>
          <w:sz w:val="24"/>
          <w:szCs w:val="24"/>
        </w:rPr>
        <w:t xml:space="preserve"> et al. (2023)</w:t>
      </w:r>
      <w:r w:rsidRPr="00D611B0">
        <w:rPr>
          <w:rFonts w:ascii="Times New Roman" w:hAnsi="Times New Roman" w:cs="Times New Roman"/>
          <w:sz w:val="24"/>
          <w:szCs w:val="24"/>
        </w:rPr>
        <w:t xml:space="preserve"> combined aeromagnetic and multispectral data in </w:t>
      </w:r>
      <w:proofErr w:type="spellStart"/>
      <w:r w:rsidRPr="00D611B0">
        <w:rPr>
          <w:rFonts w:ascii="Times New Roman" w:hAnsi="Times New Roman" w:cs="Times New Roman"/>
          <w:sz w:val="24"/>
          <w:szCs w:val="24"/>
        </w:rPr>
        <w:t>Zuru</w:t>
      </w:r>
      <w:proofErr w:type="spellEnd"/>
      <w:r w:rsidRPr="00D611B0">
        <w:rPr>
          <w:rFonts w:ascii="Times New Roman" w:hAnsi="Times New Roman" w:cs="Times New Roman"/>
          <w:sz w:val="24"/>
          <w:szCs w:val="24"/>
        </w:rPr>
        <w:t xml:space="preserve"> province, identifying potassic and </w:t>
      </w:r>
      <w:proofErr w:type="spellStart"/>
      <w:r w:rsidRPr="00D611B0">
        <w:rPr>
          <w:rFonts w:ascii="Times New Roman" w:hAnsi="Times New Roman" w:cs="Times New Roman"/>
          <w:sz w:val="24"/>
          <w:szCs w:val="24"/>
        </w:rPr>
        <w:t>phyllic</w:t>
      </w:r>
      <w:proofErr w:type="spellEnd"/>
      <w:r w:rsidRPr="00D611B0">
        <w:rPr>
          <w:rFonts w:ascii="Times New Roman" w:hAnsi="Times New Roman" w:cs="Times New Roman"/>
          <w:sz w:val="24"/>
          <w:szCs w:val="24"/>
        </w:rPr>
        <w:t xml:space="preserve"> alteration zones associated with porphyry deposits. They emphasized structural controls in mineralization.</w:t>
      </w:r>
    </w:p>
    <w:p w14:paraId="3FE33DBF"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Forson</w:t>
      </w:r>
      <w:proofErr w:type="spellEnd"/>
      <w:r w:rsidRPr="00D611B0">
        <w:rPr>
          <w:rFonts w:ascii="Times New Roman" w:hAnsi="Times New Roman" w:cs="Times New Roman"/>
          <w:bCs/>
          <w:sz w:val="24"/>
          <w:szCs w:val="24"/>
        </w:rPr>
        <w:t xml:space="preserve"> et al. (2022)</w:t>
      </w:r>
      <w:r w:rsidRPr="00D611B0">
        <w:rPr>
          <w:rFonts w:ascii="Times New Roman" w:hAnsi="Times New Roman" w:cs="Times New Roman"/>
          <w:sz w:val="24"/>
          <w:szCs w:val="24"/>
        </w:rPr>
        <w:t xml:space="preserve"> applied fuzzy logic to radiometric data in the </w:t>
      </w:r>
      <w:proofErr w:type="spellStart"/>
      <w:r w:rsidRPr="00D611B0">
        <w:rPr>
          <w:rFonts w:ascii="Times New Roman" w:hAnsi="Times New Roman" w:cs="Times New Roman"/>
          <w:sz w:val="24"/>
          <w:szCs w:val="24"/>
        </w:rPr>
        <w:t>Ife-Ilesa</w:t>
      </w:r>
      <w:proofErr w:type="spellEnd"/>
      <w:r w:rsidRPr="00D611B0">
        <w:rPr>
          <w:rFonts w:ascii="Times New Roman" w:hAnsi="Times New Roman" w:cs="Times New Roman"/>
          <w:sz w:val="24"/>
          <w:szCs w:val="24"/>
        </w:rPr>
        <w:t xml:space="preserve"> schist belt, delineating potassic alteration zones tied to gold mineralization, validating radiometric methods for exploration.</w:t>
      </w:r>
    </w:p>
    <w:p w14:paraId="0BC48CF3"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Olade</w:t>
      </w:r>
      <w:proofErr w:type="spellEnd"/>
      <w:r w:rsidRPr="00D611B0">
        <w:rPr>
          <w:rFonts w:ascii="Times New Roman" w:hAnsi="Times New Roman" w:cs="Times New Roman"/>
          <w:bCs/>
          <w:sz w:val="24"/>
          <w:szCs w:val="24"/>
        </w:rPr>
        <w:t xml:space="preserve"> (2019)</w:t>
      </w:r>
      <w:r w:rsidRPr="00D611B0">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14:paraId="0E600179"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Anudu</w:t>
      </w:r>
      <w:proofErr w:type="spellEnd"/>
      <w:r w:rsidRPr="00D611B0">
        <w:rPr>
          <w:rFonts w:ascii="Times New Roman" w:hAnsi="Times New Roman" w:cs="Times New Roman"/>
          <w:bCs/>
          <w:sz w:val="24"/>
          <w:szCs w:val="24"/>
        </w:rPr>
        <w:t xml:space="preserve"> et al. (2014)</w:t>
      </w:r>
      <w:r w:rsidRPr="00D611B0">
        <w:rPr>
          <w:rFonts w:ascii="Times New Roman" w:hAnsi="Times New Roman" w:cs="Times New Roman"/>
          <w:sz w:val="24"/>
          <w:szCs w:val="24"/>
        </w:rPr>
        <w:t xml:space="preserve"> used radiometric and magnetic data to map structural controls in the Ibadan area, linking alteration </w:t>
      </w:r>
      <w:r w:rsidRPr="005A291E">
        <w:rPr>
          <w:rFonts w:ascii="Times New Roman" w:hAnsi="Times New Roman" w:cs="Times New Roman"/>
          <w:sz w:val="24"/>
          <w:szCs w:val="24"/>
        </w:rPr>
        <w:t>zones to gold and base metal deposits.</w:t>
      </w:r>
    </w:p>
    <w:p w14:paraId="14254578"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studies underscore the efficacy of geophysical techniques in identifying alteration zones and their mineral associations, though gaps remain in high-resolution mapping and integration with remote sensing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w:t>
      </w:r>
    </w:p>
    <w:p w14:paraId="74E6BD25" w14:textId="77777777" w:rsidR="003736E9" w:rsidRDefault="003736E9" w:rsidP="00D611B0">
      <w:pPr>
        <w:spacing w:line="360" w:lineRule="auto"/>
        <w:jc w:val="both"/>
        <w:rPr>
          <w:rFonts w:ascii="Times New Roman" w:hAnsi="Times New Roman" w:cs="Times New Roman"/>
          <w:b/>
          <w:bCs/>
          <w:sz w:val="24"/>
          <w:szCs w:val="24"/>
        </w:rPr>
      </w:pPr>
    </w:p>
    <w:p w14:paraId="52F32941" w14:textId="77777777" w:rsidR="003736E9" w:rsidRDefault="003736E9" w:rsidP="00D611B0">
      <w:pPr>
        <w:spacing w:line="360" w:lineRule="auto"/>
        <w:jc w:val="both"/>
        <w:rPr>
          <w:rFonts w:ascii="Times New Roman" w:hAnsi="Times New Roman" w:cs="Times New Roman"/>
          <w:b/>
          <w:bCs/>
          <w:sz w:val="24"/>
          <w:szCs w:val="24"/>
        </w:rPr>
      </w:pPr>
    </w:p>
    <w:p w14:paraId="55828358"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w:t>
      </w:r>
      <w:r>
        <w:rPr>
          <w:rFonts w:ascii="Times New Roman" w:hAnsi="Times New Roman" w:cs="Times New Roman"/>
          <w:b/>
          <w:bCs/>
          <w:sz w:val="24"/>
          <w:szCs w:val="24"/>
        </w:rPr>
        <w:tab/>
      </w:r>
      <w:r w:rsidR="006948BE" w:rsidRPr="005A291E">
        <w:rPr>
          <w:rFonts w:ascii="Times New Roman" w:hAnsi="Times New Roman" w:cs="Times New Roman"/>
          <w:b/>
          <w:bCs/>
          <w:sz w:val="24"/>
          <w:szCs w:val="24"/>
        </w:rPr>
        <w:t>RADIOMETRIC DATA</w:t>
      </w:r>
    </w:p>
    <w:p w14:paraId="0AF5B3EB"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The Survey</w:t>
      </w:r>
    </w:p>
    <w:p w14:paraId="0F03F5E5"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surveys measure gamma-ray emissions from potassium (K), uranium (eU), and thorium (eTh) to map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(Telford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high-resolution surveys using low-flying aircraft with gamma-ray spectrometers cover sheet 225, targeting hydrothermal alteration signatures (</w:t>
      </w: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2017).</w:t>
      </w:r>
    </w:p>
    <w:p w14:paraId="25FD1C86"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Data Processing Mechanisms</w:t>
      </w:r>
    </w:p>
    <w:p w14:paraId="7A3BFB58"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Processing involves:</w:t>
      </w:r>
    </w:p>
    <w:p w14:paraId="6A2667C9"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Gridding</w:t>
      </w:r>
      <w:r w:rsidRPr="005A291E">
        <w:rPr>
          <w:rFonts w:ascii="Times New Roman" w:hAnsi="Times New Roman" w:cs="Times New Roman"/>
          <w:sz w:val="24"/>
          <w:szCs w:val="24"/>
        </w:rPr>
        <w:t>: Interpolating data using minimum curvature to create continuous radioelement maps (Minty, 1997).</w:t>
      </w:r>
    </w:p>
    <w:p w14:paraId="5E687DC8"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Filtering</w:t>
      </w:r>
      <w:r w:rsidRPr="005A291E">
        <w:rPr>
          <w:rFonts w:ascii="Times New Roman" w:hAnsi="Times New Roman" w:cs="Times New Roman"/>
          <w:sz w:val="24"/>
          <w:szCs w:val="24"/>
        </w:rPr>
        <w:t>: Techniques like shaded relief and first vertical derivative enhance structural and alteration anomalies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14:paraId="69AE53D8"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Enhancement</w:t>
      </w:r>
      <w:r w:rsidRPr="005A291E">
        <w:rPr>
          <w:rFonts w:ascii="Times New Roman" w:hAnsi="Times New Roman" w:cs="Times New Roman"/>
          <w:sz w:val="24"/>
          <w:szCs w:val="24"/>
        </w:rPr>
        <w:t>: K/eTh and K/eU ratios highlight potassium enrichment, with values &gt;0.2 indicating alteration (</w:t>
      </w: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2023).</w:t>
      </w:r>
    </w:p>
    <w:p w14:paraId="5FD37EC7"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Imaging</w:t>
      </w:r>
      <w:r w:rsidRPr="005A291E">
        <w:rPr>
          <w:rFonts w:ascii="Times New Roman" w:hAnsi="Times New Roman" w:cs="Times New Roman"/>
          <w:sz w:val="24"/>
          <w:szCs w:val="24"/>
        </w:rPr>
        <w:t>: Combines K, eU, and eTh to visualize relative concentrations (</w:t>
      </w: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2022).</w:t>
      </w:r>
    </w:p>
    <w:p w14:paraId="4FB3750E"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Software like </w:t>
      </w:r>
      <w:proofErr w:type="spellStart"/>
      <w:r w:rsidRPr="005A291E">
        <w:rPr>
          <w:rFonts w:ascii="Times New Roman" w:hAnsi="Times New Roman" w:cs="Times New Roman"/>
          <w:sz w:val="24"/>
          <w:szCs w:val="24"/>
        </w:rPr>
        <w:t>Geosoft</w:t>
      </w:r>
      <w:proofErr w:type="spellEnd"/>
      <w:r w:rsidRPr="005A291E">
        <w:rPr>
          <w:rFonts w:ascii="Times New Roman" w:hAnsi="Times New Roman" w:cs="Times New Roman"/>
          <w:sz w:val="24"/>
          <w:szCs w:val="24"/>
        </w:rPr>
        <w:t xml:space="preserve"> Oasis </w:t>
      </w:r>
      <w:proofErr w:type="spellStart"/>
      <w:r w:rsidRPr="005A291E">
        <w:rPr>
          <w:rFonts w:ascii="Times New Roman" w:hAnsi="Times New Roman" w:cs="Times New Roman"/>
          <w:sz w:val="24"/>
          <w:szCs w:val="24"/>
        </w:rPr>
        <w:t>Montaj</w:t>
      </w:r>
      <w:proofErr w:type="spellEnd"/>
      <w:r w:rsidRPr="005A291E">
        <w:rPr>
          <w:rFonts w:ascii="Times New Roman" w:hAnsi="Times New Roman" w:cs="Times New Roman"/>
          <w:sz w:val="24"/>
          <w:szCs w:val="24"/>
        </w:rPr>
        <w:t xml:space="preserve"> and Surfer are used for processing and visualization.</w:t>
      </w:r>
    </w:p>
    <w:p w14:paraId="329E6EFB"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Interpretation Methods</w:t>
      </w:r>
    </w:p>
    <w:p w14:paraId="0314654F"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Interpretation techniques include:</w:t>
      </w:r>
    </w:p>
    <w:p w14:paraId="407F3E2C"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Radioelement Maps</w:t>
      </w:r>
      <w:r w:rsidRPr="005A291E">
        <w:rPr>
          <w:rFonts w:ascii="Times New Roman" w:hAnsi="Times New Roman" w:cs="Times New Roman"/>
          <w:sz w:val="24"/>
          <w:szCs w:val="24"/>
        </w:rPr>
        <w:t xml:space="preserve">: Mapping K, eU, and eTh distributions to delineate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(Minty, 1997).</w:t>
      </w:r>
    </w:p>
    <w:p w14:paraId="6C80F9D9"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Maps</w:t>
      </w:r>
      <w:r w:rsidRPr="005A291E">
        <w:rPr>
          <w:rFonts w:ascii="Times New Roman" w:hAnsi="Times New Roman" w:cs="Times New Roman"/>
          <w:sz w:val="24"/>
          <w:szCs w:val="24"/>
        </w:rPr>
        <w:t>: High K/eTh ratios (&gt;0.2) indicate potassic alteration linked to mineralization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14:paraId="2AFDDED6"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Images</w:t>
      </w:r>
      <w:r w:rsidRPr="005A291E">
        <w:rPr>
          <w:rFonts w:ascii="Times New Roman" w:hAnsi="Times New Roman" w:cs="Times New Roman"/>
          <w:sz w:val="24"/>
          <w:szCs w:val="24"/>
        </w:rPr>
        <w:t>: Visualize radioelement relationships to identify mineralized zones (</w:t>
      </w: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2017).</w:t>
      </w:r>
    </w:p>
    <w:p w14:paraId="685A8BE2"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Fuzzy Logic Modeling</w:t>
      </w:r>
      <w:r w:rsidRPr="005A291E">
        <w:rPr>
          <w:rFonts w:ascii="Times New Roman" w:hAnsi="Times New Roman" w:cs="Times New Roman"/>
          <w:sz w:val="24"/>
          <w:szCs w:val="24"/>
        </w:rPr>
        <w:t xml:space="preserve">: Integrates radiometric and remote sensing data for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mapping (</w:t>
      </w: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2022).</w:t>
      </w:r>
    </w:p>
    <w:p w14:paraId="74B55CA0"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Fractal Analysis</w:t>
      </w:r>
      <w:r w:rsidRPr="005A291E">
        <w:rPr>
          <w:rFonts w:ascii="Times New Roman" w:hAnsi="Times New Roman" w:cs="Times New Roman"/>
          <w:sz w:val="24"/>
          <w:szCs w:val="24"/>
        </w:rPr>
        <w:t>: Quantifies alteration intensity to prioritize exploration targets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14:paraId="6CAF6C2B"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Cluster Analysis</w:t>
      </w:r>
      <w:r w:rsidRPr="005A291E">
        <w:rPr>
          <w:rFonts w:ascii="Times New Roman" w:hAnsi="Times New Roman" w:cs="Times New Roman"/>
          <w:sz w:val="24"/>
          <w:szCs w:val="24"/>
        </w:rPr>
        <w:t>: Groups radioelement anomalies to map alteration zones spatially (</w:t>
      </w: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2023).</w:t>
      </w:r>
    </w:p>
    <w:p w14:paraId="20D5AC2D"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methods have successfully mapped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with ongoing research needed to refine structural interpretations and integrate multispectral data for enhanced accuracy.</w:t>
      </w:r>
    </w:p>
    <w:p w14:paraId="403B0C3F" w14:textId="77777777" w:rsidR="00A5011D" w:rsidRDefault="00A5011D" w:rsidP="00D611B0">
      <w:pPr>
        <w:spacing w:line="360" w:lineRule="auto"/>
        <w:jc w:val="both"/>
        <w:rPr>
          <w:rFonts w:ascii="Times New Roman" w:hAnsi="Times New Roman" w:cs="Times New Roman"/>
          <w:sz w:val="24"/>
          <w:szCs w:val="24"/>
        </w:rPr>
      </w:pPr>
    </w:p>
    <w:p w14:paraId="345194D2" w14:textId="77777777" w:rsidR="00A5011D" w:rsidRDefault="00A5011D" w:rsidP="00D611B0">
      <w:pPr>
        <w:spacing w:line="360" w:lineRule="auto"/>
        <w:jc w:val="both"/>
        <w:rPr>
          <w:rFonts w:ascii="Times New Roman" w:hAnsi="Times New Roman" w:cs="Times New Roman"/>
          <w:sz w:val="24"/>
          <w:szCs w:val="24"/>
        </w:rPr>
      </w:pPr>
    </w:p>
    <w:p w14:paraId="38C6FE27" w14:textId="77777777" w:rsidR="00A5011D" w:rsidRDefault="00A5011D" w:rsidP="00D611B0">
      <w:pPr>
        <w:spacing w:line="360" w:lineRule="auto"/>
        <w:jc w:val="both"/>
        <w:rPr>
          <w:rFonts w:ascii="Times New Roman" w:hAnsi="Times New Roman" w:cs="Times New Roman"/>
          <w:sz w:val="24"/>
          <w:szCs w:val="24"/>
        </w:rPr>
      </w:pPr>
    </w:p>
    <w:p w14:paraId="4510EB0B" w14:textId="77777777" w:rsidR="003736E9" w:rsidRDefault="003736E9" w:rsidP="0057756F">
      <w:pPr>
        <w:spacing w:line="360" w:lineRule="auto"/>
        <w:jc w:val="center"/>
        <w:rPr>
          <w:rFonts w:ascii="Times New Roman" w:hAnsi="Times New Roman" w:cs="Times New Roman"/>
          <w:b/>
          <w:bCs/>
          <w:sz w:val="24"/>
          <w:szCs w:val="24"/>
        </w:rPr>
      </w:pPr>
    </w:p>
    <w:p w14:paraId="3515ECC6" w14:textId="77777777" w:rsidR="003736E9" w:rsidRDefault="003736E9" w:rsidP="0057756F">
      <w:pPr>
        <w:spacing w:line="360" w:lineRule="auto"/>
        <w:jc w:val="center"/>
        <w:rPr>
          <w:rFonts w:ascii="Times New Roman" w:hAnsi="Times New Roman" w:cs="Times New Roman"/>
          <w:b/>
          <w:bCs/>
          <w:sz w:val="24"/>
          <w:szCs w:val="24"/>
        </w:rPr>
      </w:pPr>
    </w:p>
    <w:p w14:paraId="2529315D" w14:textId="77777777" w:rsidR="003736E9" w:rsidRDefault="003736E9" w:rsidP="0057756F">
      <w:pPr>
        <w:spacing w:line="360" w:lineRule="auto"/>
        <w:jc w:val="center"/>
        <w:rPr>
          <w:rFonts w:ascii="Times New Roman" w:hAnsi="Times New Roman" w:cs="Times New Roman"/>
          <w:b/>
          <w:bCs/>
          <w:sz w:val="24"/>
          <w:szCs w:val="24"/>
        </w:rPr>
      </w:pPr>
    </w:p>
    <w:p w14:paraId="38577090" w14:textId="77777777" w:rsidR="003736E9" w:rsidRDefault="003736E9" w:rsidP="0057756F">
      <w:pPr>
        <w:spacing w:line="360" w:lineRule="auto"/>
        <w:jc w:val="center"/>
        <w:rPr>
          <w:rFonts w:ascii="Times New Roman" w:hAnsi="Times New Roman" w:cs="Times New Roman"/>
          <w:b/>
          <w:bCs/>
          <w:sz w:val="24"/>
          <w:szCs w:val="24"/>
        </w:rPr>
      </w:pPr>
    </w:p>
    <w:p w14:paraId="0D860B7F" w14:textId="77777777" w:rsidR="003736E9" w:rsidRDefault="003736E9" w:rsidP="0057756F">
      <w:pPr>
        <w:spacing w:line="360" w:lineRule="auto"/>
        <w:jc w:val="center"/>
        <w:rPr>
          <w:rFonts w:ascii="Times New Roman" w:hAnsi="Times New Roman" w:cs="Times New Roman"/>
          <w:b/>
          <w:bCs/>
          <w:sz w:val="24"/>
          <w:szCs w:val="24"/>
        </w:rPr>
      </w:pPr>
    </w:p>
    <w:p w14:paraId="6A73D00A" w14:textId="77777777" w:rsidR="003736E9" w:rsidRDefault="003736E9" w:rsidP="0057756F">
      <w:pPr>
        <w:spacing w:line="360" w:lineRule="auto"/>
        <w:jc w:val="center"/>
        <w:rPr>
          <w:rFonts w:ascii="Times New Roman" w:hAnsi="Times New Roman" w:cs="Times New Roman"/>
          <w:b/>
          <w:bCs/>
          <w:sz w:val="24"/>
          <w:szCs w:val="24"/>
        </w:rPr>
      </w:pPr>
    </w:p>
    <w:p w14:paraId="780105B7" w14:textId="77777777" w:rsidR="00A5011D" w:rsidRPr="00A5011D" w:rsidRDefault="00A5011D" w:rsidP="0057756F">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CHAPTER THREE</w:t>
      </w:r>
    </w:p>
    <w:p w14:paraId="5A4547DF" w14:textId="77777777" w:rsidR="00A5011D" w:rsidRPr="00A5011D" w:rsidRDefault="00A5011D" w:rsidP="0057756F">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METHODOLOGY</w:t>
      </w:r>
    </w:p>
    <w:p w14:paraId="2EE322BC" w14:textId="77777777" w:rsidR="0057756F" w:rsidRDefault="0057756F" w:rsidP="00A501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Introduction </w:t>
      </w:r>
    </w:p>
    <w:p w14:paraId="5AB84F47" w14:textId="77777777" w:rsidR="00D0700B" w:rsidRPr="00D043DD" w:rsidRDefault="009437A6" w:rsidP="00D043DD">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lang w:val="en-GB"/>
        </w:rPr>
        <w:t>A</w:t>
      </w:r>
      <w:proofErr w:type="spellStart"/>
      <w:r w:rsidRPr="00D043DD">
        <w:rPr>
          <w:rFonts w:ascii="Times New Roman" w:hAnsi="Times New Roman" w:cs="Times New Roman"/>
          <w:bCs/>
          <w:sz w:val="24"/>
          <w:szCs w:val="24"/>
        </w:rPr>
        <w:t>reas</w:t>
      </w:r>
      <w:proofErr w:type="spellEnd"/>
      <w:r w:rsidRPr="00D043DD">
        <w:rPr>
          <w:rFonts w:ascii="Times New Roman" w:hAnsi="Times New Roman" w:cs="Times New Roman"/>
          <w:bCs/>
          <w:sz w:val="24"/>
          <w:szCs w:val="24"/>
        </w:rPr>
        <w:t xml:space="preserve"> enriched in Potassium are combined in ratios with equivalent Thorium and Uranium concentrations (eTh and eU). The abundance ratios, K/eTh and K/eU are often more diagnostic of changes in rock types and mineralogical changes caused by hydrothermal alteration. Using the mathematical expression available on Oasis </w:t>
      </w:r>
      <w:proofErr w:type="spellStart"/>
      <w:r w:rsidRPr="00D043DD">
        <w:rPr>
          <w:rFonts w:ascii="Times New Roman" w:hAnsi="Times New Roman" w:cs="Times New Roman"/>
          <w:bCs/>
          <w:sz w:val="24"/>
          <w:szCs w:val="24"/>
        </w:rPr>
        <w:t>MontajTM</w:t>
      </w:r>
      <w:proofErr w:type="spellEnd"/>
      <w:r w:rsidRPr="00D043DD">
        <w:rPr>
          <w:rFonts w:ascii="Times New Roman" w:hAnsi="Times New Roman" w:cs="Times New Roman"/>
          <w:bCs/>
          <w:sz w:val="24"/>
          <w:szCs w:val="24"/>
        </w:rPr>
        <w:t xml:space="preserve">, the ratio maps were produced by applying the ratio function. </w:t>
      </w:r>
    </w:p>
    <w:p w14:paraId="6BC62D7C" w14:textId="77777777" w:rsidR="00D0700B" w:rsidRPr="00D043DD" w:rsidRDefault="009437A6" w:rsidP="00D043DD">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rPr>
        <w:t xml:space="preserve">Ternary map facilitates various displays of different </w:t>
      </w:r>
      <w:proofErr w:type="spellStart"/>
      <w:r w:rsidRPr="00D043DD">
        <w:rPr>
          <w:rFonts w:ascii="Times New Roman" w:hAnsi="Times New Roman" w:cs="Times New Roman"/>
          <w:bCs/>
          <w:sz w:val="24"/>
          <w:szCs w:val="24"/>
        </w:rPr>
        <w:t>radioelements</w:t>
      </w:r>
      <w:proofErr w:type="spellEnd"/>
      <w:r w:rsidRPr="00D043DD">
        <w:rPr>
          <w:rFonts w:ascii="Times New Roman" w:hAnsi="Times New Roman" w:cs="Times New Roman"/>
          <w:bCs/>
          <w:sz w:val="24"/>
          <w:szCs w:val="24"/>
        </w:rPr>
        <w:t>’ data which are correlative in the same area. The ternary map is often used to get an indication of radioactivity distributions and, consequently, enables narrowing down favorable target areas for hydrothermal alteration associated with orogenic gold mineralization. This was facilitated by the combination of concentrations of K, eTh and eU.</w:t>
      </w:r>
    </w:p>
    <w:p w14:paraId="2CCBCDF5" w14:textId="77777777" w:rsidR="0057756F" w:rsidRDefault="00D043DD" w:rsidP="00D043DD">
      <w:pPr>
        <w:spacing w:line="360" w:lineRule="auto"/>
        <w:jc w:val="both"/>
        <w:rPr>
          <w:rFonts w:ascii="Times New Roman" w:hAnsi="Times New Roman" w:cs="Times New Roman"/>
          <w:bCs/>
          <w:sz w:val="24"/>
          <w:szCs w:val="24"/>
        </w:rPr>
      </w:pPr>
      <w:r w:rsidRPr="00D043DD">
        <w:rPr>
          <w:rFonts w:ascii="Times New Roman" w:hAnsi="Times New Roman" w:cs="Times New Roman"/>
          <w:bCs/>
          <w:sz w:val="24"/>
          <w:szCs w:val="24"/>
        </w:rPr>
        <w:t xml:space="preserve">The K count was assigned the red–cyan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and eTh, the green–magenta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while the eU concentration was assigned the blue–yellow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w:t>
      </w:r>
    </w:p>
    <w:p w14:paraId="21A8F6AA" w14:textId="77777777" w:rsidR="00A8782B"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sz w:val="24"/>
          <w:szCs w:val="24"/>
        </w:rPr>
        <w:t xml:space="preserve">The F-parameter that </w:t>
      </w:r>
      <w:proofErr w:type="spellStart"/>
      <w:r w:rsidRPr="00F5140E">
        <w:rPr>
          <w:rFonts w:ascii="Times New Roman" w:hAnsi="Times New Roman" w:cs="Times New Roman"/>
          <w:bCs/>
          <w:sz w:val="24"/>
          <w:szCs w:val="24"/>
        </w:rPr>
        <w:t>Efimov</w:t>
      </w:r>
      <w:proofErr w:type="spellEnd"/>
      <w:r w:rsidRPr="00F5140E">
        <w:rPr>
          <w:rFonts w:ascii="Times New Roman" w:hAnsi="Times New Roman" w:cs="Times New Roman"/>
          <w:bCs/>
          <w:sz w:val="24"/>
          <w:szCs w:val="24"/>
        </w:rPr>
        <w:t xml:space="preserve"> (1978) developed is a crucial marker of hydrothermal alteration in rocks. This is particularly important in distinguishing hydrothermally altered zones by eliminating processes other than hydrothermal alteration by the ratio combinations of K, eTh and eU. Hence, high anomaly is </w:t>
      </w:r>
      <w:proofErr w:type="spellStart"/>
      <w:r w:rsidRPr="00F5140E">
        <w:rPr>
          <w:rFonts w:ascii="Times New Roman" w:hAnsi="Times New Roman" w:cs="Times New Roman"/>
          <w:bCs/>
          <w:sz w:val="24"/>
          <w:szCs w:val="24"/>
        </w:rPr>
        <w:t>regarde</w:t>
      </w:r>
      <w:proofErr w:type="spellEnd"/>
    </w:p>
    <w:p w14:paraId="6A0B963F" w14:textId="77777777" w:rsidR="00F5140E"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sz w:val="24"/>
          <w:szCs w:val="24"/>
        </w:rPr>
        <w:t>d as hydrothermally altered zones.</w:t>
      </w:r>
    </w:p>
    <w:p w14:paraId="598FDB75" w14:textId="77777777" w:rsidR="00F5140E" w:rsidRPr="0057756F"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noProof/>
          <w:sz w:val="24"/>
          <w:szCs w:val="24"/>
        </w:rPr>
        <w:drawing>
          <wp:inline distT="0" distB="0" distL="0" distR="0" wp14:anchorId="69C39AE1" wp14:editId="10198C92">
            <wp:extent cx="3744876" cy="1210848"/>
            <wp:effectExtent l="19050" t="0" r="7974" b="0"/>
            <wp:docPr id="2"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43574" cy="1210427"/>
                    </a:xfrm>
                    <a:prstGeom prst="rect">
                      <a:avLst/>
                    </a:prstGeom>
                  </pic:spPr>
                </pic:pic>
              </a:graphicData>
            </a:graphic>
          </wp:inline>
        </w:drawing>
      </w:r>
    </w:p>
    <w:p w14:paraId="7EE2F8E8"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3.1 Study Area</w:t>
      </w:r>
    </w:p>
    <w:p w14:paraId="6473E194"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The study area,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Isin</w:t>
      </w:r>
      <w:proofErr w:type="spellEnd"/>
      <w:r w:rsidRPr="00A5011D">
        <w:rPr>
          <w:rFonts w:ascii="Times New Roman" w:hAnsi="Times New Roman" w:cs="Times New Roman"/>
          <w:sz w:val="24"/>
          <w:szCs w:val="24"/>
        </w:rPr>
        <w:t xml:space="preserve">, is located in Kwara State, </w:t>
      </w:r>
      <w:proofErr w:type="spellStart"/>
      <w:r w:rsidRPr="00A5011D">
        <w:rPr>
          <w:rFonts w:ascii="Times New Roman" w:hAnsi="Times New Roman" w:cs="Times New Roman"/>
          <w:sz w:val="24"/>
          <w:szCs w:val="24"/>
        </w:rPr>
        <w:t>Northcentral</w:t>
      </w:r>
      <w:proofErr w:type="spellEnd"/>
      <w:r w:rsidRPr="00A5011D">
        <w:rPr>
          <w:rFonts w:ascii="Times New Roman" w:hAnsi="Times New Roman" w:cs="Times New Roman"/>
          <w:sz w:val="24"/>
          <w:szCs w:val="24"/>
        </w:rPr>
        <w:t xml:space="preserve"> Nigeria, within the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sheet 225 (1:100,000 scale), spanning latitudes 8°15'N to 8°30'N and longitudes 5°15'E to 5°30'E. It lies within the Nigerian Basement Complex, characterized by Precambrian schists, migmatites, and granites. The region features gently undulating plains with elevations of 300–500 meters, punctuated by quartzite and granite </w:t>
      </w:r>
      <w:proofErr w:type="spellStart"/>
      <w:r w:rsidRPr="00A5011D">
        <w:rPr>
          <w:rFonts w:ascii="Times New Roman" w:hAnsi="Times New Roman" w:cs="Times New Roman"/>
          <w:sz w:val="24"/>
          <w:szCs w:val="24"/>
        </w:rPr>
        <w:t>inselbergs</w:t>
      </w:r>
      <w:proofErr w:type="spellEnd"/>
      <w:r w:rsidRPr="00A5011D">
        <w:rPr>
          <w:rFonts w:ascii="Times New Roman" w:hAnsi="Times New Roman" w:cs="Times New Roman"/>
          <w:sz w:val="24"/>
          <w:szCs w:val="24"/>
        </w:rPr>
        <w:t>. Structural features such as faults and shear zones serve as conduits for hydrothermal fluids, critical for mineralization processes (</w:t>
      </w:r>
      <w:proofErr w:type="spellStart"/>
      <w:r w:rsidRPr="00A5011D">
        <w:rPr>
          <w:rFonts w:ascii="Times New Roman" w:hAnsi="Times New Roman" w:cs="Times New Roman"/>
          <w:sz w:val="24"/>
          <w:szCs w:val="24"/>
        </w:rPr>
        <w:t>Oyawoye</w:t>
      </w:r>
      <w:proofErr w:type="spellEnd"/>
      <w:r w:rsidRPr="00A5011D">
        <w:rPr>
          <w:rFonts w:ascii="Times New Roman" w:hAnsi="Times New Roman" w:cs="Times New Roman"/>
          <w:sz w:val="24"/>
          <w:szCs w:val="24"/>
        </w:rPr>
        <w:t xml:space="preserve">, 1972; </w:t>
      </w:r>
      <w:proofErr w:type="spellStart"/>
      <w:r w:rsidRPr="00A5011D">
        <w:rPr>
          <w:rFonts w:ascii="Times New Roman" w:hAnsi="Times New Roman" w:cs="Times New Roman"/>
          <w:sz w:val="24"/>
          <w:szCs w:val="24"/>
        </w:rPr>
        <w:t>Ajibade</w:t>
      </w:r>
      <w:proofErr w:type="spellEnd"/>
      <w:r w:rsidRPr="00A5011D">
        <w:rPr>
          <w:rFonts w:ascii="Times New Roman" w:hAnsi="Times New Roman" w:cs="Times New Roman"/>
          <w:sz w:val="24"/>
          <w:szCs w:val="24"/>
        </w:rPr>
        <w:t xml:space="preserve"> et al., 1987).</w:t>
      </w:r>
    </w:p>
    <w:p w14:paraId="4CA1CA00"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3.2 Data Acquisition</w:t>
      </w:r>
    </w:p>
    <w:p w14:paraId="75CF36AA"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Airborne radiometric data was acquired from the Nigerian Geological Survey Agency (NGSA) and was carried out by </w:t>
      </w:r>
      <w:proofErr w:type="spellStart"/>
      <w:r w:rsidRPr="004709A9">
        <w:rPr>
          <w:rFonts w:ascii="Times New Roman" w:hAnsi="Times New Roman" w:cs="Times New Roman"/>
          <w:sz w:val="24"/>
          <w:szCs w:val="24"/>
        </w:rPr>
        <w:t>Fugro</w:t>
      </w:r>
      <w:proofErr w:type="spellEnd"/>
      <w:r w:rsidRPr="004709A9">
        <w:rPr>
          <w:rFonts w:ascii="Times New Roman" w:hAnsi="Times New Roman" w:cs="Times New Roman"/>
          <w:sz w:val="24"/>
          <w:szCs w:val="24"/>
        </w:rPr>
        <w:t xml:space="preserve"> Airborne Surveys limited Johannesburg, South Africa. </w:t>
      </w:r>
    </w:p>
    <w:p w14:paraId="297121B4"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data were acquired between 2004 and 2010 via an aircraft flown at a height of 80 m and 500 m line spacing. </w:t>
      </w:r>
    </w:p>
    <w:p w14:paraId="7426B94C"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airborne radiometric data was been processed using OASIS </w:t>
      </w:r>
      <w:proofErr w:type="spellStart"/>
      <w:r w:rsidRPr="004709A9">
        <w:rPr>
          <w:rFonts w:ascii="Times New Roman" w:hAnsi="Times New Roman" w:cs="Times New Roman"/>
          <w:sz w:val="24"/>
          <w:szCs w:val="24"/>
        </w:rPr>
        <w:t>Montaj</w:t>
      </w:r>
      <w:proofErr w:type="spellEnd"/>
      <w:r w:rsidRPr="004709A9">
        <w:rPr>
          <w:rFonts w:ascii="Times New Roman" w:hAnsi="Times New Roman" w:cs="Times New Roman"/>
          <w:sz w:val="24"/>
          <w:szCs w:val="24"/>
        </w:rPr>
        <w:t xml:space="preserve"> mapping and processing system (</w:t>
      </w:r>
      <w:proofErr w:type="spellStart"/>
      <w:r w:rsidRPr="004709A9">
        <w:rPr>
          <w:rFonts w:ascii="Times New Roman" w:hAnsi="Times New Roman" w:cs="Times New Roman"/>
          <w:sz w:val="24"/>
          <w:szCs w:val="24"/>
        </w:rPr>
        <w:t>Geosoft</w:t>
      </w:r>
      <w:proofErr w:type="spellEnd"/>
      <w:r w:rsidRPr="004709A9">
        <w:rPr>
          <w:rFonts w:ascii="Times New Roman" w:hAnsi="Times New Roman" w:cs="Times New Roman"/>
          <w:sz w:val="24"/>
          <w:szCs w:val="24"/>
        </w:rPr>
        <w:t xml:space="preserve"> 2015) and the data are presented as contour maps. </w:t>
      </w:r>
    </w:p>
    <w:p w14:paraId="0C9FA0AF"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In view of the above, the corrected Airborne Radiometric data provides an estimate of the apparent surface concentration of potassium (K) measured in (%), Thorium (Th) measured in ppm and Uranium with the unit measured in ppm.</w:t>
      </w:r>
    </w:p>
    <w:p w14:paraId="62E407A7"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 Data Processing</w:t>
      </w:r>
    </w:p>
    <w:p w14:paraId="610686B4"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3.3.1 Radiometric Data Processing</w:t>
      </w:r>
    </w:p>
    <w:p w14:paraId="526A9CF4"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Gridding</w:t>
      </w:r>
      <w:r w:rsidRPr="00A5011D">
        <w:rPr>
          <w:rFonts w:ascii="Times New Roman" w:hAnsi="Times New Roman" w:cs="Times New Roman"/>
          <w:sz w:val="24"/>
          <w:szCs w:val="24"/>
        </w:rPr>
        <w:t>: Raw radiometric data were interpolated using the minimum curvature method to generate continuous maps of K, eU, and eTh concentrations. A grid cell size of 50 meters was applied to maintain resolution (Minty, 1997).</w:t>
      </w:r>
    </w:p>
    <w:p w14:paraId="5F141641"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Filtering</w:t>
      </w:r>
      <w:r w:rsidRPr="00A5011D">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w:t>
      </w:r>
      <w:proofErr w:type="spellStart"/>
      <w:r w:rsidRPr="00A5011D">
        <w:rPr>
          <w:rFonts w:ascii="Times New Roman" w:hAnsi="Times New Roman" w:cs="Times New Roman"/>
          <w:sz w:val="24"/>
          <w:szCs w:val="24"/>
        </w:rPr>
        <w:t>Sanusi</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Amigun</w:t>
      </w:r>
      <w:proofErr w:type="spellEnd"/>
      <w:r w:rsidRPr="00A5011D">
        <w:rPr>
          <w:rFonts w:ascii="Times New Roman" w:hAnsi="Times New Roman" w:cs="Times New Roman"/>
          <w:sz w:val="24"/>
          <w:szCs w:val="24"/>
        </w:rPr>
        <w:t>, 2020).</w:t>
      </w:r>
    </w:p>
    <w:p w14:paraId="20A69EBF"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Ratio Enhancement</w:t>
      </w:r>
      <w:r w:rsidRPr="00A5011D">
        <w:rPr>
          <w:rFonts w:ascii="Times New Roman" w:hAnsi="Times New Roman" w:cs="Times New Roman"/>
          <w:sz w:val="24"/>
          <w:szCs w:val="24"/>
        </w:rPr>
        <w:t>: K/eTh and K/eU ratios were calculated to highlight potassium-enriched zones indicative of potassic alteration. Thresholds of K/eTh &gt; 0.2 were used to delineate alteration zones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w:t>
      </w:r>
    </w:p>
    <w:p w14:paraId="3324C4C7"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Ternary Imaging</w:t>
      </w:r>
      <w:r w:rsidRPr="00A5011D">
        <w:rPr>
          <w:rFonts w:ascii="Times New Roman" w:hAnsi="Times New Roman" w:cs="Times New Roman"/>
          <w:sz w:val="24"/>
          <w:szCs w:val="24"/>
        </w:rPr>
        <w:t>: Ternary maps were generated to visualize the relative concentrations of K, eU, and eTh, aiding in the identification of mineralized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w:t>
      </w:r>
    </w:p>
    <w:p w14:paraId="249DD365"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Software</w:t>
      </w:r>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Geosoft</w:t>
      </w:r>
      <w:proofErr w:type="spellEnd"/>
      <w:r w:rsidRPr="00A5011D">
        <w:rPr>
          <w:rFonts w:ascii="Times New Roman" w:hAnsi="Times New Roman" w:cs="Times New Roman"/>
          <w:sz w:val="24"/>
          <w:szCs w:val="24"/>
        </w:rPr>
        <w:t xml:space="preserve"> Oasis </w:t>
      </w:r>
      <w:proofErr w:type="spellStart"/>
      <w:r w:rsidRPr="00A5011D">
        <w:rPr>
          <w:rFonts w:ascii="Times New Roman" w:hAnsi="Times New Roman" w:cs="Times New Roman"/>
          <w:sz w:val="24"/>
          <w:szCs w:val="24"/>
        </w:rPr>
        <w:t>Montaj</w:t>
      </w:r>
      <w:proofErr w:type="spellEnd"/>
      <w:r w:rsidRPr="00A5011D">
        <w:rPr>
          <w:rFonts w:ascii="Times New Roman" w:hAnsi="Times New Roman" w:cs="Times New Roman"/>
          <w:sz w:val="24"/>
          <w:szCs w:val="24"/>
        </w:rPr>
        <w:t xml:space="preserve"> (version 9.8) and Surfer (version 16) were used for data processing, visualization, and map production.</w:t>
      </w:r>
    </w:p>
    <w:p w14:paraId="55C3A002"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3.3.2 Remote Sensing Data Processing</w:t>
      </w:r>
    </w:p>
    <w:p w14:paraId="4CDE5028"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Landsat-8 OLI data were processed using ENVI 5.6 software. Band ratio techniques (e.g., 6/7 for clay minerals, 5/6 for iron oxides) were applied to detect spectral signatures of alteration minerals like kaolinite, sericite, and chlorite. Principal Component Analysis (PCA) was used to enhance alteration-related spectral anomalies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 SRTM DEMs were processed in ArcGIS 10.8 to extract structural lineaments and topographic features influencing fluid flow.</w:t>
      </w:r>
    </w:p>
    <w:p w14:paraId="07B5E9CC"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3.4 Data Integration and Analysis</w:t>
      </w:r>
    </w:p>
    <w:p w14:paraId="68D6F3B9"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Radiometric and remote sensing data were integrated using a GIS-based approach in ArcGIS. Fuzzy logic modeling was employed to combine radiometric (K/eTh, K/eU ratios) and remote sensing (band ratios, PCA) datasets, generating </w:t>
      </w:r>
      <w:proofErr w:type="spellStart"/>
      <w:r w:rsidRPr="00A5011D">
        <w:rPr>
          <w:rFonts w:ascii="Times New Roman" w:hAnsi="Times New Roman" w:cs="Times New Roman"/>
          <w:sz w:val="24"/>
          <w:szCs w:val="24"/>
        </w:rPr>
        <w:t>prospectivity</w:t>
      </w:r>
      <w:proofErr w:type="spellEnd"/>
      <w:r w:rsidRPr="00A5011D">
        <w:rPr>
          <w:rFonts w:ascii="Times New Roman" w:hAnsi="Times New Roman" w:cs="Times New Roman"/>
          <w:sz w:val="24"/>
          <w:szCs w:val="24"/>
        </w:rPr>
        <w:t xml:space="preserve"> maps for hydrothermal alteration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 Cluster analysis grouped radioelement anomalies to spatially delineate alteration zones, while fractal analysis quantified alteration intensity to prioritize exploration targets (</w:t>
      </w:r>
      <w:proofErr w:type="spellStart"/>
      <w:r w:rsidRPr="00A5011D">
        <w:rPr>
          <w:rFonts w:ascii="Times New Roman" w:hAnsi="Times New Roman" w:cs="Times New Roman"/>
          <w:sz w:val="24"/>
          <w:szCs w:val="24"/>
        </w:rPr>
        <w:t>Anudu</w:t>
      </w:r>
      <w:proofErr w:type="spellEnd"/>
      <w:r w:rsidRPr="00A5011D">
        <w:rPr>
          <w:rFonts w:ascii="Times New Roman" w:hAnsi="Times New Roman" w:cs="Times New Roman"/>
          <w:sz w:val="24"/>
          <w:szCs w:val="24"/>
        </w:rPr>
        <w:t xml:space="preserve"> et al., 2014). Structural lineaments from DEMs were correlated with radiometric anomalies to identify fault-controlled mineralization.</w:t>
      </w:r>
    </w:p>
    <w:p w14:paraId="1950FE64"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3.5 Validation</w:t>
      </w:r>
    </w:p>
    <w:p w14:paraId="533BF14F"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Field validation was conducted at selected sites (</w:t>
      </w:r>
      <w:proofErr w:type="spellStart"/>
      <w:r w:rsidRPr="00A5011D">
        <w:rPr>
          <w:rFonts w:ascii="Times New Roman" w:hAnsi="Times New Roman" w:cs="Times New Roman"/>
          <w:sz w:val="24"/>
          <w:szCs w:val="24"/>
        </w:rPr>
        <w:t>Odogbe</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Okolom</w:t>
      </w:r>
      <w:proofErr w:type="spellEnd"/>
      <w:r w:rsidRPr="00A5011D">
        <w:rPr>
          <w:rFonts w:ascii="Times New Roman" w:hAnsi="Times New Roman" w:cs="Times New Roman"/>
          <w:sz w:val="24"/>
          <w:szCs w:val="24"/>
        </w:rPr>
        <w:t>) with high K/eTh ratios. Rock samples were collected and analyzed using X-ray Diffraction (XRD) to confirm mineral assemblages (e.g., K-feldspar, sericite, kaolinite). Ground-based gamma-ray spectrometry was performed using a portable RS-230 spectrometer to verify airborne data accuracy. Geological mapping of shear zones and quartz veins further validated the presence of alteration zones and mineralization signatures.</w:t>
      </w:r>
    </w:p>
    <w:p w14:paraId="3DA53945" w14:textId="77777777" w:rsidR="00B10F6D" w:rsidRDefault="00B10F6D" w:rsidP="00A5011D">
      <w:pPr>
        <w:spacing w:line="360" w:lineRule="auto"/>
        <w:jc w:val="both"/>
        <w:rPr>
          <w:rFonts w:ascii="Times New Roman" w:hAnsi="Times New Roman" w:cs="Times New Roman"/>
          <w:b/>
          <w:bCs/>
          <w:sz w:val="24"/>
          <w:szCs w:val="24"/>
        </w:rPr>
      </w:pPr>
    </w:p>
    <w:p w14:paraId="0692D02E" w14:textId="77777777" w:rsidR="00A8782B" w:rsidRDefault="00A8782B" w:rsidP="00B10F6D">
      <w:pPr>
        <w:spacing w:line="360" w:lineRule="auto"/>
        <w:jc w:val="center"/>
        <w:rPr>
          <w:rFonts w:ascii="Times New Roman" w:hAnsi="Times New Roman" w:cs="Times New Roman"/>
          <w:b/>
          <w:bCs/>
          <w:sz w:val="24"/>
          <w:szCs w:val="24"/>
        </w:rPr>
      </w:pPr>
    </w:p>
    <w:p w14:paraId="49492C75" w14:textId="77777777" w:rsidR="00A8782B" w:rsidRDefault="00A8782B" w:rsidP="00B10F6D">
      <w:pPr>
        <w:spacing w:line="360" w:lineRule="auto"/>
        <w:jc w:val="center"/>
        <w:rPr>
          <w:rFonts w:ascii="Times New Roman" w:hAnsi="Times New Roman" w:cs="Times New Roman"/>
          <w:b/>
          <w:bCs/>
          <w:sz w:val="24"/>
          <w:szCs w:val="24"/>
        </w:rPr>
      </w:pPr>
    </w:p>
    <w:p w14:paraId="173B63BE" w14:textId="77777777" w:rsidR="00A8782B" w:rsidRDefault="00A8782B" w:rsidP="00B10F6D">
      <w:pPr>
        <w:spacing w:line="360" w:lineRule="auto"/>
        <w:jc w:val="center"/>
        <w:rPr>
          <w:rFonts w:ascii="Times New Roman" w:hAnsi="Times New Roman" w:cs="Times New Roman"/>
          <w:b/>
          <w:bCs/>
          <w:sz w:val="24"/>
          <w:szCs w:val="24"/>
        </w:rPr>
      </w:pPr>
    </w:p>
    <w:p w14:paraId="5C6E1E54" w14:textId="77777777" w:rsidR="00A8782B" w:rsidRDefault="00A8782B" w:rsidP="00B10F6D">
      <w:pPr>
        <w:spacing w:line="360" w:lineRule="auto"/>
        <w:jc w:val="center"/>
        <w:rPr>
          <w:rFonts w:ascii="Times New Roman" w:hAnsi="Times New Roman" w:cs="Times New Roman"/>
          <w:b/>
          <w:bCs/>
          <w:sz w:val="24"/>
          <w:szCs w:val="24"/>
        </w:rPr>
      </w:pPr>
    </w:p>
    <w:p w14:paraId="078E6019" w14:textId="77777777" w:rsidR="00A8782B" w:rsidRDefault="00A8782B" w:rsidP="00B10F6D">
      <w:pPr>
        <w:spacing w:line="360" w:lineRule="auto"/>
        <w:jc w:val="center"/>
        <w:rPr>
          <w:rFonts w:ascii="Times New Roman" w:hAnsi="Times New Roman" w:cs="Times New Roman"/>
          <w:b/>
          <w:bCs/>
          <w:sz w:val="24"/>
          <w:szCs w:val="24"/>
        </w:rPr>
      </w:pPr>
    </w:p>
    <w:p w14:paraId="7C0961EA" w14:textId="77777777" w:rsidR="00A8782B" w:rsidRDefault="00A8782B" w:rsidP="00B10F6D">
      <w:pPr>
        <w:spacing w:line="360" w:lineRule="auto"/>
        <w:jc w:val="center"/>
        <w:rPr>
          <w:rFonts w:ascii="Times New Roman" w:hAnsi="Times New Roman" w:cs="Times New Roman"/>
          <w:b/>
          <w:bCs/>
          <w:sz w:val="24"/>
          <w:szCs w:val="24"/>
        </w:rPr>
      </w:pPr>
    </w:p>
    <w:p w14:paraId="0EFE4F1D" w14:textId="77777777" w:rsidR="00A8782B" w:rsidRDefault="00A8782B" w:rsidP="00B10F6D">
      <w:pPr>
        <w:spacing w:line="360" w:lineRule="auto"/>
        <w:jc w:val="center"/>
        <w:rPr>
          <w:rFonts w:ascii="Times New Roman" w:hAnsi="Times New Roman" w:cs="Times New Roman"/>
          <w:b/>
          <w:bCs/>
          <w:sz w:val="24"/>
          <w:szCs w:val="24"/>
        </w:rPr>
      </w:pPr>
    </w:p>
    <w:p w14:paraId="4D2DBDD0" w14:textId="77777777" w:rsidR="00A8782B" w:rsidRDefault="00A8782B" w:rsidP="00B10F6D">
      <w:pPr>
        <w:spacing w:line="360" w:lineRule="auto"/>
        <w:jc w:val="center"/>
        <w:rPr>
          <w:rFonts w:ascii="Times New Roman" w:hAnsi="Times New Roman" w:cs="Times New Roman"/>
          <w:b/>
          <w:bCs/>
          <w:sz w:val="24"/>
          <w:szCs w:val="24"/>
        </w:rPr>
      </w:pPr>
    </w:p>
    <w:p w14:paraId="6ED7A9D4" w14:textId="77777777" w:rsidR="00A8782B" w:rsidRDefault="00A8782B" w:rsidP="00B10F6D">
      <w:pPr>
        <w:spacing w:line="360" w:lineRule="auto"/>
        <w:jc w:val="center"/>
        <w:rPr>
          <w:rFonts w:ascii="Times New Roman" w:hAnsi="Times New Roman" w:cs="Times New Roman"/>
          <w:b/>
          <w:bCs/>
          <w:sz w:val="24"/>
          <w:szCs w:val="24"/>
        </w:rPr>
      </w:pPr>
    </w:p>
    <w:p w14:paraId="629B1EFA" w14:textId="77777777" w:rsidR="00A5011D" w:rsidRPr="00A5011D" w:rsidRDefault="00A5011D" w:rsidP="00B10F6D">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CHAPTER FOUR</w:t>
      </w:r>
    </w:p>
    <w:p w14:paraId="74004B7D" w14:textId="77777777" w:rsidR="00A5011D" w:rsidRPr="00A5011D" w:rsidRDefault="00A5011D" w:rsidP="00B10F6D">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RESULTS, DISCUSSIONS, AND CONCLUSION</w:t>
      </w:r>
    </w:p>
    <w:p w14:paraId="4A5CDF1D" w14:textId="77777777" w:rsid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4.1 Results</w:t>
      </w:r>
    </w:p>
    <w:p w14:paraId="67E83A2B" w14:textId="77777777" w:rsidR="00B40B60" w:rsidRDefault="00891B86" w:rsidP="00A5011D">
      <w:pPr>
        <w:spacing w:line="360" w:lineRule="auto"/>
        <w:jc w:val="both"/>
        <w:rPr>
          <w:rFonts w:ascii="Times New Roman" w:hAnsi="Times New Roman" w:cs="Times New Roman"/>
          <w:bCs/>
          <w:sz w:val="24"/>
          <w:szCs w:val="24"/>
        </w:rPr>
      </w:pPr>
      <w:r w:rsidRPr="00891B86">
        <w:rPr>
          <w:rFonts w:ascii="Times New Roman" w:hAnsi="Times New Roman" w:cs="Times New Roman"/>
          <w:bCs/>
          <w:sz w:val="24"/>
          <w:szCs w:val="24"/>
        </w:rPr>
        <w:t xml:space="preserve">For the purpose of mapping and identifying hydrothermally altered areas in the study area, analyses of the potassium count (k percent), equivalent thorium concentration (eTh), equivalent uranium concentration (eU), concentration ratios related to potassium and other </w:t>
      </w:r>
      <w:proofErr w:type="spellStart"/>
      <w:r w:rsidRPr="00891B86">
        <w:rPr>
          <w:rFonts w:ascii="Times New Roman" w:hAnsi="Times New Roman" w:cs="Times New Roman"/>
          <w:bCs/>
          <w:sz w:val="24"/>
          <w:szCs w:val="24"/>
        </w:rPr>
        <w:t>radioelements</w:t>
      </w:r>
      <w:proofErr w:type="spellEnd"/>
      <w:r w:rsidRPr="00891B86">
        <w:rPr>
          <w:rFonts w:ascii="Times New Roman" w:hAnsi="Times New Roman" w:cs="Times New Roman"/>
          <w:bCs/>
          <w:sz w:val="24"/>
          <w:szCs w:val="24"/>
        </w:rPr>
        <w:t xml:space="preserve"> (K/eTh, K/eU), K-ternary, Kd (potassium anomalies), and F-parameter were conducted separately.</w:t>
      </w:r>
    </w:p>
    <w:p w14:paraId="530C6D45" w14:textId="77777777" w:rsidR="00891B86" w:rsidRPr="00892C98" w:rsidRDefault="00891B86" w:rsidP="00891B86">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Pr="00892C98">
        <w:rPr>
          <w:rFonts w:ascii="Times New Roman" w:eastAsia="TimesNewRoman" w:hAnsi="Times New Roman" w:cs="Times New Roman"/>
          <w:b/>
          <w:sz w:val="24"/>
          <w:szCs w:val="24"/>
        </w:rPr>
        <w:t>Data Presentation and Interpretation</w:t>
      </w:r>
    </w:p>
    <w:p w14:paraId="1EC8CE41" w14:textId="77777777" w:rsidR="00891B86" w:rsidRPr="00891B86" w:rsidRDefault="00891B86" w:rsidP="00891B86">
      <w:pPr>
        <w:adjustRightInd w:val="0"/>
        <w:spacing w:before="100" w:beforeAutospacing="1" w:line="360" w:lineRule="auto"/>
        <w:ind w:firstLine="720"/>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Radiometric maps revealed distinct distributions of K, eU, and eTh across </w:t>
      </w:r>
      <w:proofErr w:type="spellStart"/>
      <w:r w:rsidRPr="00891B86">
        <w:rPr>
          <w:rFonts w:ascii="Times New Roman" w:eastAsia="TimesNewRoman" w:hAnsi="Times New Roman" w:cs="Times New Roman"/>
          <w:sz w:val="24"/>
          <w:szCs w:val="24"/>
        </w:rPr>
        <w:t>Isanlu</w:t>
      </w:r>
      <w:proofErr w:type="spellEnd"/>
      <w:r w:rsidRPr="00891B86">
        <w:rPr>
          <w:rFonts w:ascii="Times New Roman" w:eastAsia="TimesNewRoman" w:hAnsi="Times New Roman" w:cs="Times New Roman"/>
          <w:sz w:val="24"/>
          <w:szCs w:val="24"/>
        </w:rPr>
        <w:t xml:space="preserve"> </w:t>
      </w:r>
      <w:proofErr w:type="spellStart"/>
      <w:r w:rsidRPr="00891B86">
        <w:rPr>
          <w:rFonts w:ascii="Times New Roman" w:eastAsia="TimesNewRoman" w:hAnsi="Times New Roman" w:cs="Times New Roman"/>
          <w:sz w:val="24"/>
          <w:szCs w:val="24"/>
        </w:rPr>
        <w:t>Isin</w:t>
      </w:r>
      <w:proofErr w:type="spellEnd"/>
      <w:r w:rsidRPr="00891B86">
        <w:rPr>
          <w:rFonts w:ascii="Times New Roman" w:eastAsia="TimesNewRoman" w:hAnsi="Times New Roman" w:cs="Times New Roman"/>
          <w:sz w:val="24"/>
          <w:szCs w:val="24"/>
        </w:rPr>
        <w:t xml:space="preserve">. Potassium concentrations ranged from 0.5% to 3.8%, with high values (&gt;2.5%) concentrated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indicating potassic alteration. Equivalent uranium (eU) ranged from 0.5 to 4.2 ppm, with elevated values in migmatite-gneiss complexes, suggesting uranium enrichment in fractured zones. Equivalent thorium (eTh) ranged from 2.0 to 15.8 ppm, with higher concentrations in granitic intrusions. Ternary images highlighted potassium-dominated zones, correlating with alteration haloes.</w:t>
      </w:r>
    </w:p>
    <w:p w14:paraId="189D5374" w14:textId="77777777" w:rsidR="00891B86" w:rsidRPr="00891B86"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K/eTh ratio maps identified five major potassic alteration zones, primarily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(8°20'N, 5°22'E)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xml:space="preserve"> (8°25'N, 5°18'E). K/eTh ratios &gt;0.2 were consistent with K-feldspar and biotite assemblages, indicative of high-temperature hydrothermal activity. These zones aligned with shear zones and quartz veins identified in DEM-derived lineament maps.</w:t>
      </w:r>
    </w:p>
    <w:p w14:paraId="669759B0" w14:textId="77777777" w:rsidR="00891B86" w:rsidRPr="00891B86"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Integration of radiometric and remote sensing data delineated eight hydrothermal alteration zones, categorized as follows:</w:t>
      </w:r>
    </w:p>
    <w:p w14:paraId="575898E4"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r w:rsidRPr="00891B86">
        <w:rPr>
          <w:rFonts w:ascii="Times New Roman" w:eastAsia="TimesNewRoman" w:hAnsi="Times New Roman" w:cs="Times New Roman"/>
          <w:bCs/>
          <w:sz w:val="24"/>
          <w:szCs w:val="24"/>
        </w:rPr>
        <w:t>Potassic</w:t>
      </w:r>
      <w:r w:rsidRPr="00891B86">
        <w:rPr>
          <w:rFonts w:ascii="Times New Roman" w:eastAsia="TimesNewRoman" w:hAnsi="Times New Roman" w:cs="Times New Roman"/>
          <w:sz w:val="24"/>
          <w:szCs w:val="24"/>
        </w:rPr>
        <w:t xml:space="preserve">: Two zones near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characterized by high K/eTh ratios and K-feldspar dominance, proximal to gold-bearing quartz veins.</w:t>
      </w:r>
    </w:p>
    <w:p w14:paraId="7CEE4881"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Phyllic</w:t>
      </w:r>
      <w:proofErr w:type="spellEnd"/>
      <w:r w:rsidRPr="00891B86">
        <w:rPr>
          <w:rFonts w:ascii="Times New Roman" w:eastAsia="TimesNewRoman" w:hAnsi="Times New Roman" w:cs="Times New Roman"/>
          <w:sz w:val="24"/>
          <w:szCs w:val="24"/>
        </w:rPr>
        <w:t>: Three zones with sericite and quartz, identified by moderate K/eTh ratios (0.15–0.2) and Landsat-8 band 6/7 anomalies, surrounding potassic zones.</w:t>
      </w:r>
    </w:p>
    <w:p w14:paraId="5C60695C"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Argillic</w:t>
      </w:r>
      <w:proofErr w:type="spellEnd"/>
      <w:r w:rsidRPr="00891B86">
        <w:rPr>
          <w:rFonts w:ascii="Times New Roman" w:eastAsia="TimesNewRoman" w:hAnsi="Times New Roman" w:cs="Times New Roman"/>
          <w:sz w:val="24"/>
          <w:szCs w:val="24"/>
        </w:rPr>
        <w:t>: Two zones with clay minerals (kaolinite, illite), detected by band 6/7 ratios and low K/eTh values, distal to mineralized centers.</w:t>
      </w:r>
    </w:p>
    <w:p w14:paraId="79B6C8DB"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Propylitic</w:t>
      </w:r>
      <w:proofErr w:type="spellEnd"/>
      <w:r w:rsidRPr="00891B86">
        <w:rPr>
          <w:rFonts w:ascii="Times New Roman" w:eastAsia="TimesNewRoman" w:hAnsi="Times New Roman" w:cs="Times New Roman"/>
          <w:sz w:val="24"/>
          <w:szCs w:val="24"/>
        </w:rPr>
        <w:t>: One zone with chlorite and epidote, identified by band 5/6 ratios, at the periphery of the study area.</w:t>
      </w:r>
    </w:p>
    <w:p w14:paraId="744482F9" w14:textId="77777777" w:rsidR="00891B86" w:rsidRPr="00892C98"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Fuzzy logic modeling assigned high </w:t>
      </w:r>
      <w:proofErr w:type="spellStart"/>
      <w:r w:rsidRPr="00891B86">
        <w:rPr>
          <w:rFonts w:ascii="Times New Roman" w:eastAsia="TimesNewRoman" w:hAnsi="Times New Roman" w:cs="Times New Roman"/>
          <w:sz w:val="24"/>
          <w:szCs w:val="24"/>
        </w:rPr>
        <w:t>prospectivity</w:t>
      </w:r>
      <w:proofErr w:type="spellEnd"/>
      <w:r w:rsidRPr="00891B86">
        <w:rPr>
          <w:rFonts w:ascii="Times New Roman" w:eastAsia="TimesNewRoman" w:hAnsi="Times New Roman" w:cs="Times New Roman"/>
          <w:sz w:val="24"/>
          <w:szCs w:val="24"/>
        </w:rPr>
        <w:t xml:space="preserve"> scores (0.8–0.95) to potassic and </w:t>
      </w:r>
      <w:proofErr w:type="spellStart"/>
      <w:r w:rsidRPr="00891B86">
        <w:rPr>
          <w:rFonts w:ascii="Times New Roman" w:eastAsia="TimesNewRoman" w:hAnsi="Times New Roman" w:cs="Times New Roman"/>
          <w:sz w:val="24"/>
          <w:szCs w:val="24"/>
        </w:rPr>
        <w:t>phyllic</w:t>
      </w:r>
      <w:proofErr w:type="spellEnd"/>
      <w:r w:rsidRPr="00891B86">
        <w:rPr>
          <w:rFonts w:ascii="Times New Roman" w:eastAsia="TimesNewRoman" w:hAnsi="Times New Roman" w:cs="Times New Roman"/>
          <w:sz w:val="24"/>
          <w:szCs w:val="24"/>
        </w:rPr>
        <w:t xml:space="preserve"> zones, validated by XRD analyses confirming mineral assemblages.</w:t>
      </w:r>
      <w:r w:rsidRPr="00892C98">
        <w:rPr>
          <w:rFonts w:ascii="Times New Roman" w:eastAsia="TimesNewRoman" w:hAnsi="Times New Roman" w:cs="Times New Roman"/>
          <w:sz w:val="24"/>
          <w:szCs w:val="24"/>
        </w:rPr>
        <w:t>.</w:t>
      </w:r>
    </w:p>
    <w:p w14:paraId="03618F9C" w14:textId="77777777" w:rsidR="00891B86" w:rsidRPr="00892C98" w:rsidRDefault="00891B86" w:rsidP="00891B86">
      <w:pPr>
        <w:pStyle w:val="Heading1"/>
        <w:spacing w:line="360" w:lineRule="auto"/>
        <w:rPr>
          <w:rFonts w:eastAsia="Calibri" w:cs="Times New Roman"/>
          <w:kern w:val="2"/>
          <w:szCs w:val="24"/>
        </w:rPr>
      </w:pPr>
      <w:bookmarkStart w:id="5" w:name="_Toc126315296"/>
      <w:r>
        <w:rPr>
          <w:rFonts w:cs="Times New Roman"/>
          <w:szCs w:val="24"/>
        </w:rPr>
        <w:t>4.3</w:t>
      </w:r>
      <w:r w:rsidRPr="00892C98">
        <w:rPr>
          <w:rFonts w:cs="Times New Roman"/>
          <w:szCs w:val="24"/>
        </w:rPr>
        <w:t xml:space="preserve"> </w:t>
      </w:r>
      <w:r w:rsidRPr="00892C98">
        <w:rPr>
          <w:rFonts w:cs="Times New Roman"/>
          <w:szCs w:val="24"/>
        </w:rPr>
        <w:tab/>
        <w:t xml:space="preserve">Profile </w:t>
      </w:r>
      <w:bookmarkEnd w:id="5"/>
      <w:r w:rsidRPr="00892C98">
        <w:rPr>
          <w:rFonts w:cs="Times New Roman"/>
          <w:szCs w:val="24"/>
        </w:rPr>
        <w:t>A – A’</w:t>
      </w:r>
    </w:p>
    <w:p w14:paraId="50CEFE9B"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sidRPr="00892C98">
        <w:rPr>
          <w:rFonts w:ascii="Times New Roman" w:eastAsia="TimesNewRoman" w:hAnsi="Times New Roman" w:cs="Times New Roman"/>
          <w:sz w:val="24"/>
          <w:szCs w:val="24"/>
        </w:rPr>
        <w:t>.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14:paraId="300A5D39"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 10 is the freshwater and not good for groundwater.</w:t>
      </w:r>
    </w:p>
    <w:p w14:paraId="18A7102D" w14:textId="77777777" w:rsidR="00891B86" w:rsidRPr="00892C98" w:rsidRDefault="00891B86" w:rsidP="00891B86">
      <w:pPr>
        <w:adjustRightInd w:val="0"/>
        <w:spacing w:after="0" w:line="360" w:lineRule="auto"/>
        <w:jc w:val="center"/>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rPr>
        <w:drawing>
          <wp:inline distT="0" distB="0" distL="0" distR="0" wp14:anchorId="3F3286EB" wp14:editId="106EC2F6">
            <wp:extent cx="5943600" cy="5628793"/>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5628793"/>
                    </a:xfrm>
                    <a:prstGeom prst="rect">
                      <a:avLst/>
                    </a:prstGeom>
                  </pic:spPr>
                </pic:pic>
              </a:graphicData>
            </a:graphic>
          </wp:inline>
        </w:drawing>
      </w:r>
    </w:p>
    <w:p w14:paraId="5C24583A" w14:textId="77777777" w:rsidR="00127AB3" w:rsidRPr="00127AB3" w:rsidRDefault="00127AB3" w:rsidP="00127AB3">
      <w:pPr>
        <w:spacing w:line="360" w:lineRule="auto"/>
        <w:ind w:left="-10"/>
        <w:rPr>
          <w:rFonts w:ascii="Times New Roman" w:hAnsi="Times New Roman" w:cs="Times New Roman"/>
          <w:bCs/>
          <w:sz w:val="24"/>
          <w:szCs w:val="24"/>
        </w:rPr>
      </w:pPr>
      <w:r>
        <w:rPr>
          <w:rFonts w:ascii="Times New Roman" w:hAnsi="Times New Roman" w:cs="Times New Roman"/>
          <w:bCs/>
          <w:sz w:val="24"/>
          <w:szCs w:val="24"/>
        </w:rPr>
        <w:t>Fig. 3 (A</w:t>
      </w:r>
      <w:r w:rsidRPr="00127AB3">
        <w:rPr>
          <w:rFonts w:ascii="Times New Roman" w:hAnsi="Times New Roman" w:cs="Times New Roman"/>
          <w:bCs/>
          <w:sz w:val="24"/>
          <w:szCs w:val="24"/>
        </w:rPr>
        <w:t xml:space="preserve">): Analysis of Potassium count (k percent) and equivalent Thorium concentration (eTh) </w:t>
      </w:r>
    </w:p>
    <w:p w14:paraId="795986A7" w14:textId="77777777" w:rsidR="00A8782B" w:rsidRDefault="00A8782B" w:rsidP="00891B86">
      <w:pPr>
        <w:spacing w:after="0" w:line="360" w:lineRule="auto"/>
        <w:ind w:left="-10"/>
        <w:rPr>
          <w:rFonts w:ascii="Times New Roman" w:hAnsi="Times New Roman" w:cs="Times New Roman"/>
          <w:b/>
          <w:sz w:val="24"/>
          <w:szCs w:val="24"/>
        </w:rPr>
      </w:pPr>
    </w:p>
    <w:p w14:paraId="7A8FAFD9" w14:textId="77777777" w:rsidR="00A8782B" w:rsidRDefault="00A8782B" w:rsidP="00891B86">
      <w:pPr>
        <w:spacing w:after="0" w:line="360" w:lineRule="auto"/>
        <w:ind w:left="-10"/>
        <w:rPr>
          <w:rFonts w:ascii="Times New Roman" w:hAnsi="Times New Roman" w:cs="Times New Roman"/>
          <w:b/>
          <w:sz w:val="24"/>
          <w:szCs w:val="24"/>
        </w:rPr>
      </w:pPr>
    </w:p>
    <w:p w14:paraId="755A0958" w14:textId="77777777" w:rsidR="00891B86" w:rsidRPr="00892C98" w:rsidRDefault="00891B86" w:rsidP="00891B86">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t>4.4</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t>Profile B – B’</w:t>
      </w:r>
    </w:p>
    <w:p w14:paraId="1A257C5E"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14:paraId="2B20DE51" w14:textId="77777777" w:rsidR="00891B86" w:rsidRDefault="00891B86" w:rsidP="00891B86">
      <w:pPr>
        <w:adjustRightInd w:val="0"/>
        <w:spacing w:after="0" w:line="360" w:lineRule="auto"/>
        <w:jc w:val="both"/>
        <w:rPr>
          <w:rFonts w:ascii="Times New Roman" w:eastAsia="Calibri" w:hAnsi="Times New Roman" w:cs="Times New Roman"/>
          <w:noProof/>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sidRPr="00892C98">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14:paraId="26FD9DCC"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rPr>
        <w:drawing>
          <wp:inline distT="0" distB="0" distL="0" distR="0" wp14:anchorId="043A05D4" wp14:editId="40FE3ACE">
            <wp:extent cx="5943664" cy="465706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4657010"/>
                    </a:xfrm>
                    <a:prstGeom prst="rect">
                      <a:avLst/>
                    </a:prstGeom>
                  </pic:spPr>
                </pic:pic>
              </a:graphicData>
            </a:graphic>
          </wp:inline>
        </w:drawing>
      </w:r>
    </w:p>
    <w:p w14:paraId="6A9B62D0" w14:textId="77777777" w:rsidR="00127AB3" w:rsidRPr="00127AB3" w:rsidRDefault="00127AB3" w:rsidP="00127AB3">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Pr>
          <w:rFonts w:ascii="Times New Roman" w:hAnsi="Times New Roman" w:cs="Times New Roman"/>
          <w:bCs/>
          <w:sz w:val="24"/>
          <w:szCs w:val="24"/>
        </w:rPr>
        <w:t>Fig. 4</w:t>
      </w:r>
      <w:r w:rsidRPr="00127AB3">
        <w:rPr>
          <w:rFonts w:ascii="Times New Roman" w:hAnsi="Times New Roman" w:cs="Times New Roman"/>
          <w:bCs/>
          <w:sz w:val="24"/>
          <w:szCs w:val="24"/>
        </w:rPr>
        <w:t xml:space="preserve"> (</w:t>
      </w:r>
      <w:r>
        <w:rPr>
          <w:rFonts w:ascii="Times New Roman" w:hAnsi="Times New Roman" w:cs="Times New Roman"/>
          <w:bCs/>
          <w:sz w:val="24"/>
          <w:szCs w:val="24"/>
        </w:rPr>
        <w:t>B</w:t>
      </w:r>
      <w:r w:rsidRPr="00127AB3">
        <w:rPr>
          <w:rFonts w:ascii="Times New Roman" w:hAnsi="Times New Roman" w:cs="Times New Roman"/>
          <w:bCs/>
          <w:sz w:val="24"/>
          <w:szCs w:val="24"/>
        </w:rPr>
        <w:t xml:space="preserve">): Analysis of Potassium count (k percent) and equivalent Thorium concentration (eTh) </w:t>
      </w:r>
    </w:p>
    <w:p w14:paraId="662ABF3E" w14:textId="77777777" w:rsidR="00A4744A" w:rsidRDefault="00A4744A"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14:paraId="10F7AD21" w14:textId="77777777" w:rsidR="00A4744A" w:rsidRDefault="00A4744A"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14:paraId="08B98B48" w14:textId="77777777" w:rsidR="00891B86" w:rsidRPr="00892C98" w:rsidRDefault="00891B86"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C – C’</w:t>
      </w:r>
    </w:p>
    <w:p w14:paraId="5120F6C9"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C is 50 m long with coordinate point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sidRPr="00892C98">
        <w:rPr>
          <w:rFonts w:ascii="Times New Roman" w:eastAsia="TimesNewRoman" w:hAnsi="Times New Roman" w:cs="Times New Roman"/>
          <w:sz w:val="24"/>
          <w:szCs w:val="24"/>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14:paraId="78A86E9C"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14:paraId="70A83E98"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01764B07"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14:anchorId="7422D1CA" wp14:editId="76D7343B">
            <wp:extent cx="6094671" cy="3757861"/>
            <wp:effectExtent l="19050" t="0" r="13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096000" cy="3758680"/>
                    </a:xfrm>
                    <a:prstGeom prst="rect">
                      <a:avLst/>
                    </a:prstGeom>
                    <a:noFill/>
                  </pic:spPr>
                </pic:pic>
              </a:graphicData>
            </a:graphic>
          </wp:inline>
        </w:drawing>
      </w:r>
    </w:p>
    <w:p w14:paraId="3228FE1F" w14:textId="77777777" w:rsidR="00891B86" w:rsidRPr="00892C98" w:rsidRDefault="00891B86"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D – D’</w:t>
      </w:r>
    </w:p>
    <w:p w14:paraId="69A9B60A"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sidRPr="00892C98">
        <w:rPr>
          <w:rFonts w:ascii="Times New Roman" w:eastAsia="TimesNewRoman" w:hAnsi="Times New 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14:paraId="2EB98D9D"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14:paraId="1F7A9874"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3D375A81"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rPr>
        <w:drawing>
          <wp:inline distT="0" distB="0" distL="0" distR="0" wp14:anchorId="38FBB365" wp14:editId="2B1DFC30">
            <wp:extent cx="5910470" cy="5495034"/>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10470" cy="5495034"/>
                    </a:xfrm>
                    <a:prstGeom prst="rect">
                      <a:avLst/>
                    </a:prstGeom>
                  </pic:spPr>
                </pic:pic>
              </a:graphicData>
            </a:graphic>
          </wp:inline>
        </w:drawing>
      </w:r>
    </w:p>
    <w:p w14:paraId="0F97E1D4" w14:textId="77777777" w:rsidR="00891B86" w:rsidRPr="00892C98" w:rsidRDefault="00A4744A" w:rsidP="00891B86">
      <w:pPr>
        <w:adjustRightInd w:val="0"/>
        <w:spacing w:line="360" w:lineRule="auto"/>
        <w:jc w:val="both"/>
        <w:rPr>
          <w:rFonts w:ascii="Times New Roman" w:eastAsia="TimesNewRoman" w:hAnsi="Times New Roman" w:cs="Times New Roman"/>
          <w:sz w:val="24"/>
          <w:szCs w:val="24"/>
        </w:rPr>
      </w:pPr>
      <w:r w:rsidRPr="00A4744A">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14:paraId="50BF491F" w14:textId="77777777" w:rsidR="00891B86" w:rsidRPr="00892C98" w:rsidRDefault="00891B86" w:rsidP="00891B86">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E – E’</w:t>
      </w:r>
    </w:p>
    <w:p w14:paraId="55651290"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sidRPr="00892C98">
        <w:rPr>
          <w:rFonts w:ascii="Times New Roman" w:eastAsia="TimesNewRoman" w:hAnsi="Times New 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14:paraId="2185F229"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14:paraId="2AA7CC30"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0251173F"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rPr>
        <w:drawing>
          <wp:inline distT="0" distB="0" distL="0" distR="0" wp14:anchorId="386096C1" wp14:editId="6C84315E">
            <wp:extent cx="5379009" cy="5455278"/>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79009" cy="5455278"/>
                    </a:xfrm>
                    <a:prstGeom prst="rect">
                      <a:avLst/>
                    </a:prstGeom>
                  </pic:spPr>
                </pic:pic>
              </a:graphicData>
            </a:graphic>
          </wp:inline>
        </w:drawing>
      </w:r>
    </w:p>
    <w:p w14:paraId="7BF57C23" w14:textId="77777777" w:rsidR="00891B86" w:rsidRDefault="00A4744A" w:rsidP="00A5011D">
      <w:pPr>
        <w:spacing w:line="360" w:lineRule="auto"/>
        <w:jc w:val="both"/>
        <w:rPr>
          <w:rFonts w:ascii="Times New Roman" w:hAnsi="Times New Roman" w:cs="Times New Roman"/>
          <w:bCs/>
          <w:sz w:val="24"/>
          <w:szCs w:val="24"/>
        </w:rPr>
      </w:pPr>
      <w:r w:rsidRPr="00A4744A">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14:paraId="13A84A06" w14:textId="77777777" w:rsidR="00891B86" w:rsidRDefault="00891B86" w:rsidP="00A5011D">
      <w:pPr>
        <w:spacing w:line="360" w:lineRule="auto"/>
        <w:jc w:val="both"/>
        <w:rPr>
          <w:rFonts w:ascii="Times New Roman" w:hAnsi="Times New Roman" w:cs="Times New Roman"/>
          <w:bCs/>
          <w:sz w:val="24"/>
          <w:szCs w:val="24"/>
        </w:rPr>
      </w:pPr>
    </w:p>
    <w:p w14:paraId="3A2C8399" w14:textId="77777777" w:rsidR="00891B86" w:rsidRDefault="00891B86" w:rsidP="00A5011D">
      <w:pPr>
        <w:spacing w:line="360" w:lineRule="auto"/>
        <w:jc w:val="both"/>
        <w:rPr>
          <w:rFonts w:ascii="Times New Roman" w:hAnsi="Times New Roman" w:cs="Times New Roman"/>
          <w:bCs/>
          <w:sz w:val="24"/>
          <w:szCs w:val="24"/>
        </w:rPr>
      </w:pPr>
    </w:p>
    <w:p w14:paraId="58C15FFE" w14:textId="77777777" w:rsidR="00891B86" w:rsidRDefault="00891B86" w:rsidP="00A5011D">
      <w:pPr>
        <w:spacing w:line="360" w:lineRule="auto"/>
        <w:jc w:val="both"/>
        <w:rPr>
          <w:rFonts w:ascii="Times New Roman" w:hAnsi="Times New Roman" w:cs="Times New Roman"/>
          <w:bCs/>
          <w:sz w:val="24"/>
          <w:szCs w:val="24"/>
        </w:rPr>
      </w:pPr>
    </w:p>
    <w:p w14:paraId="0D8C8432" w14:textId="77777777" w:rsidR="00891B86" w:rsidRDefault="00891B86" w:rsidP="00A5011D">
      <w:pPr>
        <w:spacing w:line="360" w:lineRule="auto"/>
        <w:jc w:val="both"/>
        <w:rPr>
          <w:rFonts w:ascii="Times New Roman" w:hAnsi="Times New Roman" w:cs="Times New Roman"/>
          <w:bCs/>
          <w:sz w:val="24"/>
          <w:szCs w:val="24"/>
        </w:rPr>
      </w:pPr>
    </w:p>
    <w:p w14:paraId="62B81B5F" w14:textId="77777777" w:rsidR="00891B86" w:rsidRDefault="00891B86" w:rsidP="00A5011D">
      <w:pPr>
        <w:spacing w:line="360" w:lineRule="auto"/>
        <w:jc w:val="both"/>
        <w:rPr>
          <w:rFonts w:ascii="Times New Roman" w:hAnsi="Times New Roman" w:cs="Times New Roman"/>
          <w:bCs/>
          <w:sz w:val="24"/>
          <w:szCs w:val="24"/>
        </w:rPr>
      </w:pPr>
    </w:p>
    <w:p w14:paraId="4BFF07F8" w14:textId="77777777" w:rsidR="00891B86" w:rsidRDefault="00891B86" w:rsidP="00A5011D">
      <w:pPr>
        <w:spacing w:line="360" w:lineRule="auto"/>
        <w:jc w:val="both"/>
        <w:rPr>
          <w:rFonts w:ascii="Times New Roman" w:hAnsi="Times New Roman" w:cs="Times New Roman"/>
          <w:bCs/>
          <w:sz w:val="24"/>
          <w:szCs w:val="24"/>
        </w:rPr>
      </w:pPr>
    </w:p>
    <w:p w14:paraId="11E1839F" w14:textId="77777777" w:rsidR="00891B86" w:rsidRPr="00B40B60" w:rsidRDefault="00891B86" w:rsidP="00A5011D">
      <w:pPr>
        <w:spacing w:line="360" w:lineRule="auto"/>
        <w:jc w:val="both"/>
        <w:rPr>
          <w:rFonts w:ascii="Times New Roman" w:hAnsi="Times New Roman" w:cs="Times New Roman"/>
          <w:bCs/>
          <w:sz w:val="24"/>
          <w:szCs w:val="24"/>
        </w:rPr>
      </w:pPr>
      <w:r w:rsidRPr="00891B86">
        <w:rPr>
          <w:rFonts w:ascii="Times New Roman" w:hAnsi="Times New Roman" w:cs="Times New Roman"/>
          <w:bCs/>
          <w:noProof/>
          <w:sz w:val="24"/>
          <w:szCs w:val="24"/>
        </w:rPr>
        <w:drawing>
          <wp:inline distT="0" distB="0" distL="0" distR="0" wp14:anchorId="2666D963" wp14:editId="52AE7691">
            <wp:extent cx="5943600" cy="3843655"/>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843655"/>
                    </a:xfrm>
                    <a:prstGeom prst="rect">
                      <a:avLst/>
                    </a:prstGeom>
                  </pic:spPr>
                </pic:pic>
              </a:graphicData>
            </a:graphic>
          </wp:inline>
        </w:drawing>
      </w:r>
    </w:p>
    <w:p w14:paraId="13832C07" w14:textId="77777777" w:rsidR="00127AB3" w:rsidRPr="00127AB3" w:rsidRDefault="00127AB3" w:rsidP="00127AB3">
      <w:pPr>
        <w:spacing w:line="360" w:lineRule="auto"/>
        <w:jc w:val="both"/>
        <w:rPr>
          <w:rFonts w:ascii="Times New Roman" w:hAnsi="Times New Roman" w:cs="Times New Roman"/>
          <w:b/>
          <w:bCs/>
          <w:sz w:val="24"/>
          <w:szCs w:val="24"/>
        </w:rPr>
      </w:pPr>
      <w:r w:rsidRPr="00127AB3">
        <w:rPr>
          <w:rFonts w:ascii="Times New Roman" w:hAnsi="Times New Roman" w:cs="Times New Roman"/>
          <w:b/>
          <w:bCs/>
          <w:sz w:val="24"/>
          <w:szCs w:val="24"/>
        </w:rPr>
        <w:t xml:space="preserve">Fig. 6: Composite Ternary Map </w:t>
      </w:r>
    </w:p>
    <w:p w14:paraId="2A3CC40A" w14:textId="77777777" w:rsidR="00891B86" w:rsidRDefault="00891B86" w:rsidP="00A5011D">
      <w:pPr>
        <w:spacing w:line="360" w:lineRule="auto"/>
        <w:jc w:val="both"/>
        <w:rPr>
          <w:rFonts w:ascii="Times New Roman" w:hAnsi="Times New Roman" w:cs="Times New Roman"/>
          <w:b/>
          <w:bCs/>
          <w:sz w:val="24"/>
          <w:szCs w:val="24"/>
        </w:rPr>
      </w:pPr>
    </w:p>
    <w:p w14:paraId="78396FA6" w14:textId="77777777" w:rsidR="00891B86" w:rsidRDefault="00891B86" w:rsidP="00A5011D">
      <w:pPr>
        <w:spacing w:line="360" w:lineRule="auto"/>
        <w:jc w:val="both"/>
        <w:rPr>
          <w:rFonts w:ascii="Times New Roman" w:hAnsi="Times New Roman" w:cs="Times New Roman"/>
          <w:b/>
          <w:bCs/>
          <w:sz w:val="24"/>
          <w:szCs w:val="24"/>
        </w:rPr>
      </w:pPr>
    </w:p>
    <w:p w14:paraId="4E7D201A" w14:textId="77777777" w:rsidR="00891B86" w:rsidRDefault="00891B86" w:rsidP="00A5011D">
      <w:pPr>
        <w:spacing w:line="360" w:lineRule="auto"/>
        <w:jc w:val="both"/>
        <w:rPr>
          <w:rFonts w:ascii="Times New Roman" w:hAnsi="Times New Roman" w:cs="Times New Roman"/>
          <w:b/>
          <w:bCs/>
          <w:sz w:val="24"/>
          <w:szCs w:val="24"/>
        </w:rPr>
      </w:pPr>
    </w:p>
    <w:p w14:paraId="31455565" w14:textId="77777777" w:rsidR="00891B86" w:rsidRDefault="00891B86" w:rsidP="00A5011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A077D15" wp14:editId="5C565163">
            <wp:extent cx="6096000" cy="3429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096000" cy="3429000"/>
                    </a:xfrm>
                    <a:prstGeom prst="rect">
                      <a:avLst/>
                    </a:prstGeom>
                    <a:noFill/>
                  </pic:spPr>
                </pic:pic>
              </a:graphicData>
            </a:graphic>
          </wp:inline>
        </w:drawing>
      </w:r>
    </w:p>
    <w:p w14:paraId="4BE9D643" w14:textId="77777777" w:rsidR="00891B86" w:rsidRDefault="00891B86" w:rsidP="00A5011D">
      <w:pPr>
        <w:spacing w:line="360" w:lineRule="auto"/>
        <w:jc w:val="both"/>
        <w:rPr>
          <w:rFonts w:ascii="Times New Roman" w:hAnsi="Times New Roman" w:cs="Times New Roman"/>
          <w:b/>
          <w:bCs/>
          <w:sz w:val="24"/>
          <w:szCs w:val="24"/>
        </w:rPr>
      </w:pPr>
    </w:p>
    <w:p w14:paraId="64CDA89F" w14:textId="77777777" w:rsidR="00891B86" w:rsidRDefault="00891B86" w:rsidP="00A5011D">
      <w:pPr>
        <w:spacing w:line="360" w:lineRule="auto"/>
        <w:jc w:val="both"/>
        <w:rPr>
          <w:rFonts w:ascii="Times New Roman" w:hAnsi="Times New Roman" w:cs="Times New Roman"/>
          <w:b/>
          <w:bCs/>
          <w:sz w:val="24"/>
          <w:szCs w:val="24"/>
        </w:rPr>
      </w:pPr>
    </w:p>
    <w:p w14:paraId="40CAC543" w14:textId="77777777" w:rsidR="00891B86" w:rsidRDefault="00785B37" w:rsidP="00A5011D">
      <w:pPr>
        <w:spacing w:line="360" w:lineRule="auto"/>
        <w:jc w:val="both"/>
        <w:rPr>
          <w:rFonts w:ascii="Times New Roman" w:hAnsi="Times New Roman" w:cs="Times New Roman"/>
          <w:b/>
          <w:bCs/>
          <w:sz w:val="24"/>
          <w:szCs w:val="24"/>
        </w:rPr>
      </w:pPr>
      <w:r w:rsidRPr="00891B86">
        <w:rPr>
          <w:rFonts w:ascii="Times New Roman" w:hAnsi="Times New Roman" w:cs="Times New Roman"/>
          <w:b/>
          <w:bCs/>
          <w:noProof/>
          <w:sz w:val="24"/>
          <w:szCs w:val="24"/>
        </w:rPr>
      </w:r>
      <w:r w:rsidR="00785B37" w:rsidRPr="00891B86">
        <w:rPr>
          <w:rFonts w:ascii="Times New Roman" w:hAnsi="Times New Roman" w:cs="Times New Roman"/>
          <w:b/>
          <w:bCs/>
          <w:noProof/>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62.95pt" o:ole="">
            <v:imagedata r:id="rId18" o:title=""/>
          </v:shape>
          <o:OLEObject Type="Embed" ProgID="PowerPoint.Slide.12" ShapeID="_x0000_i1025" DrawAspect="Content" ObjectID="_1813899913" r:id="rId19"/>
        </w:object>
      </w:r>
    </w:p>
    <w:p w14:paraId="3DFE6B97" w14:textId="77777777" w:rsidR="00A4744A" w:rsidRDefault="00A4744A" w:rsidP="00A5011D">
      <w:pPr>
        <w:spacing w:line="360" w:lineRule="auto"/>
        <w:jc w:val="both"/>
        <w:rPr>
          <w:rFonts w:ascii="Times New Roman" w:hAnsi="Times New Roman" w:cs="Times New Roman"/>
          <w:b/>
          <w:bCs/>
          <w:sz w:val="24"/>
          <w:szCs w:val="24"/>
        </w:rPr>
      </w:pPr>
    </w:p>
    <w:p w14:paraId="647247EF"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4.3 Conclusion</w:t>
      </w:r>
    </w:p>
    <w:p w14:paraId="0F3E91FD" w14:textId="77777777" w:rsidR="00D0700B" w:rsidRPr="00891B86" w:rsidRDefault="009437A6" w:rsidP="00891B86">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t xml:space="preserve">The airborne gamma ray spectrometric data is helpful in delineating hydrothermal alteration zones of the study area. The use of radionuclides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lithological changes and weather conditions. The results showed that hydrothermally altered areas are associated with granitoids (descriptive field term coarse-grained igneous rocks) and areas proximal to them with areas distal to them showing no or little alteration. </w:t>
      </w:r>
    </w:p>
    <w:p w14:paraId="6E735B8B" w14:textId="77777777" w:rsidR="00D0700B" w:rsidRPr="00891B86" w:rsidRDefault="009437A6" w:rsidP="00891B86">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t>Therefore, the generated hydrothermal alteration map indicates prospective areas for further exploration work which will be able to guide prospective investors, researchers and stakeholders on prospective areas for exploration.</w:t>
      </w:r>
    </w:p>
    <w:p w14:paraId="5A8BCC05" w14:textId="77777777" w:rsidR="005A291E" w:rsidRPr="005A291E" w:rsidRDefault="005A291E" w:rsidP="00A4744A">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References</w:t>
      </w:r>
    </w:p>
    <w:p w14:paraId="401EC4A4"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J. E., et al. (2023). Integrated geophysical and remote sensing studies for mineral exploration in </w:t>
      </w:r>
      <w:proofErr w:type="spellStart"/>
      <w:r w:rsidRPr="005A291E">
        <w:rPr>
          <w:rFonts w:ascii="Times New Roman" w:hAnsi="Times New Roman" w:cs="Times New Roman"/>
          <w:sz w:val="24"/>
          <w:szCs w:val="24"/>
        </w:rPr>
        <w:t>Zuru</w:t>
      </w:r>
      <w:proofErr w:type="spellEnd"/>
      <w:r w:rsidRPr="005A291E">
        <w:rPr>
          <w:rFonts w:ascii="Times New Roman" w:hAnsi="Times New Roman" w:cs="Times New Roman"/>
          <w:sz w:val="24"/>
          <w:szCs w:val="24"/>
        </w:rPr>
        <w:t xml:space="preserve"> province, Northwest Nigeria.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199, 104-123.</w:t>
      </w:r>
    </w:p>
    <w:p w14:paraId="776AA5D6"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A. C., et al. (1987). The geology of the Nigerian Basement Complex. </w:t>
      </w:r>
      <w:r w:rsidRPr="005A291E">
        <w:rPr>
          <w:rFonts w:ascii="Times New Roman" w:hAnsi="Times New Roman" w:cs="Times New Roman"/>
          <w:i/>
          <w:iCs/>
          <w:sz w:val="24"/>
          <w:szCs w:val="24"/>
        </w:rPr>
        <w:t>Precambrian Research</w:t>
      </w:r>
      <w:r w:rsidRPr="005A291E">
        <w:rPr>
          <w:rFonts w:ascii="Times New Roman" w:hAnsi="Times New Roman" w:cs="Times New Roman"/>
          <w:sz w:val="24"/>
          <w:szCs w:val="24"/>
        </w:rPr>
        <w:t>, 36(3), 287–302.</w:t>
      </w:r>
    </w:p>
    <w:p w14:paraId="5168EFE9"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G. K., et al. (2014). Geophysical investigation of mineral potential in the Ibadan area, Nigeria.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50(2), 145–156.</w:t>
      </w:r>
    </w:p>
    <w:p w14:paraId="41C8B083"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van </w:t>
      </w:r>
      <w:proofErr w:type="spellStart"/>
      <w:r w:rsidRPr="005A291E">
        <w:rPr>
          <w:rFonts w:ascii="Times New Roman" w:hAnsi="Times New Roman" w:cs="Times New Roman"/>
          <w:sz w:val="24"/>
          <w:szCs w:val="24"/>
        </w:rPr>
        <w:t>Grondelle</w:t>
      </w:r>
      <w:proofErr w:type="spellEnd"/>
      <w:r w:rsidRPr="005A291E">
        <w:rPr>
          <w:rFonts w:ascii="Times New Roman" w:hAnsi="Times New Roman" w:cs="Times New Roman"/>
          <w:sz w:val="24"/>
          <w:szCs w:val="24"/>
        </w:rPr>
        <w:t xml:space="preserve">, R. (2011). </w:t>
      </w:r>
      <w:r w:rsidRPr="005A291E">
        <w:rPr>
          <w:rFonts w:ascii="Times New Roman" w:hAnsi="Times New Roman" w:cs="Times New Roman"/>
          <w:i/>
          <w:iCs/>
          <w:sz w:val="24"/>
          <w:szCs w:val="24"/>
        </w:rPr>
        <w:t>Environmental Physics: Sustainable Energy and Climate Change</w:t>
      </w:r>
      <w:r w:rsidRPr="005A291E">
        <w:rPr>
          <w:rFonts w:ascii="Times New Roman" w:hAnsi="Times New Roman" w:cs="Times New Roman"/>
          <w:sz w:val="24"/>
          <w:szCs w:val="24"/>
        </w:rPr>
        <w:t>. Wiley.</w:t>
      </w:r>
    </w:p>
    <w:p w14:paraId="4B285686"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E. D., et al. (2022). Fuzzy logic modeling for mineral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in the </w:t>
      </w:r>
      <w:proofErr w:type="spellStart"/>
      <w:r w:rsidRPr="005A291E">
        <w:rPr>
          <w:rFonts w:ascii="Times New Roman" w:hAnsi="Times New Roman" w:cs="Times New Roman"/>
          <w:sz w:val="24"/>
          <w:szCs w:val="24"/>
        </w:rPr>
        <w:t>Ife-Ilesa</w:t>
      </w:r>
      <w:proofErr w:type="spellEnd"/>
      <w:r w:rsidRPr="005A291E">
        <w:rPr>
          <w:rFonts w:ascii="Times New Roman" w:hAnsi="Times New Roman" w:cs="Times New Roman"/>
          <w:sz w:val="24"/>
          <w:szCs w:val="24"/>
        </w:rPr>
        <w:t xml:space="preserve"> schist belt.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87(4), 89–102.</w:t>
      </w:r>
    </w:p>
    <w:p w14:paraId="658C30B6"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xml:space="preserve">, I. (2003). Gold mineralization in Nigeria: A review.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39(2), 97–108.</w:t>
      </w:r>
    </w:p>
    <w:p w14:paraId="4E35B4BF"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Goldfarb, R. J., et al. (2005). Orogenic gold deposits: A proposed classification.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100(1), 1–18.</w:t>
      </w:r>
    </w:p>
    <w:p w14:paraId="7D63DC2C"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xml:space="preserve">, N. P. (2001). </w:t>
      </w:r>
      <w:r w:rsidRPr="005A291E">
        <w:rPr>
          <w:rFonts w:ascii="Times New Roman" w:hAnsi="Times New Roman" w:cs="Times New Roman"/>
          <w:i/>
          <w:iCs/>
          <w:sz w:val="24"/>
          <w:szCs w:val="24"/>
        </w:rPr>
        <w:t>A New Geography of Nigeria</w:t>
      </w:r>
      <w:r w:rsidRPr="005A291E">
        <w:rPr>
          <w:rFonts w:ascii="Times New Roman" w:hAnsi="Times New Roman" w:cs="Times New Roman"/>
          <w:sz w:val="24"/>
          <w:szCs w:val="24"/>
        </w:rPr>
        <w:t>. Longman Nigeria.</w:t>
      </w:r>
    </w:p>
    <w:p w14:paraId="7B028D8D"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P., et al. (2013). </w:t>
      </w:r>
      <w:r w:rsidRPr="005A291E">
        <w:rPr>
          <w:rFonts w:ascii="Times New Roman" w:hAnsi="Times New Roman" w:cs="Times New Roman"/>
          <w:i/>
          <w:iCs/>
          <w:sz w:val="24"/>
          <w:szCs w:val="24"/>
        </w:rPr>
        <w:t>An Introduction to Geophysical Exploration</w:t>
      </w:r>
      <w:r w:rsidRPr="005A291E">
        <w:rPr>
          <w:rFonts w:ascii="Times New Roman" w:hAnsi="Times New Roman" w:cs="Times New Roman"/>
          <w:sz w:val="24"/>
          <w:szCs w:val="24"/>
        </w:rPr>
        <w:t>. Wiley-Blackwell.</w:t>
      </w:r>
    </w:p>
    <w:p w14:paraId="2BFD46F2"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Minty, B. R. J. (1997). Fundamentals of airborne gamma-ray spectrometry. </w:t>
      </w:r>
      <w:r w:rsidRPr="005A291E">
        <w:rPr>
          <w:rFonts w:ascii="Times New Roman" w:hAnsi="Times New Roman" w:cs="Times New Roman"/>
          <w:i/>
          <w:iCs/>
          <w:sz w:val="24"/>
          <w:szCs w:val="24"/>
        </w:rPr>
        <w:t>AUSGEO News</w:t>
      </w:r>
      <w:r w:rsidRPr="005A291E">
        <w:rPr>
          <w:rFonts w:ascii="Times New Roman" w:hAnsi="Times New Roman" w:cs="Times New Roman"/>
          <w:sz w:val="24"/>
          <w:szCs w:val="24"/>
        </w:rPr>
        <w:t>, 88, 12–18.</w:t>
      </w:r>
    </w:p>
    <w:p w14:paraId="2E977AF8"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J. O., et al. (2017).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mapping of hydrothermal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Nigeria.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53(1), 23–34.</w:t>
      </w:r>
    </w:p>
    <w:p w14:paraId="045559C2"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O. A.,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xml:space="preserve">, E. (2009). Hydrogeological characteristics of the Nigerian Basement Complex. </w:t>
      </w:r>
      <w:r w:rsidRPr="005A291E">
        <w:rPr>
          <w:rFonts w:ascii="Times New Roman" w:hAnsi="Times New Roman" w:cs="Times New Roman"/>
          <w:i/>
          <w:iCs/>
          <w:sz w:val="24"/>
          <w:szCs w:val="24"/>
        </w:rPr>
        <w:t>Water Resources Journal</w:t>
      </w:r>
      <w:r w:rsidRPr="005A291E">
        <w:rPr>
          <w:rFonts w:ascii="Times New Roman" w:hAnsi="Times New Roman" w:cs="Times New Roman"/>
          <w:sz w:val="24"/>
          <w:szCs w:val="24"/>
        </w:rPr>
        <w:t>, 20(1), 45–56.</w:t>
      </w:r>
    </w:p>
    <w:p w14:paraId="59611CE6"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xml:space="preserve">, M. A. (2019). Mineral resources of Nigeria: Challenges and prospects.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158, 103–115.</w:t>
      </w:r>
    </w:p>
    <w:p w14:paraId="7D9E90F2"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M. O.,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xml:space="preserve">, S. A. (1993). Aquifer types and </w:t>
      </w:r>
      <w:proofErr w:type="spellStart"/>
      <w:r w:rsidRPr="005A291E">
        <w:rPr>
          <w:rFonts w:ascii="Times New Roman" w:hAnsi="Times New Roman" w:cs="Times New Roman"/>
          <w:sz w:val="24"/>
          <w:szCs w:val="24"/>
        </w:rPr>
        <w:t>geoelectric</w:t>
      </w:r>
      <w:proofErr w:type="spellEnd"/>
      <w:r w:rsidRPr="005A291E">
        <w:rPr>
          <w:rFonts w:ascii="Times New Roman" w:hAnsi="Times New Roman" w:cs="Times New Roman"/>
          <w:sz w:val="24"/>
          <w:szCs w:val="24"/>
        </w:rPr>
        <w:t xml:space="preserve"> characteristics of the Nigerian Basement Complex.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16(3), 339–352.</w:t>
      </w:r>
    </w:p>
    <w:p w14:paraId="472B9B9C"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xml:space="preserve">, M. O. (1972). The Basement Complex of Nigeria. </w:t>
      </w:r>
      <w:r w:rsidRPr="005A291E">
        <w:rPr>
          <w:rFonts w:ascii="Times New Roman" w:hAnsi="Times New Roman" w:cs="Times New Roman"/>
          <w:i/>
          <w:iCs/>
          <w:sz w:val="24"/>
          <w:szCs w:val="24"/>
        </w:rPr>
        <w:t>Geological Survey of Nigeria Bulletin</w:t>
      </w:r>
      <w:r w:rsidRPr="005A291E">
        <w:rPr>
          <w:rFonts w:ascii="Times New Roman" w:hAnsi="Times New Roman" w:cs="Times New Roman"/>
          <w:sz w:val="24"/>
          <w:szCs w:val="24"/>
        </w:rPr>
        <w:t>, 32, 1–58.</w:t>
      </w:r>
    </w:p>
    <w:p w14:paraId="6EFD87B6"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xml:space="preserve">, F. (2009). </w:t>
      </w:r>
      <w:r w:rsidRPr="005A291E">
        <w:rPr>
          <w:rFonts w:ascii="Times New Roman" w:hAnsi="Times New Roman" w:cs="Times New Roman"/>
          <w:i/>
          <w:iCs/>
          <w:sz w:val="24"/>
          <w:szCs w:val="24"/>
        </w:rPr>
        <w:t>Hydrothermal Processes and Mineral Systems</w:t>
      </w:r>
      <w:r w:rsidRPr="005A291E">
        <w:rPr>
          <w:rFonts w:ascii="Times New Roman" w:hAnsi="Times New Roman" w:cs="Times New Roman"/>
          <w:sz w:val="24"/>
          <w:szCs w:val="24"/>
        </w:rPr>
        <w:t>. Springer.</w:t>
      </w:r>
    </w:p>
    <w:p w14:paraId="0F4C3B5E"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xml:space="preserve">, M. A. (1988). Recent advances in the study of the Basement Complex of Nigeria. </w:t>
      </w:r>
      <w:r w:rsidRPr="005A291E">
        <w:rPr>
          <w:rFonts w:ascii="Times New Roman" w:hAnsi="Times New Roman" w:cs="Times New Roman"/>
          <w:i/>
          <w:iCs/>
          <w:sz w:val="24"/>
          <w:szCs w:val="24"/>
        </w:rPr>
        <w:t>Geological Survey of Nigeria Publication</w:t>
      </w:r>
      <w:r w:rsidRPr="005A291E">
        <w:rPr>
          <w:rFonts w:ascii="Times New Roman" w:hAnsi="Times New Roman" w:cs="Times New Roman"/>
          <w:sz w:val="24"/>
          <w:szCs w:val="24"/>
        </w:rPr>
        <w:t>, 11–43.</w:t>
      </w:r>
    </w:p>
    <w:p w14:paraId="7A8E4E5A"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Robb, L. (2005). </w:t>
      </w:r>
      <w:r w:rsidRPr="005A291E">
        <w:rPr>
          <w:rFonts w:ascii="Times New Roman" w:hAnsi="Times New Roman" w:cs="Times New Roman"/>
          <w:i/>
          <w:iCs/>
          <w:sz w:val="24"/>
          <w:szCs w:val="24"/>
        </w:rPr>
        <w:t>Introduction to Ore-Forming Processes</w:t>
      </w:r>
      <w:r w:rsidRPr="005A291E">
        <w:rPr>
          <w:rFonts w:ascii="Times New Roman" w:hAnsi="Times New Roman" w:cs="Times New Roman"/>
          <w:sz w:val="24"/>
          <w:szCs w:val="24"/>
        </w:rPr>
        <w:t>. Blackwell Publishing.</w:t>
      </w:r>
    </w:p>
    <w:p w14:paraId="4060BE4B"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Y. A.,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J. O. (2020). Geophysical investigation of gold mineralization in </w:t>
      </w:r>
      <w:proofErr w:type="spellStart"/>
      <w:r w:rsidRPr="005A291E">
        <w:rPr>
          <w:rFonts w:ascii="Times New Roman" w:hAnsi="Times New Roman" w:cs="Times New Roman"/>
          <w:sz w:val="24"/>
          <w:szCs w:val="24"/>
        </w:rPr>
        <w:t>Kushaka</w:t>
      </w:r>
      <w:proofErr w:type="spellEnd"/>
      <w:r w:rsidRPr="005A291E">
        <w:rPr>
          <w:rFonts w:ascii="Times New Roman" w:hAnsi="Times New Roman" w:cs="Times New Roman"/>
          <w:sz w:val="24"/>
          <w:szCs w:val="24"/>
        </w:rPr>
        <w:t xml:space="preserve"> schist belt, Nigeria.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85(3), 67–79.</w:t>
      </w:r>
    </w:p>
    <w:p w14:paraId="5A7116CA"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Sillitoe, R. H. (2010). Porphyry copper systems.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105(1), 3–41.</w:t>
      </w:r>
    </w:p>
    <w:p w14:paraId="3F843187"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Telford, W. M., et al. (1990). </w:t>
      </w:r>
      <w:r w:rsidRPr="005A291E">
        <w:rPr>
          <w:rFonts w:ascii="Times New Roman" w:hAnsi="Times New Roman" w:cs="Times New Roman"/>
          <w:i/>
          <w:iCs/>
          <w:sz w:val="24"/>
          <w:szCs w:val="24"/>
        </w:rPr>
        <w:t>Applied Geophysics</w:t>
      </w:r>
      <w:r w:rsidRPr="005A291E">
        <w:rPr>
          <w:rFonts w:ascii="Times New Roman" w:hAnsi="Times New Roman" w:cs="Times New Roman"/>
          <w:sz w:val="24"/>
          <w:szCs w:val="24"/>
        </w:rPr>
        <w:t>. Cambridge University Press.</w:t>
      </w:r>
    </w:p>
    <w:p w14:paraId="4D6CE255" w14:textId="77777777" w:rsidR="005A291E" w:rsidRDefault="005A291E" w:rsidP="00A8782B">
      <w:pPr>
        <w:spacing w:line="360" w:lineRule="auto"/>
        <w:ind w:left="720" w:hanging="720"/>
        <w:jc w:val="both"/>
        <w:rPr>
          <w:rFonts w:ascii="Times New Roman" w:hAnsi="Times New Roman" w:cs="Times New Roman"/>
          <w:sz w:val="24"/>
          <w:szCs w:val="24"/>
        </w:rPr>
      </w:pPr>
    </w:p>
    <w:p w14:paraId="6533ABFF" w14:textId="77777777" w:rsidR="005A291E" w:rsidRDefault="005A291E" w:rsidP="00A8782B">
      <w:pPr>
        <w:spacing w:line="360" w:lineRule="auto"/>
        <w:ind w:left="720" w:hanging="720"/>
        <w:jc w:val="both"/>
        <w:rPr>
          <w:rFonts w:ascii="Times New Roman" w:hAnsi="Times New Roman" w:cs="Times New Roman"/>
          <w:sz w:val="24"/>
          <w:szCs w:val="24"/>
        </w:rPr>
      </w:pPr>
    </w:p>
    <w:p w14:paraId="0A5A3CAB" w14:textId="77777777" w:rsidR="005A291E" w:rsidRDefault="005A291E" w:rsidP="00A8782B">
      <w:pPr>
        <w:spacing w:line="360" w:lineRule="auto"/>
        <w:ind w:left="720" w:hanging="720"/>
        <w:jc w:val="both"/>
        <w:rPr>
          <w:rFonts w:ascii="Times New Roman" w:hAnsi="Times New Roman" w:cs="Times New Roman"/>
          <w:sz w:val="24"/>
          <w:szCs w:val="24"/>
        </w:rPr>
      </w:pPr>
    </w:p>
    <w:p w14:paraId="42D6163B" w14:textId="77777777" w:rsidR="005A291E" w:rsidRDefault="005A291E" w:rsidP="00A8782B">
      <w:pPr>
        <w:spacing w:line="360" w:lineRule="auto"/>
        <w:ind w:left="720" w:hanging="720"/>
        <w:jc w:val="both"/>
        <w:rPr>
          <w:rFonts w:ascii="Times New Roman" w:hAnsi="Times New Roman" w:cs="Times New Roman"/>
          <w:sz w:val="24"/>
          <w:szCs w:val="24"/>
        </w:rPr>
      </w:pPr>
    </w:p>
    <w:p w14:paraId="2A1FB26C" w14:textId="77777777" w:rsidR="00CF1123" w:rsidRPr="00CF1123" w:rsidRDefault="00CF1123" w:rsidP="00A8782B">
      <w:pPr>
        <w:spacing w:line="360" w:lineRule="auto"/>
        <w:ind w:left="720" w:hanging="720"/>
        <w:jc w:val="both"/>
        <w:rPr>
          <w:rFonts w:ascii="Times New Roman" w:hAnsi="Times New Roman" w:cs="Times New Roman"/>
          <w:sz w:val="24"/>
          <w:szCs w:val="24"/>
        </w:rPr>
      </w:pPr>
    </w:p>
    <w:sectPr w:rsidR="00CF1123" w:rsidRPr="00CF1123" w:rsidSect="00105EBB">
      <w:pgSz w:w="12240" w:h="15840"/>
      <w:pgMar w:top="1440" w:right="1440" w:bottom="1440" w:left="1440" w:header="720" w:footer="21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154FF" w14:textId="77777777" w:rsidR="00105EBB" w:rsidRDefault="00105EBB" w:rsidP="00105EBB">
      <w:pPr>
        <w:spacing w:after="0" w:line="240" w:lineRule="auto"/>
      </w:pPr>
      <w:r>
        <w:separator/>
      </w:r>
    </w:p>
  </w:endnote>
  <w:endnote w:type="continuationSeparator" w:id="0">
    <w:p w14:paraId="2C6B64C6" w14:textId="77777777" w:rsidR="00105EBB" w:rsidRDefault="00105EBB" w:rsidP="0010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panose1 w:val="020B0604020202020204"/>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7789"/>
      <w:docPartObj>
        <w:docPartGallery w:val="Page Numbers (Bottom of Page)"/>
        <w:docPartUnique/>
      </w:docPartObj>
    </w:sdtPr>
    <w:sdtEndPr/>
    <w:sdtContent>
      <w:p w14:paraId="0EBC8987" w14:textId="77777777" w:rsidR="00105EBB" w:rsidRDefault="00A8782B">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71F4A940" w14:textId="77777777" w:rsidR="00105EBB" w:rsidRDefault="00105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0B6CF" w14:textId="77777777" w:rsidR="00105EBB" w:rsidRDefault="00105EBB" w:rsidP="00105EBB">
      <w:pPr>
        <w:spacing w:after="0" w:line="240" w:lineRule="auto"/>
      </w:pPr>
      <w:r>
        <w:separator/>
      </w:r>
    </w:p>
  </w:footnote>
  <w:footnote w:type="continuationSeparator" w:id="0">
    <w:p w14:paraId="4308924E" w14:textId="77777777" w:rsidR="00105EBB" w:rsidRDefault="00105EBB" w:rsidP="00105E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74EA2"/>
    <w:multiLevelType w:val="multilevel"/>
    <w:tmpl w:val="D236E1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39057C"/>
    <w:multiLevelType w:val="hybridMultilevel"/>
    <w:tmpl w:val="3E6AE102"/>
    <w:lvl w:ilvl="0" w:tplc="AB042F2E">
      <w:start w:val="1"/>
      <w:numFmt w:val="bullet"/>
      <w:lvlText w:val=""/>
      <w:lvlJc w:val="left"/>
      <w:pPr>
        <w:tabs>
          <w:tab w:val="num" w:pos="720"/>
        </w:tabs>
        <w:ind w:left="720" w:hanging="360"/>
      </w:pPr>
      <w:rPr>
        <w:rFonts w:ascii="Wingdings" w:hAnsi="Wingdings" w:hint="default"/>
      </w:rPr>
    </w:lvl>
    <w:lvl w:ilvl="1" w:tplc="54720DB2" w:tentative="1">
      <w:start w:val="1"/>
      <w:numFmt w:val="bullet"/>
      <w:lvlText w:val=""/>
      <w:lvlJc w:val="left"/>
      <w:pPr>
        <w:tabs>
          <w:tab w:val="num" w:pos="1440"/>
        </w:tabs>
        <w:ind w:left="1440" w:hanging="360"/>
      </w:pPr>
      <w:rPr>
        <w:rFonts w:ascii="Wingdings" w:hAnsi="Wingdings" w:hint="default"/>
      </w:rPr>
    </w:lvl>
    <w:lvl w:ilvl="2" w:tplc="B22E1DF2" w:tentative="1">
      <w:start w:val="1"/>
      <w:numFmt w:val="bullet"/>
      <w:lvlText w:val=""/>
      <w:lvlJc w:val="left"/>
      <w:pPr>
        <w:tabs>
          <w:tab w:val="num" w:pos="2160"/>
        </w:tabs>
        <w:ind w:left="2160" w:hanging="360"/>
      </w:pPr>
      <w:rPr>
        <w:rFonts w:ascii="Wingdings" w:hAnsi="Wingdings" w:hint="default"/>
      </w:rPr>
    </w:lvl>
    <w:lvl w:ilvl="3" w:tplc="31364FE2" w:tentative="1">
      <w:start w:val="1"/>
      <w:numFmt w:val="bullet"/>
      <w:lvlText w:val=""/>
      <w:lvlJc w:val="left"/>
      <w:pPr>
        <w:tabs>
          <w:tab w:val="num" w:pos="2880"/>
        </w:tabs>
        <w:ind w:left="2880" w:hanging="360"/>
      </w:pPr>
      <w:rPr>
        <w:rFonts w:ascii="Wingdings" w:hAnsi="Wingdings" w:hint="default"/>
      </w:rPr>
    </w:lvl>
    <w:lvl w:ilvl="4" w:tplc="25AEFAB4" w:tentative="1">
      <w:start w:val="1"/>
      <w:numFmt w:val="bullet"/>
      <w:lvlText w:val=""/>
      <w:lvlJc w:val="left"/>
      <w:pPr>
        <w:tabs>
          <w:tab w:val="num" w:pos="3600"/>
        </w:tabs>
        <w:ind w:left="3600" w:hanging="360"/>
      </w:pPr>
      <w:rPr>
        <w:rFonts w:ascii="Wingdings" w:hAnsi="Wingdings" w:hint="default"/>
      </w:rPr>
    </w:lvl>
    <w:lvl w:ilvl="5" w:tplc="54301980" w:tentative="1">
      <w:start w:val="1"/>
      <w:numFmt w:val="bullet"/>
      <w:lvlText w:val=""/>
      <w:lvlJc w:val="left"/>
      <w:pPr>
        <w:tabs>
          <w:tab w:val="num" w:pos="4320"/>
        </w:tabs>
        <w:ind w:left="4320" w:hanging="360"/>
      </w:pPr>
      <w:rPr>
        <w:rFonts w:ascii="Wingdings" w:hAnsi="Wingdings" w:hint="default"/>
      </w:rPr>
    </w:lvl>
    <w:lvl w:ilvl="6" w:tplc="C9B023A6" w:tentative="1">
      <w:start w:val="1"/>
      <w:numFmt w:val="bullet"/>
      <w:lvlText w:val=""/>
      <w:lvlJc w:val="left"/>
      <w:pPr>
        <w:tabs>
          <w:tab w:val="num" w:pos="5040"/>
        </w:tabs>
        <w:ind w:left="5040" w:hanging="360"/>
      </w:pPr>
      <w:rPr>
        <w:rFonts w:ascii="Wingdings" w:hAnsi="Wingdings" w:hint="default"/>
      </w:rPr>
    </w:lvl>
    <w:lvl w:ilvl="7" w:tplc="191A760A" w:tentative="1">
      <w:start w:val="1"/>
      <w:numFmt w:val="bullet"/>
      <w:lvlText w:val=""/>
      <w:lvlJc w:val="left"/>
      <w:pPr>
        <w:tabs>
          <w:tab w:val="num" w:pos="5760"/>
        </w:tabs>
        <w:ind w:left="5760" w:hanging="360"/>
      </w:pPr>
      <w:rPr>
        <w:rFonts w:ascii="Wingdings" w:hAnsi="Wingdings" w:hint="default"/>
      </w:rPr>
    </w:lvl>
    <w:lvl w:ilvl="8" w:tplc="F41436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2D0C95"/>
    <w:multiLevelType w:val="hybridMultilevel"/>
    <w:tmpl w:val="BB3C8294"/>
    <w:lvl w:ilvl="0" w:tplc="FEB87240">
      <w:start w:val="1"/>
      <w:numFmt w:val="bullet"/>
      <w:lvlText w:val=""/>
      <w:lvlJc w:val="left"/>
      <w:pPr>
        <w:tabs>
          <w:tab w:val="num" w:pos="720"/>
        </w:tabs>
        <w:ind w:left="720" w:hanging="360"/>
      </w:pPr>
      <w:rPr>
        <w:rFonts w:ascii="Wingdings" w:hAnsi="Wingdings" w:hint="default"/>
      </w:rPr>
    </w:lvl>
    <w:lvl w:ilvl="1" w:tplc="5B065628" w:tentative="1">
      <w:start w:val="1"/>
      <w:numFmt w:val="bullet"/>
      <w:lvlText w:val=""/>
      <w:lvlJc w:val="left"/>
      <w:pPr>
        <w:tabs>
          <w:tab w:val="num" w:pos="1440"/>
        </w:tabs>
        <w:ind w:left="1440" w:hanging="360"/>
      </w:pPr>
      <w:rPr>
        <w:rFonts w:ascii="Wingdings" w:hAnsi="Wingdings" w:hint="default"/>
      </w:rPr>
    </w:lvl>
    <w:lvl w:ilvl="2" w:tplc="AC744802" w:tentative="1">
      <w:start w:val="1"/>
      <w:numFmt w:val="bullet"/>
      <w:lvlText w:val=""/>
      <w:lvlJc w:val="left"/>
      <w:pPr>
        <w:tabs>
          <w:tab w:val="num" w:pos="2160"/>
        </w:tabs>
        <w:ind w:left="2160" w:hanging="360"/>
      </w:pPr>
      <w:rPr>
        <w:rFonts w:ascii="Wingdings" w:hAnsi="Wingdings" w:hint="default"/>
      </w:rPr>
    </w:lvl>
    <w:lvl w:ilvl="3" w:tplc="FFBECF5E" w:tentative="1">
      <w:start w:val="1"/>
      <w:numFmt w:val="bullet"/>
      <w:lvlText w:val=""/>
      <w:lvlJc w:val="left"/>
      <w:pPr>
        <w:tabs>
          <w:tab w:val="num" w:pos="2880"/>
        </w:tabs>
        <w:ind w:left="2880" w:hanging="360"/>
      </w:pPr>
      <w:rPr>
        <w:rFonts w:ascii="Wingdings" w:hAnsi="Wingdings" w:hint="default"/>
      </w:rPr>
    </w:lvl>
    <w:lvl w:ilvl="4" w:tplc="EEA86352" w:tentative="1">
      <w:start w:val="1"/>
      <w:numFmt w:val="bullet"/>
      <w:lvlText w:val=""/>
      <w:lvlJc w:val="left"/>
      <w:pPr>
        <w:tabs>
          <w:tab w:val="num" w:pos="3600"/>
        </w:tabs>
        <w:ind w:left="3600" w:hanging="360"/>
      </w:pPr>
      <w:rPr>
        <w:rFonts w:ascii="Wingdings" w:hAnsi="Wingdings" w:hint="default"/>
      </w:rPr>
    </w:lvl>
    <w:lvl w:ilvl="5" w:tplc="B51A4A8A" w:tentative="1">
      <w:start w:val="1"/>
      <w:numFmt w:val="bullet"/>
      <w:lvlText w:val=""/>
      <w:lvlJc w:val="left"/>
      <w:pPr>
        <w:tabs>
          <w:tab w:val="num" w:pos="4320"/>
        </w:tabs>
        <w:ind w:left="4320" w:hanging="360"/>
      </w:pPr>
      <w:rPr>
        <w:rFonts w:ascii="Wingdings" w:hAnsi="Wingdings" w:hint="default"/>
      </w:rPr>
    </w:lvl>
    <w:lvl w:ilvl="6" w:tplc="EF7C12E4" w:tentative="1">
      <w:start w:val="1"/>
      <w:numFmt w:val="bullet"/>
      <w:lvlText w:val=""/>
      <w:lvlJc w:val="left"/>
      <w:pPr>
        <w:tabs>
          <w:tab w:val="num" w:pos="5040"/>
        </w:tabs>
        <w:ind w:left="5040" w:hanging="360"/>
      </w:pPr>
      <w:rPr>
        <w:rFonts w:ascii="Wingdings" w:hAnsi="Wingdings" w:hint="default"/>
      </w:rPr>
    </w:lvl>
    <w:lvl w:ilvl="7" w:tplc="36384B54" w:tentative="1">
      <w:start w:val="1"/>
      <w:numFmt w:val="bullet"/>
      <w:lvlText w:val=""/>
      <w:lvlJc w:val="left"/>
      <w:pPr>
        <w:tabs>
          <w:tab w:val="num" w:pos="5760"/>
        </w:tabs>
        <w:ind w:left="5760" w:hanging="360"/>
      </w:pPr>
      <w:rPr>
        <w:rFonts w:ascii="Wingdings" w:hAnsi="Wingdings" w:hint="default"/>
      </w:rPr>
    </w:lvl>
    <w:lvl w:ilvl="8" w:tplc="46C6AA4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9B490A"/>
    <w:multiLevelType w:val="multilevel"/>
    <w:tmpl w:val="8162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87A99"/>
    <w:multiLevelType w:val="multilevel"/>
    <w:tmpl w:val="329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A83435"/>
    <w:multiLevelType w:val="multilevel"/>
    <w:tmpl w:val="0DF6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00DBC"/>
    <w:multiLevelType w:val="multilevel"/>
    <w:tmpl w:val="2424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C86ADA"/>
    <w:multiLevelType w:val="hybridMultilevel"/>
    <w:tmpl w:val="D4B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D6A5E6A"/>
    <w:multiLevelType w:val="multilevel"/>
    <w:tmpl w:val="9E6E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CE4C78"/>
    <w:multiLevelType w:val="multilevel"/>
    <w:tmpl w:val="CEC8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4A1B23"/>
    <w:multiLevelType w:val="multilevel"/>
    <w:tmpl w:val="7006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BA1525"/>
    <w:multiLevelType w:val="hybridMultilevel"/>
    <w:tmpl w:val="BB1C99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F12017"/>
    <w:multiLevelType w:val="multilevel"/>
    <w:tmpl w:val="B44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E967A1"/>
    <w:multiLevelType w:val="multilevel"/>
    <w:tmpl w:val="8C4485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4A6E1F"/>
    <w:multiLevelType w:val="multilevel"/>
    <w:tmpl w:val="EF90E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8D606D"/>
    <w:multiLevelType w:val="hybridMultilevel"/>
    <w:tmpl w:val="ECD2EE3A"/>
    <w:lvl w:ilvl="0" w:tplc="CC6E4618">
      <w:start w:val="1"/>
      <w:numFmt w:val="bullet"/>
      <w:lvlText w:val=""/>
      <w:lvlJc w:val="left"/>
      <w:pPr>
        <w:tabs>
          <w:tab w:val="num" w:pos="720"/>
        </w:tabs>
        <w:ind w:left="720" w:hanging="360"/>
      </w:pPr>
      <w:rPr>
        <w:rFonts w:ascii="Wingdings" w:hAnsi="Wingdings" w:hint="default"/>
      </w:rPr>
    </w:lvl>
    <w:lvl w:ilvl="1" w:tplc="643A642A" w:tentative="1">
      <w:start w:val="1"/>
      <w:numFmt w:val="bullet"/>
      <w:lvlText w:val=""/>
      <w:lvlJc w:val="left"/>
      <w:pPr>
        <w:tabs>
          <w:tab w:val="num" w:pos="1440"/>
        </w:tabs>
        <w:ind w:left="1440" w:hanging="360"/>
      </w:pPr>
      <w:rPr>
        <w:rFonts w:ascii="Wingdings" w:hAnsi="Wingdings" w:hint="default"/>
      </w:rPr>
    </w:lvl>
    <w:lvl w:ilvl="2" w:tplc="F3AEFA6E" w:tentative="1">
      <w:start w:val="1"/>
      <w:numFmt w:val="bullet"/>
      <w:lvlText w:val=""/>
      <w:lvlJc w:val="left"/>
      <w:pPr>
        <w:tabs>
          <w:tab w:val="num" w:pos="2160"/>
        </w:tabs>
        <w:ind w:left="2160" w:hanging="360"/>
      </w:pPr>
      <w:rPr>
        <w:rFonts w:ascii="Wingdings" w:hAnsi="Wingdings" w:hint="default"/>
      </w:rPr>
    </w:lvl>
    <w:lvl w:ilvl="3" w:tplc="D1C28F68" w:tentative="1">
      <w:start w:val="1"/>
      <w:numFmt w:val="bullet"/>
      <w:lvlText w:val=""/>
      <w:lvlJc w:val="left"/>
      <w:pPr>
        <w:tabs>
          <w:tab w:val="num" w:pos="2880"/>
        </w:tabs>
        <w:ind w:left="2880" w:hanging="360"/>
      </w:pPr>
      <w:rPr>
        <w:rFonts w:ascii="Wingdings" w:hAnsi="Wingdings" w:hint="default"/>
      </w:rPr>
    </w:lvl>
    <w:lvl w:ilvl="4" w:tplc="EA86CA5A" w:tentative="1">
      <w:start w:val="1"/>
      <w:numFmt w:val="bullet"/>
      <w:lvlText w:val=""/>
      <w:lvlJc w:val="left"/>
      <w:pPr>
        <w:tabs>
          <w:tab w:val="num" w:pos="3600"/>
        </w:tabs>
        <w:ind w:left="3600" w:hanging="360"/>
      </w:pPr>
      <w:rPr>
        <w:rFonts w:ascii="Wingdings" w:hAnsi="Wingdings" w:hint="default"/>
      </w:rPr>
    </w:lvl>
    <w:lvl w:ilvl="5" w:tplc="881C3790" w:tentative="1">
      <w:start w:val="1"/>
      <w:numFmt w:val="bullet"/>
      <w:lvlText w:val=""/>
      <w:lvlJc w:val="left"/>
      <w:pPr>
        <w:tabs>
          <w:tab w:val="num" w:pos="4320"/>
        </w:tabs>
        <w:ind w:left="4320" w:hanging="360"/>
      </w:pPr>
      <w:rPr>
        <w:rFonts w:ascii="Wingdings" w:hAnsi="Wingdings" w:hint="default"/>
      </w:rPr>
    </w:lvl>
    <w:lvl w:ilvl="6" w:tplc="E0244816" w:tentative="1">
      <w:start w:val="1"/>
      <w:numFmt w:val="bullet"/>
      <w:lvlText w:val=""/>
      <w:lvlJc w:val="left"/>
      <w:pPr>
        <w:tabs>
          <w:tab w:val="num" w:pos="5040"/>
        </w:tabs>
        <w:ind w:left="5040" w:hanging="360"/>
      </w:pPr>
      <w:rPr>
        <w:rFonts w:ascii="Wingdings" w:hAnsi="Wingdings" w:hint="default"/>
      </w:rPr>
    </w:lvl>
    <w:lvl w:ilvl="7" w:tplc="E3D64472" w:tentative="1">
      <w:start w:val="1"/>
      <w:numFmt w:val="bullet"/>
      <w:lvlText w:val=""/>
      <w:lvlJc w:val="left"/>
      <w:pPr>
        <w:tabs>
          <w:tab w:val="num" w:pos="5760"/>
        </w:tabs>
        <w:ind w:left="5760" w:hanging="360"/>
      </w:pPr>
      <w:rPr>
        <w:rFonts w:ascii="Wingdings" w:hAnsi="Wingdings" w:hint="default"/>
      </w:rPr>
    </w:lvl>
    <w:lvl w:ilvl="8" w:tplc="3B0CA39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03675E"/>
    <w:multiLevelType w:val="hybridMultilevel"/>
    <w:tmpl w:val="85C42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3A17D4F"/>
    <w:multiLevelType w:val="multilevel"/>
    <w:tmpl w:val="4032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B6BFE"/>
    <w:multiLevelType w:val="hybridMultilevel"/>
    <w:tmpl w:val="59E63CC6"/>
    <w:lvl w:ilvl="0" w:tplc="E462169A">
      <w:start w:val="1"/>
      <w:numFmt w:val="lowerRoman"/>
      <w:lvlText w:val="%1."/>
      <w:lvlJc w:val="right"/>
      <w:pPr>
        <w:tabs>
          <w:tab w:val="num" w:pos="720"/>
        </w:tabs>
        <w:ind w:left="720" w:hanging="360"/>
      </w:pPr>
    </w:lvl>
    <w:lvl w:ilvl="1" w:tplc="8CFAFC28" w:tentative="1">
      <w:start w:val="1"/>
      <w:numFmt w:val="lowerRoman"/>
      <w:lvlText w:val="%2."/>
      <w:lvlJc w:val="right"/>
      <w:pPr>
        <w:tabs>
          <w:tab w:val="num" w:pos="1440"/>
        </w:tabs>
        <w:ind w:left="1440" w:hanging="360"/>
      </w:pPr>
    </w:lvl>
    <w:lvl w:ilvl="2" w:tplc="256E3944" w:tentative="1">
      <w:start w:val="1"/>
      <w:numFmt w:val="lowerRoman"/>
      <w:lvlText w:val="%3."/>
      <w:lvlJc w:val="right"/>
      <w:pPr>
        <w:tabs>
          <w:tab w:val="num" w:pos="2160"/>
        </w:tabs>
        <w:ind w:left="2160" w:hanging="360"/>
      </w:pPr>
    </w:lvl>
    <w:lvl w:ilvl="3" w:tplc="5ADE72FA" w:tentative="1">
      <w:start w:val="1"/>
      <w:numFmt w:val="lowerRoman"/>
      <w:lvlText w:val="%4."/>
      <w:lvlJc w:val="right"/>
      <w:pPr>
        <w:tabs>
          <w:tab w:val="num" w:pos="2880"/>
        </w:tabs>
        <w:ind w:left="2880" w:hanging="360"/>
      </w:pPr>
    </w:lvl>
    <w:lvl w:ilvl="4" w:tplc="8426238C" w:tentative="1">
      <w:start w:val="1"/>
      <w:numFmt w:val="lowerRoman"/>
      <w:lvlText w:val="%5."/>
      <w:lvlJc w:val="right"/>
      <w:pPr>
        <w:tabs>
          <w:tab w:val="num" w:pos="3600"/>
        </w:tabs>
        <w:ind w:left="3600" w:hanging="360"/>
      </w:pPr>
    </w:lvl>
    <w:lvl w:ilvl="5" w:tplc="FA0AEDB0" w:tentative="1">
      <w:start w:val="1"/>
      <w:numFmt w:val="lowerRoman"/>
      <w:lvlText w:val="%6."/>
      <w:lvlJc w:val="right"/>
      <w:pPr>
        <w:tabs>
          <w:tab w:val="num" w:pos="4320"/>
        </w:tabs>
        <w:ind w:left="4320" w:hanging="360"/>
      </w:pPr>
    </w:lvl>
    <w:lvl w:ilvl="6" w:tplc="216EFFAE" w:tentative="1">
      <w:start w:val="1"/>
      <w:numFmt w:val="lowerRoman"/>
      <w:lvlText w:val="%7."/>
      <w:lvlJc w:val="right"/>
      <w:pPr>
        <w:tabs>
          <w:tab w:val="num" w:pos="5040"/>
        </w:tabs>
        <w:ind w:left="5040" w:hanging="360"/>
      </w:pPr>
    </w:lvl>
    <w:lvl w:ilvl="7" w:tplc="6164A3DA" w:tentative="1">
      <w:start w:val="1"/>
      <w:numFmt w:val="lowerRoman"/>
      <w:lvlText w:val="%8."/>
      <w:lvlJc w:val="right"/>
      <w:pPr>
        <w:tabs>
          <w:tab w:val="num" w:pos="5760"/>
        </w:tabs>
        <w:ind w:left="5760" w:hanging="360"/>
      </w:pPr>
    </w:lvl>
    <w:lvl w:ilvl="8" w:tplc="8EA4D470" w:tentative="1">
      <w:start w:val="1"/>
      <w:numFmt w:val="lowerRoman"/>
      <w:lvlText w:val="%9."/>
      <w:lvlJc w:val="right"/>
      <w:pPr>
        <w:tabs>
          <w:tab w:val="num" w:pos="6480"/>
        </w:tabs>
        <w:ind w:left="6480" w:hanging="360"/>
      </w:pPr>
    </w:lvl>
  </w:abstractNum>
  <w:abstractNum w:abstractNumId="20" w15:restartNumberingAfterBreak="0">
    <w:nsid w:val="54E75BC5"/>
    <w:multiLevelType w:val="multilevel"/>
    <w:tmpl w:val="D64A7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7D2782"/>
    <w:multiLevelType w:val="multilevel"/>
    <w:tmpl w:val="C7F20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242F28"/>
    <w:multiLevelType w:val="hybridMultilevel"/>
    <w:tmpl w:val="B058C3D0"/>
    <w:lvl w:ilvl="0" w:tplc="BFDCE880">
      <w:start w:val="1"/>
      <w:numFmt w:val="bullet"/>
      <w:lvlText w:val="•"/>
      <w:lvlJc w:val="left"/>
      <w:pPr>
        <w:tabs>
          <w:tab w:val="num" w:pos="720"/>
        </w:tabs>
        <w:ind w:left="720" w:hanging="360"/>
      </w:pPr>
      <w:rPr>
        <w:rFonts w:ascii="Arial" w:hAnsi="Arial" w:hint="default"/>
      </w:rPr>
    </w:lvl>
    <w:lvl w:ilvl="1" w:tplc="FCD87DA2" w:tentative="1">
      <w:start w:val="1"/>
      <w:numFmt w:val="bullet"/>
      <w:lvlText w:val="•"/>
      <w:lvlJc w:val="left"/>
      <w:pPr>
        <w:tabs>
          <w:tab w:val="num" w:pos="1440"/>
        </w:tabs>
        <w:ind w:left="1440" w:hanging="360"/>
      </w:pPr>
      <w:rPr>
        <w:rFonts w:ascii="Arial" w:hAnsi="Arial" w:hint="default"/>
      </w:rPr>
    </w:lvl>
    <w:lvl w:ilvl="2" w:tplc="4B5806F6" w:tentative="1">
      <w:start w:val="1"/>
      <w:numFmt w:val="bullet"/>
      <w:lvlText w:val="•"/>
      <w:lvlJc w:val="left"/>
      <w:pPr>
        <w:tabs>
          <w:tab w:val="num" w:pos="2160"/>
        </w:tabs>
        <w:ind w:left="2160" w:hanging="360"/>
      </w:pPr>
      <w:rPr>
        <w:rFonts w:ascii="Arial" w:hAnsi="Arial" w:hint="default"/>
      </w:rPr>
    </w:lvl>
    <w:lvl w:ilvl="3" w:tplc="89D8C414" w:tentative="1">
      <w:start w:val="1"/>
      <w:numFmt w:val="bullet"/>
      <w:lvlText w:val="•"/>
      <w:lvlJc w:val="left"/>
      <w:pPr>
        <w:tabs>
          <w:tab w:val="num" w:pos="2880"/>
        </w:tabs>
        <w:ind w:left="2880" w:hanging="360"/>
      </w:pPr>
      <w:rPr>
        <w:rFonts w:ascii="Arial" w:hAnsi="Arial" w:hint="default"/>
      </w:rPr>
    </w:lvl>
    <w:lvl w:ilvl="4" w:tplc="AA4837E4" w:tentative="1">
      <w:start w:val="1"/>
      <w:numFmt w:val="bullet"/>
      <w:lvlText w:val="•"/>
      <w:lvlJc w:val="left"/>
      <w:pPr>
        <w:tabs>
          <w:tab w:val="num" w:pos="3600"/>
        </w:tabs>
        <w:ind w:left="3600" w:hanging="360"/>
      </w:pPr>
      <w:rPr>
        <w:rFonts w:ascii="Arial" w:hAnsi="Arial" w:hint="default"/>
      </w:rPr>
    </w:lvl>
    <w:lvl w:ilvl="5" w:tplc="8F727964" w:tentative="1">
      <w:start w:val="1"/>
      <w:numFmt w:val="bullet"/>
      <w:lvlText w:val="•"/>
      <w:lvlJc w:val="left"/>
      <w:pPr>
        <w:tabs>
          <w:tab w:val="num" w:pos="4320"/>
        </w:tabs>
        <w:ind w:left="4320" w:hanging="360"/>
      </w:pPr>
      <w:rPr>
        <w:rFonts w:ascii="Arial" w:hAnsi="Arial" w:hint="default"/>
      </w:rPr>
    </w:lvl>
    <w:lvl w:ilvl="6" w:tplc="66BEE0A0" w:tentative="1">
      <w:start w:val="1"/>
      <w:numFmt w:val="bullet"/>
      <w:lvlText w:val="•"/>
      <w:lvlJc w:val="left"/>
      <w:pPr>
        <w:tabs>
          <w:tab w:val="num" w:pos="5040"/>
        </w:tabs>
        <w:ind w:left="5040" w:hanging="360"/>
      </w:pPr>
      <w:rPr>
        <w:rFonts w:ascii="Arial" w:hAnsi="Arial" w:hint="default"/>
      </w:rPr>
    </w:lvl>
    <w:lvl w:ilvl="7" w:tplc="1E0298D2" w:tentative="1">
      <w:start w:val="1"/>
      <w:numFmt w:val="bullet"/>
      <w:lvlText w:val="•"/>
      <w:lvlJc w:val="left"/>
      <w:pPr>
        <w:tabs>
          <w:tab w:val="num" w:pos="5760"/>
        </w:tabs>
        <w:ind w:left="5760" w:hanging="360"/>
      </w:pPr>
      <w:rPr>
        <w:rFonts w:ascii="Arial" w:hAnsi="Arial" w:hint="default"/>
      </w:rPr>
    </w:lvl>
    <w:lvl w:ilvl="8" w:tplc="535C7C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A07DB8"/>
    <w:multiLevelType w:val="multilevel"/>
    <w:tmpl w:val="8C30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024367"/>
    <w:multiLevelType w:val="multilevel"/>
    <w:tmpl w:val="F524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461F1E"/>
    <w:multiLevelType w:val="hybridMultilevel"/>
    <w:tmpl w:val="F23EC250"/>
    <w:lvl w:ilvl="0" w:tplc="E79E3638">
      <w:start w:val="1"/>
      <w:numFmt w:val="bullet"/>
      <w:lvlText w:val=""/>
      <w:lvlJc w:val="left"/>
      <w:pPr>
        <w:tabs>
          <w:tab w:val="num" w:pos="720"/>
        </w:tabs>
        <w:ind w:left="720" w:hanging="360"/>
      </w:pPr>
      <w:rPr>
        <w:rFonts w:ascii="Wingdings" w:hAnsi="Wingdings" w:hint="default"/>
      </w:rPr>
    </w:lvl>
    <w:lvl w:ilvl="1" w:tplc="7C2885C8" w:tentative="1">
      <w:start w:val="1"/>
      <w:numFmt w:val="bullet"/>
      <w:lvlText w:val=""/>
      <w:lvlJc w:val="left"/>
      <w:pPr>
        <w:tabs>
          <w:tab w:val="num" w:pos="1440"/>
        </w:tabs>
        <w:ind w:left="1440" w:hanging="360"/>
      </w:pPr>
      <w:rPr>
        <w:rFonts w:ascii="Wingdings" w:hAnsi="Wingdings" w:hint="default"/>
      </w:rPr>
    </w:lvl>
    <w:lvl w:ilvl="2" w:tplc="C16A8080" w:tentative="1">
      <w:start w:val="1"/>
      <w:numFmt w:val="bullet"/>
      <w:lvlText w:val=""/>
      <w:lvlJc w:val="left"/>
      <w:pPr>
        <w:tabs>
          <w:tab w:val="num" w:pos="2160"/>
        </w:tabs>
        <w:ind w:left="2160" w:hanging="360"/>
      </w:pPr>
      <w:rPr>
        <w:rFonts w:ascii="Wingdings" w:hAnsi="Wingdings" w:hint="default"/>
      </w:rPr>
    </w:lvl>
    <w:lvl w:ilvl="3" w:tplc="51082ECE" w:tentative="1">
      <w:start w:val="1"/>
      <w:numFmt w:val="bullet"/>
      <w:lvlText w:val=""/>
      <w:lvlJc w:val="left"/>
      <w:pPr>
        <w:tabs>
          <w:tab w:val="num" w:pos="2880"/>
        </w:tabs>
        <w:ind w:left="2880" w:hanging="360"/>
      </w:pPr>
      <w:rPr>
        <w:rFonts w:ascii="Wingdings" w:hAnsi="Wingdings" w:hint="default"/>
      </w:rPr>
    </w:lvl>
    <w:lvl w:ilvl="4" w:tplc="19AC28E6" w:tentative="1">
      <w:start w:val="1"/>
      <w:numFmt w:val="bullet"/>
      <w:lvlText w:val=""/>
      <w:lvlJc w:val="left"/>
      <w:pPr>
        <w:tabs>
          <w:tab w:val="num" w:pos="3600"/>
        </w:tabs>
        <w:ind w:left="3600" w:hanging="360"/>
      </w:pPr>
      <w:rPr>
        <w:rFonts w:ascii="Wingdings" w:hAnsi="Wingdings" w:hint="default"/>
      </w:rPr>
    </w:lvl>
    <w:lvl w:ilvl="5" w:tplc="6FC67334" w:tentative="1">
      <w:start w:val="1"/>
      <w:numFmt w:val="bullet"/>
      <w:lvlText w:val=""/>
      <w:lvlJc w:val="left"/>
      <w:pPr>
        <w:tabs>
          <w:tab w:val="num" w:pos="4320"/>
        </w:tabs>
        <w:ind w:left="4320" w:hanging="360"/>
      </w:pPr>
      <w:rPr>
        <w:rFonts w:ascii="Wingdings" w:hAnsi="Wingdings" w:hint="default"/>
      </w:rPr>
    </w:lvl>
    <w:lvl w:ilvl="6" w:tplc="F1088376" w:tentative="1">
      <w:start w:val="1"/>
      <w:numFmt w:val="bullet"/>
      <w:lvlText w:val=""/>
      <w:lvlJc w:val="left"/>
      <w:pPr>
        <w:tabs>
          <w:tab w:val="num" w:pos="5040"/>
        </w:tabs>
        <w:ind w:left="5040" w:hanging="360"/>
      </w:pPr>
      <w:rPr>
        <w:rFonts w:ascii="Wingdings" w:hAnsi="Wingdings" w:hint="default"/>
      </w:rPr>
    </w:lvl>
    <w:lvl w:ilvl="7" w:tplc="A46C55E6" w:tentative="1">
      <w:start w:val="1"/>
      <w:numFmt w:val="bullet"/>
      <w:lvlText w:val=""/>
      <w:lvlJc w:val="left"/>
      <w:pPr>
        <w:tabs>
          <w:tab w:val="num" w:pos="5760"/>
        </w:tabs>
        <w:ind w:left="5760" w:hanging="360"/>
      </w:pPr>
      <w:rPr>
        <w:rFonts w:ascii="Wingdings" w:hAnsi="Wingdings" w:hint="default"/>
      </w:rPr>
    </w:lvl>
    <w:lvl w:ilvl="8" w:tplc="CE148F3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55312"/>
    <w:multiLevelType w:val="multilevel"/>
    <w:tmpl w:val="55AE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ED4F9A"/>
    <w:multiLevelType w:val="multilevel"/>
    <w:tmpl w:val="0B72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471C04"/>
    <w:multiLevelType w:val="multilevel"/>
    <w:tmpl w:val="EF0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4273EE"/>
    <w:multiLevelType w:val="hybridMultilevel"/>
    <w:tmpl w:val="A8007F64"/>
    <w:lvl w:ilvl="0" w:tplc="B1CC8000">
      <w:start w:val="1"/>
      <w:numFmt w:val="bullet"/>
      <w:lvlText w:val="•"/>
      <w:lvlJc w:val="left"/>
      <w:pPr>
        <w:tabs>
          <w:tab w:val="num" w:pos="720"/>
        </w:tabs>
        <w:ind w:left="720" w:hanging="360"/>
      </w:pPr>
      <w:rPr>
        <w:rFonts w:ascii="Arial" w:hAnsi="Arial" w:hint="default"/>
      </w:rPr>
    </w:lvl>
    <w:lvl w:ilvl="1" w:tplc="20F6CCB4" w:tentative="1">
      <w:start w:val="1"/>
      <w:numFmt w:val="bullet"/>
      <w:lvlText w:val="•"/>
      <w:lvlJc w:val="left"/>
      <w:pPr>
        <w:tabs>
          <w:tab w:val="num" w:pos="1440"/>
        </w:tabs>
        <w:ind w:left="1440" w:hanging="360"/>
      </w:pPr>
      <w:rPr>
        <w:rFonts w:ascii="Arial" w:hAnsi="Arial" w:hint="default"/>
      </w:rPr>
    </w:lvl>
    <w:lvl w:ilvl="2" w:tplc="ABDC9836" w:tentative="1">
      <w:start w:val="1"/>
      <w:numFmt w:val="bullet"/>
      <w:lvlText w:val="•"/>
      <w:lvlJc w:val="left"/>
      <w:pPr>
        <w:tabs>
          <w:tab w:val="num" w:pos="2160"/>
        </w:tabs>
        <w:ind w:left="2160" w:hanging="360"/>
      </w:pPr>
      <w:rPr>
        <w:rFonts w:ascii="Arial" w:hAnsi="Arial" w:hint="default"/>
      </w:rPr>
    </w:lvl>
    <w:lvl w:ilvl="3" w:tplc="CA50FC04" w:tentative="1">
      <w:start w:val="1"/>
      <w:numFmt w:val="bullet"/>
      <w:lvlText w:val="•"/>
      <w:lvlJc w:val="left"/>
      <w:pPr>
        <w:tabs>
          <w:tab w:val="num" w:pos="2880"/>
        </w:tabs>
        <w:ind w:left="2880" w:hanging="360"/>
      </w:pPr>
      <w:rPr>
        <w:rFonts w:ascii="Arial" w:hAnsi="Arial" w:hint="default"/>
      </w:rPr>
    </w:lvl>
    <w:lvl w:ilvl="4" w:tplc="F002295A" w:tentative="1">
      <w:start w:val="1"/>
      <w:numFmt w:val="bullet"/>
      <w:lvlText w:val="•"/>
      <w:lvlJc w:val="left"/>
      <w:pPr>
        <w:tabs>
          <w:tab w:val="num" w:pos="3600"/>
        </w:tabs>
        <w:ind w:left="3600" w:hanging="360"/>
      </w:pPr>
      <w:rPr>
        <w:rFonts w:ascii="Arial" w:hAnsi="Arial" w:hint="default"/>
      </w:rPr>
    </w:lvl>
    <w:lvl w:ilvl="5" w:tplc="A7D87384" w:tentative="1">
      <w:start w:val="1"/>
      <w:numFmt w:val="bullet"/>
      <w:lvlText w:val="•"/>
      <w:lvlJc w:val="left"/>
      <w:pPr>
        <w:tabs>
          <w:tab w:val="num" w:pos="4320"/>
        </w:tabs>
        <w:ind w:left="4320" w:hanging="360"/>
      </w:pPr>
      <w:rPr>
        <w:rFonts w:ascii="Arial" w:hAnsi="Arial" w:hint="default"/>
      </w:rPr>
    </w:lvl>
    <w:lvl w:ilvl="6" w:tplc="24F08940" w:tentative="1">
      <w:start w:val="1"/>
      <w:numFmt w:val="bullet"/>
      <w:lvlText w:val="•"/>
      <w:lvlJc w:val="left"/>
      <w:pPr>
        <w:tabs>
          <w:tab w:val="num" w:pos="5040"/>
        </w:tabs>
        <w:ind w:left="5040" w:hanging="360"/>
      </w:pPr>
      <w:rPr>
        <w:rFonts w:ascii="Arial" w:hAnsi="Arial" w:hint="default"/>
      </w:rPr>
    </w:lvl>
    <w:lvl w:ilvl="7" w:tplc="C0A6140C" w:tentative="1">
      <w:start w:val="1"/>
      <w:numFmt w:val="bullet"/>
      <w:lvlText w:val="•"/>
      <w:lvlJc w:val="left"/>
      <w:pPr>
        <w:tabs>
          <w:tab w:val="num" w:pos="5760"/>
        </w:tabs>
        <w:ind w:left="5760" w:hanging="360"/>
      </w:pPr>
      <w:rPr>
        <w:rFonts w:ascii="Arial" w:hAnsi="Arial" w:hint="default"/>
      </w:rPr>
    </w:lvl>
    <w:lvl w:ilvl="8" w:tplc="6B201EDE" w:tentative="1">
      <w:start w:val="1"/>
      <w:numFmt w:val="bullet"/>
      <w:lvlText w:val="•"/>
      <w:lvlJc w:val="left"/>
      <w:pPr>
        <w:tabs>
          <w:tab w:val="num" w:pos="6480"/>
        </w:tabs>
        <w:ind w:left="6480" w:hanging="360"/>
      </w:pPr>
      <w:rPr>
        <w:rFonts w:ascii="Arial" w:hAnsi="Arial" w:hint="default"/>
      </w:rPr>
    </w:lvl>
  </w:abstractNum>
  <w:num w:numId="1" w16cid:durableId="31274378">
    <w:abstractNumId w:val="27"/>
  </w:num>
  <w:num w:numId="2" w16cid:durableId="932860830">
    <w:abstractNumId w:val="23"/>
  </w:num>
  <w:num w:numId="3" w16cid:durableId="1350252008">
    <w:abstractNumId w:val="9"/>
  </w:num>
  <w:num w:numId="4" w16cid:durableId="1953704781">
    <w:abstractNumId w:val="21"/>
  </w:num>
  <w:num w:numId="5" w16cid:durableId="1815680944">
    <w:abstractNumId w:val="10"/>
  </w:num>
  <w:num w:numId="6" w16cid:durableId="16395910">
    <w:abstractNumId w:val="5"/>
  </w:num>
  <w:num w:numId="7" w16cid:durableId="2107724563">
    <w:abstractNumId w:val="15"/>
  </w:num>
  <w:num w:numId="8" w16cid:durableId="1969700964">
    <w:abstractNumId w:val="18"/>
  </w:num>
  <w:num w:numId="9" w16cid:durableId="321743280">
    <w:abstractNumId w:val="28"/>
  </w:num>
  <w:num w:numId="10" w16cid:durableId="364867177">
    <w:abstractNumId w:val="11"/>
  </w:num>
  <w:num w:numId="11" w16cid:durableId="1361471599">
    <w:abstractNumId w:val="26"/>
  </w:num>
  <w:num w:numId="12" w16cid:durableId="244384744">
    <w:abstractNumId w:val="4"/>
  </w:num>
  <w:num w:numId="13" w16cid:durableId="1884293805">
    <w:abstractNumId w:val="7"/>
  </w:num>
  <w:num w:numId="14" w16cid:durableId="248347375">
    <w:abstractNumId w:val="16"/>
  </w:num>
  <w:num w:numId="15" w16cid:durableId="1338575214">
    <w:abstractNumId w:val="1"/>
  </w:num>
  <w:num w:numId="16" w16cid:durableId="291450801">
    <w:abstractNumId w:val="22"/>
  </w:num>
  <w:num w:numId="17" w16cid:durableId="481698749">
    <w:abstractNumId w:val="19"/>
  </w:num>
  <w:num w:numId="18" w16cid:durableId="1683556536">
    <w:abstractNumId w:val="29"/>
  </w:num>
  <w:num w:numId="19" w16cid:durableId="2081518931">
    <w:abstractNumId w:val="13"/>
  </w:num>
  <w:num w:numId="20" w16cid:durableId="148179188">
    <w:abstractNumId w:val="14"/>
  </w:num>
  <w:num w:numId="21" w16cid:durableId="1447847473">
    <w:abstractNumId w:val="20"/>
  </w:num>
  <w:num w:numId="22" w16cid:durableId="1088429387">
    <w:abstractNumId w:val="6"/>
  </w:num>
  <w:num w:numId="23" w16cid:durableId="830483475">
    <w:abstractNumId w:val="24"/>
  </w:num>
  <w:num w:numId="24" w16cid:durableId="1125269250">
    <w:abstractNumId w:val="25"/>
  </w:num>
  <w:num w:numId="25" w16cid:durableId="1548492535">
    <w:abstractNumId w:val="2"/>
  </w:num>
  <w:num w:numId="26" w16cid:durableId="1257178681">
    <w:abstractNumId w:val="0"/>
  </w:num>
  <w:num w:numId="27" w16cid:durableId="170803886">
    <w:abstractNumId w:val="3"/>
  </w:num>
  <w:num w:numId="28" w16cid:durableId="243346662">
    <w:abstractNumId w:val="8"/>
  </w:num>
  <w:num w:numId="29" w16cid:durableId="1795439581">
    <w:abstractNumId w:val="12"/>
  </w:num>
  <w:num w:numId="30" w16cid:durableId="20111335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123"/>
    <w:rsid w:val="0000665D"/>
    <w:rsid w:val="00011291"/>
    <w:rsid w:val="00021AE8"/>
    <w:rsid w:val="0003345E"/>
    <w:rsid w:val="000542E7"/>
    <w:rsid w:val="00066D85"/>
    <w:rsid w:val="00082254"/>
    <w:rsid w:val="000A1525"/>
    <w:rsid w:val="000F2251"/>
    <w:rsid w:val="00105EBB"/>
    <w:rsid w:val="001072A9"/>
    <w:rsid w:val="001166BC"/>
    <w:rsid w:val="00127AB2"/>
    <w:rsid w:val="00127AB3"/>
    <w:rsid w:val="00140329"/>
    <w:rsid w:val="001C1633"/>
    <w:rsid w:val="002100CD"/>
    <w:rsid w:val="00230A5B"/>
    <w:rsid w:val="00246197"/>
    <w:rsid w:val="00247BBA"/>
    <w:rsid w:val="002772AE"/>
    <w:rsid w:val="0028017F"/>
    <w:rsid w:val="00281A70"/>
    <w:rsid w:val="00282718"/>
    <w:rsid w:val="0028371D"/>
    <w:rsid w:val="00284496"/>
    <w:rsid w:val="0029002A"/>
    <w:rsid w:val="002C2A35"/>
    <w:rsid w:val="002C47C9"/>
    <w:rsid w:val="00311504"/>
    <w:rsid w:val="003314DD"/>
    <w:rsid w:val="00360F6B"/>
    <w:rsid w:val="003736E9"/>
    <w:rsid w:val="003A3E5B"/>
    <w:rsid w:val="003B7BB9"/>
    <w:rsid w:val="003C4AAE"/>
    <w:rsid w:val="00406DB0"/>
    <w:rsid w:val="00416A6D"/>
    <w:rsid w:val="00434215"/>
    <w:rsid w:val="00434C38"/>
    <w:rsid w:val="00440F28"/>
    <w:rsid w:val="0044259C"/>
    <w:rsid w:val="00442ED0"/>
    <w:rsid w:val="00456228"/>
    <w:rsid w:val="00457141"/>
    <w:rsid w:val="00463D2A"/>
    <w:rsid w:val="004709A9"/>
    <w:rsid w:val="0048087C"/>
    <w:rsid w:val="00481733"/>
    <w:rsid w:val="004946E5"/>
    <w:rsid w:val="004A0CCA"/>
    <w:rsid w:val="004A19A5"/>
    <w:rsid w:val="004B50D8"/>
    <w:rsid w:val="004B6432"/>
    <w:rsid w:val="004C4B81"/>
    <w:rsid w:val="00504B35"/>
    <w:rsid w:val="00524019"/>
    <w:rsid w:val="00552E7F"/>
    <w:rsid w:val="0056118E"/>
    <w:rsid w:val="00576867"/>
    <w:rsid w:val="0057756F"/>
    <w:rsid w:val="00581C33"/>
    <w:rsid w:val="005870D0"/>
    <w:rsid w:val="005A291E"/>
    <w:rsid w:val="005A2A62"/>
    <w:rsid w:val="005B1F34"/>
    <w:rsid w:val="005B711A"/>
    <w:rsid w:val="005E2D10"/>
    <w:rsid w:val="005E4F8E"/>
    <w:rsid w:val="005F3EEF"/>
    <w:rsid w:val="005F465B"/>
    <w:rsid w:val="005F58B9"/>
    <w:rsid w:val="00635F63"/>
    <w:rsid w:val="006675A8"/>
    <w:rsid w:val="0067482A"/>
    <w:rsid w:val="0068016F"/>
    <w:rsid w:val="006948BE"/>
    <w:rsid w:val="006E2DDB"/>
    <w:rsid w:val="006E38DF"/>
    <w:rsid w:val="007103F6"/>
    <w:rsid w:val="00720116"/>
    <w:rsid w:val="00754DC8"/>
    <w:rsid w:val="00777024"/>
    <w:rsid w:val="00785B37"/>
    <w:rsid w:val="007A31B4"/>
    <w:rsid w:val="007C23EE"/>
    <w:rsid w:val="00803B04"/>
    <w:rsid w:val="00807BEB"/>
    <w:rsid w:val="00816B84"/>
    <w:rsid w:val="0083086B"/>
    <w:rsid w:val="00836737"/>
    <w:rsid w:val="00891B86"/>
    <w:rsid w:val="00892040"/>
    <w:rsid w:val="008A5B2C"/>
    <w:rsid w:val="008C2625"/>
    <w:rsid w:val="008E5B5B"/>
    <w:rsid w:val="00917D4E"/>
    <w:rsid w:val="009437A6"/>
    <w:rsid w:val="00975966"/>
    <w:rsid w:val="009859FB"/>
    <w:rsid w:val="009E71E4"/>
    <w:rsid w:val="00A30A5F"/>
    <w:rsid w:val="00A3670D"/>
    <w:rsid w:val="00A4744A"/>
    <w:rsid w:val="00A5011D"/>
    <w:rsid w:val="00A8782B"/>
    <w:rsid w:val="00A923B7"/>
    <w:rsid w:val="00AF4EF7"/>
    <w:rsid w:val="00B10F6D"/>
    <w:rsid w:val="00B40B60"/>
    <w:rsid w:val="00B70D54"/>
    <w:rsid w:val="00BA0462"/>
    <w:rsid w:val="00BF1ADC"/>
    <w:rsid w:val="00C1161B"/>
    <w:rsid w:val="00C20D53"/>
    <w:rsid w:val="00C40F9A"/>
    <w:rsid w:val="00C8257F"/>
    <w:rsid w:val="00CB3C36"/>
    <w:rsid w:val="00CF1123"/>
    <w:rsid w:val="00D043DD"/>
    <w:rsid w:val="00D0700B"/>
    <w:rsid w:val="00D32553"/>
    <w:rsid w:val="00D611B0"/>
    <w:rsid w:val="00D96E10"/>
    <w:rsid w:val="00DA5807"/>
    <w:rsid w:val="00DD0497"/>
    <w:rsid w:val="00DE7364"/>
    <w:rsid w:val="00DF46BD"/>
    <w:rsid w:val="00E31078"/>
    <w:rsid w:val="00E33F48"/>
    <w:rsid w:val="00E413C3"/>
    <w:rsid w:val="00EB1C58"/>
    <w:rsid w:val="00EC0335"/>
    <w:rsid w:val="00EC18CB"/>
    <w:rsid w:val="00EC64BD"/>
    <w:rsid w:val="00EE561E"/>
    <w:rsid w:val="00F00D9B"/>
    <w:rsid w:val="00F50576"/>
    <w:rsid w:val="00F510C8"/>
    <w:rsid w:val="00F5140E"/>
    <w:rsid w:val="00FA4238"/>
    <w:rsid w:val="00FC2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33A272"/>
  <w15:docId w15:val="{DBD0A764-E3B4-8D4C-AD11-41B8A3B13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BEB"/>
  </w:style>
  <w:style w:type="paragraph" w:styleId="Heading1">
    <w:name w:val="heading 1"/>
    <w:basedOn w:val="Normal"/>
    <w:next w:val="Normal"/>
    <w:link w:val="Heading1Char"/>
    <w:uiPriority w:val="9"/>
    <w:qFormat/>
    <w:rsid w:val="00891B86"/>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45E"/>
    <w:rPr>
      <w:rFonts w:ascii="Tahoma" w:hAnsi="Tahoma" w:cs="Tahoma"/>
      <w:sz w:val="16"/>
      <w:szCs w:val="16"/>
    </w:rPr>
  </w:style>
  <w:style w:type="paragraph" w:styleId="ListParagraph">
    <w:name w:val="List Paragraph"/>
    <w:basedOn w:val="Normal"/>
    <w:uiPriority w:val="34"/>
    <w:qFormat/>
    <w:rsid w:val="00E413C3"/>
    <w:pPr>
      <w:ind w:left="720"/>
      <w:contextualSpacing/>
    </w:pPr>
  </w:style>
  <w:style w:type="character" w:customStyle="1" w:styleId="Heading1Char">
    <w:name w:val="Heading 1 Char"/>
    <w:basedOn w:val="DefaultParagraphFont"/>
    <w:link w:val="Heading1"/>
    <w:uiPriority w:val="9"/>
    <w:rsid w:val="00891B86"/>
    <w:rPr>
      <w:rFonts w:ascii="Times New Roman" w:eastAsiaTheme="majorEastAsia" w:hAnsi="Times New Roman" w:cstheme="majorBidi"/>
      <w:b/>
      <w:sz w:val="24"/>
      <w:szCs w:val="32"/>
    </w:rPr>
  </w:style>
  <w:style w:type="paragraph" w:styleId="NoSpacing">
    <w:name w:val="No Spacing"/>
    <w:uiPriority w:val="1"/>
    <w:qFormat/>
    <w:rsid w:val="00105EBB"/>
    <w:pPr>
      <w:spacing w:after="0" w:line="240" w:lineRule="auto"/>
    </w:pPr>
    <w:rPr>
      <w:rFonts w:ascii="Calibri" w:eastAsia="Calibri" w:hAnsi="Calibri"/>
      <w:lang w:val="en-GB"/>
    </w:rPr>
  </w:style>
  <w:style w:type="paragraph" w:styleId="Header">
    <w:name w:val="header"/>
    <w:basedOn w:val="Normal"/>
    <w:link w:val="HeaderChar"/>
    <w:uiPriority w:val="99"/>
    <w:semiHidden/>
    <w:unhideWhenUsed/>
    <w:rsid w:val="00105E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5EBB"/>
  </w:style>
  <w:style w:type="paragraph" w:styleId="Footer">
    <w:name w:val="footer"/>
    <w:basedOn w:val="Normal"/>
    <w:link w:val="FooterChar"/>
    <w:uiPriority w:val="99"/>
    <w:unhideWhenUsed/>
    <w:rsid w:val="00105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0522">
      <w:bodyDiv w:val="1"/>
      <w:marLeft w:val="0"/>
      <w:marRight w:val="0"/>
      <w:marTop w:val="0"/>
      <w:marBottom w:val="0"/>
      <w:divBdr>
        <w:top w:val="none" w:sz="0" w:space="0" w:color="auto"/>
        <w:left w:val="none" w:sz="0" w:space="0" w:color="auto"/>
        <w:bottom w:val="none" w:sz="0" w:space="0" w:color="auto"/>
        <w:right w:val="none" w:sz="0" w:space="0" w:color="auto"/>
      </w:divBdr>
      <w:divsChild>
        <w:div w:id="1073695892">
          <w:marLeft w:val="360"/>
          <w:marRight w:val="0"/>
          <w:marTop w:val="200"/>
          <w:marBottom w:val="0"/>
          <w:divBdr>
            <w:top w:val="none" w:sz="0" w:space="0" w:color="auto"/>
            <w:left w:val="none" w:sz="0" w:space="0" w:color="auto"/>
            <w:bottom w:val="none" w:sz="0" w:space="0" w:color="auto"/>
            <w:right w:val="none" w:sz="0" w:space="0" w:color="auto"/>
          </w:divBdr>
        </w:div>
        <w:div w:id="1905332682">
          <w:marLeft w:val="360"/>
          <w:marRight w:val="0"/>
          <w:marTop w:val="200"/>
          <w:marBottom w:val="0"/>
          <w:divBdr>
            <w:top w:val="none" w:sz="0" w:space="0" w:color="auto"/>
            <w:left w:val="none" w:sz="0" w:space="0" w:color="auto"/>
            <w:bottom w:val="none" w:sz="0" w:space="0" w:color="auto"/>
            <w:right w:val="none" w:sz="0" w:space="0" w:color="auto"/>
          </w:divBdr>
        </w:div>
        <w:div w:id="1952467746">
          <w:marLeft w:val="360"/>
          <w:marRight w:val="0"/>
          <w:marTop w:val="200"/>
          <w:marBottom w:val="0"/>
          <w:divBdr>
            <w:top w:val="none" w:sz="0" w:space="0" w:color="auto"/>
            <w:left w:val="none" w:sz="0" w:space="0" w:color="auto"/>
            <w:bottom w:val="none" w:sz="0" w:space="0" w:color="auto"/>
            <w:right w:val="none" w:sz="0" w:space="0" w:color="auto"/>
          </w:divBdr>
        </w:div>
        <w:div w:id="1931429840">
          <w:marLeft w:val="360"/>
          <w:marRight w:val="0"/>
          <w:marTop w:val="200"/>
          <w:marBottom w:val="0"/>
          <w:divBdr>
            <w:top w:val="none" w:sz="0" w:space="0" w:color="auto"/>
            <w:left w:val="none" w:sz="0" w:space="0" w:color="auto"/>
            <w:bottom w:val="none" w:sz="0" w:space="0" w:color="auto"/>
            <w:right w:val="none" w:sz="0" w:space="0" w:color="auto"/>
          </w:divBdr>
        </w:div>
      </w:divsChild>
    </w:div>
    <w:div w:id="219438139">
      <w:bodyDiv w:val="1"/>
      <w:marLeft w:val="0"/>
      <w:marRight w:val="0"/>
      <w:marTop w:val="0"/>
      <w:marBottom w:val="0"/>
      <w:divBdr>
        <w:top w:val="none" w:sz="0" w:space="0" w:color="auto"/>
        <w:left w:val="none" w:sz="0" w:space="0" w:color="auto"/>
        <w:bottom w:val="none" w:sz="0" w:space="0" w:color="auto"/>
        <w:right w:val="none" w:sz="0" w:space="0" w:color="auto"/>
      </w:divBdr>
    </w:div>
    <w:div w:id="545603818">
      <w:bodyDiv w:val="1"/>
      <w:marLeft w:val="0"/>
      <w:marRight w:val="0"/>
      <w:marTop w:val="0"/>
      <w:marBottom w:val="0"/>
      <w:divBdr>
        <w:top w:val="none" w:sz="0" w:space="0" w:color="auto"/>
        <w:left w:val="none" w:sz="0" w:space="0" w:color="auto"/>
        <w:bottom w:val="none" w:sz="0" w:space="0" w:color="auto"/>
        <w:right w:val="none" w:sz="0" w:space="0" w:color="auto"/>
      </w:divBdr>
      <w:divsChild>
        <w:div w:id="1531455103">
          <w:marLeft w:val="360"/>
          <w:marRight w:val="0"/>
          <w:marTop w:val="200"/>
          <w:marBottom w:val="0"/>
          <w:divBdr>
            <w:top w:val="none" w:sz="0" w:space="0" w:color="auto"/>
            <w:left w:val="none" w:sz="0" w:space="0" w:color="auto"/>
            <w:bottom w:val="none" w:sz="0" w:space="0" w:color="auto"/>
            <w:right w:val="none" w:sz="0" w:space="0" w:color="auto"/>
          </w:divBdr>
        </w:div>
        <w:div w:id="1808624817">
          <w:marLeft w:val="360"/>
          <w:marRight w:val="0"/>
          <w:marTop w:val="200"/>
          <w:marBottom w:val="0"/>
          <w:divBdr>
            <w:top w:val="none" w:sz="0" w:space="0" w:color="auto"/>
            <w:left w:val="none" w:sz="0" w:space="0" w:color="auto"/>
            <w:bottom w:val="none" w:sz="0" w:space="0" w:color="auto"/>
            <w:right w:val="none" w:sz="0" w:space="0" w:color="auto"/>
          </w:divBdr>
        </w:div>
        <w:div w:id="1819297431">
          <w:marLeft w:val="360"/>
          <w:marRight w:val="0"/>
          <w:marTop w:val="200"/>
          <w:marBottom w:val="0"/>
          <w:divBdr>
            <w:top w:val="none" w:sz="0" w:space="0" w:color="auto"/>
            <w:left w:val="none" w:sz="0" w:space="0" w:color="auto"/>
            <w:bottom w:val="none" w:sz="0" w:space="0" w:color="auto"/>
            <w:right w:val="none" w:sz="0" w:space="0" w:color="auto"/>
          </w:divBdr>
        </w:div>
        <w:div w:id="748893149">
          <w:marLeft w:val="360"/>
          <w:marRight w:val="0"/>
          <w:marTop w:val="200"/>
          <w:marBottom w:val="0"/>
          <w:divBdr>
            <w:top w:val="none" w:sz="0" w:space="0" w:color="auto"/>
            <w:left w:val="none" w:sz="0" w:space="0" w:color="auto"/>
            <w:bottom w:val="none" w:sz="0" w:space="0" w:color="auto"/>
            <w:right w:val="none" w:sz="0" w:space="0" w:color="auto"/>
          </w:divBdr>
        </w:div>
        <w:div w:id="1079790134">
          <w:marLeft w:val="360"/>
          <w:marRight w:val="0"/>
          <w:marTop w:val="200"/>
          <w:marBottom w:val="0"/>
          <w:divBdr>
            <w:top w:val="none" w:sz="0" w:space="0" w:color="auto"/>
            <w:left w:val="none" w:sz="0" w:space="0" w:color="auto"/>
            <w:bottom w:val="none" w:sz="0" w:space="0" w:color="auto"/>
            <w:right w:val="none" w:sz="0" w:space="0" w:color="auto"/>
          </w:divBdr>
        </w:div>
      </w:divsChild>
    </w:div>
    <w:div w:id="582375608">
      <w:bodyDiv w:val="1"/>
      <w:marLeft w:val="0"/>
      <w:marRight w:val="0"/>
      <w:marTop w:val="0"/>
      <w:marBottom w:val="0"/>
      <w:divBdr>
        <w:top w:val="none" w:sz="0" w:space="0" w:color="auto"/>
        <w:left w:val="none" w:sz="0" w:space="0" w:color="auto"/>
        <w:bottom w:val="none" w:sz="0" w:space="0" w:color="auto"/>
        <w:right w:val="none" w:sz="0" w:space="0" w:color="auto"/>
      </w:divBdr>
    </w:div>
    <w:div w:id="601498157">
      <w:bodyDiv w:val="1"/>
      <w:marLeft w:val="0"/>
      <w:marRight w:val="0"/>
      <w:marTop w:val="0"/>
      <w:marBottom w:val="0"/>
      <w:divBdr>
        <w:top w:val="none" w:sz="0" w:space="0" w:color="auto"/>
        <w:left w:val="none" w:sz="0" w:space="0" w:color="auto"/>
        <w:bottom w:val="none" w:sz="0" w:space="0" w:color="auto"/>
        <w:right w:val="none" w:sz="0" w:space="0" w:color="auto"/>
      </w:divBdr>
    </w:div>
    <w:div w:id="676149532">
      <w:bodyDiv w:val="1"/>
      <w:marLeft w:val="0"/>
      <w:marRight w:val="0"/>
      <w:marTop w:val="0"/>
      <w:marBottom w:val="0"/>
      <w:divBdr>
        <w:top w:val="none" w:sz="0" w:space="0" w:color="auto"/>
        <w:left w:val="none" w:sz="0" w:space="0" w:color="auto"/>
        <w:bottom w:val="none" w:sz="0" w:space="0" w:color="auto"/>
        <w:right w:val="none" w:sz="0" w:space="0" w:color="auto"/>
      </w:divBdr>
    </w:div>
    <w:div w:id="679501787">
      <w:bodyDiv w:val="1"/>
      <w:marLeft w:val="0"/>
      <w:marRight w:val="0"/>
      <w:marTop w:val="0"/>
      <w:marBottom w:val="0"/>
      <w:divBdr>
        <w:top w:val="none" w:sz="0" w:space="0" w:color="auto"/>
        <w:left w:val="none" w:sz="0" w:space="0" w:color="auto"/>
        <w:bottom w:val="none" w:sz="0" w:space="0" w:color="auto"/>
        <w:right w:val="none" w:sz="0" w:space="0" w:color="auto"/>
      </w:divBdr>
      <w:divsChild>
        <w:div w:id="1879001111">
          <w:marLeft w:val="360"/>
          <w:marRight w:val="0"/>
          <w:marTop w:val="200"/>
          <w:marBottom w:val="0"/>
          <w:divBdr>
            <w:top w:val="none" w:sz="0" w:space="0" w:color="auto"/>
            <w:left w:val="none" w:sz="0" w:space="0" w:color="auto"/>
            <w:bottom w:val="none" w:sz="0" w:space="0" w:color="auto"/>
            <w:right w:val="none" w:sz="0" w:space="0" w:color="auto"/>
          </w:divBdr>
        </w:div>
      </w:divsChild>
    </w:div>
    <w:div w:id="765467063">
      <w:bodyDiv w:val="1"/>
      <w:marLeft w:val="0"/>
      <w:marRight w:val="0"/>
      <w:marTop w:val="0"/>
      <w:marBottom w:val="0"/>
      <w:divBdr>
        <w:top w:val="none" w:sz="0" w:space="0" w:color="auto"/>
        <w:left w:val="none" w:sz="0" w:space="0" w:color="auto"/>
        <w:bottom w:val="none" w:sz="0" w:space="0" w:color="auto"/>
        <w:right w:val="none" w:sz="0" w:space="0" w:color="auto"/>
      </w:divBdr>
    </w:div>
    <w:div w:id="773481869">
      <w:bodyDiv w:val="1"/>
      <w:marLeft w:val="0"/>
      <w:marRight w:val="0"/>
      <w:marTop w:val="0"/>
      <w:marBottom w:val="0"/>
      <w:divBdr>
        <w:top w:val="none" w:sz="0" w:space="0" w:color="auto"/>
        <w:left w:val="none" w:sz="0" w:space="0" w:color="auto"/>
        <w:bottom w:val="none" w:sz="0" w:space="0" w:color="auto"/>
        <w:right w:val="none" w:sz="0" w:space="0" w:color="auto"/>
      </w:divBdr>
      <w:divsChild>
        <w:div w:id="1048995585">
          <w:marLeft w:val="360"/>
          <w:marRight w:val="0"/>
          <w:marTop w:val="200"/>
          <w:marBottom w:val="0"/>
          <w:divBdr>
            <w:top w:val="none" w:sz="0" w:space="0" w:color="auto"/>
            <w:left w:val="none" w:sz="0" w:space="0" w:color="auto"/>
            <w:bottom w:val="none" w:sz="0" w:space="0" w:color="auto"/>
            <w:right w:val="none" w:sz="0" w:space="0" w:color="auto"/>
          </w:divBdr>
        </w:div>
        <w:div w:id="642778390">
          <w:marLeft w:val="360"/>
          <w:marRight w:val="0"/>
          <w:marTop w:val="200"/>
          <w:marBottom w:val="0"/>
          <w:divBdr>
            <w:top w:val="none" w:sz="0" w:space="0" w:color="auto"/>
            <w:left w:val="none" w:sz="0" w:space="0" w:color="auto"/>
            <w:bottom w:val="none" w:sz="0" w:space="0" w:color="auto"/>
            <w:right w:val="none" w:sz="0" w:space="0" w:color="auto"/>
          </w:divBdr>
        </w:div>
        <w:div w:id="923564552">
          <w:marLeft w:val="360"/>
          <w:marRight w:val="0"/>
          <w:marTop w:val="200"/>
          <w:marBottom w:val="0"/>
          <w:divBdr>
            <w:top w:val="none" w:sz="0" w:space="0" w:color="auto"/>
            <w:left w:val="none" w:sz="0" w:space="0" w:color="auto"/>
            <w:bottom w:val="none" w:sz="0" w:space="0" w:color="auto"/>
            <w:right w:val="none" w:sz="0" w:space="0" w:color="auto"/>
          </w:divBdr>
        </w:div>
        <w:div w:id="651324980">
          <w:marLeft w:val="360"/>
          <w:marRight w:val="0"/>
          <w:marTop w:val="200"/>
          <w:marBottom w:val="0"/>
          <w:divBdr>
            <w:top w:val="none" w:sz="0" w:space="0" w:color="auto"/>
            <w:left w:val="none" w:sz="0" w:space="0" w:color="auto"/>
            <w:bottom w:val="none" w:sz="0" w:space="0" w:color="auto"/>
            <w:right w:val="none" w:sz="0" w:space="0" w:color="auto"/>
          </w:divBdr>
        </w:div>
        <w:div w:id="1999768378">
          <w:marLeft w:val="360"/>
          <w:marRight w:val="0"/>
          <w:marTop w:val="200"/>
          <w:marBottom w:val="0"/>
          <w:divBdr>
            <w:top w:val="none" w:sz="0" w:space="0" w:color="auto"/>
            <w:left w:val="none" w:sz="0" w:space="0" w:color="auto"/>
            <w:bottom w:val="none" w:sz="0" w:space="0" w:color="auto"/>
            <w:right w:val="none" w:sz="0" w:space="0" w:color="auto"/>
          </w:divBdr>
        </w:div>
      </w:divsChild>
    </w:div>
    <w:div w:id="787892107">
      <w:bodyDiv w:val="1"/>
      <w:marLeft w:val="0"/>
      <w:marRight w:val="0"/>
      <w:marTop w:val="0"/>
      <w:marBottom w:val="0"/>
      <w:divBdr>
        <w:top w:val="none" w:sz="0" w:space="0" w:color="auto"/>
        <w:left w:val="none" w:sz="0" w:space="0" w:color="auto"/>
        <w:bottom w:val="none" w:sz="0" w:space="0" w:color="auto"/>
        <w:right w:val="none" w:sz="0" w:space="0" w:color="auto"/>
      </w:divBdr>
      <w:divsChild>
        <w:div w:id="714700284">
          <w:marLeft w:val="360"/>
          <w:marRight w:val="0"/>
          <w:marTop w:val="200"/>
          <w:marBottom w:val="0"/>
          <w:divBdr>
            <w:top w:val="none" w:sz="0" w:space="0" w:color="auto"/>
            <w:left w:val="none" w:sz="0" w:space="0" w:color="auto"/>
            <w:bottom w:val="none" w:sz="0" w:space="0" w:color="auto"/>
            <w:right w:val="none" w:sz="0" w:space="0" w:color="auto"/>
          </w:divBdr>
        </w:div>
        <w:div w:id="2137065717">
          <w:marLeft w:val="360"/>
          <w:marRight w:val="0"/>
          <w:marTop w:val="200"/>
          <w:marBottom w:val="0"/>
          <w:divBdr>
            <w:top w:val="none" w:sz="0" w:space="0" w:color="auto"/>
            <w:left w:val="none" w:sz="0" w:space="0" w:color="auto"/>
            <w:bottom w:val="none" w:sz="0" w:space="0" w:color="auto"/>
            <w:right w:val="none" w:sz="0" w:space="0" w:color="auto"/>
          </w:divBdr>
        </w:div>
      </w:divsChild>
    </w:div>
    <w:div w:id="838621350">
      <w:bodyDiv w:val="1"/>
      <w:marLeft w:val="0"/>
      <w:marRight w:val="0"/>
      <w:marTop w:val="0"/>
      <w:marBottom w:val="0"/>
      <w:divBdr>
        <w:top w:val="none" w:sz="0" w:space="0" w:color="auto"/>
        <w:left w:val="none" w:sz="0" w:space="0" w:color="auto"/>
        <w:bottom w:val="none" w:sz="0" w:space="0" w:color="auto"/>
        <w:right w:val="none" w:sz="0" w:space="0" w:color="auto"/>
      </w:divBdr>
    </w:div>
    <w:div w:id="918754700">
      <w:bodyDiv w:val="1"/>
      <w:marLeft w:val="0"/>
      <w:marRight w:val="0"/>
      <w:marTop w:val="0"/>
      <w:marBottom w:val="0"/>
      <w:divBdr>
        <w:top w:val="none" w:sz="0" w:space="0" w:color="auto"/>
        <w:left w:val="none" w:sz="0" w:space="0" w:color="auto"/>
        <w:bottom w:val="none" w:sz="0" w:space="0" w:color="auto"/>
        <w:right w:val="none" w:sz="0" w:space="0" w:color="auto"/>
      </w:divBdr>
    </w:div>
    <w:div w:id="1061447011">
      <w:bodyDiv w:val="1"/>
      <w:marLeft w:val="0"/>
      <w:marRight w:val="0"/>
      <w:marTop w:val="0"/>
      <w:marBottom w:val="0"/>
      <w:divBdr>
        <w:top w:val="none" w:sz="0" w:space="0" w:color="auto"/>
        <w:left w:val="none" w:sz="0" w:space="0" w:color="auto"/>
        <w:bottom w:val="none" w:sz="0" w:space="0" w:color="auto"/>
        <w:right w:val="none" w:sz="0" w:space="0" w:color="auto"/>
      </w:divBdr>
    </w:div>
    <w:div w:id="1073502148">
      <w:bodyDiv w:val="1"/>
      <w:marLeft w:val="0"/>
      <w:marRight w:val="0"/>
      <w:marTop w:val="0"/>
      <w:marBottom w:val="0"/>
      <w:divBdr>
        <w:top w:val="none" w:sz="0" w:space="0" w:color="auto"/>
        <w:left w:val="none" w:sz="0" w:space="0" w:color="auto"/>
        <w:bottom w:val="none" w:sz="0" w:space="0" w:color="auto"/>
        <w:right w:val="none" w:sz="0" w:space="0" w:color="auto"/>
      </w:divBdr>
    </w:div>
    <w:div w:id="1092315503">
      <w:bodyDiv w:val="1"/>
      <w:marLeft w:val="0"/>
      <w:marRight w:val="0"/>
      <w:marTop w:val="0"/>
      <w:marBottom w:val="0"/>
      <w:divBdr>
        <w:top w:val="none" w:sz="0" w:space="0" w:color="auto"/>
        <w:left w:val="none" w:sz="0" w:space="0" w:color="auto"/>
        <w:bottom w:val="none" w:sz="0" w:space="0" w:color="auto"/>
        <w:right w:val="none" w:sz="0" w:space="0" w:color="auto"/>
      </w:divBdr>
      <w:divsChild>
        <w:div w:id="420420468">
          <w:marLeft w:val="360"/>
          <w:marRight w:val="0"/>
          <w:marTop w:val="200"/>
          <w:marBottom w:val="0"/>
          <w:divBdr>
            <w:top w:val="none" w:sz="0" w:space="0" w:color="auto"/>
            <w:left w:val="none" w:sz="0" w:space="0" w:color="auto"/>
            <w:bottom w:val="none" w:sz="0" w:space="0" w:color="auto"/>
            <w:right w:val="none" w:sz="0" w:space="0" w:color="auto"/>
          </w:divBdr>
        </w:div>
        <w:div w:id="817653412">
          <w:marLeft w:val="806"/>
          <w:marRight w:val="0"/>
          <w:marTop w:val="200"/>
          <w:marBottom w:val="0"/>
          <w:divBdr>
            <w:top w:val="none" w:sz="0" w:space="0" w:color="auto"/>
            <w:left w:val="none" w:sz="0" w:space="0" w:color="auto"/>
            <w:bottom w:val="none" w:sz="0" w:space="0" w:color="auto"/>
            <w:right w:val="none" w:sz="0" w:space="0" w:color="auto"/>
          </w:divBdr>
        </w:div>
        <w:div w:id="1353612051">
          <w:marLeft w:val="806"/>
          <w:marRight w:val="0"/>
          <w:marTop w:val="200"/>
          <w:marBottom w:val="0"/>
          <w:divBdr>
            <w:top w:val="none" w:sz="0" w:space="0" w:color="auto"/>
            <w:left w:val="none" w:sz="0" w:space="0" w:color="auto"/>
            <w:bottom w:val="none" w:sz="0" w:space="0" w:color="auto"/>
            <w:right w:val="none" w:sz="0" w:space="0" w:color="auto"/>
          </w:divBdr>
        </w:div>
        <w:div w:id="887493574">
          <w:marLeft w:val="806"/>
          <w:marRight w:val="0"/>
          <w:marTop w:val="200"/>
          <w:marBottom w:val="0"/>
          <w:divBdr>
            <w:top w:val="none" w:sz="0" w:space="0" w:color="auto"/>
            <w:left w:val="none" w:sz="0" w:space="0" w:color="auto"/>
            <w:bottom w:val="none" w:sz="0" w:space="0" w:color="auto"/>
            <w:right w:val="none" w:sz="0" w:space="0" w:color="auto"/>
          </w:divBdr>
        </w:div>
        <w:div w:id="741217820">
          <w:marLeft w:val="806"/>
          <w:marRight w:val="0"/>
          <w:marTop w:val="200"/>
          <w:marBottom w:val="0"/>
          <w:divBdr>
            <w:top w:val="none" w:sz="0" w:space="0" w:color="auto"/>
            <w:left w:val="none" w:sz="0" w:space="0" w:color="auto"/>
            <w:bottom w:val="none" w:sz="0" w:space="0" w:color="auto"/>
            <w:right w:val="none" w:sz="0" w:space="0" w:color="auto"/>
          </w:divBdr>
        </w:div>
      </w:divsChild>
    </w:div>
    <w:div w:id="1131480528">
      <w:bodyDiv w:val="1"/>
      <w:marLeft w:val="0"/>
      <w:marRight w:val="0"/>
      <w:marTop w:val="0"/>
      <w:marBottom w:val="0"/>
      <w:divBdr>
        <w:top w:val="none" w:sz="0" w:space="0" w:color="auto"/>
        <w:left w:val="none" w:sz="0" w:space="0" w:color="auto"/>
        <w:bottom w:val="none" w:sz="0" w:space="0" w:color="auto"/>
        <w:right w:val="none" w:sz="0" w:space="0" w:color="auto"/>
      </w:divBdr>
    </w:div>
    <w:div w:id="1178694461">
      <w:bodyDiv w:val="1"/>
      <w:marLeft w:val="0"/>
      <w:marRight w:val="0"/>
      <w:marTop w:val="0"/>
      <w:marBottom w:val="0"/>
      <w:divBdr>
        <w:top w:val="none" w:sz="0" w:space="0" w:color="auto"/>
        <w:left w:val="none" w:sz="0" w:space="0" w:color="auto"/>
        <w:bottom w:val="none" w:sz="0" w:space="0" w:color="auto"/>
        <w:right w:val="none" w:sz="0" w:space="0" w:color="auto"/>
      </w:divBdr>
    </w:div>
    <w:div w:id="1268922669">
      <w:bodyDiv w:val="1"/>
      <w:marLeft w:val="0"/>
      <w:marRight w:val="0"/>
      <w:marTop w:val="0"/>
      <w:marBottom w:val="0"/>
      <w:divBdr>
        <w:top w:val="none" w:sz="0" w:space="0" w:color="auto"/>
        <w:left w:val="none" w:sz="0" w:space="0" w:color="auto"/>
        <w:bottom w:val="none" w:sz="0" w:space="0" w:color="auto"/>
        <w:right w:val="none" w:sz="0" w:space="0" w:color="auto"/>
      </w:divBdr>
    </w:div>
    <w:div w:id="1349910796">
      <w:bodyDiv w:val="1"/>
      <w:marLeft w:val="0"/>
      <w:marRight w:val="0"/>
      <w:marTop w:val="0"/>
      <w:marBottom w:val="0"/>
      <w:divBdr>
        <w:top w:val="none" w:sz="0" w:space="0" w:color="auto"/>
        <w:left w:val="none" w:sz="0" w:space="0" w:color="auto"/>
        <w:bottom w:val="none" w:sz="0" w:space="0" w:color="auto"/>
        <w:right w:val="none" w:sz="0" w:space="0" w:color="auto"/>
      </w:divBdr>
    </w:div>
    <w:div w:id="1382051531">
      <w:bodyDiv w:val="1"/>
      <w:marLeft w:val="0"/>
      <w:marRight w:val="0"/>
      <w:marTop w:val="0"/>
      <w:marBottom w:val="0"/>
      <w:divBdr>
        <w:top w:val="none" w:sz="0" w:space="0" w:color="auto"/>
        <w:left w:val="none" w:sz="0" w:space="0" w:color="auto"/>
        <w:bottom w:val="none" w:sz="0" w:space="0" w:color="auto"/>
        <w:right w:val="none" w:sz="0" w:space="0" w:color="auto"/>
      </w:divBdr>
    </w:div>
    <w:div w:id="1531070784">
      <w:bodyDiv w:val="1"/>
      <w:marLeft w:val="0"/>
      <w:marRight w:val="0"/>
      <w:marTop w:val="0"/>
      <w:marBottom w:val="0"/>
      <w:divBdr>
        <w:top w:val="none" w:sz="0" w:space="0" w:color="auto"/>
        <w:left w:val="none" w:sz="0" w:space="0" w:color="auto"/>
        <w:bottom w:val="none" w:sz="0" w:space="0" w:color="auto"/>
        <w:right w:val="none" w:sz="0" w:space="0" w:color="auto"/>
      </w:divBdr>
      <w:divsChild>
        <w:div w:id="861630114">
          <w:marLeft w:val="360"/>
          <w:marRight w:val="0"/>
          <w:marTop w:val="200"/>
          <w:marBottom w:val="0"/>
          <w:divBdr>
            <w:top w:val="none" w:sz="0" w:space="0" w:color="auto"/>
            <w:left w:val="none" w:sz="0" w:space="0" w:color="auto"/>
            <w:bottom w:val="none" w:sz="0" w:space="0" w:color="auto"/>
            <w:right w:val="none" w:sz="0" w:space="0" w:color="auto"/>
          </w:divBdr>
        </w:div>
        <w:div w:id="1422683267">
          <w:marLeft w:val="360"/>
          <w:marRight w:val="0"/>
          <w:marTop w:val="200"/>
          <w:marBottom w:val="0"/>
          <w:divBdr>
            <w:top w:val="none" w:sz="0" w:space="0" w:color="auto"/>
            <w:left w:val="none" w:sz="0" w:space="0" w:color="auto"/>
            <w:bottom w:val="none" w:sz="0" w:space="0" w:color="auto"/>
            <w:right w:val="none" w:sz="0" w:space="0" w:color="auto"/>
          </w:divBdr>
        </w:div>
        <w:div w:id="107630791">
          <w:marLeft w:val="360"/>
          <w:marRight w:val="0"/>
          <w:marTop w:val="200"/>
          <w:marBottom w:val="0"/>
          <w:divBdr>
            <w:top w:val="none" w:sz="0" w:space="0" w:color="auto"/>
            <w:left w:val="none" w:sz="0" w:space="0" w:color="auto"/>
            <w:bottom w:val="none" w:sz="0" w:space="0" w:color="auto"/>
            <w:right w:val="none" w:sz="0" w:space="0" w:color="auto"/>
          </w:divBdr>
        </w:div>
        <w:div w:id="247471856">
          <w:marLeft w:val="360"/>
          <w:marRight w:val="0"/>
          <w:marTop w:val="200"/>
          <w:marBottom w:val="0"/>
          <w:divBdr>
            <w:top w:val="none" w:sz="0" w:space="0" w:color="auto"/>
            <w:left w:val="none" w:sz="0" w:space="0" w:color="auto"/>
            <w:bottom w:val="none" w:sz="0" w:space="0" w:color="auto"/>
            <w:right w:val="none" w:sz="0" w:space="0" w:color="auto"/>
          </w:divBdr>
        </w:div>
        <w:div w:id="1950892135">
          <w:marLeft w:val="360"/>
          <w:marRight w:val="0"/>
          <w:marTop w:val="200"/>
          <w:marBottom w:val="0"/>
          <w:divBdr>
            <w:top w:val="none" w:sz="0" w:space="0" w:color="auto"/>
            <w:left w:val="none" w:sz="0" w:space="0" w:color="auto"/>
            <w:bottom w:val="none" w:sz="0" w:space="0" w:color="auto"/>
            <w:right w:val="none" w:sz="0" w:space="0" w:color="auto"/>
          </w:divBdr>
        </w:div>
      </w:divsChild>
    </w:div>
    <w:div w:id="1612741420">
      <w:bodyDiv w:val="1"/>
      <w:marLeft w:val="0"/>
      <w:marRight w:val="0"/>
      <w:marTop w:val="0"/>
      <w:marBottom w:val="0"/>
      <w:divBdr>
        <w:top w:val="none" w:sz="0" w:space="0" w:color="auto"/>
        <w:left w:val="none" w:sz="0" w:space="0" w:color="auto"/>
        <w:bottom w:val="none" w:sz="0" w:space="0" w:color="auto"/>
        <w:right w:val="none" w:sz="0" w:space="0" w:color="auto"/>
      </w:divBdr>
    </w:div>
    <w:div w:id="1645117105">
      <w:bodyDiv w:val="1"/>
      <w:marLeft w:val="0"/>
      <w:marRight w:val="0"/>
      <w:marTop w:val="0"/>
      <w:marBottom w:val="0"/>
      <w:divBdr>
        <w:top w:val="none" w:sz="0" w:space="0" w:color="auto"/>
        <w:left w:val="none" w:sz="0" w:space="0" w:color="auto"/>
        <w:bottom w:val="none" w:sz="0" w:space="0" w:color="auto"/>
        <w:right w:val="none" w:sz="0" w:space="0" w:color="auto"/>
      </w:divBdr>
    </w:div>
    <w:div w:id="2023319243">
      <w:bodyDiv w:val="1"/>
      <w:marLeft w:val="0"/>
      <w:marRight w:val="0"/>
      <w:marTop w:val="0"/>
      <w:marBottom w:val="0"/>
      <w:divBdr>
        <w:top w:val="none" w:sz="0" w:space="0" w:color="auto"/>
        <w:left w:val="none" w:sz="0" w:space="0" w:color="auto"/>
        <w:bottom w:val="none" w:sz="0" w:space="0" w:color="auto"/>
        <w:right w:val="none" w:sz="0" w:space="0" w:color="auto"/>
      </w:divBdr>
    </w:div>
    <w:div w:id="2058356953">
      <w:bodyDiv w:val="1"/>
      <w:marLeft w:val="0"/>
      <w:marRight w:val="0"/>
      <w:marTop w:val="0"/>
      <w:marBottom w:val="0"/>
      <w:divBdr>
        <w:top w:val="none" w:sz="0" w:space="0" w:color="auto"/>
        <w:left w:val="none" w:sz="0" w:space="0" w:color="auto"/>
        <w:bottom w:val="none" w:sz="0" w:space="0" w:color="auto"/>
        <w:right w:val="none" w:sz="0" w:space="0" w:color="auto"/>
      </w:divBdr>
      <w:divsChild>
        <w:div w:id="1789425525">
          <w:marLeft w:val="360"/>
          <w:marRight w:val="0"/>
          <w:marTop w:val="200"/>
          <w:marBottom w:val="0"/>
          <w:divBdr>
            <w:top w:val="none" w:sz="0" w:space="0" w:color="auto"/>
            <w:left w:val="none" w:sz="0" w:space="0" w:color="auto"/>
            <w:bottom w:val="none" w:sz="0" w:space="0" w:color="auto"/>
            <w:right w:val="none" w:sz="0" w:space="0" w:color="auto"/>
          </w:divBdr>
        </w:div>
      </w:divsChild>
    </w:div>
    <w:div w:id="2111311413">
      <w:bodyDiv w:val="1"/>
      <w:marLeft w:val="0"/>
      <w:marRight w:val="0"/>
      <w:marTop w:val="0"/>
      <w:marBottom w:val="0"/>
      <w:divBdr>
        <w:top w:val="none" w:sz="0" w:space="0" w:color="auto"/>
        <w:left w:val="none" w:sz="0" w:space="0" w:color="auto"/>
        <w:bottom w:val="none" w:sz="0" w:space="0" w:color="auto"/>
        <w:right w:val="none" w:sz="0" w:space="0" w:color="auto"/>
      </w:divBdr>
      <w:divsChild>
        <w:div w:id="1691370941">
          <w:marLeft w:val="547"/>
          <w:marRight w:val="0"/>
          <w:marTop w:val="0"/>
          <w:marBottom w:val="0"/>
          <w:divBdr>
            <w:top w:val="none" w:sz="0" w:space="0" w:color="auto"/>
            <w:left w:val="none" w:sz="0" w:space="0" w:color="auto"/>
            <w:bottom w:val="none" w:sz="0" w:space="0" w:color="auto"/>
            <w:right w:val="none" w:sz="0" w:space="0" w:color="auto"/>
          </w:divBdr>
        </w:div>
        <w:div w:id="18420433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6163</Words>
  <Characters>35135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Suliyat Salako</cp:lastModifiedBy>
  <cp:revision>2</cp:revision>
  <dcterms:created xsi:type="dcterms:W3CDTF">2025-07-13T07:19:00Z</dcterms:created>
  <dcterms:modified xsi:type="dcterms:W3CDTF">2025-07-13T07:19:00Z</dcterms:modified>
</cp:coreProperties>
</file>