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FE" w:rsidRDefault="00A60EFE" w:rsidP="00A60EFE">
      <w:pPr>
        <w:jc w:val="center"/>
        <w:rPr>
          <w:rFonts w:ascii="Times New Roman" w:eastAsia="Times New Roman" w:hAnsi="Times New Roman" w:cs="Times New Roman"/>
          <w:b/>
          <w:bCs/>
          <w:sz w:val="27"/>
          <w:szCs w:val="27"/>
        </w:rPr>
      </w:pPr>
      <w:r w:rsidRPr="00297DBC">
        <w:rPr>
          <w:rFonts w:ascii="Times New Roman" w:eastAsia="Times New Roman" w:hAnsi="Times New Roman" w:cs="Times New Roman"/>
          <w:b/>
          <w:bCs/>
          <w:sz w:val="27"/>
          <w:szCs w:val="27"/>
        </w:rPr>
        <w:t>A PROJECT SUBMITTED TO THE DEPARTMENT OF AGRICULTURAL TECHNOLOGY, KWARA STATE POLYTECHNIC, ILORIN KWARA STATE.</w:t>
      </w:r>
    </w:p>
    <w:p w:rsidR="00A60EFE" w:rsidRDefault="00A60EFE" w:rsidP="00A60EFE">
      <w:pPr>
        <w:jc w:val="center"/>
        <w:rPr>
          <w:rFonts w:ascii="Times New Roman" w:eastAsia="Times New Roman" w:hAnsi="Times New Roman" w:cs="Times New Roman"/>
          <w:b/>
          <w:bCs/>
          <w:sz w:val="27"/>
          <w:szCs w:val="27"/>
        </w:rPr>
      </w:pPr>
    </w:p>
    <w:p w:rsidR="00A60EFE"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BY</w:t>
      </w:r>
    </w:p>
    <w:p w:rsidR="00A60EFE" w:rsidRPr="00C43ED4" w:rsidRDefault="00A60EFE" w:rsidP="00A60EFE">
      <w:pPr>
        <w:spacing w:line="360" w:lineRule="auto"/>
        <w:jc w:val="center"/>
        <w:rPr>
          <w:rFonts w:ascii="Times New Roman" w:eastAsia="Times New Roman" w:hAnsi="Times New Roman" w:cs="Times New Roman"/>
          <w:b/>
          <w:bCs/>
          <w:sz w:val="37"/>
          <w:szCs w:val="27"/>
        </w:rPr>
      </w:pPr>
      <w:r>
        <w:rPr>
          <w:rFonts w:ascii="Times New Roman" w:eastAsia="Times New Roman" w:hAnsi="Times New Roman" w:cs="Times New Roman"/>
          <w:b/>
          <w:bCs/>
          <w:sz w:val="45"/>
          <w:szCs w:val="27"/>
        </w:rPr>
        <w:t>MOHAMMED NAFENE ZAKARI</w:t>
      </w:r>
      <w:r w:rsidRPr="00663636">
        <w:rPr>
          <w:rFonts w:ascii="Times New Roman" w:eastAsia="Times New Roman" w:hAnsi="Times New Roman" w:cs="Times New Roman"/>
          <w:b/>
          <w:bCs/>
          <w:sz w:val="45"/>
          <w:szCs w:val="27"/>
        </w:rPr>
        <w:t xml:space="preserve"> ND/23/AGT/PT/0</w:t>
      </w:r>
      <w:r>
        <w:rPr>
          <w:rFonts w:ascii="Times New Roman" w:eastAsia="Times New Roman" w:hAnsi="Times New Roman" w:cs="Times New Roman"/>
          <w:b/>
          <w:bCs/>
          <w:sz w:val="45"/>
          <w:szCs w:val="27"/>
        </w:rPr>
        <w:t>033</w:t>
      </w: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A PROJECT SUBMITTED TO THE DEPARTMENT OF AGRICULTURAL TECHNOLOGY, KWARA STATE POLYTECHNIC, ILORIN KWARA STATE.</w:t>
      </w:r>
    </w:p>
    <w:p w:rsidR="00A60EFE" w:rsidRPr="00C43ED4" w:rsidRDefault="00A60EFE" w:rsidP="00A60EFE">
      <w:pPr>
        <w:spacing w:line="360" w:lineRule="auto"/>
        <w:jc w:val="center"/>
        <w:rPr>
          <w:rFonts w:ascii="Times New Roman" w:eastAsia="Times New Roman" w:hAnsi="Times New Roman" w:cs="Times New Roman"/>
          <w:b/>
          <w:bCs/>
          <w:sz w:val="27"/>
          <w:szCs w:val="27"/>
        </w:rPr>
      </w:pP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IN PARTIAL FULFILMENT OF THE REQUIREMENTS FOR THE AWARD OF HIGHER NATIONAL DIPLOMA (HND) IN AGRICULTURAL TECHNOLOGY, INSTITUTE OF APPLIED SCIENCE</w:t>
      </w:r>
    </w:p>
    <w:p w:rsidR="00A60EFE" w:rsidRPr="00C43ED4" w:rsidRDefault="00A60EFE" w:rsidP="00A60EFE">
      <w:pPr>
        <w:spacing w:line="360" w:lineRule="auto"/>
        <w:jc w:val="center"/>
        <w:rPr>
          <w:rFonts w:ascii="Times New Roman" w:eastAsia="Times New Roman" w:hAnsi="Times New Roman" w:cs="Times New Roman"/>
          <w:b/>
          <w:bCs/>
          <w:sz w:val="27"/>
          <w:szCs w:val="27"/>
        </w:rPr>
      </w:pP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A60EFE" w:rsidRDefault="00A60EFE" w:rsidP="00A60EFE">
      <w:pPr>
        <w:spacing w:line="360" w:lineRule="auto"/>
        <w:jc w:val="center"/>
        <w:rPr>
          <w:rFonts w:ascii="Times New Roman" w:eastAsia="Times New Roman" w:hAnsi="Times New Roman" w:cs="Times New Roman"/>
          <w:b/>
          <w:bCs/>
          <w:sz w:val="27"/>
          <w:szCs w:val="27"/>
        </w:rPr>
      </w:pP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JULY, 2025</w:t>
      </w:r>
    </w:p>
    <w:p w:rsidR="00A60EFE" w:rsidRDefault="00A60EFE" w:rsidP="00A60EFE">
      <w:pPr>
        <w:spacing w:line="360" w:lineRule="auto"/>
        <w:jc w:val="center"/>
        <w:rPr>
          <w:rFonts w:ascii="Times New Roman" w:eastAsia="Times New Roman" w:hAnsi="Times New Roman" w:cs="Times New Roman"/>
          <w:b/>
          <w:bCs/>
          <w:sz w:val="27"/>
          <w:szCs w:val="27"/>
        </w:rPr>
      </w:pPr>
    </w:p>
    <w:p w:rsidR="00A60EFE" w:rsidRDefault="00A60EFE" w:rsidP="00A60EFE">
      <w:pPr>
        <w:spacing w:line="360" w:lineRule="auto"/>
        <w:jc w:val="center"/>
        <w:rPr>
          <w:rFonts w:ascii="Times New Roman" w:eastAsia="Times New Roman" w:hAnsi="Times New Roman" w:cs="Times New Roman"/>
          <w:b/>
          <w:bCs/>
          <w:sz w:val="27"/>
          <w:szCs w:val="27"/>
        </w:rPr>
      </w:pPr>
    </w:p>
    <w:p w:rsidR="00A60EFE" w:rsidRDefault="00A60EFE" w:rsidP="00A60EFE">
      <w:pPr>
        <w:spacing w:line="360" w:lineRule="auto"/>
        <w:jc w:val="center"/>
        <w:rPr>
          <w:rFonts w:ascii="Times New Roman" w:eastAsia="Times New Roman" w:hAnsi="Times New Roman" w:cs="Times New Roman"/>
          <w:b/>
          <w:bCs/>
          <w:sz w:val="27"/>
          <w:szCs w:val="27"/>
        </w:rPr>
      </w:pP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CERTIFICATION</w:t>
      </w:r>
    </w:p>
    <w:p w:rsidR="00A60EFE" w:rsidRPr="00C43ED4" w:rsidRDefault="00A60EFE" w:rsidP="00A60EFE">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This is to certify that this project has been read and approved as meeting the requirement of the Department of Agricultural Technology, Extension Management Unit. Institute of applied Sciences, Kwara State Polytechnic, Ilorin for the award of National Diploma in Agricultural Technology.</w:t>
      </w:r>
      <w:r w:rsidRPr="00C43ED4">
        <w:rPr>
          <w:rFonts w:ascii="Times New Roman" w:eastAsia="Times New Roman" w:hAnsi="Times New Roman" w:cs="Times New Roman"/>
          <w:b/>
          <w:bCs/>
          <w:sz w:val="27"/>
          <w:szCs w:val="27"/>
        </w:rPr>
        <w:t xml:space="preserve">                                                                             </w:t>
      </w:r>
    </w:p>
    <w:p w:rsidR="00A60EFE" w:rsidRPr="00C43ED4" w:rsidRDefault="00A60EFE" w:rsidP="00A60EFE">
      <w:pPr>
        <w:spacing w:line="360" w:lineRule="auto"/>
        <w:jc w:val="center"/>
        <w:rPr>
          <w:rFonts w:ascii="Times New Roman" w:eastAsia="Times New Roman" w:hAnsi="Times New Roman" w:cs="Times New Roman"/>
          <w:b/>
          <w:bCs/>
          <w:sz w:val="27"/>
          <w:szCs w:val="27"/>
        </w:rPr>
      </w:pPr>
    </w:p>
    <w:p w:rsidR="00A60EFE" w:rsidRPr="00C43ED4" w:rsidRDefault="00A60EFE" w:rsidP="00A60EFE">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A60EFE" w:rsidRPr="00C43ED4" w:rsidRDefault="00A60EFE" w:rsidP="00A60EFE">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Dr. F.D. Omotosho                                                                Date</w:t>
      </w:r>
    </w:p>
    <w:p w:rsidR="00A60EFE" w:rsidRPr="00C43ED4" w:rsidRDefault="00A60EFE" w:rsidP="00A60EFE">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(Project Supervisor)                                                        </w:t>
      </w:r>
    </w:p>
    <w:p w:rsidR="00A60EFE" w:rsidRDefault="00A60EFE" w:rsidP="00A60EFE">
      <w:pPr>
        <w:spacing w:line="360" w:lineRule="auto"/>
        <w:jc w:val="center"/>
        <w:rPr>
          <w:rFonts w:ascii="Times New Roman" w:eastAsia="Times New Roman" w:hAnsi="Times New Roman" w:cs="Times New Roman"/>
          <w:b/>
          <w:bCs/>
          <w:sz w:val="27"/>
          <w:szCs w:val="27"/>
        </w:rPr>
      </w:pPr>
    </w:p>
    <w:p w:rsidR="00A60EFE" w:rsidRDefault="00A60EFE" w:rsidP="00A60EFE">
      <w:pPr>
        <w:spacing w:line="360" w:lineRule="auto"/>
        <w:jc w:val="center"/>
        <w:rPr>
          <w:rFonts w:ascii="Times New Roman" w:eastAsia="Times New Roman" w:hAnsi="Times New Roman" w:cs="Times New Roman"/>
          <w:b/>
          <w:bCs/>
          <w:sz w:val="27"/>
          <w:szCs w:val="27"/>
        </w:rPr>
      </w:pPr>
    </w:p>
    <w:p w:rsidR="00A60EFE" w:rsidRPr="00C43ED4" w:rsidRDefault="00A60EFE" w:rsidP="00A60EFE">
      <w:pPr>
        <w:spacing w:after="0"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A60EFE" w:rsidRPr="00C43ED4" w:rsidRDefault="00A60EFE" w:rsidP="00A60EFE">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Mr. I.K Banjoko                                                                Date</w:t>
      </w:r>
    </w:p>
    <w:p w:rsidR="00A60EFE" w:rsidRPr="00C43ED4" w:rsidRDefault="00A60EFE" w:rsidP="00A60EFE">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(Head of Department)                                                                                </w:t>
      </w:r>
    </w:p>
    <w:p w:rsidR="00A60EFE" w:rsidRPr="00C43ED4" w:rsidRDefault="00A60EFE" w:rsidP="00A60EFE">
      <w:pPr>
        <w:spacing w:after="0" w:line="36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A60EFE" w:rsidRPr="00C43ED4" w:rsidRDefault="00A60EFE" w:rsidP="00A60EFE">
      <w:pPr>
        <w:spacing w:line="360" w:lineRule="auto"/>
        <w:jc w:val="center"/>
        <w:rPr>
          <w:rFonts w:ascii="Times New Roman" w:eastAsia="Times New Roman" w:hAnsi="Times New Roman" w:cs="Times New Roman"/>
          <w:b/>
          <w:bCs/>
          <w:sz w:val="27"/>
          <w:szCs w:val="27"/>
        </w:rPr>
      </w:pPr>
    </w:p>
    <w:p w:rsidR="00A60EFE" w:rsidRPr="00C43ED4" w:rsidRDefault="00A60EFE" w:rsidP="00A60EFE">
      <w:pPr>
        <w:spacing w:after="0"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A60EFE" w:rsidRPr="00C43ED4" w:rsidRDefault="00A60EFE" w:rsidP="00A60EFE">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Mr. Mohammed S.B                                                                Date</w:t>
      </w:r>
    </w:p>
    <w:p w:rsidR="00A60EFE" w:rsidRPr="00C43ED4" w:rsidRDefault="00A60EFE" w:rsidP="00A60EFE">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(Project coordinator)                                                        </w:t>
      </w:r>
    </w:p>
    <w:p w:rsidR="00A60EFE" w:rsidRPr="00C43ED4" w:rsidRDefault="00A60EFE" w:rsidP="00A60EFE">
      <w:pPr>
        <w:spacing w:after="0" w:line="360" w:lineRule="auto"/>
        <w:jc w:val="center"/>
        <w:rPr>
          <w:rFonts w:ascii="Times New Roman" w:eastAsia="Times New Roman" w:hAnsi="Times New Roman" w:cs="Times New Roman"/>
          <w:b/>
          <w:bCs/>
          <w:sz w:val="27"/>
          <w:szCs w:val="27"/>
        </w:rPr>
      </w:pP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A60EFE" w:rsidRPr="00C43ED4" w:rsidRDefault="00A60EFE" w:rsidP="00A60EFE">
      <w:pPr>
        <w:spacing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A60EFE" w:rsidRPr="00C43ED4" w:rsidRDefault="00A60EFE" w:rsidP="00A60EFE">
      <w:pPr>
        <w:spacing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External Examiner                                                                Date</w:t>
      </w:r>
    </w:p>
    <w:p w:rsidR="00A60EFE" w:rsidRDefault="00A60EFE" w:rsidP="00A60EFE">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DEDICATION</w:t>
      </w:r>
    </w:p>
    <w:p w:rsidR="00A60EFE" w:rsidRPr="00C43ED4" w:rsidRDefault="00A60EFE" w:rsidP="00A60EFE">
      <w:pPr>
        <w:spacing w:line="360"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This research work is dedicated to Almighty God, my strong pillar and to my Parents, the family of Mr &amp; Mrs </w:t>
      </w:r>
      <w:r>
        <w:rPr>
          <w:rFonts w:ascii="Times New Roman" w:eastAsia="Times New Roman" w:hAnsi="Times New Roman" w:cs="Times New Roman"/>
          <w:bCs/>
          <w:sz w:val="27"/>
          <w:szCs w:val="27"/>
        </w:rPr>
        <w:t>Mohammed</w:t>
      </w:r>
    </w:p>
    <w:p w:rsidR="00A60EFE" w:rsidRPr="00C43ED4" w:rsidRDefault="00A60EFE" w:rsidP="00A60EFE">
      <w:pPr>
        <w:spacing w:line="360" w:lineRule="auto"/>
        <w:jc w:val="center"/>
        <w:rPr>
          <w:rFonts w:ascii="Times New Roman" w:eastAsia="Times New Roman" w:hAnsi="Times New Roman" w:cs="Times New Roman"/>
          <w:b/>
          <w:bCs/>
          <w:sz w:val="27"/>
          <w:szCs w:val="27"/>
        </w:rPr>
      </w:pPr>
    </w:p>
    <w:p w:rsidR="00A60EFE" w:rsidRDefault="00A60EFE" w:rsidP="00A60EFE">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ACKNOWLEDGEMENT</w:t>
      </w:r>
    </w:p>
    <w:p w:rsidR="00A60EFE" w:rsidRPr="00C43ED4" w:rsidRDefault="00A60EFE" w:rsidP="00A60EFE">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I wish to express my sincere gratitude to Almighty God for His guidance, strength, and grace throughout the course of this project.</w:t>
      </w:r>
    </w:p>
    <w:p w:rsidR="00A60EFE" w:rsidRPr="00C43ED4" w:rsidRDefault="00A60EFE" w:rsidP="00A60EFE">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My heartfelt appreciation</w:t>
      </w:r>
      <w:r>
        <w:rPr>
          <w:rFonts w:ascii="Times New Roman" w:eastAsia="Times New Roman" w:hAnsi="Times New Roman" w:cs="Times New Roman"/>
          <w:bCs/>
          <w:sz w:val="27"/>
          <w:szCs w:val="27"/>
        </w:rPr>
        <w:t xml:space="preserve"> goes to my parents MR and MRS. Mohammed </w:t>
      </w:r>
      <w:r w:rsidRPr="00C43ED4">
        <w:rPr>
          <w:rFonts w:ascii="Times New Roman" w:eastAsia="Times New Roman" w:hAnsi="Times New Roman" w:cs="Times New Roman"/>
          <w:bCs/>
          <w:sz w:val="27"/>
          <w:szCs w:val="27"/>
        </w:rPr>
        <w:t>for their endless support, prayers, and encouragement. I also extend deep gratitude to my supervisor, for their guidance, constructive criticism, and continuous support throughout the research.</w:t>
      </w:r>
    </w:p>
    <w:p w:rsidR="00A60EFE" w:rsidRPr="00C43ED4" w:rsidRDefault="00A60EFE" w:rsidP="00A60EFE">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Finally, I am thankful to my colleagues, friends and everyone for their support and shared experiences, which made this journey more memorable.</w:t>
      </w:r>
    </w:p>
    <w:p w:rsidR="00A60EFE" w:rsidRPr="00C43ED4" w:rsidRDefault="00A60EFE" w:rsidP="00A60EFE">
      <w:pPr>
        <w:spacing w:line="360" w:lineRule="auto"/>
        <w:jc w:val="both"/>
        <w:rPr>
          <w:rFonts w:ascii="Times New Roman" w:eastAsia="Times New Roman" w:hAnsi="Times New Roman" w:cs="Times New Roman"/>
          <w:b/>
          <w:bCs/>
          <w:sz w:val="27"/>
          <w:szCs w:val="27"/>
        </w:rPr>
      </w:pPr>
    </w:p>
    <w:p w:rsidR="00A60EFE" w:rsidRDefault="00A60EFE" w:rsidP="00A60EFE">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60EFE" w:rsidRPr="00C43ED4" w:rsidRDefault="00A60EFE" w:rsidP="00A60EFE">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TABLE OF CONTENT</w:t>
      </w:r>
    </w:p>
    <w:p w:rsidR="00A60EFE" w:rsidRPr="00C43ED4" w:rsidRDefault="00A60EFE" w:rsidP="00A60EFE">
      <w:pPr>
        <w:spacing w:line="360" w:lineRule="auto"/>
        <w:rPr>
          <w:rFonts w:ascii="Times New Roman" w:eastAsia="Times New Roman" w:hAnsi="Times New Roman" w:cs="Times New Roman"/>
          <w:b/>
          <w:bCs/>
          <w:sz w:val="27"/>
          <w:szCs w:val="27"/>
        </w:rPr>
      </w:pPr>
    </w:p>
    <w:p w:rsidR="00A60EFE" w:rsidRPr="00C43ED4" w:rsidRDefault="00A60EFE" w:rsidP="00A60EFE">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Title Page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i</w:t>
      </w:r>
    </w:p>
    <w:p w:rsidR="00A60EFE" w:rsidRPr="00C43ED4" w:rsidRDefault="00A60EFE" w:rsidP="00A60EFE">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Certification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ii</w:t>
      </w:r>
    </w:p>
    <w:p w:rsidR="00A60EFE" w:rsidRPr="00C43ED4" w:rsidRDefault="00A60EFE" w:rsidP="00A60EFE">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Dedication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C43ED4">
        <w:rPr>
          <w:rFonts w:ascii="Times New Roman" w:eastAsia="Times New Roman" w:hAnsi="Times New Roman" w:cs="Times New Roman"/>
          <w:b/>
          <w:bCs/>
          <w:sz w:val="27"/>
          <w:szCs w:val="27"/>
        </w:rPr>
        <w:t xml:space="preserve"> iii</w:t>
      </w:r>
    </w:p>
    <w:p w:rsidR="00A60EFE" w:rsidRPr="00C43ED4" w:rsidRDefault="00A60EFE" w:rsidP="00A60EFE">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Acknowledgement                                                                        </w:t>
      </w:r>
      <w:r>
        <w:rPr>
          <w:rFonts w:ascii="Times New Roman" w:eastAsia="Times New Roman" w:hAnsi="Times New Roman" w:cs="Times New Roman"/>
          <w:b/>
          <w:bCs/>
          <w:sz w:val="27"/>
          <w:szCs w:val="27"/>
        </w:rPr>
        <w:t xml:space="preserve">                  </w:t>
      </w:r>
      <w:r w:rsidRPr="00C43ED4">
        <w:rPr>
          <w:rFonts w:ascii="Times New Roman" w:eastAsia="Times New Roman" w:hAnsi="Times New Roman" w:cs="Times New Roman"/>
          <w:b/>
          <w:bCs/>
          <w:sz w:val="27"/>
          <w:szCs w:val="27"/>
        </w:rPr>
        <w:t xml:space="preserve"> iv</w:t>
      </w:r>
    </w:p>
    <w:p w:rsidR="00A60EFE" w:rsidRPr="00C43ED4" w:rsidRDefault="00A60EFE" w:rsidP="00A60EFE">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Table of Content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C43ED4">
        <w:rPr>
          <w:rFonts w:ascii="Times New Roman" w:eastAsia="Times New Roman" w:hAnsi="Times New Roman" w:cs="Times New Roman"/>
          <w:b/>
          <w:bCs/>
          <w:sz w:val="27"/>
          <w:szCs w:val="27"/>
        </w:rPr>
        <w:t xml:space="preserve"> v</w:t>
      </w: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ONE</w:t>
      </w: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1.1 Introduction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TWO</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 Literature Review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3</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2.1.1 Insect Pest Affecting Cowpea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5</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2.1.2 Coleopterans Affecting Cowpea in Storage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6</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2.1.3 Biology of Cowpea Beetle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7</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2.1.4 Pest Control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10</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THREE</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MATERIALS AND METHODS</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3.1 Study Area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13</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3.2 Materials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13</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3.3 Experimental Design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13</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3.4 Preparation of Neem Leaf Powder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3.5 Insect Rearing and Infestation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 Daa Collection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3.6.1 Adult Mortality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3.6.2 Oviposition and Egg Hatchability                                                        15</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3.6.3 Seed Damage and Weight Loss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15</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3.6.4 Seed Viability (Germination Test)                                                        15</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3.7 Data Analysis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15</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FOUR</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4.0 Results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16</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FIVE</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5.1 Discussion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18</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5.2 Conclusion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20</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5.3 Recommendation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20</w:t>
      </w:r>
    </w:p>
    <w:p w:rsidR="00A60EFE" w:rsidRPr="00C43ED4" w:rsidRDefault="00A60EFE" w:rsidP="00A60EFE">
      <w:pPr>
        <w:spacing w:after="0" w:line="276" w:lineRule="auto"/>
        <w:rPr>
          <w:rFonts w:ascii="Times New Roman" w:eastAsia="Times New Roman" w:hAnsi="Times New Roman" w:cs="Times New Roman"/>
          <w:bCs/>
          <w:sz w:val="27"/>
          <w:szCs w:val="27"/>
        </w:rPr>
      </w:pPr>
    </w:p>
    <w:p w:rsidR="00A60EFE" w:rsidRPr="00C43ED4" w:rsidRDefault="00A60EFE" w:rsidP="00A60EFE">
      <w:pPr>
        <w:spacing w:after="0" w:line="276" w:lineRule="auto"/>
        <w:rPr>
          <w:rFonts w:ascii="Times New Roman" w:hAnsi="Times New Roman" w:cs="Times New Roman"/>
          <w:bCs/>
          <w:sz w:val="28"/>
          <w:szCs w:val="28"/>
        </w:rPr>
      </w:pPr>
      <w:r w:rsidRPr="00C43ED4">
        <w:rPr>
          <w:rFonts w:ascii="Times New Roman" w:eastAsia="Times New Roman" w:hAnsi="Times New Roman" w:cs="Times New Roman"/>
          <w:bCs/>
          <w:sz w:val="27"/>
          <w:szCs w:val="27"/>
        </w:rPr>
        <w:t>References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22</w:t>
      </w:r>
    </w:p>
    <w:p w:rsidR="00A60EFE" w:rsidRDefault="00A60EFE" w:rsidP="00A60EFE"/>
    <w:p w:rsidR="00A60EFE" w:rsidRDefault="00A60EFE" w:rsidP="00A60EFE">
      <w:pPr>
        <w:spacing w:before="100" w:beforeAutospacing="1" w:after="100" w:afterAutospacing="1" w:line="240" w:lineRule="auto"/>
        <w:jc w:val="center"/>
        <w:rPr>
          <w:rFonts w:ascii="Times New Roman" w:eastAsia="Times New Roman" w:hAnsi="Times New Roman" w:cs="Times New Roman"/>
          <w:b/>
          <w:bCs/>
          <w:sz w:val="26"/>
          <w:szCs w:val="26"/>
        </w:rPr>
      </w:pPr>
    </w:p>
    <w:p w:rsidR="00A60EFE" w:rsidRPr="00297DBC" w:rsidRDefault="00A60EFE" w:rsidP="00A60EFE">
      <w:pPr>
        <w:spacing w:before="100" w:beforeAutospacing="1" w:after="100" w:afterAutospacing="1" w:line="240" w:lineRule="auto"/>
        <w:jc w:val="center"/>
        <w:rPr>
          <w:rFonts w:ascii="Times New Roman" w:eastAsia="Times New Roman" w:hAnsi="Times New Roman" w:cs="Times New Roman"/>
          <w:b/>
          <w:bCs/>
          <w:sz w:val="26"/>
          <w:szCs w:val="26"/>
        </w:rPr>
      </w:pPr>
      <w:r w:rsidRPr="00297DBC">
        <w:rPr>
          <w:rFonts w:ascii="Times New Roman" w:eastAsia="Times New Roman" w:hAnsi="Times New Roman" w:cs="Times New Roman"/>
          <w:b/>
          <w:bCs/>
          <w:sz w:val="26"/>
          <w:szCs w:val="26"/>
        </w:rPr>
        <w:t>CHAPTER ONE</w:t>
      </w:r>
    </w:p>
    <w:p w:rsidR="00A60EFE" w:rsidRPr="00297DBC" w:rsidRDefault="00A60EFE" w:rsidP="00A60EFE">
      <w:pPr>
        <w:spacing w:before="100" w:beforeAutospacing="1" w:after="100" w:afterAutospacing="1" w:line="240" w:lineRule="auto"/>
        <w:jc w:val="center"/>
        <w:rPr>
          <w:rFonts w:ascii="Times New Roman" w:eastAsia="Times New Roman" w:hAnsi="Times New Roman" w:cs="Times New Roman"/>
          <w:b/>
          <w:bCs/>
          <w:sz w:val="26"/>
          <w:szCs w:val="26"/>
        </w:rPr>
      </w:pPr>
      <w:r w:rsidRPr="00297DBC">
        <w:rPr>
          <w:rFonts w:ascii="Times New Roman" w:eastAsia="Times New Roman" w:hAnsi="Times New Roman" w:cs="Times New Roman"/>
          <w:b/>
          <w:bCs/>
          <w:sz w:val="26"/>
          <w:szCs w:val="26"/>
        </w:rPr>
        <w:t>Introduction</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Cowpea (</w:t>
      </w:r>
      <w:r w:rsidRPr="003262E4">
        <w:rPr>
          <w:rFonts w:ascii="Times New Roman" w:eastAsia="Times New Roman" w:hAnsi="Times New Roman" w:cs="Times New Roman"/>
          <w:i/>
          <w:iCs/>
          <w:sz w:val="26"/>
          <w:szCs w:val="26"/>
        </w:rPr>
        <w:t>Vignaunguiculata</w:t>
      </w:r>
      <w:r w:rsidRPr="003262E4">
        <w:rPr>
          <w:rFonts w:ascii="Times New Roman" w:eastAsia="Times New Roman" w:hAnsi="Times New Roman" w:cs="Times New Roman"/>
          <w:sz w:val="26"/>
          <w:szCs w:val="26"/>
        </w:rPr>
        <w:t>) is a staple food crop widely cultivated in tropical and subtropical regions of Africa, Asia, and parts of the Americas. It serves as a crucial source of protein, vitamins, and minerals for millions, particularly in areas with limited access to animal protein (Singh et al., 2020). Cowpeas are commonly consumed in both fresh and dried forms, used in soups, stews, sauces, and snacks.</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However, cowpea production is constrained by significant </w:t>
      </w:r>
      <w:r w:rsidRPr="003262E4">
        <w:rPr>
          <w:rFonts w:ascii="Times New Roman" w:eastAsia="Times New Roman" w:hAnsi="Times New Roman" w:cs="Times New Roman"/>
          <w:bCs/>
          <w:sz w:val="26"/>
          <w:szCs w:val="26"/>
        </w:rPr>
        <w:t>post-harvest losses</w:t>
      </w:r>
      <w:r w:rsidRPr="003262E4">
        <w:rPr>
          <w:rFonts w:ascii="Times New Roman" w:eastAsia="Times New Roman" w:hAnsi="Times New Roman" w:cs="Times New Roman"/>
          <w:sz w:val="26"/>
          <w:szCs w:val="26"/>
        </w:rPr>
        <w:t>, primarily due to insect pests, especially the cowpea bruchid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The larvae of these pests bore into stored seeds, reducing quality, causing weight loss, and facilitating mold contamination—making the seeds unfit for consumption or replanting (Midega et al., 2021).</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Traditional control of bruchids heavily relies on synthetic insecticides. However, such chemicals pose problems including pest resistance, residue accumulation, environmental toxicity, and human health hazards (Ghosh et al., 2023; Abiola et al., 2020). These issues have led to a growing interest in safer, eco-friendly, and affordable alternatives like </w:t>
      </w:r>
      <w:r w:rsidRPr="003262E4">
        <w:rPr>
          <w:rFonts w:ascii="Times New Roman" w:eastAsia="Times New Roman" w:hAnsi="Times New Roman" w:cs="Times New Roman"/>
          <w:bCs/>
          <w:sz w:val="26"/>
          <w:szCs w:val="26"/>
        </w:rPr>
        <w:t>botanical insecticides</w:t>
      </w:r>
      <w:r w:rsidRPr="003262E4">
        <w:rPr>
          <w:rFonts w:ascii="Times New Roman" w:eastAsia="Times New Roman" w:hAnsi="Times New Roman" w:cs="Times New Roman"/>
          <w:sz w:val="26"/>
          <w:szCs w:val="26"/>
        </w:rPr>
        <w:t>.</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Botanicals are plant-derived products known for their insecticidal, antimicrobial, and repellent properties. Among them,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has received attention for its multifunctional properties. It is a fast-growing tree native to parts of Africa and Asia and is known for its medicinal, nutritional, and agricultural value. Its leaves contain bioactive compounds such as alkaloids, flavonoids, saponins, and glucosinolates, which have been shown to possess insecticidal and antimicrobial properties (Adeyemi et al., 2020; Hassan et al., 2022).</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Recent studies suggest that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could be effective against storage pests, including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by reducing egg viability, increasing adult mortality, and preserving seed weight during storage (Aliyu et al., 2019; Mohammed et al., 2023).</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This study seeks to investigate the effectiveness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as a botanical insecticide in managing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xml:space="preserve"> infestations in stored cowpea.</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Cs/>
          <w:sz w:val="26"/>
          <w:szCs w:val="26"/>
        </w:rPr>
        <w:t>Statement of the Problem</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Post-harvest losses due to insect pests remain a major challenge in cowpea storage. The cowpea bruchid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causes significant grain damage, reducing market and nutritional value. Despite the availability of synthetic insecticides, they present numerous problems: high costs, health risks, pest resistance, and environmental pollution (Kariuki&amp;Miano, 2021; Isman, 2020).</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Many small-scale farmers cannot afford or safely use chemical pesticides. Thus, there is an urgent need for cost-effective and sustainable alternatives. Although studies have explored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for pest control, limited data exists on its </w:t>
      </w:r>
      <w:r w:rsidRPr="003262E4">
        <w:rPr>
          <w:rFonts w:ascii="Times New Roman" w:eastAsia="Times New Roman" w:hAnsi="Times New Roman" w:cs="Times New Roman"/>
          <w:bCs/>
          <w:sz w:val="26"/>
          <w:szCs w:val="26"/>
        </w:rPr>
        <w:t>specific effects on cowpea bruchids during storage</w:t>
      </w:r>
      <w:r w:rsidRPr="003262E4">
        <w:rPr>
          <w:rFonts w:ascii="Times New Roman" w:eastAsia="Times New Roman" w:hAnsi="Times New Roman" w:cs="Times New Roman"/>
          <w:sz w:val="26"/>
          <w:szCs w:val="26"/>
        </w:rPr>
        <w:t>, especially in terms of egg hatching, adult mortality, and grain weight loss.</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Cs/>
          <w:sz w:val="26"/>
          <w:szCs w:val="26"/>
        </w:rPr>
        <w:t>Objectives of the Study</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The main objective of this study is to evaluate the insecticidal potential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in controlling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xml:space="preserve"> in stored cowpea. Specifically, the study aims to:</w:t>
      </w:r>
    </w:p>
    <w:p w:rsidR="00A60EFE" w:rsidRPr="003262E4" w:rsidRDefault="00A60EFE" w:rsidP="00A60EFE">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Determine the effects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the eggs of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w:t>
      </w:r>
    </w:p>
    <w:p w:rsidR="00A60EFE" w:rsidRPr="003262E4" w:rsidRDefault="00A60EFE" w:rsidP="00A60EFE">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Evaluate the percentage mortality of adult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exposed to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w:t>
      </w:r>
    </w:p>
    <w:p w:rsidR="00A60EFE" w:rsidRPr="003262E4" w:rsidRDefault="00A60EFE" w:rsidP="00A60EFE">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Assess the effect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the weight of cowpea grains during storage.</w:t>
      </w:r>
    </w:p>
    <w:p w:rsidR="00A60EFE" w:rsidRPr="003262E4" w:rsidRDefault="00A60EFE" w:rsidP="00A60EFE">
      <w:pPr>
        <w:spacing w:before="100" w:beforeAutospacing="1" w:after="100" w:afterAutospacing="1" w:line="480" w:lineRule="auto"/>
        <w:jc w:val="both"/>
        <w:outlineLvl w:val="2"/>
        <w:rPr>
          <w:rFonts w:ascii="Times New Roman" w:eastAsia="Times New Roman" w:hAnsi="Times New Roman" w:cs="Times New Roman"/>
          <w:bCs/>
          <w:sz w:val="26"/>
          <w:szCs w:val="26"/>
        </w:rPr>
      </w:pPr>
      <w:r w:rsidRPr="003262E4">
        <w:rPr>
          <w:rFonts w:ascii="Times New Roman" w:eastAsia="Times New Roman" w:hAnsi="Times New Roman" w:cs="Times New Roman"/>
          <w:bCs/>
          <w:sz w:val="26"/>
          <w:szCs w:val="26"/>
        </w:rPr>
        <w:t>Significance of the Study</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This study is important because it addresses a critical issue in post-harvest management—safe pest control. It explores a </w:t>
      </w:r>
      <w:r w:rsidRPr="003262E4">
        <w:rPr>
          <w:rFonts w:ascii="Times New Roman" w:eastAsia="Times New Roman" w:hAnsi="Times New Roman" w:cs="Times New Roman"/>
          <w:bCs/>
          <w:sz w:val="26"/>
          <w:szCs w:val="26"/>
        </w:rPr>
        <w:t>natural, accessible, and eco-friendly alternative</w:t>
      </w:r>
      <w:r w:rsidRPr="003262E4">
        <w:rPr>
          <w:rFonts w:ascii="Times New Roman" w:eastAsia="Times New Roman" w:hAnsi="Times New Roman" w:cs="Times New Roman"/>
          <w:sz w:val="26"/>
          <w:szCs w:val="26"/>
        </w:rPr>
        <w:t xml:space="preserve"> to synthetic insecticides, offering solutions for smallholder farmers (Olalekan et al., 2021). By investigating the insecticidal potential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the research may provide insight into alternative pest control strategies that are both sustainable and economical.</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Furthermore, the study contributes to existing scientific knowledge on the use of botanicals in post-harvest protection and may inform </w:t>
      </w:r>
      <w:r w:rsidRPr="003262E4">
        <w:rPr>
          <w:rFonts w:ascii="Times New Roman" w:eastAsia="Times New Roman" w:hAnsi="Times New Roman" w:cs="Times New Roman"/>
          <w:bCs/>
          <w:sz w:val="26"/>
          <w:szCs w:val="26"/>
        </w:rPr>
        <w:t>food security interventions</w:t>
      </w:r>
      <w:r w:rsidRPr="003262E4">
        <w:rPr>
          <w:rFonts w:ascii="Times New Roman" w:eastAsia="Times New Roman" w:hAnsi="Times New Roman" w:cs="Times New Roman"/>
          <w:sz w:val="26"/>
          <w:szCs w:val="26"/>
        </w:rPr>
        <w:t xml:space="preserve"> in regions dependent on cowpea as a staple crop (Ghosh et al., 2023; Mohammed et al., 2023).</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p>
    <w:p w:rsidR="00A60EFE" w:rsidRPr="003262E4" w:rsidRDefault="00A60EFE" w:rsidP="00A60EFE">
      <w:pPr>
        <w:spacing w:line="480" w:lineRule="auto"/>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br w:type="page"/>
      </w:r>
    </w:p>
    <w:p w:rsidR="00A60EFE" w:rsidRPr="003262E4" w:rsidRDefault="00A60EFE" w:rsidP="00A60EFE">
      <w:pPr>
        <w:spacing w:before="100" w:beforeAutospacing="1" w:after="100" w:afterAutospacing="1" w:line="480" w:lineRule="auto"/>
        <w:jc w:val="center"/>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CHAPTER TWO</w:t>
      </w:r>
    </w:p>
    <w:p w:rsidR="00A60EFE" w:rsidRPr="003262E4" w:rsidRDefault="00A60EFE" w:rsidP="00A60EFE">
      <w:pPr>
        <w:spacing w:before="100" w:beforeAutospacing="1" w:after="100" w:afterAutospacing="1" w:line="480" w:lineRule="auto"/>
        <w:jc w:val="center"/>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LITERATURE REVIEW</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Cowpea (</w:t>
      </w:r>
      <w:r w:rsidRPr="003262E4">
        <w:rPr>
          <w:rFonts w:ascii="Times New Roman" w:eastAsia="Times New Roman" w:hAnsi="Times New Roman" w:cs="Times New Roman"/>
          <w:i/>
          <w:iCs/>
          <w:sz w:val="26"/>
          <w:szCs w:val="26"/>
        </w:rPr>
        <w:t>Vignaunguiculata</w:t>
      </w:r>
      <w:r w:rsidRPr="003262E4">
        <w:rPr>
          <w:rFonts w:ascii="Times New Roman" w:eastAsia="Times New Roman" w:hAnsi="Times New Roman" w:cs="Times New Roman"/>
          <w:sz w:val="26"/>
          <w:szCs w:val="26"/>
        </w:rPr>
        <w:t xml:space="preserve"> L. Walp) is an important leguminous crop grown extensively in tropical and subtropical regions, especially in Africa, Asia, and Latin America. It is regarded as a major food and fodder crop that contributes significantly to household nutrition and food security. Cowpea seeds are rich in high-quality protein, essential amino acids, and carbohydrates, making them a staple in many rural diets (Singh et al., 2021). Beyond its nutritional value, cowpea also plays a vital role in sustainable agriculture due to its nitrogen-fixing ability, which improves soil fertility and reduces the need for synthetic fertilizers (Olawale&amp;Ojo, 2020).</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Economically, cowpea supports the livelihoods of millions of smallholder farmers and traders who rely on it for income. However, despite its benefits, cowpea production and storage face numerous challenges. One of the most significant is post-harvest loss caused by insect pests, particularly bruchid beetles such as </w:t>
      </w: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These pests can destroy up to 60–90% of stored cowpea if left untreated, leading to food shortages and financial losses (Ajayi et al., 2019).</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 xml:space="preserve">2.2 Biology and Life Cycle of </w:t>
      </w:r>
      <w:r w:rsidRPr="003262E4">
        <w:rPr>
          <w:rFonts w:ascii="Times New Roman" w:eastAsia="Times New Roman" w:hAnsi="Times New Roman" w:cs="Times New Roman"/>
          <w:b/>
          <w:bCs/>
          <w:i/>
          <w:iCs/>
          <w:sz w:val="26"/>
          <w:szCs w:val="26"/>
        </w:rPr>
        <w:t>Callosobruchusmaculatus</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i/>
          <w:iCs/>
          <w:sz w:val="26"/>
          <w:szCs w:val="26"/>
        </w:rPr>
        <w:t>Callosobruchusmaculatus</w:t>
      </w:r>
      <w:r w:rsidRPr="003262E4">
        <w:rPr>
          <w:rFonts w:ascii="Times New Roman" w:eastAsia="Times New Roman" w:hAnsi="Times New Roman" w:cs="Times New Roman"/>
          <w:sz w:val="26"/>
          <w:szCs w:val="26"/>
        </w:rPr>
        <w:t>, commonly referred to as the cowpea weevil or cowpea bruchid, is a primary pest of stored legumes. The adult beetle is small (about 2–3 mm long), reddish-brown with black spots on the elytra, and does not feed on cowpea seeds. However, the damage is primarily caused by the larvae, which hatch from eggs laid on the seed surface and burrow into the seeds to feed and develop.</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The life cycle of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is completed in about 3 to 4 weeks under optimal temperature and humidity conditions. The developmental stages include egg, larva, pupa, and adult. This short life cycle allows for multiple generations within a single storage period, leading to rapid population growth and severe infestation. Damage caused includes perforation of seeds, powdery residues, weight loss, and deterioration in taste and marketability. Infestation also reduces seed viability, making them unsuitable for planting (Ojo&amp;Ogunleye, 2013).</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2.3 Traditional Methods of Cowpea Preservation</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Various traditional techniques have been developed and employed by farmers over generations to protect stored cowpea from insect attack. Common methods include sun drying, the use of airtight containers (e.g., sealed pots or plastic bags), mixing with ash or sand, and application of vegetable oils such as palm oil. In some cases, spices like dried chili peppers or neem leaves are added as repellents. Smoking the storage area or burying cowpea underground in sealed pits is also practiced in some rural areas (Ayanbadejo et al., 2020).</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While these methods are affordable and eco-friendly, their effectiveness varies and often diminishes over time. Furthermore, traditional practices lack standardized application procedures, and their efficacy may not be sufficient to control severe infestations. Hence, there is a growing interest in integrating scientific knowledge with traditional knowledge to improve cowpea preservation, especially through the use of botanical insecticides (Usman &amp; Mohammed, 2021).</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2.4 Botanical Insecticides and Their Importance</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Botanical insecticides are plant-based products used to manage pest populations. They are derived from natural plant compounds that possess insecticidal, repellent, or growth-regulating properties. Unlike synthetic chemical pesticides, botanicals are generally biodegradable, less harmful to non-target organisms, and considered safer for humans and the environment. They also reduce the risk of pesticide resistance among insect populations (Isman, 2015).</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Plants such as </w:t>
      </w:r>
      <w:r w:rsidRPr="003262E4">
        <w:rPr>
          <w:rFonts w:ascii="Times New Roman" w:eastAsia="Times New Roman" w:hAnsi="Times New Roman" w:cs="Times New Roman"/>
          <w:i/>
          <w:iCs/>
          <w:sz w:val="26"/>
          <w:szCs w:val="26"/>
        </w:rPr>
        <w:t>Azadirachtaindica</w:t>
      </w:r>
      <w:r w:rsidRPr="003262E4">
        <w:rPr>
          <w:rFonts w:ascii="Times New Roman" w:eastAsia="Times New Roman" w:hAnsi="Times New Roman" w:cs="Times New Roman"/>
          <w:sz w:val="26"/>
          <w:szCs w:val="26"/>
        </w:rPr>
        <w:t xml:space="preserve"> (neem), </w:t>
      </w:r>
      <w:r w:rsidRPr="003262E4">
        <w:rPr>
          <w:rFonts w:ascii="Times New Roman" w:eastAsia="Times New Roman" w:hAnsi="Times New Roman" w:cs="Times New Roman"/>
          <w:i/>
          <w:iCs/>
          <w:sz w:val="26"/>
          <w:szCs w:val="26"/>
        </w:rPr>
        <w:t>Piper guineense</w:t>
      </w:r>
      <w:r w:rsidRPr="003262E4">
        <w:rPr>
          <w:rFonts w:ascii="Times New Roman" w:eastAsia="Times New Roman" w:hAnsi="Times New Roman" w:cs="Times New Roman"/>
          <w:sz w:val="26"/>
          <w:szCs w:val="26"/>
        </w:rPr>
        <w:t xml:space="preserve"> (black pepper), and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have been widely researched for their pesticidal activities. These plants produce secondary metabolites such as alkaloids, phenolics, terpenoids, and flavonoids, which interfere with insect development, feeding behavior, reproduction, and respiratory systems (Asawalam et al., 2012).</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 xml:space="preserve">2.5 Properties of </w:t>
      </w:r>
      <w:r w:rsidRPr="003262E4">
        <w:rPr>
          <w:rFonts w:ascii="Times New Roman" w:eastAsia="Times New Roman" w:hAnsi="Times New Roman" w:cs="Times New Roman"/>
          <w:b/>
          <w:bCs/>
          <w:i/>
          <w:iCs/>
          <w:sz w:val="26"/>
          <w:szCs w:val="26"/>
        </w:rPr>
        <w:t>Moringaoleifera</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is a multipurpose plant native to the Indian subcontinent but widely cultivated across Africa and tropical Asia. Often referred to as the “miracle tree,” it is known for its high nutritional content, medicinal value, and pesticidal potential. Almost every part of the plant—leaves, seeds, bark, and roots—has practical uses. The leaves, in particular, are rich in proteins, vitamins (A, C, E), minerals (calcium, iron), and bioactive compounds such as saponins, tannins, flavonoids, and phenolic acids (Fahey, 2005).</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In pest management,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has demonstrated significant insecticidal and ovicidal activity. These effects are largely attributed to its phytochemicals that disrupt insect hormonal balance, inhibit egg development, and impair adult insect survival (Dimetry&amp; El-Behery, 2018). Moreover, moringa leaf powder can be easily prepared, applied, and stored by small-scale farmers, making it a cost-effective solution for protecting stored cowpea from bruchid infestation.</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Synthetic Insecticides in the control of cowpea beetles in storage</w:t>
      </w:r>
    </w:p>
    <w:p w:rsidR="00A60EFE" w:rsidRPr="003262E4" w:rsidRDefault="00A60EFE" w:rsidP="00A60EFE">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The use of </w:t>
      </w:r>
      <w:r w:rsidRPr="003262E4">
        <w:rPr>
          <w:rFonts w:ascii="Times New Roman" w:hAnsi="Times New Roman" w:cs="Times New Roman"/>
          <w:b/>
          <w:bCs/>
          <w:sz w:val="26"/>
          <w:szCs w:val="26"/>
        </w:rPr>
        <w:t>synthetic insecticides</w:t>
      </w:r>
      <w:r w:rsidRPr="003262E4">
        <w:rPr>
          <w:rFonts w:ascii="Times New Roman" w:hAnsi="Times New Roman" w:cs="Times New Roman"/>
          <w:sz w:val="26"/>
          <w:szCs w:val="26"/>
        </w:rPr>
        <w:t xml:space="preserve"> remains a common strategy for managing </w:t>
      </w:r>
      <w:r w:rsidRPr="003262E4">
        <w:rPr>
          <w:rFonts w:ascii="Times New Roman" w:hAnsi="Times New Roman" w:cs="Times New Roman"/>
          <w:i/>
          <w:iCs/>
          <w:sz w:val="26"/>
          <w:szCs w:val="26"/>
        </w:rPr>
        <w:t>Callosobruchusmaculatus</w:t>
      </w:r>
      <w:r w:rsidRPr="003262E4">
        <w:rPr>
          <w:rFonts w:ascii="Times New Roman" w:hAnsi="Times New Roman" w:cs="Times New Roman"/>
          <w:sz w:val="26"/>
          <w:szCs w:val="26"/>
        </w:rPr>
        <w:t>, a destructive pest of stored cowpea (</w:t>
      </w:r>
      <w:r w:rsidRPr="003262E4">
        <w:rPr>
          <w:rFonts w:ascii="Times New Roman" w:hAnsi="Times New Roman" w:cs="Times New Roman"/>
          <w:i/>
          <w:iCs/>
          <w:sz w:val="26"/>
          <w:szCs w:val="26"/>
        </w:rPr>
        <w:t>Vignaunguiculata</w:t>
      </w:r>
      <w:r w:rsidRPr="003262E4">
        <w:rPr>
          <w:rFonts w:ascii="Times New Roman" w:hAnsi="Times New Roman" w:cs="Times New Roman"/>
          <w:sz w:val="26"/>
          <w:szCs w:val="26"/>
        </w:rPr>
        <w:t xml:space="preserve">). These chemical agents are widely adopted due to their </w:t>
      </w:r>
      <w:r w:rsidRPr="003262E4">
        <w:rPr>
          <w:rFonts w:ascii="Times New Roman" w:hAnsi="Times New Roman" w:cs="Times New Roman"/>
          <w:b/>
          <w:bCs/>
          <w:sz w:val="26"/>
          <w:szCs w:val="26"/>
        </w:rPr>
        <w:t>rapid action, high efficacy</w:t>
      </w:r>
      <w:r w:rsidRPr="003262E4">
        <w:rPr>
          <w:rFonts w:ascii="Times New Roman" w:hAnsi="Times New Roman" w:cs="Times New Roman"/>
          <w:sz w:val="26"/>
          <w:szCs w:val="26"/>
        </w:rPr>
        <w:t>, and ease of application. Cowpea beetles are known to cause significant quantitative and qualitative losses during storage, often leading to seed weight loss, holes in seeds, reduced market value, and decreased germination ability (Adedire&amp;Lajide, 2015).</w:t>
      </w:r>
    </w:p>
    <w:p w:rsidR="00A60EFE" w:rsidRPr="003262E4" w:rsidRDefault="00A60EFE" w:rsidP="00A60EFE">
      <w:pPr>
        <w:spacing w:line="480" w:lineRule="auto"/>
        <w:jc w:val="both"/>
        <w:rPr>
          <w:rFonts w:ascii="Times New Roman" w:hAnsi="Times New Roman" w:cs="Times New Roman"/>
          <w:bCs/>
          <w:sz w:val="26"/>
          <w:szCs w:val="26"/>
        </w:rPr>
      </w:pPr>
      <w:r w:rsidRPr="003262E4">
        <w:rPr>
          <w:rFonts w:ascii="Times New Roman" w:hAnsi="Times New Roman" w:cs="Times New Roman"/>
          <w:bCs/>
          <w:sz w:val="26"/>
          <w:szCs w:val="26"/>
        </w:rPr>
        <w:t>Synthetic Insecticides</w:t>
      </w:r>
    </w:p>
    <w:p w:rsidR="00A60EFE" w:rsidRPr="003262E4" w:rsidRDefault="00A60EFE" w:rsidP="00A60EFE">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Some of the synthetic insecticides used in the protection of stored cowpea include: </w:t>
      </w:r>
      <w:r w:rsidRPr="003262E4">
        <w:rPr>
          <w:rFonts w:ascii="Times New Roman" w:hAnsi="Times New Roman" w:cs="Times New Roman"/>
          <w:bCs/>
          <w:sz w:val="26"/>
          <w:szCs w:val="26"/>
        </w:rPr>
        <w:t>Permethrin, Pirimiphos-methyl</w:t>
      </w:r>
      <w:r w:rsidRPr="003262E4">
        <w:rPr>
          <w:rFonts w:ascii="Times New Roman" w:hAnsi="Times New Roman" w:cs="Times New Roman"/>
          <w:sz w:val="26"/>
          <w:szCs w:val="26"/>
        </w:rPr>
        <w:t xml:space="preserve">, </w:t>
      </w:r>
      <w:r w:rsidRPr="003262E4">
        <w:rPr>
          <w:rFonts w:ascii="Times New Roman" w:hAnsi="Times New Roman" w:cs="Times New Roman"/>
          <w:bCs/>
          <w:sz w:val="26"/>
          <w:szCs w:val="26"/>
        </w:rPr>
        <w:t>Dichlorvos (DDVP)</w:t>
      </w:r>
      <w:r w:rsidRPr="003262E4">
        <w:rPr>
          <w:rFonts w:ascii="Times New Roman" w:hAnsi="Times New Roman" w:cs="Times New Roman"/>
          <w:sz w:val="26"/>
          <w:szCs w:val="26"/>
        </w:rPr>
        <w:t xml:space="preserve">, </w:t>
      </w:r>
      <w:r w:rsidRPr="003262E4">
        <w:rPr>
          <w:rFonts w:ascii="Times New Roman" w:hAnsi="Times New Roman" w:cs="Times New Roman"/>
          <w:bCs/>
          <w:sz w:val="26"/>
          <w:szCs w:val="26"/>
        </w:rPr>
        <w:t>Malathion</w:t>
      </w:r>
      <w:r w:rsidRPr="003262E4">
        <w:rPr>
          <w:rFonts w:ascii="Times New Roman" w:hAnsi="Times New Roman" w:cs="Times New Roman"/>
          <w:sz w:val="26"/>
          <w:szCs w:val="26"/>
        </w:rPr>
        <w:t xml:space="preserve">, </w:t>
      </w:r>
      <w:r w:rsidRPr="003262E4">
        <w:rPr>
          <w:rFonts w:ascii="Times New Roman" w:hAnsi="Times New Roman" w:cs="Times New Roman"/>
          <w:bCs/>
          <w:sz w:val="26"/>
          <w:szCs w:val="26"/>
        </w:rPr>
        <w:t>Actellic Super</w:t>
      </w:r>
      <w:r w:rsidRPr="003262E4">
        <w:rPr>
          <w:rFonts w:ascii="Times New Roman" w:hAnsi="Times New Roman" w:cs="Times New Roman"/>
          <w:sz w:val="26"/>
          <w:szCs w:val="26"/>
        </w:rPr>
        <w:t xml:space="preserve"> (a formulation of pirimiphos-methyl + permethrin). These chemicals typically function as contact poisons, fumigants, or residual surface treatments, effectively killing adults, larvae, and eggs of </w:t>
      </w:r>
      <w:r w:rsidRPr="003262E4">
        <w:rPr>
          <w:rFonts w:ascii="Times New Roman" w:hAnsi="Times New Roman" w:cs="Times New Roman"/>
          <w:i/>
          <w:iCs/>
          <w:sz w:val="26"/>
          <w:szCs w:val="26"/>
        </w:rPr>
        <w:t>C. maculatus</w:t>
      </w:r>
      <w:r w:rsidRPr="003262E4">
        <w:rPr>
          <w:rFonts w:ascii="Times New Roman" w:hAnsi="Times New Roman" w:cs="Times New Roman"/>
          <w:sz w:val="26"/>
          <w:szCs w:val="26"/>
        </w:rPr>
        <w:t xml:space="preserve"> (Obeng-Ofori&amp;Reichmuth, 2016).</w:t>
      </w:r>
    </w:p>
    <w:p w:rsidR="00A60EFE" w:rsidRPr="003262E4" w:rsidRDefault="00A60EFE" w:rsidP="00A60EFE">
      <w:pPr>
        <w:spacing w:line="480" w:lineRule="auto"/>
        <w:jc w:val="both"/>
        <w:rPr>
          <w:rFonts w:ascii="Times New Roman" w:hAnsi="Times New Roman" w:cs="Times New Roman"/>
          <w:bCs/>
          <w:sz w:val="26"/>
          <w:szCs w:val="26"/>
        </w:rPr>
      </w:pPr>
      <w:r w:rsidRPr="003262E4">
        <w:rPr>
          <w:rFonts w:ascii="Times New Roman" w:hAnsi="Times New Roman" w:cs="Times New Roman"/>
          <w:bCs/>
          <w:sz w:val="26"/>
          <w:szCs w:val="26"/>
        </w:rPr>
        <w:t>Effectiveness and Mode of Action</w:t>
      </w:r>
    </w:p>
    <w:p w:rsidR="00A60EFE" w:rsidRPr="003262E4" w:rsidRDefault="00A60EFE" w:rsidP="00A60EFE">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Synthetic insecticides act by </w:t>
      </w:r>
      <w:r w:rsidRPr="003262E4">
        <w:rPr>
          <w:rFonts w:ascii="Times New Roman" w:hAnsi="Times New Roman" w:cs="Times New Roman"/>
          <w:bCs/>
          <w:sz w:val="26"/>
          <w:szCs w:val="26"/>
        </w:rPr>
        <w:t>disrupting the insect’s nervous system</w:t>
      </w:r>
      <w:r w:rsidRPr="003262E4">
        <w:rPr>
          <w:rFonts w:ascii="Times New Roman" w:hAnsi="Times New Roman" w:cs="Times New Roman"/>
          <w:sz w:val="26"/>
          <w:szCs w:val="26"/>
        </w:rPr>
        <w:t>, leading to paralysis and death. Organophosphates (e.g., pirimiphos-methyl and malathion) inhibit acetylcholinesterase, an enzyme essential for nerve impulse transmission. Pyrethroids like permethrin affect sodium channels, causing repetitive nerve impulses. Fumigants such as DDVP penetrate insect cuticles and interfere with respiration (Ahmed et al., 2020).</w:t>
      </w:r>
    </w:p>
    <w:p w:rsidR="00A60EFE" w:rsidRPr="003262E4" w:rsidRDefault="00A60EFE" w:rsidP="00A60EFE">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In controlled storage conditions, these insecticides have shown to significantly reduce oviposition, egg hatchability, and adult emergence of </w:t>
      </w:r>
      <w:r w:rsidRPr="003262E4">
        <w:rPr>
          <w:rFonts w:ascii="Times New Roman" w:hAnsi="Times New Roman" w:cs="Times New Roman"/>
          <w:i/>
          <w:iCs/>
          <w:sz w:val="26"/>
          <w:szCs w:val="26"/>
        </w:rPr>
        <w:t>C. maculatus</w:t>
      </w:r>
      <w:r w:rsidRPr="003262E4">
        <w:rPr>
          <w:rFonts w:ascii="Times New Roman" w:hAnsi="Times New Roman" w:cs="Times New Roman"/>
          <w:sz w:val="26"/>
          <w:szCs w:val="26"/>
        </w:rPr>
        <w:t>, thus preserving seed quality and minimizing economic losses.</w:t>
      </w:r>
    </w:p>
    <w:p w:rsidR="00A60EFE" w:rsidRPr="003262E4" w:rsidRDefault="00A60EFE" w:rsidP="00A60EFE">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 xml:space="preserve">Despite their effectiveness, the use of synthetic insecticides in stored cowpea has several drawbacks: </w:t>
      </w:r>
      <w:r w:rsidRPr="003262E4">
        <w:rPr>
          <w:rFonts w:ascii="Times New Roman" w:hAnsi="Times New Roman" w:cs="Times New Roman"/>
          <w:bCs/>
          <w:sz w:val="26"/>
          <w:szCs w:val="26"/>
        </w:rPr>
        <w:t>Toxic residues</w:t>
      </w:r>
      <w:r w:rsidRPr="003262E4">
        <w:rPr>
          <w:rFonts w:ascii="Times New Roman" w:hAnsi="Times New Roman" w:cs="Times New Roman"/>
          <w:sz w:val="26"/>
          <w:szCs w:val="26"/>
        </w:rPr>
        <w:t xml:space="preserve"> on grains may pose </w:t>
      </w:r>
      <w:r w:rsidRPr="003262E4">
        <w:rPr>
          <w:rFonts w:ascii="Times New Roman" w:hAnsi="Times New Roman" w:cs="Times New Roman"/>
          <w:bCs/>
          <w:sz w:val="26"/>
          <w:szCs w:val="26"/>
        </w:rPr>
        <w:t>health risks</w:t>
      </w:r>
      <w:r w:rsidRPr="003262E4">
        <w:rPr>
          <w:rFonts w:ascii="Times New Roman" w:hAnsi="Times New Roman" w:cs="Times New Roman"/>
          <w:sz w:val="26"/>
          <w:szCs w:val="26"/>
        </w:rPr>
        <w:t xml:space="preserve"> to consumers, development of </w:t>
      </w:r>
      <w:r w:rsidRPr="003262E4">
        <w:rPr>
          <w:rFonts w:ascii="Times New Roman" w:hAnsi="Times New Roman" w:cs="Times New Roman"/>
          <w:bCs/>
          <w:sz w:val="26"/>
          <w:szCs w:val="26"/>
        </w:rPr>
        <w:t>insect resistance</w:t>
      </w:r>
      <w:r w:rsidRPr="003262E4">
        <w:rPr>
          <w:rFonts w:ascii="Times New Roman" w:hAnsi="Times New Roman" w:cs="Times New Roman"/>
          <w:sz w:val="26"/>
          <w:szCs w:val="26"/>
        </w:rPr>
        <w:t xml:space="preserve"> to certain active ingredients over time, </w:t>
      </w:r>
      <w:r w:rsidRPr="003262E4">
        <w:rPr>
          <w:rFonts w:ascii="Times New Roman" w:hAnsi="Times New Roman" w:cs="Times New Roman"/>
          <w:bCs/>
          <w:sz w:val="26"/>
          <w:szCs w:val="26"/>
        </w:rPr>
        <w:t>environmental contamination</w:t>
      </w:r>
      <w:r w:rsidRPr="003262E4">
        <w:rPr>
          <w:rFonts w:ascii="Times New Roman" w:hAnsi="Times New Roman" w:cs="Times New Roman"/>
          <w:sz w:val="26"/>
          <w:szCs w:val="26"/>
        </w:rPr>
        <w:t xml:space="preserve"> due to improper handling and disposal, Increased</w:t>
      </w:r>
      <w:r w:rsidRPr="003262E4">
        <w:rPr>
          <w:rFonts w:ascii="Times New Roman" w:hAnsi="Times New Roman" w:cs="Times New Roman"/>
          <w:bCs/>
          <w:sz w:val="26"/>
          <w:szCs w:val="26"/>
        </w:rPr>
        <w:t>cost</w:t>
      </w:r>
      <w:r w:rsidRPr="003262E4">
        <w:rPr>
          <w:rFonts w:ascii="Times New Roman" w:hAnsi="Times New Roman" w:cs="Times New Roman"/>
          <w:sz w:val="26"/>
          <w:szCs w:val="26"/>
        </w:rPr>
        <w:t xml:space="preserve"> and dependency among smallholder farmers.</w:t>
      </w:r>
    </w:p>
    <w:p w:rsidR="00A60EFE" w:rsidRPr="003262E4" w:rsidRDefault="00A60EFE" w:rsidP="00A60EFE">
      <w:pPr>
        <w:spacing w:line="480" w:lineRule="auto"/>
        <w:jc w:val="both"/>
        <w:rPr>
          <w:rFonts w:ascii="Times New Roman" w:hAnsi="Times New Roman" w:cs="Times New Roman"/>
          <w:sz w:val="26"/>
          <w:szCs w:val="26"/>
        </w:rPr>
      </w:pPr>
      <w:r w:rsidRPr="003262E4">
        <w:rPr>
          <w:rFonts w:ascii="Times New Roman" w:hAnsi="Times New Roman" w:cs="Times New Roman"/>
          <w:sz w:val="26"/>
          <w:szCs w:val="26"/>
        </w:rPr>
        <w:t>In many developing regions, especially in sub-Saharan Africa, these concerns have led to growing interest in safer and more sustainable alternatives such as botanical insecticides and hermetic storage (Isman, 2015; Yusuf et al., 2022).</w:t>
      </w:r>
    </w:p>
    <w:p w:rsidR="00A60EFE" w:rsidRPr="003262E4" w:rsidRDefault="00A60EFE" w:rsidP="00A60EFE">
      <w:pPr>
        <w:spacing w:line="480" w:lineRule="auto"/>
        <w:jc w:val="both"/>
        <w:rPr>
          <w:rFonts w:ascii="Times New Roman" w:hAnsi="Times New Roman" w:cs="Times New Roman"/>
          <w:sz w:val="26"/>
          <w:szCs w:val="26"/>
        </w:rPr>
      </w:pPr>
    </w:p>
    <w:p w:rsidR="00A60EFE" w:rsidRPr="003262E4" w:rsidRDefault="00A60EFE" w:rsidP="00A60EFE">
      <w:pPr>
        <w:spacing w:line="480" w:lineRule="auto"/>
        <w:jc w:val="center"/>
        <w:rPr>
          <w:rFonts w:ascii="Times New Roman" w:eastAsia="Times New Roman" w:hAnsi="Times New Roman" w:cs="Times New Roman"/>
          <w:b/>
          <w:bCs/>
          <w:sz w:val="26"/>
          <w:szCs w:val="26"/>
        </w:rPr>
      </w:pPr>
      <w:r w:rsidRPr="003262E4">
        <w:rPr>
          <w:rFonts w:ascii="Times New Roman" w:hAnsi="Times New Roman" w:cs="Times New Roman"/>
          <w:sz w:val="26"/>
          <w:szCs w:val="26"/>
        </w:rPr>
        <w:br w:type="page"/>
      </w:r>
      <w:r w:rsidRPr="003262E4">
        <w:rPr>
          <w:rFonts w:ascii="Times New Roman" w:eastAsia="Times New Roman" w:hAnsi="Times New Roman" w:cs="Times New Roman"/>
          <w:b/>
          <w:bCs/>
          <w:sz w:val="26"/>
          <w:szCs w:val="26"/>
        </w:rPr>
        <w:t>CHAPTER THREE</w:t>
      </w:r>
    </w:p>
    <w:p w:rsidR="00A60EFE" w:rsidRPr="003262E4" w:rsidRDefault="00A60EFE" w:rsidP="00A60EFE">
      <w:pPr>
        <w:spacing w:after="0" w:line="480" w:lineRule="auto"/>
        <w:jc w:val="center"/>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MATERIALS AND METHODS</w:t>
      </w:r>
    </w:p>
    <w:p w:rsidR="00A60EFE" w:rsidRPr="003262E4" w:rsidRDefault="00A60EFE" w:rsidP="00A60EFE">
      <w:pPr>
        <w:spacing w:after="0" w:line="480" w:lineRule="auto"/>
        <w:jc w:val="both"/>
        <w:rPr>
          <w:rFonts w:ascii="Times New Roman" w:eastAsia="Times New Roman" w:hAnsi="Times New Roman" w:cs="Times New Roman"/>
          <w:sz w:val="26"/>
          <w:szCs w:val="26"/>
        </w:rPr>
      </w:pPr>
    </w:p>
    <w:p w:rsidR="00A60EFE" w:rsidRPr="003262E4" w:rsidRDefault="00A60EFE" w:rsidP="00A60EFE">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3.2 Study Area</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A60EFE" w:rsidRPr="003262E4" w:rsidRDefault="00A60EFE" w:rsidP="00A60EFE">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3.3 Materials</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materials used in the study include:</w:t>
      </w:r>
    </w:p>
    <w:p w:rsidR="00A60EFE" w:rsidRPr="003262E4" w:rsidRDefault="00A60EFE" w:rsidP="00A60EFE">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Cowpea beetles (</w:t>
      </w:r>
      <w:r w:rsidRPr="003262E4">
        <w:rPr>
          <w:rFonts w:ascii="Times New Roman" w:eastAsia="Times New Roman" w:hAnsi="Times New Roman" w:cs="Times New Roman"/>
          <w:b/>
          <w:bCs/>
          <w:i/>
          <w:iCs/>
          <w:sz w:val="26"/>
          <w:szCs w:val="26"/>
        </w:rPr>
        <w:t>Callosobruchusmaculatus</w:t>
      </w:r>
      <w:r w:rsidRPr="003262E4">
        <w:rPr>
          <w:rFonts w:ascii="Times New Roman" w:eastAsia="Times New Roman" w:hAnsi="Times New Roman" w:cs="Times New Roman"/>
          <w:b/>
          <w:bCs/>
          <w:sz w:val="26"/>
          <w:szCs w:val="26"/>
        </w:rPr>
        <w:t>)</w:t>
      </w:r>
      <w:r w:rsidRPr="003262E4">
        <w:rPr>
          <w:rFonts w:ascii="Times New Roman" w:eastAsia="Times New Roman" w:hAnsi="Times New Roman" w:cs="Times New Roman"/>
          <w:sz w:val="26"/>
          <w:szCs w:val="26"/>
        </w:rPr>
        <w:t xml:space="preserve"> – Adult beetles were obtained from </w:t>
      </w:r>
      <w:r w:rsidRPr="003262E4">
        <w:rPr>
          <w:rFonts w:ascii="Times New Roman" w:eastAsia="Times New Roman" w:hAnsi="Times New Roman" w:cs="Times New Roman"/>
          <w:bCs/>
          <w:i/>
          <w:iCs/>
          <w:sz w:val="26"/>
          <w:szCs w:val="26"/>
        </w:rPr>
        <w:t>C.maculatus</w:t>
      </w:r>
      <w:r w:rsidRPr="003262E4">
        <w:rPr>
          <w:rFonts w:ascii="Times New Roman" w:eastAsia="Times New Roman" w:hAnsi="Times New Roman" w:cs="Times New Roman"/>
          <w:sz w:val="26"/>
          <w:szCs w:val="26"/>
        </w:rPr>
        <w:t>culture maintained in the laboratory.</w:t>
      </w:r>
    </w:p>
    <w:p w:rsidR="00A60EFE" w:rsidRPr="003262E4" w:rsidRDefault="00A60EFE" w:rsidP="00A60EFE">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Plastic storage containers (3.4 x 2.8 cm)</w:t>
      </w:r>
      <w:r w:rsidRPr="003262E4">
        <w:rPr>
          <w:rFonts w:ascii="Times New Roman" w:eastAsia="Times New Roman" w:hAnsi="Times New Roman" w:cs="Times New Roman"/>
          <w:sz w:val="26"/>
          <w:szCs w:val="26"/>
        </w:rPr>
        <w:t xml:space="preserve"> were used for storing cowpea samples during the experiment.</w:t>
      </w:r>
    </w:p>
    <w:p w:rsidR="00A60EFE" w:rsidRPr="003262E4" w:rsidRDefault="00A60EFE" w:rsidP="00A60EFE">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Digital weighing balance</w:t>
      </w:r>
      <w:r w:rsidRPr="003262E4">
        <w:rPr>
          <w:rFonts w:ascii="Times New Roman" w:eastAsia="Times New Roman" w:hAnsi="Times New Roman" w:cs="Times New Roman"/>
          <w:sz w:val="26"/>
          <w:szCs w:val="26"/>
        </w:rPr>
        <w:t xml:space="preserve"> – For precise measurement of Moringa powder and cowpea grains.</w:t>
      </w:r>
    </w:p>
    <w:p w:rsidR="00A60EFE" w:rsidRPr="003262E4" w:rsidRDefault="00A60EFE" w:rsidP="00A60EFE">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Cowpea grains (</w:t>
      </w:r>
      <w:r w:rsidRPr="003262E4">
        <w:rPr>
          <w:rFonts w:ascii="Times New Roman" w:eastAsia="Times New Roman" w:hAnsi="Times New Roman" w:cs="Times New Roman"/>
          <w:b/>
          <w:bCs/>
          <w:i/>
          <w:iCs/>
          <w:sz w:val="26"/>
          <w:szCs w:val="26"/>
        </w:rPr>
        <w:t>Vignaunguiculata</w:t>
      </w:r>
      <w:r w:rsidRPr="003262E4">
        <w:rPr>
          <w:rFonts w:ascii="Times New Roman" w:eastAsia="Times New Roman" w:hAnsi="Times New Roman" w:cs="Times New Roman"/>
          <w:b/>
          <w:bCs/>
          <w:sz w:val="26"/>
          <w:szCs w:val="26"/>
        </w:rPr>
        <w:t>)</w:t>
      </w:r>
      <w:r w:rsidRPr="003262E4">
        <w:rPr>
          <w:rFonts w:ascii="Times New Roman" w:eastAsia="Times New Roman" w:hAnsi="Times New Roman" w:cs="Times New Roman"/>
          <w:sz w:val="26"/>
          <w:szCs w:val="26"/>
        </w:rPr>
        <w:t xml:space="preserve"> – Obtained from local markets and sieved to remove debris and previously infested seeds.</w:t>
      </w:r>
    </w:p>
    <w:p w:rsidR="00A60EFE" w:rsidRPr="003262E4" w:rsidRDefault="00A60EFE" w:rsidP="00A60EFE">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Moringa leaves (</w:t>
      </w:r>
      <w:r w:rsidRPr="003262E4">
        <w:rPr>
          <w:rFonts w:ascii="Times New Roman" w:eastAsia="Times New Roman" w:hAnsi="Times New Roman" w:cs="Times New Roman"/>
          <w:b/>
          <w:bCs/>
          <w:i/>
          <w:iCs/>
          <w:sz w:val="26"/>
          <w:szCs w:val="26"/>
        </w:rPr>
        <w:t>Moringaolifera</w:t>
      </w:r>
      <w:r w:rsidRPr="003262E4">
        <w:rPr>
          <w:rFonts w:ascii="Times New Roman" w:eastAsia="Times New Roman" w:hAnsi="Times New Roman" w:cs="Times New Roman"/>
          <w:b/>
          <w:bCs/>
          <w:sz w:val="26"/>
          <w:szCs w:val="26"/>
        </w:rPr>
        <w:t>)</w:t>
      </w:r>
      <w:r w:rsidRPr="003262E4">
        <w:rPr>
          <w:rFonts w:ascii="Times New Roman" w:eastAsia="Times New Roman" w:hAnsi="Times New Roman" w:cs="Times New Roman"/>
          <w:sz w:val="26"/>
          <w:szCs w:val="26"/>
        </w:rPr>
        <w:t xml:space="preserve"> – Fresh leaves were collected from Moringa trees within Ilorin, Kwara State and processed into powder.</w:t>
      </w:r>
    </w:p>
    <w:p w:rsidR="00A60EFE" w:rsidRPr="003262E4" w:rsidRDefault="00A60EFE" w:rsidP="00A60EFE">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Hand grinder and sieve</w:t>
      </w:r>
      <w:r w:rsidRPr="003262E4">
        <w:rPr>
          <w:rFonts w:ascii="Times New Roman" w:eastAsia="Times New Roman" w:hAnsi="Times New Roman" w:cs="Times New Roman"/>
          <w:sz w:val="26"/>
          <w:szCs w:val="26"/>
        </w:rPr>
        <w:t xml:space="preserve"> – For processing Moringa leaves into fine powder.</w:t>
      </w:r>
    </w:p>
    <w:p w:rsidR="00A60EFE" w:rsidRPr="003262E4" w:rsidRDefault="00A60EFE" w:rsidP="00A60EFE">
      <w:pPr>
        <w:numPr>
          <w:ilvl w:val="0"/>
          <w:numId w:val="2"/>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Magnifying lens and microscope</w:t>
      </w:r>
      <w:r w:rsidRPr="003262E4">
        <w:rPr>
          <w:rFonts w:ascii="Times New Roman" w:eastAsia="Times New Roman" w:hAnsi="Times New Roman" w:cs="Times New Roman"/>
          <w:sz w:val="26"/>
          <w:szCs w:val="26"/>
        </w:rPr>
        <w:t xml:space="preserve"> – For examining seed perforation and beetle activity.</w:t>
      </w:r>
    </w:p>
    <w:p w:rsidR="00A60EFE" w:rsidRPr="003262E4" w:rsidRDefault="00A60EFE" w:rsidP="00A60EFE">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3.4 Experimental Design</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 completely randomized design (CRD) was used to evaluate the effect of Moringa leaf powder on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infestation. The experiment consisted of five treatments with three replicates each:</w:t>
      </w:r>
    </w:p>
    <w:p w:rsidR="00A60EFE" w:rsidRPr="003262E4" w:rsidRDefault="00A60EFE" w:rsidP="00A60EFE">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T1</w:t>
      </w:r>
      <w:r w:rsidRPr="003262E4">
        <w:rPr>
          <w:rFonts w:ascii="Times New Roman" w:eastAsia="Times New Roman" w:hAnsi="Times New Roman" w:cs="Times New Roman"/>
          <w:sz w:val="26"/>
          <w:szCs w:val="26"/>
        </w:rPr>
        <w:t xml:space="preserve"> – 1.0 g Moringa leaf powder</w:t>
      </w:r>
    </w:p>
    <w:p w:rsidR="00A60EFE" w:rsidRPr="003262E4" w:rsidRDefault="00A60EFE" w:rsidP="00A60EFE">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T2</w:t>
      </w:r>
      <w:r w:rsidRPr="003262E4">
        <w:rPr>
          <w:rFonts w:ascii="Times New Roman" w:eastAsia="Times New Roman" w:hAnsi="Times New Roman" w:cs="Times New Roman"/>
          <w:sz w:val="26"/>
          <w:szCs w:val="26"/>
        </w:rPr>
        <w:t xml:space="preserve"> – 2.0 g Moringa leaf powder</w:t>
      </w:r>
    </w:p>
    <w:p w:rsidR="00A60EFE" w:rsidRPr="003262E4" w:rsidRDefault="00A60EFE" w:rsidP="00A60EFE">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T3</w:t>
      </w:r>
      <w:r w:rsidRPr="003262E4">
        <w:rPr>
          <w:rFonts w:ascii="Times New Roman" w:eastAsia="Times New Roman" w:hAnsi="Times New Roman" w:cs="Times New Roman"/>
          <w:sz w:val="26"/>
          <w:szCs w:val="26"/>
        </w:rPr>
        <w:t xml:space="preserve"> – 3.0 g Moringa leaf powder</w:t>
      </w:r>
    </w:p>
    <w:p w:rsidR="00A60EFE" w:rsidRPr="003262E4" w:rsidRDefault="00A60EFE" w:rsidP="00A60EFE">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T4 (Positive control)</w:t>
      </w:r>
      <w:r w:rsidRPr="003262E4">
        <w:rPr>
          <w:rFonts w:ascii="Times New Roman" w:eastAsia="Times New Roman" w:hAnsi="Times New Roman" w:cs="Times New Roman"/>
          <w:sz w:val="26"/>
          <w:szCs w:val="26"/>
        </w:rPr>
        <w:t xml:space="preserve"> – Synthetic insecticide </w:t>
      </w:r>
    </w:p>
    <w:p w:rsidR="00A60EFE" w:rsidRPr="003262E4" w:rsidRDefault="00A60EFE" w:rsidP="00A60EFE">
      <w:pPr>
        <w:numPr>
          <w:ilvl w:val="0"/>
          <w:numId w:val="3"/>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b/>
          <w:bCs/>
          <w:sz w:val="26"/>
          <w:szCs w:val="26"/>
        </w:rPr>
        <w:t>T5 (Negative control)</w:t>
      </w:r>
      <w:r w:rsidRPr="003262E4">
        <w:rPr>
          <w:rFonts w:ascii="Times New Roman" w:eastAsia="Times New Roman" w:hAnsi="Times New Roman" w:cs="Times New Roman"/>
          <w:sz w:val="26"/>
          <w:szCs w:val="26"/>
        </w:rPr>
        <w:t xml:space="preserve"> – Untreated cowpea grains</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Each treatment was stored in labeled plastic containers under laboratory conditions for 30 days (Gopalakrishnan et al., 2022).</w:t>
      </w:r>
    </w:p>
    <w:p w:rsidR="00A60EFE" w:rsidRPr="003262E4" w:rsidRDefault="00A60EFE" w:rsidP="00A60EFE">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3.5 Preparation of Moringa Leaf Powder</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Fresh Moringa leaves were collected, washed, and shade-dried for 7–10 days to retain bioactive compounds. The dried leaves were ground using a hand grinder and sieved to obtain a fine powder. The powder was stored in airtight containers until use (Adedire</w:t>
      </w:r>
      <w:r w:rsidRPr="003262E4">
        <w:rPr>
          <w:rFonts w:ascii="Times New Roman" w:eastAsia="Times New Roman" w:hAnsi="Times New Roman" w:cs="Times New Roman"/>
          <w:i/>
          <w:sz w:val="26"/>
          <w:szCs w:val="26"/>
        </w:rPr>
        <w:t>et al</w:t>
      </w:r>
      <w:r w:rsidRPr="003262E4">
        <w:rPr>
          <w:rFonts w:ascii="Times New Roman" w:eastAsia="Times New Roman" w:hAnsi="Times New Roman" w:cs="Times New Roman"/>
          <w:sz w:val="26"/>
          <w:szCs w:val="26"/>
        </w:rPr>
        <w:t>., 2019).</w:t>
      </w:r>
    </w:p>
    <w:p w:rsidR="00A60EFE" w:rsidRPr="003262E4" w:rsidRDefault="00A60EFE" w:rsidP="00A60EFE">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3.6 Insect Rearing and Infestation</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Adult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beetles were reared on untreated cowpea grains in plastic containers to ensure a uniform source of test insects. Newly emerged adults (0–48 hours old) were collected for infestation trials (Ofuya&amp;Lale, 2020).</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For the experiment, 20 unsexed adult beetles were introduced into each container containing 100 g of cowpea and left for 48 hours for oviposition before removal (Akinneye</w:t>
      </w:r>
      <w:r w:rsidRPr="003262E4">
        <w:rPr>
          <w:rFonts w:ascii="Times New Roman" w:eastAsia="Times New Roman" w:hAnsi="Times New Roman" w:cs="Times New Roman"/>
          <w:i/>
          <w:sz w:val="26"/>
          <w:szCs w:val="26"/>
        </w:rPr>
        <w:t>et al</w:t>
      </w:r>
      <w:r w:rsidRPr="003262E4">
        <w:rPr>
          <w:rFonts w:ascii="Times New Roman" w:eastAsia="Times New Roman" w:hAnsi="Times New Roman" w:cs="Times New Roman"/>
          <w:sz w:val="26"/>
          <w:szCs w:val="26"/>
        </w:rPr>
        <w:t>., 2022).</w:t>
      </w:r>
    </w:p>
    <w:p w:rsidR="00A60EFE" w:rsidRPr="003262E4" w:rsidRDefault="00A60EFE" w:rsidP="00A60EFE">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 Data Collection</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following parameters were recorded to assess Moringa powder's efficacy:</w:t>
      </w:r>
    </w:p>
    <w:p w:rsidR="00A60EFE" w:rsidRPr="003262E4" w:rsidRDefault="00A60EFE" w:rsidP="00A60EFE">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3.7.1 Adult Mortality</w:t>
      </w:r>
    </w:p>
    <w:p w:rsidR="00A60EFE" w:rsidRPr="003262E4" w:rsidRDefault="00A60EFE" w:rsidP="00A60EFE">
      <w:pPr>
        <w:numPr>
          <w:ilvl w:val="0"/>
          <w:numId w:val="4"/>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Dead beetles were counted at 24, 48, and 72 hours after treatment application.</w:t>
      </w:r>
    </w:p>
    <w:p w:rsidR="00A60EFE" w:rsidRPr="003262E4" w:rsidRDefault="00A60EFE" w:rsidP="00A60EFE">
      <w:pPr>
        <w:numPr>
          <w:ilvl w:val="0"/>
          <w:numId w:val="4"/>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Mortality rates were calculated as: </w:t>
      </w:r>
    </w:p>
    <w:p w:rsidR="00A60EFE" w:rsidRPr="003262E4" w:rsidRDefault="00A60EFE" w:rsidP="00A60EFE">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drawing>
          <wp:inline distT="0" distB="0" distL="0" distR="0">
            <wp:extent cx="5466080" cy="502920"/>
            <wp:effectExtent l="19050" t="0" r="1270" b="0"/>
            <wp:docPr id="13"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3262E4">
        <w:rPr>
          <w:rFonts w:ascii="Times New Roman" w:eastAsia="Times New Roman" w:hAnsi="Times New Roman" w:cs="Times New Roman"/>
          <w:sz w:val="26"/>
          <w:szCs w:val="26"/>
        </w:rPr>
        <w:t>(Baidoo&amp;Mochiah, 2021).</w:t>
      </w:r>
    </w:p>
    <w:p w:rsidR="00A60EFE" w:rsidRPr="003262E4" w:rsidRDefault="00A60EFE" w:rsidP="00A60EFE">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3.7.2 Oviposition and Egg Hatchability</w:t>
      </w:r>
    </w:p>
    <w:p w:rsidR="00A60EFE" w:rsidRPr="003262E4" w:rsidRDefault="00A60EFE" w:rsidP="00A60EFE">
      <w:pPr>
        <w:numPr>
          <w:ilvl w:val="0"/>
          <w:numId w:val="5"/>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The number of eggs laid on cowpea seeds was recorded using a magnifying lens.</w:t>
      </w:r>
    </w:p>
    <w:p w:rsidR="00A60EFE" w:rsidRPr="003262E4" w:rsidRDefault="00A60EFE" w:rsidP="00A60EFE">
      <w:pPr>
        <w:numPr>
          <w:ilvl w:val="0"/>
          <w:numId w:val="5"/>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After 7 days, hatched eggs were counted to determine hatchability rate (Ogendo</w:t>
      </w:r>
      <w:r w:rsidRPr="003262E4">
        <w:rPr>
          <w:rFonts w:ascii="Times New Roman" w:eastAsia="Times New Roman" w:hAnsi="Times New Roman" w:cs="Times New Roman"/>
          <w:i/>
          <w:sz w:val="26"/>
          <w:szCs w:val="26"/>
        </w:rPr>
        <w:t>et al</w:t>
      </w:r>
      <w:r w:rsidRPr="003262E4">
        <w:rPr>
          <w:rFonts w:ascii="Times New Roman" w:eastAsia="Times New Roman" w:hAnsi="Times New Roman" w:cs="Times New Roman"/>
          <w:sz w:val="26"/>
          <w:szCs w:val="26"/>
        </w:rPr>
        <w:t>., 2018).</w:t>
      </w:r>
    </w:p>
    <w:p w:rsidR="00A60EFE" w:rsidRPr="003262E4" w:rsidRDefault="00A60EFE" w:rsidP="00A60EFE">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3.7.3 Seed Damage and Weight Loss</w:t>
      </w:r>
    </w:p>
    <w:p w:rsidR="00A60EFE" w:rsidRPr="003262E4" w:rsidRDefault="00A60EFE" w:rsidP="00A60EFE">
      <w:pPr>
        <w:numPr>
          <w:ilvl w:val="0"/>
          <w:numId w:val="6"/>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After 30 days of storage, the percentage of perforated seeds was determined by visual inspection: </w:t>
      </w:r>
    </w:p>
    <w:p w:rsidR="00A60EFE" w:rsidRPr="003262E4" w:rsidRDefault="00A60EFE" w:rsidP="00A60EFE">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drawing>
          <wp:inline distT="0" distB="0" distL="0" distR="0">
            <wp:extent cx="5815965" cy="478155"/>
            <wp:effectExtent l="19050" t="0" r="0" b="0"/>
            <wp:docPr id="1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A60EFE" w:rsidRPr="003262E4" w:rsidRDefault="00A60EFE" w:rsidP="00A60EFE">
      <w:pPr>
        <w:numPr>
          <w:ilvl w:val="0"/>
          <w:numId w:val="6"/>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Seed weight loss due to infestation was measured using a digital balance: </w:t>
      </w:r>
    </w:p>
    <w:p w:rsidR="00A60EFE" w:rsidRPr="003262E4" w:rsidRDefault="00A60EFE" w:rsidP="00A60EFE">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drawing>
          <wp:inline distT="0" distB="0" distL="0" distR="0">
            <wp:extent cx="5704840" cy="497840"/>
            <wp:effectExtent l="19050" t="0" r="0" b="0"/>
            <wp:docPr id="1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A60EFE" w:rsidRPr="003262E4" w:rsidRDefault="00A60EFE" w:rsidP="00A60EFE">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(Abdullahi et al., 2020).</w:t>
      </w:r>
    </w:p>
    <w:p w:rsidR="00A60EFE" w:rsidRPr="003262E4" w:rsidRDefault="00A60EFE" w:rsidP="00A60EFE">
      <w:pPr>
        <w:spacing w:after="0" w:line="480" w:lineRule="auto"/>
        <w:jc w:val="both"/>
        <w:outlineLvl w:val="3"/>
        <w:rPr>
          <w:rFonts w:ascii="Times New Roman" w:eastAsia="Times New Roman" w:hAnsi="Times New Roman" w:cs="Times New Roman"/>
          <w:b/>
          <w:bCs/>
          <w:sz w:val="26"/>
          <w:szCs w:val="26"/>
        </w:rPr>
      </w:pPr>
    </w:p>
    <w:p w:rsidR="00A60EFE" w:rsidRPr="003262E4" w:rsidRDefault="00A60EFE" w:rsidP="00A60EFE">
      <w:pPr>
        <w:spacing w:after="0" w:line="480" w:lineRule="auto"/>
        <w:jc w:val="both"/>
        <w:outlineLvl w:val="3"/>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3.7.4 Seed Viability (Germination Test)</w:t>
      </w:r>
    </w:p>
    <w:p w:rsidR="00A60EFE" w:rsidRPr="003262E4" w:rsidRDefault="00A60EFE" w:rsidP="00A60EFE">
      <w:pPr>
        <w:numPr>
          <w:ilvl w:val="0"/>
          <w:numId w:val="7"/>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Cowpea seeds from each treatment were subjected to a germination test using the paper towel method.</w:t>
      </w:r>
    </w:p>
    <w:p w:rsidR="00A60EFE" w:rsidRPr="003262E4" w:rsidRDefault="00A60EFE" w:rsidP="00A60EFE">
      <w:pPr>
        <w:numPr>
          <w:ilvl w:val="0"/>
          <w:numId w:val="7"/>
        </w:num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Germination percentage was calculated as: </w:t>
      </w:r>
    </w:p>
    <w:p w:rsidR="00A60EFE" w:rsidRPr="003262E4" w:rsidRDefault="00A60EFE" w:rsidP="00A60EFE">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noProof/>
          <w:sz w:val="26"/>
          <w:szCs w:val="26"/>
        </w:rPr>
        <w:drawing>
          <wp:inline distT="0" distB="0" distL="0" distR="0">
            <wp:extent cx="5624830" cy="467995"/>
            <wp:effectExtent l="19050" t="0" r="0" b="0"/>
            <wp:docPr id="1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A60EFE" w:rsidRDefault="00A60EFE" w:rsidP="00A60EFE">
      <w:pPr>
        <w:spacing w:after="0" w:line="480" w:lineRule="auto"/>
        <w:ind w:left="720"/>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 (Gopalakrishnan et al., 2022).</w:t>
      </w:r>
    </w:p>
    <w:p w:rsidR="00A60EFE" w:rsidRDefault="00A60EFE" w:rsidP="00A60EFE">
      <w:pPr>
        <w:spacing w:after="0" w:line="480" w:lineRule="auto"/>
        <w:ind w:left="720"/>
        <w:jc w:val="both"/>
        <w:rPr>
          <w:rFonts w:ascii="Times New Roman" w:eastAsia="Times New Roman" w:hAnsi="Times New Roman" w:cs="Times New Roman"/>
          <w:sz w:val="26"/>
          <w:szCs w:val="26"/>
        </w:rPr>
      </w:pPr>
    </w:p>
    <w:p w:rsidR="00A60EFE" w:rsidRPr="003262E4" w:rsidRDefault="00A60EFE" w:rsidP="00A60EFE">
      <w:pPr>
        <w:spacing w:after="0" w:line="480" w:lineRule="auto"/>
        <w:ind w:left="720"/>
        <w:jc w:val="both"/>
        <w:rPr>
          <w:rFonts w:ascii="Times New Roman" w:eastAsia="Times New Roman" w:hAnsi="Times New Roman" w:cs="Times New Roman"/>
          <w:sz w:val="26"/>
          <w:szCs w:val="26"/>
        </w:rPr>
      </w:pPr>
    </w:p>
    <w:p w:rsidR="00A60EFE" w:rsidRPr="003262E4" w:rsidRDefault="00A60EFE" w:rsidP="00A60EFE">
      <w:pPr>
        <w:spacing w:after="0" w:line="480" w:lineRule="auto"/>
        <w:jc w:val="both"/>
        <w:outlineLvl w:val="2"/>
        <w:rPr>
          <w:rFonts w:ascii="Times New Roman" w:eastAsia="Times New Roman" w:hAnsi="Times New Roman" w:cs="Times New Roman"/>
          <w:b/>
          <w:bCs/>
          <w:sz w:val="26"/>
          <w:szCs w:val="26"/>
        </w:rPr>
      </w:pPr>
      <w:r w:rsidRPr="003262E4">
        <w:rPr>
          <w:rFonts w:ascii="Times New Roman" w:eastAsia="Times New Roman" w:hAnsi="Times New Roman" w:cs="Times New Roman"/>
          <w:b/>
          <w:bCs/>
          <w:sz w:val="26"/>
          <w:szCs w:val="26"/>
        </w:rPr>
        <w:t>3.8 Data Analysis</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3262E4">
        <w:rPr>
          <w:rFonts w:ascii="Times New Roman" w:eastAsia="Times New Roman" w:hAnsi="Times New Roman" w:cs="Times New Roman"/>
          <w:i/>
          <w:iCs/>
          <w:sz w:val="26"/>
          <w:szCs w:val="26"/>
        </w:rPr>
        <w:t>p</w:t>
      </w:r>
      <w:r w:rsidRPr="003262E4">
        <w:rPr>
          <w:rFonts w:ascii="Times New Roman" w:eastAsia="Times New Roman" w:hAnsi="Times New Roman" w:cs="Times New Roman"/>
          <w:sz w:val="26"/>
          <w:szCs w:val="26"/>
        </w:rPr>
        <w:t>&lt; 0.05) (Mbata et al., 2021).</w:t>
      </w:r>
    </w:p>
    <w:p w:rsidR="00A60EFE" w:rsidRPr="003262E4" w:rsidRDefault="00A60EFE" w:rsidP="00A60EFE">
      <w:pPr>
        <w:spacing w:line="480" w:lineRule="auto"/>
        <w:jc w:val="both"/>
        <w:rPr>
          <w:rFonts w:ascii="Times New Roman" w:hAnsi="Times New Roman" w:cs="Times New Roman"/>
          <w:sz w:val="26"/>
          <w:szCs w:val="26"/>
        </w:rPr>
      </w:pPr>
    </w:p>
    <w:p w:rsidR="00A60EFE" w:rsidRPr="003262E4" w:rsidRDefault="00A60EFE" w:rsidP="00A60EFE">
      <w:pPr>
        <w:spacing w:line="480" w:lineRule="auto"/>
        <w:rPr>
          <w:rFonts w:ascii="Times New Roman" w:hAnsi="Times New Roman" w:cs="Times New Roman"/>
          <w:sz w:val="26"/>
          <w:szCs w:val="26"/>
        </w:rPr>
      </w:pPr>
      <w:r w:rsidRPr="003262E4">
        <w:rPr>
          <w:rFonts w:ascii="Times New Roman" w:hAnsi="Times New Roman" w:cs="Times New Roman"/>
          <w:sz w:val="26"/>
          <w:szCs w:val="26"/>
        </w:rPr>
        <w:br w:type="page"/>
      </w:r>
    </w:p>
    <w:p w:rsidR="00A60EFE" w:rsidRPr="003262E4" w:rsidRDefault="00A60EFE" w:rsidP="00A60EFE">
      <w:pPr>
        <w:spacing w:line="480" w:lineRule="auto"/>
        <w:jc w:val="center"/>
        <w:rPr>
          <w:rFonts w:ascii="Times New Roman" w:eastAsiaTheme="minorEastAsia" w:hAnsi="Times New Roman" w:cs="Times New Roman"/>
          <w:b/>
          <w:sz w:val="26"/>
          <w:szCs w:val="26"/>
        </w:rPr>
      </w:pPr>
      <w:r w:rsidRPr="003262E4">
        <w:rPr>
          <w:rFonts w:ascii="Times New Roman" w:eastAsiaTheme="minorEastAsia" w:hAnsi="Times New Roman" w:cs="Times New Roman"/>
          <w:b/>
          <w:sz w:val="26"/>
          <w:szCs w:val="26"/>
        </w:rPr>
        <w:t>CHAPTER FOUR</w:t>
      </w:r>
    </w:p>
    <w:p w:rsidR="00A60EFE" w:rsidRPr="003262E4" w:rsidRDefault="00A60EFE" w:rsidP="00A60EFE">
      <w:pPr>
        <w:spacing w:line="480" w:lineRule="auto"/>
        <w:jc w:val="center"/>
        <w:rPr>
          <w:rFonts w:ascii="Times New Roman" w:eastAsiaTheme="minorEastAsia" w:hAnsi="Times New Roman" w:cs="Times New Roman"/>
          <w:b/>
          <w:sz w:val="26"/>
          <w:szCs w:val="26"/>
        </w:rPr>
      </w:pPr>
      <w:r w:rsidRPr="003262E4">
        <w:rPr>
          <w:rFonts w:ascii="Times New Roman" w:eastAsiaTheme="minorEastAsia" w:hAnsi="Times New Roman" w:cs="Times New Roman"/>
          <w:b/>
          <w:sz w:val="26"/>
          <w:szCs w:val="26"/>
        </w:rPr>
        <w:t xml:space="preserve">RESULTS </w:t>
      </w:r>
    </w:p>
    <w:p w:rsidR="00A60EFE" w:rsidRPr="003262E4" w:rsidRDefault="00A60EFE" w:rsidP="00A60EFE">
      <w:pPr>
        <w:spacing w:line="480" w:lineRule="auto"/>
        <w:jc w:val="both"/>
        <w:rPr>
          <w:rFonts w:ascii="Times New Roman" w:eastAsia="Times New Roman" w:hAnsi="Times New Roman" w:cs="Times New Roman"/>
          <w:sz w:val="26"/>
          <w:szCs w:val="26"/>
        </w:rPr>
      </w:pPr>
      <w:r w:rsidRPr="003262E4">
        <w:rPr>
          <w:rFonts w:ascii="Times New Roman" w:eastAsiaTheme="minorEastAsia" w:hAnsi="Times New Roman" w:cs="Times New Roman"/>
          <w:sz w:val="26"/>
          <w:szCs w:val="26"/>
        </w:rPr>
        <w:t xml:space="preserve">The Table 1 below is showing the results of cowpea treated with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an experiment conducted at the Crop garden of the Department of Agricultural Technology, Kwara State Polytechnic, Ilorin.</w:t>
      </w:r>
    </w:p>
    <w:p w:rsidR="00A60EFE" w:rsidRPr="003262E4" w:rsidRDefault="00A60EFE" w:rsidP="00A60EFE">
      <w:pPr>
        <w:spacing w:line="480" w:lineRule="auto"/>
        <w:jc w:val="both"/>
        <w:rPr>
          <w:rFonts w:ascii="Times New Roman" w:eastAsia="Times New Roman" w:hAnsi="Times New Roman" w:cs="Times New Roman"/>
          <w:sz w:val="26"/>
          <w:szCs w:val="26"/>
        </w:rPr>
      </w:pPr>
      <w:bookmarkStart w:id="0" w:name="_heading=h.4i7ojhp" w:colFirst="0" w:colLast="0"/>
      <w:bookmarkEnd w:id="0"/>
      <w:r w:rsidRPr="003262E4">
        <w:rPr>
          <w:rFonts w:ascii="Times New Roman" w:eastAsia="Times New Roman" w:hAnsi="Times New Roman" w:cs="Times New Roman"/>
          <w:sz w:val="26"/>
          <w:szCs w:val="26"/>
        </w:rPr>
        <w:t xml:space="preserve">Table 1: Number of eggs and holes in cowpea treated with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at the Crop Garden</w:t>
      </w:r>
    </w:p>
    <w:p w:rsidR="00A60EFE" w:rsidRPr="003262E4" w:rsidRDefault="00A60EFE" w:rsidP="00A60EFE">
      <w:pPr>
        <w:spacing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of the Department of Agricultural Technology, Kwara State Polytechnic, Ilorin</w:t>
      </w:r>
    </w:p>
    <w:tbl>
      <w:tblPr>
        <w:tblW w:w="15361" w:type="dxa"/>
        <w:tblLook w:val="04A0"/>
      </w:tblPr>
      <w:tblGrid>
        <w:gridCol w:w="2201"/>
        <w:gridCol w:w="2935"/>
        <w:gridCol w:w="2271"/>
        <w:gridCol w:w="7034"/>
        <w:gridCol w:w="222"/>
        <w:gridCol w:w="222"/>
        <w:gridCol w:w="222"/>
        <w:gridCol w:w="222"/>
        <w:gridCol w:w="222"/>
        <w:gridCol w:w="222"/>
        <w:gridCol w:w="222"/>
        <w:gridCol w:w="222"/>
        <w:gridCol w:w="222"/>
        <w:gridCol w:w="222"/>
      </w:tblGrid>
      <w:tr w:rsidR="00A60EFE" w:rsidRPr="003262E4" w:rsidTr="00201BC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No of Holes</w:t>
            </w:r>
          </w:p>
        </w:tc>
      </w:tr>
      <w:tr w:rsidR="00A60EFE" w:rsidRPr="003262E4" w:rsidTr="00201BC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1.0g</w:t>
            </w:r>
          </w:p>
        </w:tc>
        <w:tc>
          <w:tcPr>
            <w:tcW w:w="2935" w:type="dxa"/>
            <w:tcBorders>
              <w:top w:val="single" w:sz="4" w:space="0" w:color="auto"/>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16.48 ± 2.16c</w:t>
            </w:r>
          </w:p>
        </w:tc>
        <w:tc>
          <w:tcPr>
            <w:tcW w:w="2271"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16.87 ± 0.17b</w:t>
            </w:r>
          </w:p>
        </w:tc>
      </w:tr>
      <w:tr w:rsidR="00A60EFE" w:rsidRPr="003262E4" w:rsidTr="00201BC1">
        <w:trPr>
          <w:gridAfter w:val="11"/>
          <w:wAfter w:w="7954" w:type="dxa"/>
          <w:trHeight w:val="708"/>
        </w:trPr>
        <w:tc>
          <w:tcPr>
            <w:tcW w:w="2201" w:type="dxa"/>
            <w:tcBorders>
              <w:top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2.0g</w:t>
            </w:r>
          </w:p>
        </w:tc>
        <w:tc>
          <w:tcPr>
            <w:tcW w:w="2935"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11.57 ± 1.19b</w:t>
            </w:r>
          </w:p>
        </w:tc>
        <w:tc>
          <w:tcPr>
            <w:tcW w:w="2271"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13.54 ± 0.09b</w:t>
            </w:r>
          </w:p>
        </w:tc>
      </w:tr>
      <w:tr w:rsidR="00A60EFE" w:rsidRPr="003262E4" w:rsidTr="00201BC1">
        <w:trPr>
          <w:gridAfter w:val="11"/>
          <w:wAfter w:w="7954" w:type="dxa"/>
          <w:trHeight w:val="708"/>
        </w:trPr>
        <w:tc>
          <w:tcPr>
            <w:tcW w:w="2201" w:type="dxa"/>
            <w:tcBorders>
              <w:top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3.0g</w:t>
            </w:r>
          </w:p>
        </w:tc>
        <w:tc>
          <w:tcPr>
            <w:tcW w:w="2935"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5.82 ± 1.76a</w:t>
            </w:r>
          </w:p>
        </w:tc>
        <w:tc>
          <w:tcPr>
            <w:tcW w:w="2271"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5.98 ± 0.23a</w:t>
            </w:r>
          </w:p>
        </w:tc>
      </w:tr>
      <w:tr w:rsidR="00A60EFE" w:rsidRPr="003262E4" w:rsidTr="00201BC1">
        <w:trPr>
          <w:gridAfter w:val="11"/>
          <w:wAfter w:w="7954" w:type="dxa"/>
          <w:trHeight w:val="708"/>
        </w:trPr>
        <w:tc>
          <w:tcPr>
            <w:tcW w:w="2201" w:type="dxa"/>
            <w:tcBorders>
              <w:top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Control</w:t>
            </w:r>
          </w:p>
        </w:tc>
        <w:tc>
          <w:tcPr>
            <w:tcW w:w="2935" w:type="dxa"/>
            <w:tcBorders>
              <w:top w:val="nil"/>
              <w:left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26.59 ± 4.65d</w:t>
            </w:r>
          </w:p>
        </w:tc>
        <w:tc>
          <w:tcPr>
            <w:tcW w:w="2271"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17.56 ± 0.54b</w:t>
            </w:r>
          </w:p>
        </w:tc>
      </w:tr>
      <w:tr w:rsidR="00A60EFE" w:rsidRPr="003262E4" w:rsidTr="00201BC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Syn</w:t>
            </w:r>
          </w:p>
        </w:tc>
        <w:tc>
          <w:tcPr>
            <w:tcW w:w="2935" w:type="dxa"/>
            <w:tcBorders>
              <w:top w:val="nil"/>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3.98 ± 1.06 a</w:t>
            </w:r>
          </w:p>
        </w:tc>
        <w:tc>
          <w:tcPr>
            <w:tcW w:w="2271" w:type="dxa"/>
            <w:tcBorders>
              <w:top w:val="nil"/>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3.16 ± 0.08a</w:t>
            </w:r>
          </w:p>
        </w:tc>
      </w:tr>
      <w:tr w:rsidR="00A60EFE" w:rsidRPr="003262E4" w:rsidTr="00201BC1">
        <w:trPr>
          <w:trHeight w:val="315"/>
        </w:trPr>
        <w:tc>
          <w:tcPr>
            <w:tcW w:w="15361" w:type="dxa"/>
            <w:gridSpan w:val="14"/>
            <w:tcBorders>
              <w:top w:val="nil"/>
              <w:left w:val="nil"/>
              <w:bottom w:val="nil"/>
              <w:right w:val="nil"/>
            </w:tcBorders>
            <w:shd w:val="clear" w:color="auto" w:fill="auto"/>
            <w:noWrap/>
            <w:vAlign w:val="center"/>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Means in a column followed by the same letter(s) are not significantly different</w:t>
            </w:r>
          </w:p>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 xml:space="preserve">at p &gt; 0.05 using Duncan Multiple Range Test (DMRT). Values are means ± S. E. </w:t>
            </w:r>
          </w:p>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of 3 replicates</w:t>
            </w:r>
          </w:p>
        </w:tc>
      </w:tr>
      <w:tr w:rsidR="00A60EFE" w:rsidRPr="003262E4" w:rsidTr="00201BC1">
        <w:trPr>
          <w:trHeight w:val="315"/>
        </w:trPr>
        <w:tc>
          <w:tcPr>
            <w:tcW w:w="14441" w:type="dxa"/>
            <w:gridSpan w:val="4"/>
            <w:tcBorders>
              <w:top w:val="nil"/>
              <w:left w:val="nil"/>
              <w:bottom w:val="nil"/>
              <w:right w:val="nil"/>
            </w:tcBorders>
            <w:shd w:val="clear" w:color="auto" w:fill="auto"/>
            <w:noWrap/>
            <w:vAlign w:val="center"/>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c>
          <w:tcPr>
            <w:tcW w:w="92"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sz w:val="26"/>
                <w:szCs w:val="26"/>
              </w:rPr>
            </w:pPr>
          </w:p>
        </w:tc>
      </w:tr>
    </w:tbl>
    <w:p w:rsidR="00A60EFE" w:rsidRPr="003262E4" w:rsidRDefault="00A60EFE" w:rsidP="00A60EFE">
      <w:pPr>
        <w:spacing w:line="480" w:lineRule="auto"/>
        <w:rPr>
          <w:rFonts w:ascii="Times New Roman" w:eastAsia="Times New Roman" w:hAnsi="Times New Roman" w:cs="Times New Roman"/>
          <w:b/>
          <w:sz w:val="26"/>
          <w:szCs w:val="26"/>
        </w:rPr>
      </w:pPr>
      <w:bookmarkStart w:id="1" w:name="_heading=h.2xcytpi" w:colFirst="0" w:colLast="0"/>
      <w:bookmarkEnd w:id="1"/>
    </w:p>
    <w:p w:rsidR="00A60EFE" w:rsidRPr="003262E4" w:rsidRDefault="00A60EFE" w:rsidP="00A60EFE">
      <w:pPr>
        <w:spacing w:line="480" w:lineRule="auto"/>
        <w:jc w:val="both"/>
        <w:rPr>
          <w:rFonts w:ascii="Times New Roman" w:eastAsiaTheme="minorEastAsia" w:hAnsi="Times New Roman" w:cs="Times New Roman"/>
          <w:sz w:val="26"/>
          <w:szCs w:val="26"/>
        </w:rPr>
      </w:pPr>
      <w:r w:rsidRPr="003262E4">
        <w:rPr>
          <w:rFonts w:ascii="Times New Roman" w:eastAsiaTheme="minorEastAsia" w:hAnsi="Times New Roman" w:cs="Times New Roman"/>
          <w:sz w:val="26"/>
          <w:szCs w:val="26"/>
        </w:rPr>
        <w:t xml:space="preserve">The Table 2 is showing the percentage of mortality and weight loss of cowpea treated with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an experiment conducted at the Crop garden of the Department of Agricultural Technology, Kwara State Polytechnic, Ilorin</w:t>
      </w:r>
      <w:r w:rsidRPr="003262E4">
        <w:rPr>
          <w:rFonts w:ascii="Times New Roman" w:eastAsiaTheme="minorEastAsia" w:hAnsi="Times New Roman" w:cs="Times New Roman"/>
          <w:sz w:val="26"/>
          <w:szCs w:val="26"/>
        </w:rPr>
        <w:t>.</w:t>
      </w:r>
    </w:p>
    <w:p w:rsidR="00A60EFE" w:rsidRPr="003262E4" w:rsidRDefault="00A60EFE" w:rsidP="00A60EFE">
      <w:pPr>
        <w:spacing w:after="0" w:line="480" w:lineRule="auto"/>
        <w:jc w:val="both"/>
        <w:rPr>
          <w:rFonts w:ascii="Times New Roman" w:eastAsia="Times New Roman" w:hAnsi="Times New Roman" w:cs="Times New Roman"/>
          <w:i/>
          <w:sz w:val="26"/>
          <w:szCs w:val="26"/>
        </w:rPr>
      </w:pPr>
      <w:r w:rsidRPr="003262E4">
        <w:rPr>
          <w:rFonts w:ascii="Times New Roman" w:eastAsia="Times New Roman" w:hAnsi="Times New Roman" w:cs="Times New Roman"/>
          <w:sz w:val="26"/>
          <w:szCs w:val="26"/>
        </w:rPr>
        <w:t xml:space="preserve">Table 2: Percentage mortality and weight loss in cowpea treated with </w:t>
      </w:r>
      <w:r w:rsidRPr="003262E4">
        <w:rPr>
          <w:rFonts w:ascii="Times New Roman" w:eastAsia="Times New Roman" w:hAnsi="Times New Roman" w:cs="Times New Roman"/>
          <w:i/>
          <w:sz w:val="26"/>
          <w:szCs w:val="26"/>
        </w:rPr>
        <w:t>Moringaoleifera</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at the Crop Garden of the Department of Agricultural Technology, Kwara State Polytechnic,</w:t>
      </w:r>
    </w:p>
    <w:p w:rsidR="00A60EFE" w:rsidRPr="003262E4" w:rsidRDefault="00A60EFE" w:rsidP="00A60EFE">
      <w:pPr>
        <w:spacing w:after="0"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Ilorin</w:t>
      </w:r>
    </w:p>
    <w:tbl>
      <w:tblPr>
        <w:tblW w:w="7861" w:type="dxa"/>
        <w:tblLook w:val="04A0"/>
      </w:tblPr>
      <w:tblGrid>
        <w:gridCol w:w="2336"/>
        <w:gridCol w:w="3115"/>
        <w:gridCol w:w="2410"/>
      </w:tblGrid>
      <w:tr w:rsidR="00A60EFE" w:rsidRPr="003262E4" w:rsidTr="00201BC1">
        <w:trPr>
          <w:trHeight w:val="490"/>
        </w:trPr>
        <w:tc>
          <w:tcPr>
            <w:tcW w:w="2336" w:type="dxa"/>
            <w:tcBorders>
              <w:top w:val="single" w:sz="4" w:space="0" w:color="auto"/>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Weight loss (%)</w:t>
            </w:r>
          </w:p>
        </w:tc>
      </w:tr>
      <w:tr w:rsidR="00A60EFE" w:rsidRPr="003262E4" w:rsidTr="00201BC1">
        <w:trPr>
          <w:trHeight w:val="514"/>
        </w:trPr>
        <w:tc>
          <w:tcPr>
            <w:tcW w:w="2336" w:type="dxa"/>
            <w:tcBorders>
              <w:top w:val="single" w:sz="4" w:space="0" w:color="auto"/>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1.0g</w:t>
            </w:r>
          </w:p>
        </w:tc>
        <w:tc>
          <w:tcPr>
            <w:tcW w:w="3115"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10.09 ± 0.15a</w:t>
            </w:r>
          </w:p>
        </w:tc>
        <w:tc>
          <w:tcPr>
            <w:tcW w:w="2410"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69.34± 8.34c</w:t>
            </w:r>
          </w:p>
        </w:tc>
      </w:tr>
      <w:tr w:rsidR="00A60EFE" w:rsidRPr="003262E4" w:rsidTr="00201BC1">
        <w:trPr>
          <w:trHeight w:val="490"/>
        </w:trPr>
        <w:tc>
          <w:tcPr>
            <w:tcW w:w="2336" w:type="dxa"/>
            <w:tcBorders>
              <w:top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2.0g</w:t>
            </w:r>
          </w:p>
        </w:tc>
        <w:tc>
          <w:tcPr>
            <w:tcW w:w="3115"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55.08 ± 5.78b</w:t>
            </w:r>
          </w:p>
        </w:tc>
        <w:tc>
          <w:tcPr>
            <w:tcW w:w="2410"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53.3b ± 3.98b</w:t>
            </w:r>
          </w:p>
        </w:tc>
      </w:tr>
      <w:tr w:rsidR="00A60EFE" w:rsidRPr="003262E4" w:rsidTr="00201BC1">
        <w:trPr>
          <w:trHeight w:val="490"/>
        </w:trPr>
        <w:tc>
          <w:tcPr>
            <w:tcW w:w="2336" w:type="dxa"/>
            <w:tcBorders>
              <w:top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3.0g</w:t>
            </w:r>
          </w:p>
        </w:tc>
        <w:tc>
          <w:tcPr>
            <w:tcW w:w="3115"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75.98 ± 9.49c</w:t>
            </w:r>
          </w:p>
        </w:tc>
        <w:tc>
          <w:tcPr>
            <w:tcW w:w="2410"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10.62 ± 0.93a</w:t>
            </w:r>
          </w:p>
        </w:tc>
      </w:tr>
      <w:tr w:rsidR="00A60EFE" w:rsidRPr="003262E4" w:rsidTr="00201BC1">
        <w:trPr>
          <w:trHeight w:val="490"/>
        </w:trPr>
        <w:tc>
          <w:tcPr>
            <w:tcW w:w="2336" w:type="dxa"/>
            <w:tcBorders>
              <w:top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Control</w:t>
            </w:r>
          </w:p>
        </w:tc>
        <w:tc>
          <w:tcPr>
            <w:tcW w:w="3115" w:type="dxa"/>
            <w:tcBorders>
              <w:top w:val="nil"/>
              <w:left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10.28 ± 2.75a</w:t>
            </w:r>
          </w:p>
        </w:tc>
        <w:tc>
          <w:tcPr>
            <w:tcW w:w="2410" w:type="dxa"/>
            <w:tcBorders>
              <w:top w:val="nil"/>
              <w:left w:val="nil"/>
              <w:bottom w:val="nil"/>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8.43 ± 4.56c</w:t>
            </w:r>
          </w:p>
        </w:tc>
      </w:tr>
      <w:tr w:rsidR="00A60EFE" w:rsidRPr="003262E4" w:rsidTr="00201BC1">
        <w:trPr>
          <w:trHeight w:val="514"/>
        </w:trPr>
        <w:tc>
          <w:tcPr>
            <w:tcW w:w="2336" w:type="dxa"/>
            <w:tcBorders>
              <w:top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Syn.</w:t>
            </w:r>
          </w:p>
        </w:tc>
        <w:tc>
          <w:tcPr>
            <w:tcW w:w="3115" w:type="dxa"/>
            <w:tcBorders>
              <w:top w:val="nil"/>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78.16 ± 3.94c</w:t>
            </w:r>
          </w:p>
        </w:tc>
        <w:tc>
          <w:tcPr>
            <w:tcW w:w="2410" w:type="dxa"/>
            <w:tcBorders>
              <w:top w:val="nil"/>
              <w:left w:val="nil"/>
              <w:bottom w:val="single" w:sz="4" w:space="0" w:color="auto"/>
              <w:right w:val="nil"/>
            </w:tcBorders>
            <w:shd w:val="clear" w:color="auto" w:fill="auto"/>
            <w:noWrap/>
            <w:vAlign w:val="bottom"/>
            <w:hideMark/>
          </w:tcPr>
          <w:p w:rsidR="00A60EFE" w:rsidRPr="003262E4" w:rsidRDefault="00A60EFE" w:rsidP="00201BC1">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9.25 ± 0.32a</w:t>
            </w:r>
          </w:p>
        </w:tc>
      </w:tr>
    </w:tbl>
    <w:p w:rsidR="00A60EFE" w:rsidRPr="003262E4" w:rsidRDefault="00A60EFE" w:rsidP="00A60EFE">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Means in a column followed by the same letter(s) are not significantly different</w:t>
      </w:r>
    </w:p>
    <w:p w:rsidR="00A60EFE" w:rsidRPr="003262E4" w:rsidRDefault="00A60EFE" w:rsidP="00A60EFE">
      <w:pPr>
        <w:spacing w:after="0" w:line="480" w:lineRule="auto"/>
        <w:rPr>
          <w:rFonts w:ascii="Times New Roman" w:eastAsia="Times New Roman" w:hAnsi="Times New Roman" w:cs="Times New Roman"/>
          <w:color w:val="000000"/>
          <w:sz w:val="26"/>
          <w:szCs w:val="26"/>
        </w:rPr>
      </w:pPr>
      <w:r w:rsidRPr="003262E4">
        <w:rPr>
          <w:rFonts w:ascii="Times New Roman" w:eastAsia="Times New Roman" w:hAnsi="Times New Roman" w:cs="Times New Roman"/>
          <w:color w:val="000000"/>
          <w:sz w:val="26"/>
          <w:szCs w:val="26"/>
        </w:rPr>
        <w:t xml:space="preserve">at p &gt; 0.05 using Duncan Multiple Range Test (DMRT). Values are means ± S. E. </w:t>
      </w:r>
    </w:p>
    <w:p w:rsidR="00A60EFE" w:rsidRPr="003262E4" w:rsidRDefault="00A60EFE" w:rsidP="00A60EFE">
      <w:pPr>
        <w:pBdr>
          <w:top w:val="nil"/>
          <w:left w:val="nil"/>
          <w:bottom w:val="nil"/>
          <w:right w:val="nil"/>
          <w:between w:val="nil"/>
        </w:pBdr>
        <w:spacing w:line="480" w:lineRule="auto"/>
        <w:rPr>
          <w:rFonts w:ascii="Times New Roman" w:eastAsia="Times New Roman" w:hAnsi="Times New Roman" w:cs="Times New Roman"/>
          <w:b/>
          <w:sz w:val="26"/>
          <w:szCs w:val="26"/>
        </w:rPr>
      </w:pPr>
      <w:r w:rsidRPr="003262E4">
        <w:rPr>
          <w:rFonts w:ascii="Times New Roman" w:eastAsia="Times New Roman" w:hAnsi="Times New Roman" w:cs="Times New Roman"/>
          <w:color w:val="000000"/>
          <w:sz w:val="26"/>
          <w:szCs w:val="26"/>
        </w:rPr>
        <w:t>of 3 replicates</w:t>
      </w:r>
    </w:p>
    <w:p w:rsidR="00A60EFE" w:rsidRPr="003262E4" w:rsidRDefault="00A60EFE" w:rsidP="00A60EFE">
      <w:pPr>
        <w:spacing w:line="480" w:lineRule="auto"/>
        <w:rPr>
          <w:rFonts w:ascii="Times New Roman" w:hAnsi="Times New Roman" w:cs="Times New Roman"/>
          <w:sz w:val="26"/>
          <w:szCs w:val="26"/>
        </w:rPr>
      </w:pPr>
    </w:p>
    <w:p w:rsidR="00A60EFE" w:rsidRPr="003262E4" w:rsidRDefault="00A60EFE" w:rsidP="00A60EFE">
      <w:pPr>
        <w:spacing w:line="480" w:lineRule="auto"/>
        <w:jc w:val="center"/>
        <w:rPr>
          <w:rFonts w:ascii="Times New Roman" w:hAnsi="Times New Roman" w:cs="Times New Roman"/>
          <w:b/>
          <w:sz w:val="26"/>
          <w:szCs w:val="26"/>
        </w:rPr>
      </w:pPr>
      <w:r w:rsidRPr="003262E4">
        <w:rPr>
          <w:rFonts w:ascii="Times New Roman" w:hAnsi="Times New Roman" w:cs="Times New Roman"/>
          <w:b/>
          <w:sz w:val="26"/>
          <w:szCs w:val="26"/>
        </w:rPr>
        <w:t>CHAPTER FIVE</w:t>
      </w:r>
    </w:p>
    <w:p w:rsidR="00A60EFE" w:rsidRPr="003262E4" w:rsidRDefault="00A60EFE" w:rsidP="00A60EFE">
      <w:pPr>
        <w:spacing w:line="480" w:lineRule="auto"/>
        <w:jc w:val="center"/>
        <w:rPr>
          <w:rFonts w:ascii="Times New Roman" w:hAnsi="Times New Roman" w:cs="Times New Roman"/>
          <w:b/>
          <w:sz w:val="26"/>
          <w:szCs w:val="26"/>
        </w:rPr>
      </w:pPr>
      <w:r w:rsidRPr="003262E4">
        <w:rPr>
          <w:rFonts w:ascii="Times New Roman" w:hAnsi="Times New Roman" w:cs="Times New Roman"/>
          <w:b/>
          <w:sz w:val="26"/>
          <w:szCs w:val="26"/>
        </w:rPr>
        <w:t>DISCUSSION AND CONCLUSION</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Table 1 shows that increasing the concentration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significantly reduced the number of eggs laid and holes made by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 cowpea. The control group recorded the highest number of eggs (26.59 ± 4.65) and seed perforations (17.56 ± 0.54), indicating heavy infestation due to the absence of treatment.</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In contrast, the 3.0g </w:t>
      </w:r>
      <w:r w:rsidRPr="003262E4">
        <w:rPr>
          <w:rFonts w:ascii="Times New Roman" w:eastAsia="Times New Roman" w:hAnsi="Times New Roman" w:cs="Times New Roman"/>
          <w:i/>
          <w:iCs/>
          <w:sz w:val="26"/>
          <w:szCs w:val="26"/>
        </w:rPr>
        <w:t>Moringa</w:t>
      </w:r>
      <w:r w:rsidRPr="003262E4">
        <w:rPr>
          <w:rFonts w:ascii="Times New Roman" w:eastAsia="Times New Roman" w:hAnsi="Times New Roman" w:cs="Times New Roman"/>
          <w:sz w:val="26"/>
          <w:szCs w:val="26"/>
        </w:rPr>
        <w:t xml:space="preserve"> treatment significantly suppressed oviposition and feeding, reducing the number of eggs and holes to 5.82 ± 1.76 and 5.98 ± 0.23, respectively. This effectiveness was comparable to the synthetic insecticide (3.98 ± 1.06 eggs and 3.16 ± 0.08 holes), though not statistically different (p &gt; 0.05).</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The efficacy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is attributed to its bioactive phytochemicals such as tannins, alkaloids, flavonoids, and saponins, which are known to possess insecticidal, repellent, and antifeedant properties that interfere with the reproductive behavior and development of insects (Nikkon et al., 2003; Ghosh, 2014).</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Table 2 reveals that adult mortality of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increased with rising concentrations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The 3.0g treatment and synthetic insecticide (Syn) showed the highest mortality rates—75.98 ± 9.49% and 78.16 ± 3.94%, respectively—indicating strong insecticidal activity. Conversely, the 1.0g dose (10.09 ± 0.15%) and control (10.28 ± 2.75%) showed minimal effects, signifying ineffectiveness at low concentrations.</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Weight loss due to bruchid feeding was inversely related to mortality: the highest weight loss occurred in the control (86.43 ± 4.56%) and 1.0g treatment (69.34 ± 8.34%), while the lowest occurred in the 3.0g </w:t>
      </w:r>
      <w:r w:rsidRPr="003262E4">
        <w:rPr>
          <w:rFonts w:ascii="Times New Roman" w:eastAsia="Times New Roman" w:hAnsi="Times New Roman" w:cs="Times New Roman"/>
          <w:i/>
          <w:iCs/>
          <w:sz w:val="26"/>
          <w:szCs w:val="26"/>
        </w:rPr>
        <w:t>Moringa</w:t>
      </w:r>
      <w:r w:rsidRPr="003262E4">
        <w:rPr>
          <w:rFonts w:ascii="Times New Roman" w:eastAsia="Times New Roman" w:hAnsi="Times New Roman" w:cs="Times New Roman"/>
          <w:sz w:val="26"/>
          <w:szCs w:val="26"/>
        </w:rPr>
        <w:t xml:space="preserve"> treatment (10.62 ± 0.93%) and synthetic insecticide (9.25 ± 0.32%).These results indicate that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not only reduces infestation and bruchid emergence but also protects grain integrity by minimizing seed damage and nutrient loss. This aligns with previous findings by Adedire et al. (2011) and Oladejo et al. (2020), who confirmed the potential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in protecting stored legumes from insect pests.</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Recommendations</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From the findings in Tables 1 and 2, it can be concluded that:</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iCs/>
          <w:sz w:val="26"/>
          <w:szCs w:val="26"/>
        </w:rPr>
        <w:t xml:space="preserve">(1)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particularly at 3.0g concentration, significantly reduces oviposition, feeding damage, and seed weight loss caused by </w:t>
      </w:r>
      <w:r w:rsidRPr="003262E4">
        <w:rPr>
          <w:rFonts w:ascii="Times New Roman" w:eastAsia="Times New Roman" w:hAnsi="Times New Roman" w:cs="Times New Roman"/>
          <w:i/>
          <w:iCs/>
          <w:sz w:val="26"/>
          <w:szCs w:val="26"/>
        </w:rPr>
        <w:t>C. maculatus</w:t>
      </w:r>
      <w:r w:rsidRPr="003262E4">
        <w:rPr>
          <w:rFonts w:ascii="Times New Roman" w:eastAsia="Times New Roman" w:hAnsi="Times New Roman" w:cs="Times New Roman"/>
          <w:sz w:val="26"/>
          <w:szCs w:val="26"/>
        </w:rPr>
        <w:t xml:space="preserve"> in stored cowpea.</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(2) Its efficacy is comparable to that of synthetic insecticides, making it a promising botanical alternative for safer, eco-friendly pest management in storage.</w:t>
      </w:r>
    </w:p>
    <w:p w:rsidR="00A60EFE" w:rsidRPr="003262E4" w:rsidRDefault="00A60EFE" w:rsidP="00A60EFE">
      <w:pPr>
        <w:spacing w:before="100" w:beforeAutospacing="1" w:after="100" w:afterAutospacing="1" w:line="480" w:lineRule="auto"/>
        <w:jc w:val="both"/>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(3) The use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as a botanical insecticide is especially relevant for smallholder farmers seeking affordable and environmentally sustainable postharvest protection strategies.</w:t>
      </w:r>
      <w:r w:rsidRPr="003262E4">
        <w:rPr>
          <w:rFonts w:ascii="Times New Roman" w:hAnsi="Times New Roman" w:cs="Times New Roman"/>
          <w:b/>
          <w:sz w:val="26"/>
          <w:szCs w:val="26"/>
        </w:rPr>
        <w:br w:type="page"/>
      </w:r>
    </w:p>
    <w:p w:rsidR="00A60EFE" w:rsidRPr="003262E4" w:rsidRDefault="00A60EFE" w:rsidP="00A60EFE">
      <w:pPr>
        <w:spacing w:before="100" w:beforeAutospacing="1" w:after="100" w:afterAutospacing="1" w:line="360" w:lineRule="auto"/>
        <w:ind w:left="720"/>
        <w:jc w:val="center"/>
        <w:rPr>
          <w:rFonts w:ascii="Times New Roman" w:eastAsia="Times New Roman" w:hAnsi="Times New Roman" w:cs="Times New Roman"/>
          <w:b/>
          <w:sz w:val="26"/>
          <w:szCs w:val="26"/>
        </w:rPr>
      </w:pPr>
      <w:r w:rsidRPr="003262E4">
        <w:rPr>
          <w:rFonts w:ascii="Times New Roman" w:eastAsia="Times New Roman" w:hAnsi="Times New Roman" w:cs="Times New Roman"/>
          <w:b/>
          <w:sz w:val="26"/>
          <w:szCs w:val="26"/>
        </w:rPr>
        <w:t>REFERENCES</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Abdullahi, M., Yusuf, B. A., &amp;Abubakar, A. (2021). Efficacy of </w:t>
      </w:r>
      <w:r w:rsidRPr="003262E4">
        <w:rPr>
          <w:rFonts w:ascii="Times New Roman" w:eastAsia="Times New Roman" w:hAnsi="Times New Roman" w:cs="Times New Roman"/>
          <w:i/>
          <w:sz w:val="26"/>
          <w:szCs w:val="26"/>
        </w:rPr>
        <w:t>Azadirachtaindica</w:t>
      </w:r>
      <w:r w:rsidRPr="003262E4">
        <w:rPr>
          <w:rFonts w:ascii="Times New Roman" w:eastAsia="Times New Roman" w:hAnsi="Times New Roman" w:cs="Times New Roman"/>
          <w:sz w:val="26"/>
          <w:szCs w:val="26"/>
        </w:rPr>
        <w:t xml:space="preserve"> leaf powder against </w:t>
      </w:r>
      <w:r w:rsidRPr="003262E4">
        <w:rPr>
          <w:rFonts w:ascii="Times New Roman" w:eastAsia="Times New Roman" w:hAnsi="Times New Roman" w:cs="Times New Roman"/>
          <w:i/>
          <w:sz w:val="26"/>
          <w:szCs w:val="26"/>
        </w:rPr>
        <w:t>Callosobruchusmaculatus</w:t>
      </w:r>
      <w:r w:rsidRPr="003262E4">
        <w:rPr>
          <w:rFonts w:ascii="Times New Roman" w:eastAsia="Times New Roman" w:hAnsi="Times New Roman" w:cs="Times New Roman"/>
          <w:sz w:val="26"/>
          <w:szCs w:val="26"/>
        </w:rPr>
        <w:t xml:space="preserve"> on stored cowpea. Journal of Biological Research, 24(1), 33–40.</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Abiola, B., Ojo, D. O., andSalawu, R. A. (2020). Comparative efficacy of some botanicals and synthetic insecticides against cowpea bruchids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w:t>
      </w:r>
      <w:r w:rsidRPr="003262E4">
        <w:rPr>
          <w:rFonts w:ascii="Times New Roman" w:eastAsia="Times New Roman" w:hAnsi="Times New Roman" w:cs="Times New Roman"/>
          <w:i/>
          <w:iCs/>
          <w:sz w:val="26"/>
          <w:szCs w:val="26"/>
        </w:rPr>
        <w:t>Nigerian Journal of Entomology</w:t>
      </w:r>
      <w:r w:rsidRPr="003262E4">
        <w:rPr>
          <w:rFonts w:ascii="Times New Roman" w:eastAsia="Times New Roman" w:hAnsi="Times New Roman" w:cs="Times New Roman"/>
          <w:sz w:val="26"/>
          <w:szCs w:val="26"/>
        </w:rPr>
        <w:t>, 36(2), 80–88.</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Adedire, C. O., &amp;Lajide, L. (2015). Evaluation of synthetic insecticides for the protection of cowpea seeds against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infestation. Nigerian Journal of Entomology, 32(2), 98–104.</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Adeyemi, F. T., Lawal, I. A., and Musa, O. M. (2020). Phytochemical and insecticidal screening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extract against storage pests. </w:t>
      </w:r>
      <w:r w:rsidRPr="003262E4">
        <w:rPr>
          <w:rFonts w:ascii="Times New Roman" w:eastAsia="Times New Roman" w:hAnsi="Times New Roman" w:cs="Times New Roman"/>
          <w:i/>
          <w:iCs/>
          <w:sz w:val="26"/>
          <w:szCs w:val="26"/>
        </w:rPr>
        <w:t>African Journal of Plant Protection</w:t>
      </w:r>
      <w:r w:rsidRPr="003262E4">
        <w:rPr>
          <w:rFonts w:ascii="Times New Roman" w:eastAsia="Times New Roman" w:hAnsi="Times New Roman" w:cs="Times New Roman"/>
          <w:sz w:val="26"/>
          <w:szCs w:val="26"/>
        </w:rPr>
        <w:t>, 6(2), 35–41.</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Ahmed, A. M., Musa, A. K., &amp;Aliyu, A. B. (2020). Comparative efficacy of pirimiphos-methyl and dichlorvos against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in stored cowpea. Journal of Stored Products Research, 87, 101605.</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Ajayi, F. A., Lale, N. E. S., &amp; Ahmed, B. I. (2019). Assessment of the damage potential of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in stored cowpea. Journal of Stored Products Research, 84, 23–29.</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Akindele, T. O., Ogunleye, R. F., &amp;Salawu, A. O. (2021). Efficacy of </w:t>
      </w:r>
      <w:r w:rsidRPr="003262E4">
        <w:rPr>
          <w:rFonts w:ascii="Times New Roman" w:eastAsia="Times New Roman" w:hAnsi="Times New Roman" w:cs="Times New Roman"/>
          <w:i/>
          <w:sz w:val="26"/>
          <w:szCs w:val="26"/>
        </w:rPr>
        <w:t>Azadirachtaindica</w:t>
      </w:r>
      <w:r w:rsidRPr="003262E4">
        <w:rPr>
          <w:rFonts w:ascii="Times New Roman" w:eastAsia="Times New Roman" w:hAnsi="Times New Roman" w:cs="Times New Roman"/>
          <w:sz w:val="26"/>
          <w:szCs w:val="26"/>
        </w:rPr>
        <w:t xml:space="preserve"> and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leaf and bark powder in stored cowpea seeds. Nigerian Journal of Plant Protection, 38(2), 45–53.</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Aliyu, A. A., Yusuf, B. A., andDikko, A. U. (2019). Effect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mortality and oviposition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w:t>
      </w:r>
      <w:r w:rsidRPr="003262E4">
        <w:rPr>
          <w:rFonts w:ascii="Times New Roman" w:eastAsia="Times New Roman" w:hAnsi="Times New Roman" w:cs="Times New Roman"/>
          <w:i/>
          <w:iCs/>
          <w:sz w:val="26"/>
          <w:szCs w:val="26"/>
        </w:rPr>
        <w:t>Journal of Agricultural Science and Practice</w:t>
      </w:r>
      <w:r w:rsidRPr="003262E4">
        <w:rPr>
          <w:rFonts w:ascii="Times New Roman" w:eastAsia="Times New Roman" w:hAnsi="Times New Roman" w:cs="Times New Roman"/>
          <w:sz w:val="26"/>
          <w:szCs w:val="26"/>
        </w:rPr>
        <w:t>, 4(1), 42–49.</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Asawalam, E. F., Emosairue, S. O., &amp; Hassan, A. A. (2012). Insecticidal effects of botanical powders against the maize weevil. African Journal of Biotechnology, 11(44), 10280–10285.</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Asawalam, E. F., Emosairue, S. O., &amp;Hassanali, A. (2020). Botanical insecticides and stored product protection in sub-Saharan Africa: A review. Journal of Stored Products Research, 87, 101575.</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Ayanbadejo, K. M., Akinbile, C. O., &amp; Okonkwo, U. A. (2020). Traditional methods for storage pest control in Nigerian farming systems. Nigerian Journal of Agriculture and Food Environment, 16(2), 23–30.</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Baidoo, P. K., Boateng, B. A., &amp;Osei, K. (2019). Managing cowpea storage pests in West Africa: Role of synthetic insecticides and safer alternatives. African Journal of Agricultural Research, 14(24), 1012–1019.</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Dimetry, N. Z., &amp; El-Behery, H. M. (2018). Bioactivity of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leaf powder on stored-product insects. International Journal of Pharmaceutical and Biological Sciences, 9(1), 15–21.</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Fahey, J. W. (2005).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A review of the medical evidence for its nutritional, therapeutic, and prophylactic properties. Part 1. Trees for Life Journal, 1(5), 1–15.</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Ghosh, A., Rahman, A., and Paul, D. (2023). Environmental impact of botanical vs synthetic insecticides in maize storage. </w:t>
      </w:r>
      <w:r w:rsidRPr="003262E4">
        <w:rPr>
          <w:rFonts w:ascii="Times New Roman" w:eastAsia="Times New Roman" w:hAnsi="Times New Roman" w:cs="Times New Roman"/>
          <w:i/>
          <w:iCs/>
          <w:sz w:val="26"/>
          <w:szCs w:val="26"/>
        </w:rPr>
        <w:t>Journal of Environmental Management</w:t>
      </w:r>
      <w:r w:rsidRPr="003262E4">
        <w:rPr>
          <w:rFonts w:ascii="Times New Roman" w:eastAsia="Times New Roman" w:hAnsi="Times New Roman" w:cs="Times New Roman"/>
          <w:sz w:val="26"/>
          <w:szCs w:val="26"/>
        </w:rPr>
        <w:t>, 326, 116596.</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Hassan, M. T., Umar, B. G., andAbubakar, A. A. (2022). Insecticidal effects of selected botanicals on storage pests. </w:t>
      </w:r>
      <w:r w:rsidRPr="003262E4">
        <w:rPr>
          <w:rFonts w:ascii="Times New Roman" w:eastAsia="Times New Roman" w:hAnsi="Times New Roman" w:cs="Times New Roman"/>
          <w:i/>
          <w:iCs/>
          <w:sz w:val="26"/>
          <w:szCs w:val="26"/>
        </w:rPr>
        <w:t>Journal of Agricultural Research and Development</w:t>
      </w:r>
      <w:r w:rsidRPr="003262E4">
        <w:rPr>
          <w:rFonts w:ascii="Times New Roman" w:eastAsia="Times New Roman" w:hAnsi="Times New Roman" w:cs="Times New Roman"/>
          <w:sz w:val="26"/>
          <w:szCs w:val="26"/>
        </w:rPr>
        <w:t>, 39(1), 90–98.</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Isman, M. B. (2015). A renaissance for botanical insecticides? Pest Management Science, 71(12), 1587–1590.</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Isman, M. B. (2015). A renaissance for botanical insecticides? Pest Management Science, 71(12), 1587–1590.</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Isman, M. B. (2020). Botanical insecticides in the twenty-first century—fulfilling their promise? </w:t>
      </w:r>
      <w:r w:rsidRPr="003262E4">
        <w:rPr>
          <w:rFonts w:ascii="Times New Roman" w:eastAsia="Times New Roman" w:hAnsi="Times New Roman" w:cs="Times New Roman"/>
          <w:i/>
          <w:iCs/>
          <w:sz w:val="26"/>
          <w:szCs w:val="26"/>
        </w:rPr>
        <w:t>Annual Review of Entomology</w:t>
      </w:r>
      <w:r w:rsidRPr="003262E4">
        <w:rPr>
          <w:rFonts w:ascii="Times New Roman" w:eastAsia="Times New Roman" w:hAnsi="Times New Roman" w:cs="Times New Roman"/>
          <w:sz w:val="26"/>
          <w:szCs w:val="26"/>
        </w:rPr>
        <w:t xml:space="preserve">, 65, 233–249. </w:t>
      </w:r>
      <w:hyperlink r:id="rId11" w:history="1">
        <w:r w:rsidRPr="003262E4">
          <w:rPr>
            <w:rFonts w:ascii="Times New Roman" w:eastAsia="Times New Roman" w:hAnsi="Times New Roman" w:cs="Times New Roman"/>
            <w:color w:val="0000FF"/>
            <w:sz w:val="26"/>
            <w:szCs w:val="26"/>
            <w:u w:val="single"/>
          </w:rPr>
          <w:t>https://doi.org/10.1146/annurev-ento-011019-025000</w:t>
        </w:r>
      </w:hyperlink>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Kariuki, C. W., andMiano, D. W. (2021). Efficacy of botanicals in controlling </w:t>
      </w:r>
      <w:r w:rsidRPr="003262E4">
        <w:rPr>
          <w:rFonts w:ascii="Times New Roman" w:eastAsia="Times New Roman" w:hAnsi="Times New Roman" w:cs="Times New Roman"/>
          <w:i/>
          <w:iCs/>
          <w:sz w:val="26"/>
          <w:szCs w:val="26"/>
        </w:rPr>
        <w:t>Spodopterafrugiperda</w:t>
      </w:r>
      <w:r w:rsidRPr="003262E4">
        <w:rPr>
          <w:rFonts w:ascii="Times New Roman" w:eastAsia="Times New Roman" w:hAnsi="Times New Roman" w:cs="Times New Roman"/>
          <w:sz w:val="26"/>
          <w:szCs w:val="26"/>
        </w:rPr>
        <w:t xml:space="preserve"> in maize. </w:t>
      </w:r>
      <w:r w:rsidRPr="003262E4">
        <w:rPr>
          <w:rFonts w:ascii="Times New Roman" w:eastAsia="Times New Roman" w:hAnsi="Times New Roman" w:cs="Times New Roman"/>
          <w:i/>
          <w:iCs/>
          <w:sz w:val="26"/>
          <w:szCs w:val="26"/>
        </w:rPr>
        <w:t>Journal of Plant Protection Research</w:t>
      </w:r>
      <w:r w:rsidRPr="003262E4">
        <w:rPr>
          <w:rFonts w:ascii="Times New Roman" w:eastAsia="Times New Roman" w:hAnsi="Times New Roman" w:cs="Times New Roman"/>
          <w:sz w:val="26"/>
          <w:szCs w:val="26"/>
        </w:rPr>
        <w:t>, 61(4), 367–374.</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Kedia, A., Prakash, B., Mishra, P. K., Singh, P., &amp; Dubey, N. K. (2015). Botanicals as eco-friendly biorational alternatives of synthetic pesticides against Callosobruchus spp. (Coleoptera: Bruchidae) – A review. Journal of Food Science and Technology, 52(3), 1239–1257.</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Midega, C. A. O., Pittchar, J. O., and Khan, Z. R. (2021). Sustainable pest control in legume storage using natural products. </w:t>
      </w:r>
      <w:r w:rsidRPr="003262E4">
        <w:rPr>
          <w:rFonts w:ascii="Times New Roman" w:eastAsia="Times New Roman" w:hAnsi="Times New Roman" w:cs="Times New Roman"/>
          <w:i/>
          <w:iCs/>
          <w:sz w:val="26"/>
          <w:szCs w:val="26"/>
        </w:rPr>
        <w:t>Field Crops Research</w:t>
      </w:r>
      <w:r w:rsidRPr="003262E4">
        <w:rPr>
          <w:rFonts w:ascii="Times New Roman" w:eastAsia="Times New Roman" w:hAnsi="Times New Roman" w:cs="Times New Roman"/>
          <w:sz w:val="26"/>
          <w:szCs w:val="26"/>
        </w:rPr>
        <w:t>, 263, 108061.</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Mohammed, A. I., Adeola, R. T., andAbdullahi, L. M. (2023). Effects of </w:t>
      </w:r>
      <w:r w:rsidRPr="003262E4">
        <w:rPr>
          <w:rFonts w:ascii="Times New Roman" w:eastAsia="Times New Roman" w:hAnsi="Times New Roman" w:cs="Times New Roman"/>
          <w:i/>
          <w:iCs/>
          <w:sz w:val="26"/>
          <w:szCs w:val="26"/>
        </w:rPr>
        <w:t>Moringaoleifera</w:t>
      </w:r>
      <w:r w:rsidRPr="003262E4">
        <w:rPr>
          <w:rFonts w:ascii="Times New Roman" w:eastAsia="Times New Roman" w:hAnsi="Times New Roman" w:cs="Times New Roman"/>
          <w:sz w:val="26"/>
          <w:szCs w:val="26"/>
        </w:rPr>
        <w:t xml:space="preserve"> leaf powder on bruchid infestation in stored legumes. </w:t>
      </w:r>
      <w:r w:rsidRPr="003262E4">
        <w:rPr>
          <w:rFonts w:ascii="Times New Roman" w:eastAsia="Times New Roman" w:hAnsi="Times New Roman" w:cs="Times New Roman"/>
          <w:i/>
          <w:iCs/>
          <w:sz w:val="26"/>
          <w:szCs w:val="26"/>
        </w:rPr>
        <w:t>Journal of Postharvest Technology</w:t>
      </w:r>
      <w:r w:rsidRPr="003262E4">
        <w:rPr>
          <w:rFonts w:ascii="Times New Roman" w:eastAsia="Times New Roman" w:hAnsi="Times New Roman" w:cs="Times New Roman"/>
          <w:sz w:val="26"/>
          <w:szCs w:val="26"/>
        </w:rPr>
        <w:t>, 11(3), 71–78.</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Obeng-Ofori, D., &amp;Reichmuth, C. (2016). Effectiveness of pirimiphos-methyl and permethrin against stored product insects. International Journal of Pest Management, 62(4), 333–341.</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Ojo, D. O., &amp;Ogunleye, R. F. (2013). Laboratory evaluation of insecticidal effects of plant powders on the cowpea bruchid. Nigerian Journal of Entomology, 30(1), 21–28.</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Oladejo, A. O., Adeyemi, O. O., &amp;Fagbohun, E. D. (2022). Comparative evaluation of neem and moringa leaf powders for the management of Callosobruchusmaculatus in stored cowpea. African Journal of Agricultural Research, 17(4), 56–64.</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Olalekan, J. A., Bello, K. I., andAkinyemi, A. A. (2021). Botanical pesticides for sustainable crop protection in West Africa: Opportunities and challenges. </w:t>
      </w:r>
      <w:r w:rsidRPr="003262E4">
        <w:rPr>
          <w:rFonts w:ascii="Times New Roman" w:eastAsia="Times New Roman" w:hAnsi="Times New Roman" w:cs="Times New Roman"/>
          <w:i/>
          <w:iCs/>
          <w:sz w:val="26"/>
          <w:szCs w:val="26"/>
        </w:rPr>
        <w:t>West African Journal of Biological Sciences</w:t>
      </w:r>
      <w:r w:rsidRPr="003262E4">
        <w:rPr>
          <w:rFonts w:ascii="Times New Roman" w:eastAsia="Times New Roman" w:hAnsi="Times New Roman" w:cs="Times New Roman"/>
          <w:sz w:val="26"/>
          <w:szCs w:val="26"/>
        </w:rPr>
        <w:t>, 12(2), 89–98.</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Olawale, O., &amp;Ojo, O. J. (2020). Cowpea cultivation and soil fertility management in the Nigerian savanna. Journal of Agricultural Research and Development, 10(2), 89–95.</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Singh, B. B., Ajeigbe, H. A., &amp;Tarawali, S. A. (2021). The cowpea: A multipurpose legume for sustainable agriculture. African Crop Science Journal, 29(1), 1–14.</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Singh, B. B., Ajeigbe, H. A., andTarawali, S. A. (2020). Importance of cowpea in food and nutrition security. </w:t>
      </w:r>
      <w:r w:rsidRPr="003262E4">
        <w:rPr>
          <w:rFonts w:ascii="Times New Roman" w:eastAsia="Times New Roman" w:hAnsi="Times New Roman" w:cs="Times New Roman"/>
          <w:i/>
          <w:iCs/>
          <w:sz w:val="26"/>
          <w:szCs w:val="26"/>
        </w:rPr>
        <w:t>Journal of Food Legumes</w:t>
      </w:r>
      <w:r w:rsidRPr="003262E4">
        <w:rPr>
          <w:rFonts w:ascii="Times New Roman" w:eastAsia="Times New Roman" w:hAnsi="Times New Roman" w:cs="Times New Roman"/>
          <w:sz w:val="26"/>
          <w:szCs w:val="26"/>
        </w:rPr>
        <w:t>, 33(1), 1–10.</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Usman, A., &amp; Mohammed, T. (2021). Integrating traditional and modern knowledge for cowpea preservation. African Journal of Rural Development, 6(3), 77–86.</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 xml:space="preserve">Uyi, O. O., Igbinosa, I. B., &amp;Egho, E. O. (2020). Insecticidal activity of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xml:space="preserve"> leaf powder on </w:t>
      </w:r>
      <w:r w:rsidRPr="003262E4">
        <w:rPr>
          <w:rFonts w:ascii="Times New Roman" w:eastAsia="Times New Roman" w:hAnsi="Times New Roman" w:cs="Times New Roman"/>
          <w:i/>
          <w:sz w:val="26"/>
          <w:szCs w:val="26"/>
        </w:rPr>
        <w:t>Moringaoleifera</w:t>
      </w:r>
      <w:r w:rsidRPr="003262E4">
        <w:rPr>
          <w:rFonts w:ascii="Times New Roman" w:eastAsia="Times New Roman" w:hAnsi="Times New Roman" w:cs="Times New Roman"/>
          <w:sz w:val="26"/>
          <w:szCs w:val="26"/>
        </w:rPr>
        <w:t>. Journal of Biological Research and Biotechnology, 18(2), 132–139.</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Yusuf, M. A., Okonkwo, I. M., &amp;Gana, A. S. (2022). Alternatives to synthetic insecticides in cowpea storage: Trends and prospects. Journal of Agricultural Science and Technology, 12(1), 73–80.</w:t>
      </w:r>
    </w:p>
    <w:p w:rsidR="00A60EFE" w:rsidRPr="003262E4" w:rsidRDefault="00A60EFE" w:rsidP="00A60EFE">
      <w:pPr>
        <w:spacing w:before="100" w:beforeAutospacing="1" w:after="100" w:afterAutospacing="1" w:line="360" w:lineRule="auto"/>
        <w:ind w:left="1440" w:hanging="1440"/>
        <w:rPr>
          <w:rFonts w:ascii="Times New Roman" w:eastAsia="Times New Roman" w:hAnsi="Times New Roman" w:cs="Times New Roman"/>
          <w:sz w:val="26"/>
          <w:szCs w:val="26"/>
        </w:rPr>
      </w:pPr>
      <w:r w:rsidRPr="003262E4">
        <w:rPr>
          <w:rFonts w:ascii="Times New Roman" w:eastAsia="Times New Roman" w:hAnsi="Times New Roman" w:cs="Times New Roman"/>
          <w:sz w:val="26"/>
          <w:szCs w:val="26"/>
        </w:rPr>
        <w:t>Yusuf, M. A., Okonkwo, I. M., &amp;Gana, A. S. (2022). Alternatives to synthetic insecticides in cowpea storage: Trends and prospects. Journal of Agricultural Science and Technology, 12(1), 73–80.</w:t>
      </w:r>
    </w:p>
    <w:p w:rsidR="00FF0152" w:rsidRDefault="00B05F2B"/>
    <w:sectPr w:rsidR="00FF0152" w:rsidSect="00297DBC">
      <w:footerReference w:type="default" r:id="rId12"/>
      <w:pgSz w:w="12240" w:h="15840"/>
      <w:pgMar w:top="1440" w:right="1440" w:bottom="2552" w:left="1440" w:header="720" w:footer="15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F2B" w:rsidRDefault="00B05F2B" w:rsidP="009F3302">
      <w:pPr>
        <w:spacing w:after="0" w:line="240" w:lineRule="auto"/>
      </w:pPr>
      <w:r>
        <w:separator/>
      </w:r>
    </w:p>
  </w:endnote>
  <w:endnote w:type="continuationSeparator" w:id="1">
    <w:p w:rsidR="00B05F2B" w:rsidRDefault="00B05F2B" w:rsidP="009F3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415960"/>
      <w:docPartObj>
        <w:docPartGallery w:val="Page Numbers (Bottom of Page)"/>
        <w:docPartUnique/>
      </w:docPartObj>
    </w:sdtPr>
    <w:sdtContent>
      <w:p w:rsidR="00297DBC" w:rsidRDefault="009F3302">
        <w:pPr>
          <w:pStyle w:val="Footer"/>
          <w:jc w:val="center"/>
        </w:pPr>
        <w:r>
          <w:fldChar w:fldCharType="begin"/>
        </w:r>
        <w:r w:rsidR="00A60EFE">
          <w:instrText xml:space="preserve"> PAGE   \* MERGEFORMAT </w:instrText>
        </w:r>
        <w:r>
          <w:fldChar w:fldCharType="separate"/>
        </w:r>
        <w:r w:rsidR="00A3402F">
          <w:rPr>
            <w:noProof/>
          </w:rPr>
          <w:t>2</w:t>
        </w:r>
        <w:r>
          <w:fldChar w:fldCharType="end"/>
        </w:r>
      </w:p>
    </w:sdtContent>
  </w:sdt>
  <w:p w:rsidR="00297DBC" w:rsidRDefault="00B05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F2B" w:rsidRDefault="00B05F2B" w:rsidP="009F3302">
      <w:pPr>
        <w:spacing w:after="0" w:line="240" w:lineRule="auto"/>
      </w:pPr>
      <w:r>
        <w:separator/>
      </w:r>
    </w:p>
  </w:footnote>
  <w:footnote w:type="continuationSeparator" w:id="1">
    <w:p w:rsidR="00B05F2B" w:rsidRDefault="00B05F2B" w:rsidP="009F33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D46E19"/>
    <w:multiLevelType w:val="multilevel"/>
    <w:tmpl w:val="EFDE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A60EFE"/>
    <w:rsid w:val="003D63FD"/>
    <w:rsid w:val="00614EF4"/>
    <w:rsid w:val="009F3302"/>
    <w:rsid w:val="00A3402F"/>
    <w:rsid w:val="00A60EFE"/>
    <w:rsid w:val="00B05F2B"/>
    <w:rsid w:val="00C4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0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E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ento-011019-0250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4660</Words>
  <Characters>26567</Characters>
  <Application>Microsoft Office Word</Application>
  <DocSecurity>0</DocSecurity>
  <Lines>221</Lines>
  <Paragraphs>62</Paragraphs>
  <ScaleCrop>false</ScaleCrop>
  <Company>Grizli777</Company>
  <LinksUpToDate>false</LinksUpToDate>
  <CharactersWithSpaces>31165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2025-07-22T14:12:00Z</dcterms:created>
  <dcterms:modified xsi:type="dcterms:W3CDTF">2025-07-22T14:12:00Z</dcterms:modified>
</cp:coreProperties>
</file>