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2A3" w:rsidRPr="001736CE" w:rsidRDefault="00CF5A41">
      <w:pPr>
        <w:spacing w:line="480" w:lineRule="auto"/>
        <w:jc w:val="center"/>
        <w:rPr>
          <w:rFonts w:ascii="Times New Roman" w:hAnsi="Times New Roman"/>
          <w:b/>
          <w:sz w:val="24"/>
          <w:szCs w:val="24"/>
        </w:rPr>
      </w:pPr>
      <w:bookmarkStart w:id="0" w:name="_GoBack"/>
      <w:bookmarkEnd w:id="0"/>
      <w:r w:rsidRPr="001736CE">
        <w:rPr>
          <w:rFonts w:ascii="Times New Roman" w:hAnsi="Times New Roman"/>
          <w:b/>
          <w:sz w:val="24"/>
          <w:szCs w:val="24"/>
        </w:rPr>
        <w:t>CHAPTER ONE: INTRODUCTION</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1.1 Background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high-temperature flame for industrial applications (Singh &amp; Jain, 2018). Their design, combustion control, and fuel economy directly impact the efficiency of industrial operations.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A two-face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 many developing countries, including Nigeria, most industrial burners are imported. These units are expensive and sometimes incompatible with local fuel supply systems and usage conditions (Olabode et al., 2022). There is a growing need to fabricate locally designed, efficient, and cost</w:t>
      </w:r>
      <w:r w:rsidR="00E408E8">
        <w:rPr>
          <w:rFonts w:ascii="Times New Roman" w:hAnsi="Times New Roman"/>
          <w:sz w:val="24"/>
          <w:szCs w:val="24"/>
        </w:rPr>
        <w:t>-</w:t>
      </w:r>
      <w:r w:rsidRPr="001736CE">
        <w:rPr>
          <w:rFonts w:ascii="Times New Roman" w:hAnsi="Times New Roman"/>
          <w:sz w:val="24"/>
          <w:szCs w:val="24"/>
        </w:rPr>
        <w:t>effective burners that meet specific industrial heating demands.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Industrial gas burners are essential components in many thermal processing systems such as heat treatment, drying, baking, and metal fabrication. These burners operate by mixing air with fuel (usually LPG or natural gas) to produce a high temperature flame for industrial </w:t>
      </w:r>
      <w:r w:rsidRPr="001736CE">
        <w:rPr>
          <w:rFonts w:ascii="Times New Roman" w:hAnsi="Times New Roman"/>
          <w:sz w:val="24"/>
          <w:szCs w:val="24"/>
        </w:rPr>
        <w:lastRenderedPageBreak/>
        <w:t>applications (Singh &amp; Jain, 2018). Their design, combustion control, and fuel economy directly impact the efficiency of industrial operations.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1.2 Problem Statement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Industries in Nigeria often rely on imported industrial gas burners, which are expensive to acquire, operate, and maintain. Furthermore, the predominant use of single-face burners in many workshops and small-scale industries results in uneven heat distribution, energy inefficiency, and increased production time (Adeyemi &amp; Owolabi, 2019). The lack of accessible, dual-face burners fabricated with local materials hinders the development of indigenous thermal technologies. There is a clear need for a robust, efficient, and affordable gas burner system designed for local conditions.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1.3 Aim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aim of this study is to design and fabricate a two-face industrial gas burner using locally available materials, ensuring enhanced thermal performance, cost-efficiency, and durability suitable for industrial applications.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1.4 Objectives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specific objectives of this study are to:</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1. Study the fundamental components and working principles of industrial gas burners.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2. Design a two-face burner system using appropriate CAD tools.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3. Fabricate the burner using locally sourced materials such as mild steel and ceramic insulation.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4. Test and evaluate the burner's performance in terms of flame stability, efficiency, and durability.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5. Compare the fabricated burner’s performance with conventional single-face burners.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1.5 Justification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This study is justified by the need to reduce reliance on imported industrial equipment and to provide an affordable, efficient alternative for local industries. A two-face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1.6 Scope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This project focuses on the design, fabrication, and performance analysis of a two-face industrial gas burner. The scope includes the mechanical structure, gas flow system, ignition and combustion analysis, and performance comparison with existing burner designs. The study does not cover automation or advanced control systems.</w:t>
      </w:r>
    </w:p>
    <w:p w:rsidR="00E408E8" w:rsidRDefault="00E408E8">
      <w:pPr>
        <w:spacing w:line="480" w:lineRule="auto"/>
        <w:jc w:val="both"/>
        <w:rPr>
          <w:rFonts w:ascii="Times New Roman" w:hAnsi="Times New Roman"/>
          <w:b/>
          <w:sz w:val="24"/>
          <w:szCs w:val="24"/>
        </w:rPr>
      </w:pP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1.7 Significance of the Study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outcome of this study will provide a locally fabricated, cost effective, and efficient gas burner that industries can adopt for enhanced productivity. It will also serve as a learning model for engineering students, promote technological self reliance, and foster innovation in thermal equipment design in developing economies.</w:t>
      </w:r>
    </w:p>
    <w:p w:rsidR="009E22A3" w:rsidRPr="001736CE" w:rsidRDefault="00CF5A41">
      <w:pPr>
        <w:spacing w:line="480" w:lineRule="auto"/>
        <w:jc w:val="center"/>
        <w:rPr>
          <w:rFonts w:ascii="Times New Roman" w:hAnsi="Times New Roman"/>
          <w:b/>
          <w:sz w:val="24"/>
          <w:szCs w:val="24"/>
        </w:rPr>
      </w:pPr>
      <w:r w:rsidRPr="001736CE">
        <w:rPr>
          <w:rFonts w:ascii="Times New Roman" w:hAnsi="Times New Roman"/>
          <w:b/>
          <w:sz w:val="24"/>
          <w:szCs w:val="24"/>
        </w:rPr>
        <w:br w:type="page"/>
        <w:t>CHAPTER TWO: LITERATURE REVIEW</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2.1 Introduction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2.2 Principles of Industrial Gas Burners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w:t>
      </w:r>
      <w:r w:rsidR="00E408E8">
        <w:rPr>
          <w:rFonts w:ascii="Times New Roman" w:hAnsi="Times New Roman"/>
          <w:sz w:val="24"/>
          <w:szCs w:val="24"/>
        </w:rPr>
        <w:t>stem. The flame characteristics</w:t>
      </w:r>
      <w:r w:rsidR="00D673C4">
        <w:rPr>
          <w:rFonts w:ascii="Times New Roman" w:hAnsi="Times New Roman"/>
          <w:sz w:val="24"/>
          <w:szCs w:val="24"/>
        </w:rPr>
        <w:t xml:space="preserve"> such as;</w:t>
      </w:r>
      <w:r w:rsidR="00E408E8">
        <w:rPr>
          <w:rFonts w:ascii="Times New Roman" w:hAnsi="Times New Roman"/>
          <w:sz w:val="24"/>
          <w:szCs w:val="24"/>
        </w:rPr>
        <w:t xml:space="preserve"> </w:t>
      </w:r>
      <w:r w:rsidRPr="001736CE">
        <w:rPr>
          <w:rFonts w:ascii="Times New Roman" w:hAnsi="Times New Roman"/>
          <w:sz w:val="24"/>
          <w:szCs w:val="24"/>
        </w:rPr>
        <w:t>len</w:t>
      </w:r>
      <w:r w:rsidR="00E408E8">
        <w:rPr>
          <w:rFonts w:ascii="Times New Roman" w:hAnsi="Times New Roman"/>
          <w:sz w:val="24"/>
          <w:szCs w:val="24"/>
        </w:rPr>
        <w:t>gth, stability, and temperature</w:t>
      </w:r>
      <w:r w:rsidR="00D673C4">
        <w:rPr>
          <w:rFonts w:ascii="Times New Roman" w:hAnsi="Times New Roman"/>
          <w:sz w:val="24"/>
          <w:szCs w:val="24"/>
        </w:rPr>
        <w:t>,</w:t>
      </w:r>
      <w:r w:rsidR="00E408E8">
        <w:rPr>
          <w:rFonts w:ascii="Times New Roman" w:hAnsi="Times New Roman"/>
          <w:sz w:val="24"/>
          <w:szCs w:val="24"/>
        </w:rPr>
        <w:t xml:space="preserve"> </w:t>
      </w:r>
      <w:r w:rsidR="00D673C4" w:rsidRPr="001736CE">
        <w:rPr>
          <w:rFonts w:ascii="Times New Roman" w:hAnsi="Times New Roman"/>
          <w:sz w:val="24"/>
          <w:szCs w:val="24"/>
        </w:rPr>
        <w:t xml:space="preserve">are </w:t>
      </w:r>
      <w:r w:rsidRPr="001736CE">
        <w:rPr>
          <w:rFonts w:ascii="Times New Roman" w:hAnsi="Times New Roman"/>
          <w:sz w:val="24"/>
          <w:szCs w:val="24"/>
        </w:rPr>
        <w:t>influenced by burner geometry, fuel type, and air-fuel ratio (Patel &amp; Rajput, 2017; Khan et al., 2020).</w:t>
      </w:r>
    </w:p>
    <w:p w:rsidR="009E22A3" w:rsidRDefault="00CF5A41">
      <w:pPr>
        <w:spacing w:line="480" w:lineRule="auto"/>
        <w:jc w:val="center"/>
        <w:rPr>
          <w:rFonts w:ascii="Times New Roman" w:hAnsi="Times New Roman"/>
          <w:sz w:val="24"/>
          <w:szCs w:val="24"/>
        </w:rPr>
      </w:pPr>
      <w:r w:rsidRPr="001736CE">
        <w:rPr>
          <w:rFonts w:ascii="Times New Roman" w:hAnsi="Times New Roman"/>
          <w:noProof/>
          <w:sz w:val="24"/>
          <w:szCs w:val="24"/>
          <w:lang w:eastAsia="en-US"/>
        </w:rPr>
        <w:drawing>
          <wp:inline distT="0" distB="0" distL="0" distR="0">
            <wp:extent cx="1866900" cy="28765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8"/>
                    <a:srcRect/>
                    <a:stretch>
                      <a:fillRect/>
                    </a:stretch>
                  </pic:blipFill>
                  <pic:spPr>
                    <a:xfrm>
                      <a:off x="0" y="0"/>
                      <a:ext cx="1866900" cy="2876550"/>
                    </a:xfrm>
                    <a:prstGeom prst="rect">
                      <a:avLst/>
                    </a:prstGeom>
                    <a:noFill/>
                    <a:ln w="9525">
                      <a:noFill/>
                      <a:miter lim="800000"/>
                      <a:headEnd/>
                      <a:tailEnd/>
                    </a:ln>
                  </pic:spPr>
                </pic:pic>
              </a:graphicData>
            </a:graphic>
          </wp:inline>
        </w:drawing>
      </w:r>
    </w:p>
    <w:p w:rsidR="00E408E8" w:rsidRPr="00D673C4" w:rsidRDefault="00E408E8">
      <w:pPr>
        <w:spacing w:line="480" w:lineRule="auto"/>
        <w:jc w:val="center"/>
        <w:rPr>
          <w:rFonts w:ascii="Times New Roman" w:hAnsi="Times New Roman"/>
          <w:b/>
          <w:sz w:val="24"/>
          <w:szCs w:val="24"/>
        </w:rPr>
      </w:pPr>
      <w:r w:rsidRPr="00D673C4">
        <w:rPr>
          <w:rFonts w:ascii="Times New Roman" w:hAnsi="Times New Roman"/>
          <w:b/>
          <w:sz w:val="24"/>
          <w:szCs w:val="24"/>
        </w:rPr>
        <w:t xml:space="preserve">Fig </w:t>
      </w:r>
      <w:r w:rsidR="00D673C4" w:rsidRPr="00D673C4">
        <w:rPr>
          <w:rFonts w:ascii="Times New Roman" w:hAnsi="Times New Roman"/>
          <w:b/>
          <w:sz w:val="24"/>
          <w:szCs w:val="24"/>
        </w:rPr>
        <w:t>1</w:t>
      </w:r>
      <w:r w:rsidRPr="00D673C4">
        <w:rPr>
          <w:rFonts w:ascii="Times New Roman" w:hAnsi="Times New Roman"/>
          <w:b/>
          <w:sz w:val="24"/>
          <w:szCs w:val="24"/>
        </w:rPr>
        <w:t>: Principles of Industrial Gas Burner</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2.3 Burner Configurations and Two-Face Designs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2.4 Combustion Efficiency and Flame Control</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Efficient combustion ensures complete burning of fuel, reducing emissions and fuel waste. Studies by Ahmed and Robinson (2021) highlight that low-excess-air combustion improves burner efficiency by up to 15%. Efficient mixing of gas and air is key (Zhou &amp; Tan, 2018). Advanced control mechanisms such as modulating valves or staged combustion are common in high-end burners (Sharma et al., 2020).</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2.5 Fuel Types and Local Availability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Common fuels include Liquefied Petroleum Gas (LPG), natural gas, and biogas. LPG remains the most accessible in Nigeria, though its cost is increasing (Olabode et al., 2022). Natural gas provides cleaner combustion but requires infrastructure. Biogas, though renewable, suffers from inconsistent calorific value (Eze &amp; Nwankwo, 2019).</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2.6 Materials for Burner Fabrication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Materials must withstand high temperatures and corrosive combustion gases. Stainless steel and cast iron are commonly used (Onyejekwe et al., 2017). Ceramics and refractory materials provide insulation and flame stabilization (Arora, 2020). In local fabrication, mild steel is often used due to affordability, though it has a lower heat resistance (Makinde et al., 2020).</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2.7 Burner Testing and Performance Evaluation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Performance testing evaluates flame stability, fuel consumption, thermal efficiency, and safety. According to Nwachukwu et al. (2021), a good burner must maintain flame integrity at varying loads. Testing parameters include flue gas analysis, surface temperature, and fuel-air ratio (Li et al., 2018; Adeyemi &amp; Owolabi, 2019).</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2.8 Local Fabrication in Nigeria</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(Idowu et al., 2020; Okonkwo &amp; Eze, 2022). Some successes include the development of local kilns, ovens, and small-scale gas stoves (Ogunleye &amp; Fashola, 2018).</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2.9 Sustainability and Energy Efficiency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There is a growing need for eco-friendly and energy-efficient heating systems. Burner systems designed with optimal air-fuel ratios and heat recovery can reduce carbon footprints by up to 30% (Kareem &amp; Abiola, 2022). This aligns with global climate goals under the UNFCCC framework (UNFCCC, 2015).</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2.10 Summary of Gaps in Literature</w:t>
      </w:r>
    </w:p>
    <w:p w:rsidR="009E22A3" w:rsidRPr="001736CE" w:rsidRDefault="00CF5A41">
      <w:pPr>
        <w:spacing w:line="480" w:lineRule="auto"/>
        <w:rPr>
          <w:rFonts w:ascii="Times New Roman" w:hAnsi="Times New Roman"/>
          <w:sz w:val="24"/>
          <w:szCs w:val="24"/>
        </w:rPr>
      </w:pPr>
      <w:r w:rsidRPr="001736CE">
        <w:rPr>
          <w:rFonts w:ascii="Times New Roman" w:hAnsi="Times New Roman"/>
          <w:sz w:val="24"/>
          <w:szCs w:val="24"/>
        </w:rPr>
        <w:t>Although literature provides robust frameworks for burner design and testing, two-face burner designs are still under-researched in developing countries. Additionally, local fabrication strategies focusing on cost-effective materials and adaptation to local fuel types need further development.</w:t>
      </w:r>
      <w:r w:rsidRPr="001736CE">
        <w:rPr>
          <w:rFonts w:ascii="Times New Roman" w:hAnsi="Times New Roman"/>
          <w:sz w:val="24"/>
          <w:szCs w:val="24"/>
        </w:rPr>
        <w:br w:type="page"/>
      </w:r>
    </w:p>
    <w:p w:rsidR="009E22A3" w:rsidRPr="001736CE" w:rsidRDefault="00CF5A41">
      <w:pPr>
        <w:spacing w:line="480" w:lineRule="auto"/>
        <w:jc w:val="center"/>
        <w:rPr>
          <w:rFonts w:ascii="Times New Roman" w:hAnsi="Times New Roman"/>
          <w:b/>
          <w:sz w:val="24"/>
          <w:szCs w:val="24"/>
        </w:rPr>
      </w:pPr>
      <w:r w:rsidRPr="001736CE">
        <w:rPr>
          <w:rFonts w:ascii="Times New Roman" w:hAnsi="Times New Roman"/>
          <w:b/>
          <w:sz w:val="24"/>
          <w:szCs w:val="24"/>
        </w:rPr>
        <w:t>CHAPTER THREE: METHODOLOGY</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3.1 Introduction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This chapter details the procedures followed in designing, fabricating, and testing the two-face industrial gas burner. It includes material selection, design approach, fabrication processes, and performance evaluation. The goal is to ensure a safe, efficient, and locally adaptable burner system.</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3.2 Research Design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research adopted an experimental design involving three key phases: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1. Design and modeling of the burner.</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2. Fabrication using appropriate materials.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3. Performance testing and evaluation based on thermal output and flame characteristics.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3.3 Design Considerations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burner was designed with the following criteria:</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Dual flame outlets positioned on opposite faces.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Stable combustion using LPG.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Uniform flame distribution and thermal output.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Ease of maintenance and operation.</w:t>
      </w:r>
    </w:p>
    <w:p w:rsidR="009E22A3" w:rsidRPr="001736CE" w:rsidRDefault="00CF5A41">
      <w:pPr>
        <w:spacing w:line="480" w:lineRule="auto"/>
        <w:jc w:val="both"/>
        <w:rPr>
          <w:rFonts w:ascii="Times New Roman" w:hAnsi="Times New Roman"/>
          <w:b/>
          <w:i/>
          <w:sz w:val="24"/>
          <w:szCs w:val="24"/>
        </w:rPr>
      </w:pPr>
      <w:r w:rsidRPr="001736CE">
        <w:rPr>
          <w:rFonts w:ascii="Times New Roman" w:hAnsi="Times New Roman"/>
          <w:b/>
          <w:i/>
          <w:sz w:val="24"/>
          <w:szCs w:val="24"/>
        </w:rPr>
        <w:t>Design parameters include: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Burner diameter: 90 mm</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Burner face spacing: 300 mm</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Flame nozzle size: 5 mm</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Material thickness: 2.5 mm (for body)</w:t>
      </w:r>
    </w:p>
    <w:p w:rsidR="009E22A3"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Operating pressure: 28–30 mbar (LPG standard)</w:t>
      </w:r>
    </w:p>
    <w:tbl>
      <w:tblPr>
        <w:tblStyle w:val="TableGrid"/>
        <w:tblW w:w="0" w:type="auto"/>
        <w:tblLook w:val="04A0" w:firstRow="1" w:lastRow="0" w:firstColumn="1" w:lastColumn="0" w:noHBand="0" w:noVBand="1"/>
      </w:tblPr>
      <w:tblGrid>
        <w:gridCol w:w="4315"/>
        <w:gridCol w:w="4315"/>
      </w:tblGrid>
      <w:tr w:rsidR="00BF2497" w:rsidRPr="00BF2497" w:rsidTr="00BF2497">
        <w:tc>
          <w:tcPr>
            <w:tcW w:w="4315" w:type="dxa"/>
          </w:tcPr>
          <w:p w:rsidR="00BF2497" w:rsidRPr="00BF2497" w:rsidRDefault="00BF2497" w:rsidP="00BF2497">
            <w:pPr>
              <w:spacing w:line="240" w:lineRule="auto"/>
              <w:jc w:val="center"/>
              <w:rPr>
                <w:rFonts w:ascii="Times New Roman" w:hAnsi="Times New Roman"/>
                <w:b/>
                <w:sz w:val="24"/>
                <w:szCs w:val="24"/>
              </w:rPr>
            </w:pPr>
            <w:r>
              <w:rPr>
                <w:rFonts w:ascii="Times New Roman" w:hAnsi="Times New Roman"/>
                <w:b/>
                <w:sz w:val="24"/>
                <w:szCs w:val="24"/>
              </w:rPr>
              <w:t>Parame</w:t>
            </w:r>
            <w:r w:rsidRPr="00BF2497">
              <w:rPr>
                <w:rFonts w:ascii="Times New Roman" w:hAnsi="Times New Roman"/>
                <w:b/>
                <w:sz w:val="24"/>
                <w:szCs w:val="24"/>
              </w:rPr>
              <w:t>ter</w:t>
            </w:r>
          </w:p>
        </w:tc>
        <w:tc>
          <w:tcPr>
            <w:tcW w:w="4315" w:type="dxa"/>
          </w:tcPr>
          <w:p w:rsidR="00BF2497" w:rsidRPr="00BF2497" w:rsidRDefault="00BF2497" w:rsidP="00BF2497">
            <w:pPr>
              <w:spacing w:line="240" w:lineRule="auto"/>
              <w:jc w:val="center"/>
              <w:rPr>
                <w:rFonts w:ascii="Times New Roman" w:hAnsi="Times New Roman"/>
                <w:b/>
                <w:sz w:val="24"/>
                <w:szCs w:val="24"/>
              </w:rPr>
            </w:pPr>
            <w:r w:rsidRPr="00BF2497">
              <w:rPr>
                <w:rFonts w:ascii="Times New Roman" w:hAnsi="Times New Roman"/>
                <w:b/>
                <w:sz w:val="24"/>
                <w:szCs w:val="24"/>
              </w:rPr>
              <w:t>Specification</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Number of Burner Facer</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2 (opposite Directions</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Fuel Type</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LPG (Liquefied Petroleum Gas)</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Nozzles Per Face</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5 (Brass orifice jets)</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Burner Head Diameter</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90mm</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Frame Length x Width</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500mm x 300mm</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Support Height</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450mm from ground</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Pot Support Clearance</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30-40mm above flame outlet</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Flame Temperature Target</w:t>
            </w:r>
          </w:p>
        </w:tc>
        <w:tc>
          <w:tcPr>
            <w:tcW w:w="4315" w:type="dxa"/>
          </w:tcPr>
          <w:p w:rsidR="00BF2497" w:rsidRPr="00BF2497" w:rsidRDefault="00BF2497" w:rsidP="00BF2497">
            <w:pPr>
              <w:spacing w:line="240" w:lineRule="auto"/>
              <w:jc w:val="both"/>
              <w:rPr>
                <w:rFonts w:ascii="Times New Roman" w:hAnsi="Times New Roman"/>
                <w:sz w:val="24"/>
                <w:szCs w:val="24"/>
              </w:rPr>
            </w:pPr>
            <w:r>
              <w:rPr>
                <w:rFonts w:ascii="Times New Roman" w:hAnsi="Times New Roman"/>
                <w:sz w:val="24"/>
                <w:szCs w:val="24"/>
              </w:rPr>
              <w:t>700-900</w:t>
            </w:r>
            <w:r>
              <w:rPr>
                <w:rFonts w:ascii="Times New Roman" w:hAnsi="Times New Roman"/>
                <w:sz w:val="24"/>
                <w:szCs w:val="24"/>
                <w:vertAlign w:val="superscript"/>
              </w:rPr>
              <w:t>o</w:t>
            </w:r>
            <w:r>
              <w:rPr>
                <w:rFonts w:ascii="Times New Roman" w:hAnsi="Times New Roman"/>
                <w:sz w:val="24"/>
                <w:szCs w:val="24"/>
              </w:rPr>
              <w:t>c (for general industrial use)</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Ignition Type</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Manual (Pilot Flame/Lighter)</w:t>
            </w:r>
          </w:p>
        </w:tc>
      </w:tr>
      <w:tr w:rsidR="00BF2497" w:rsidTr="00BF2497">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Working Pressure</w:t>
            </w:r>
          </w:p>
        </w:tc>
        <w:tc>
          <w:tcPr>
            <w:tcW w:w="4315" w:type="dxa"/>
          </w:tcPr>
          <w:p w:rsidR="00BF2497" w:rsidRDefault="00BF2497" w:rsidP="00BF2497">
            <w:pPr>
              <w:spacing w:line="240" w:lineRule="auto"/>
              <w:jc w:val="both"/>
              <w:rPr>
                <w:rFonts w:ascii="Times New Roman" w:hAnsi="Times New Roman"/>
                <w:sz w:val="24"/>
                <w:szCs w:val="24"/>
              </w:rPr>
            </w:pPr>
            <w:r>
              <w:rPr>
                <w:rFonts w:ascii="Times New Roman" w:hAnsi="Times New Roman"/>
                <w:sz w:val="24"/>
                <w:szCs w:val="24"/>
              </w:rPr>
              <w:t>28-30mbar (regular LPG supply)</w:t>
            </w:r>
          </w:p>
        </w:tc>
      </w:tr>
    </w:tbl>
    <w:p w:rsidR="00D673C4" w:rsidRPr="00D673C4" w:rsidRDefault="00BF2497" w:rsidP="00BF2497">
      <w:pPr>
        <w:spacing w:line="480" w:lineRule="auto"/>
        <w:jc w:val="center"/>
        <w:rPr>
          <w:rFonts w:ascii="Times New Roman" w:hAnsi="Times New Roman"/>
          <w:b/>
          <w:sz w:val="24"/>
          <w:szCs w:val="24"/>
        </w:rPr>
      </w:pPr>
      <w:r w:rsidRPr="00D673C4">
        <w:rPr>
          <w:rFonts w:ascii="Times New Roman" w:hAnsi="Times New Roman"/>
          <w:b/>
          <w:sz w:val="24"/>
          <w:szCs w:val="24"/>
        </w:rPr>
        <w:t>TABLE 1: DESIGN PARAMETERS AND SPECIFICATION</w:t>
      </w:r>
    </w:p>
    <w:p w:rsidR="009E22A3" w:rsidRPr="001736CE" w:rsidRDefault="00CF5A41" w:rsidP="001736CE">
      <w:pPr>
        <w:keepNext/>
        <w:spacing w:line="240" w:lineRule="auto"/>
        <w:jc w:val="center"/>
        <w:rPr>
          <w:rFonts w:ascii="Times New Roman" w:hAnsi="Times New Roman"/>
          <w:sz w:val="24"/>
          <w:szCs w:val="24"/>
        </w:rPr>
      </w:pPr>
      <w:r w:rsidRPr="001736CE">
        <w:rPr>
          <w:rFonts w:ascii="Times New Roman" w:hAnsi="Times New Roman"/>
          <w:noProof/>
          <w:sz w:val="24"/>
          <w:szCs w:val="24"/>
          <w:lang w:eastAsia="en-US"/>
        </w:rPr>
        <w:drawing>
          <wp:inline distT="0" distB="0" distL="0" distR="0">
            <wp:extent cx="3790950" cy="3387284"/>
            <wp:effectExtent l="0" t="0" r="0" b="0"/>
            <wp:docPr id="7" name="Picture 7" descr="C:\Users\SAMUEL DADA\Desktop\86b26d4c-b3a5-4617-8adc-8211e62b6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AMUEL DADA\Desktop\86b26d4c-b3a5-4617-8adc-8211e62b6c29.png"/>
                    <pic:cNvPicPr>
                      <a:picLocks noChangeAspect="1" noChangeArrowheads="1"/>
                    </pic:cNvPicPr>
                  </pic:nvPicPr>
                  <pic:blipFill>
                    <a:blip r:embed="rId9">
                      <a:lum bright="30000"/>
                    </a:blip>
                    <a:srcRect/>
                    <a:stretch>
                      <a:fillRect/>
                    </a:stretch>
                  </pic:blipFill>
                  <pic:spPr>
                    <a:xfrm>
                      <a:off x="0" y="0"/>
                      <a:ext cx="3796908" cy="3392607"/>
                    </a:xfrm>
                    <a:prstGeom prst="rect">
                      <a:avLst/>
                    </a:prstGeom>
                    <a:noFill/>
                    <a:ln w="9525">
                      <a:noFill/>
                      <a:miter lim="800000"/>
                      <a:headEnd/>
                      <a:tailEnd/>
                    </a:ln>
                  </pic:spPr>
                </pic:pic>
              </a:graphicData>
            </a:graphic>
          </wp:inline>
        </w:drawing>
      </w:r>
    </w:p>
    <w:p w:rsidR="009E22A3" w:rsidRPr="00CF5A41" w:rsidRDefault="00D673C4" w:rsidP="00D673C4">
      <w:pPr>
        <w:pStyle w:val="Caption"/>
        <w:jc w:val="center"/>
        <w:rPr>
          <w:rFonts w:ascii="Times New Roman" w:hAnsi="Times New Roman"/>
          <w:color w:val="auto"/>
          <w:sz w:val="24"/>
          <w:szCs w:val="24"/>
        </w:rPr>
      </w:pPr>
      <w:r w:rsidRPr="001736CE">
        <w:rPr>
          <w:rFonts w:ascii="Times New Roman" w:hAnsi="Times New Roman"/>
          <w:color w:val="auto"/>
          <w:sz w:val="24"/>
          <w:szCs w:val="24"/>
        </w:rPr>
        <w:t xml:space="preserve">Fig. </w:t>
      </w:r>
      <w:r>
        <w:rPr>
          <w:rFonts w:ascii="Times New Roman" w:hAnsi="Times New Roman"/>
          <w:color w:val="auto"/>
          <w:sz w:val="24"/>
          <w:szCs w:val="24"/>
        </w:rPr>
        <w:t>2</w:t>
      </w:r>
      <w:r w:rsidRPr="001736CE">
        <w:rPr>
          <w:rFonts w:ascii="Times New Roman" w:hAnsi="Times New Roman"/>
          <w:color w:val="auto"/>
          <w:sz w:val="24"/>
          <w:szCs w:val="24"/>
        </w:rPr>
        <w:t xml:space="preserve"> Designed Two-Face Burner Using Fusion 360</w:t>
      </w:r>
      <w:r w:rsidR="00CF5A41" w:rsidRPr="001736CE">
        <w:rPr>
          <w:rFonts w:ascii="Times New Roman" w:hAnsi="Times New Roman"/>
          <w:noProof/>
          <w:sz w:val="24"/>
          <w:szCs w:val="24"/>
          <w:lang w:eastAsia="en-US"/>
        </w:rPr>
        <w:drawing>
          <wp:inline distT="0" distB="0" distL="0" distR="0">
            <wp:extent cx="2400300" cy="2939498"/>
            <wp:effectExtent l="0" t="0" r="0" b="0"/>
            <wp:docPr id="8" name="Picture 8" descr="C:\Users\SAMUEL DADA\Desktop\f90ccbd2-5ab1-486c-b315-3b08dc73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AMUEL DADA\Desktop\f90ccbd2-5ab1-486c-b315-3b08dc73d50f.png"/>
                    <pic:cNvPicPr>
                      <a:picLocks noChangeAspect="1" noChangeArrowheads="1"/>
                    </pic:cNvPicPr>
                  </pic:nvPicPr>
                  <pic:blipFill>
                    <a:blip r:embed="rId10">
                      <a:lum bright="9000"/>
                    </a:blip>
                    <a:srcRect/>
                    <a:stretch>
                      <a:fillRect/>
                    </a:stretch>
                  </pic:blipFill>
                  <pic:spPr>
                    <a:xfrm>
                      <a:off x="0" y="0"/>
                      <a:ext cx="2402722" cy="2942464"/>
                    </a:xfrm>
                    <a:prstGeom prst="rect">
                      <a:avLst/>
                    </a:prstGeom>
                    <a:noFill/>
                    <a:ln w="9525">
                      <a:noFill/>
                      <a:miter lim="800000"/>
                      <a:headEnd/>
                      <a:tailEnd/>
                    </a:ln>
                  </pic:spPr>
                </pic:pic>
              </a:graphicData>
            </a:graphic>
          </wp:inline>
        </w:drawing>
      </w:r>
    </w:p>
    <w:p w:rsidR="009E22A3" w:rsidRPr="001736CE" w:rsidRDefault="00D673C4">
      <w:pPr>
        <w:pStyle w:val="Caption"/>
        <w:spacing w:line="480" w:lineRule="auto"/>
        <w:jc w:val="center"/>
        <w:rPr>
          <w:rFonts w:ascii="Times New Roman" w:hAnsi="Times New Roman"/>
          <w:color w:val="auto"/>
          <w:sz w:val="24"/>
          <w:szCs w:val="24"/>
        </w:rPr>
      </w:pPr>
      <w:r>
        <w:rPr>
          <w:rFonts w:ascii="Times New Roman" w:hAnsi="Times New Roman"/>
          <w:color w:val="auto"/>
          <w:sz w:val="24"/>
          <w:szCs w:val="24"/>
        </w:rPr>
        <w:t>Fig. 3</w:t>
      </w:r>
      <w:r w:rsidRPr="001736CE">
        <w:rPr>
          <w:rFonts w:ascii="Times New Roman" w:hAnsi="Times New Roman"/>
          <w:color w:val="auto"/>
          <w:sz w:val="24"/>
          <w:szCs w:val="24"/>
        </w:rPr>
        <w:t xml:space="preserve"> Dimensioned Side View of The Twin Face Burner</w:t>
      </w:r>
    </w:p>
    <w:p w:rsidR="009E22A3" w:rsidRPr="001736CE" w:rsidRDefault="00CF5A41" w:rsidP="00D673C4">
      <w:pPr>
        <w:keepNext/>
        <w:spacing w:line="240" w:lineRule="auto"/>
        <w:jc w:val="both"/>
        <w:rPr>
          <w:rFonts w:ascii="Times New Roman" w:hAnsi="Times New Roman"/>
          <w:sz w:val="24"/>
          <w:szCs w:val="24"/>
        </w:rPr>
      </w:pPr>
      <w:r w:rsidRPr="001736CE">
        <w:rPr>
          <w:rFonts w:ascii="Times New Roman" w:hAnsi="Times New Roman"/>
          <w:noProof/>
          <w:sz w:val="24"/>
          <w:szCs w:val="24"/>
          <w:lang w:eastAsia="en-US"/>
        </w:rPr>
        <w:drawing>
          <wp:inline distT="0" distB="0" distL="0" distR="0">
            <wp:extent cx="5419725" cy="2421652"/>
            <wp:effectExtent l="0" t="0" r="0" b="0"/>
            <wp:docPr id="34" name="Picture 34" descr="C:\Users\SAMUEL DADA\Desktop\629327b3e8842108a667153dfe69a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AMUEL DADA\Desktop\629327b3e8842108a667153dfe69a863.jpg"/>
                    <pic:cNvPicPr>
                      <a:picLocks noChangeAspect="1" noChangeArrowheads="1"/>
                    </pic:cNvPicPr>
                  </pic:nvPicPr>
                  <pic:blipFill>
                    <a:blip r:embed="rId11"/>
                    <a:srcRect/>
                    <a:stretch>
                      <a:fillRect/>
                    </a:stretch>
                  </pic:blipFill>
                  <pic:spPr>
                    <a:xfrm>
                      <a:off x="0" y="0"/>
                      <a:ext cx="5426879" cy="2424849"/>
                    </a:xfrm>
                    <a:prstGeom prst="rect">
                      <a:avLst/>
                    </a:prstGeom>
                    <a:noFill/>
                    <a:ln w="9525">
                      <a:noFill/>
                      <a:miter lim="800000"/>
                      <a:headEnd/>
                      <a:tailEnd/>
                    </a:ln>
                  </pic:spPr>
                </pic:pic>
              </a:graphicData>
            </a:graphic>
          </wp:inline>
        </w:drawing>
      </w:r>
    </w:p>
    <w:p w:rsidR="00D673C4" w:rsidRPr="00D673C4" w:rsidRDefault="00D673C4" w:rsidP="00D673C4">
      <w:pPr>
        <w:spacing w:line="360" w:lineRule="auto"/>
        <w:jc w:val="center"/>
        <w:rPr>
          <w:rFonts w:ascii="Times New Roman" w:hAnsi="Times New Roman"/>
          <w:b/>
          <w:sz w:val="24"/>
          <w:szCs w:val="24"/>
        </w:rPr>
      </w:pPr>
      <w:r w:rsidRPr="00D673C4">
        <w:rPr>
          <w:rFonts w:ascii="Times New Roman" w:hAnsi="Times New Roman"/>
          <w:b/>
          <w:sz w:val="24"/>
          <w:szCs w:val="24"/>
        </w:rPr>
        <w:t>Fig 4: Orthographic Projector</w:t>
      </w:r>
    </w:p>
    <w:p w:rsidR="009E22A3" w:rsidRDefault="00CF5A41">
      <w:pPr>
        <w:spacing w:line="480" w:lineRule="auto"/>
        <w:jc w:val="both"/>
        <w:rPr>
          <w:rFonts w:ascii="Times New Roman" w:hAnsi="Times New Roman"/>
          <w:b/>
          <w:sz w:val="24"/>
          <w:szCs w:val="24"/>
        </w:rPr>
      </w:pPr>
      <w:r w:rsidRPr="001736CE">
        <w:rPr>
          <w:rFonts w:ascii="Times New Roman" w:hAnsi="Times New Roman"/>
          <w:sz w:val="24"/>
          <w:szCs w:val="24"/>
        </w:rPr>
        <w:t xml:space="preserve"> </w:t>
      </w:r>
      <w:r w:rsidRPr="001736CE">
        <w:rPr>
          <w:rFonts w:ascii="Times New Roman" w:hAnsi="Times New Roman"/>
          <w:b/>
          <w:sz w:val="24"/>
          <w:szCs w:val="24"/>
        </w:rPr>
        <w:t>3.4 Tools and Equipment Used</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5"/>
        <w:gridCol w:w="4410"/>
      </w:tblGrid>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jc w:val="center"/>
              <w:rPr>
                <w:rFonts w:ascii="Times New Roman" w:eastAsia="Times New Roman" w:hAnsi="Times New Roman"/>
                <w:b/>
                <w:sz w:val="24"/>
                <w:szCs w:val="24"/>
                <w:lang w:eastAsia="en-US"/>
              </w:rPr>
            </w:pPr>
            <w:r w:rsidRPr="00094DC6">
              <w:rPr>
                <w:rFonts w:ascii="Times New Roman" w:eastAsia="Times New Roman" w:hAnsi="Times New Roman"/>
                <w:b/>
                <w:sz w:val="24"/>
                <w:szCs w:val="24"/>
                <w:lang w:eastAsia="en-US"/>
              </w:rPr>
              <w:t>Tool/Equipment</w:t>
            </w:r>
          </w:p>
        </w:tc>
        <w:tc>
          <w:tcPr>
            <w:tcW w:w="4410" w:type="dxa"/>
            <w:tcMar>
              <w:top w:w="30" w:type="dxa"/>
              <w:left w:w="45" w:type="dxa"/>
              <w:bottom w:w="30" w:type="dxa"/>
              <w:right w:w="45" w:type="dxa"/>
            </w:tcMar>
            <w:vAlign w:val="bottom"/>
            <w:hideMark/>
          </w:tcPr>
          <w:p w:rsidR="00094DC6" w:rsidRPr="00094DC6" w:rsidRDefault="00094DC6" w:rsidP="00094DC6">
            <w:pPr>
              <w:spacing w:after="0" w:line="360" w:lineRule="auto"/>
              <w:jc w:val="center"/>
              <w:rPr>
                <w:rFonts w:ascii="Times New Roman" w:eastAsia="Times New Roman" w:hAnsi="Times New Roman"/>
                <w:b/>
                <w:sz w:val="24"/>
                <w:szCs w:val="24"/>
                <w:lang w:eastAsia="en-US"/>
              </w:rPr>
            </w:pPr>
            <w:r w:rsidRPr="00094DC6">
              <w:rPr>
                <w:rFonts w:ascii="Times New Roman" w:eastAsia="Times New Roman" w:hAnsi="Times New Roman"/>
                <w:b/>
                <w:sz w:val="24"/>
                <w:szCs w:val="24"/>
                <w:lang w:eastAsia="en-US"/>
              </w:rPr>
              <w:t>Purpose</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CAD Software (e.g., Fusion 360)</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3D modeling and simulation</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Angle grinder</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Cutting and shaping metal components</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Electric welding machine</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Joining metal parts</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Drill press</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Creating holes for nozzles and mounts</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Vernier caliper</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Measuring precise dimensions</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Gas regulator and hose</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Controlling fuel input</w:t>
            </w:r>
          </w:p>
        </w:tc>
      </w:tr>
      <w:tr w:rsidR="00094DC6" w:rsidRPr="00094DC6" w:rsidTr="00094DC6">
        <w:trPr>
          <w:trHeight w:val="315"/>
        </w:trPr>
        <w:tc>
          <w:tcPr>
            <w:tcW w:w="3775" w:type="dxa"/>
            <w:tcMar>
              <w:top w:w="30" w:type="dxa"/>
              <w:left w:w="45" w:type="dxa"/>
              <w:bottom w:w="30" w:type="dxa"/>
              <w:right w:w="45" w:type="dxa"/>
            </w:tcMar>
            <w:vAlign w:val="bottom"/>
            <w:hideMark/>
          </w:tcPr>
          <w:p w:rsidR="00094DC6" w:rsidRPr="00094DC6" w:rsidRDefault="00094DC6" w:rsidP="00094DC6">
            <w:pPr>
              <w:spacing w:after="0" w:line="36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Thermocouple/IR thermometer</w:t>
            </w:r>
          </w:p>
        </w:tc>
        <w:tc>
          <w:tcPr>
            <w:tcW w:w="4410" w:type="dxa"/>
            <w:tcMar>
              <w:top w:w="30" w:type="dxa"/>
              <w:left w:w="0" w:type="dxa"/>
              <w:bottom w:w="30" w:type="dxa"/>
              <w:right w:w="0" w:type="dxa"/>
            </w:tcMar>
            <w:vAlign w:val="bottom"/>
            <w:hideMark/>
          </w:tcPr>
          <w:p w:rsidR="00094DC6" w:rsidRPr="00094DC6" w:rsidRDefault="00094DC6" w:rsidP="00094DC6">
            <w:pPr>
              <w:spacing w:after="0" w:line="36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Measuring flame temperature</w:t>
            </w:r>
          </w:p>
        </w:tc>
      </w:tr>
    </w:tbl>
    <w:p w:rsidR="00D673C4" w:rsidRPr="00D673C4" w:rsidRDefault="00094DC6" w:rsidP="00D673C4">
      <w:pPr>
        <w:spacing w:line="480" w:lineRule="auto"/>
        <w:jc w:val="center"/>
        <w:rPr>
          <w:rFonts w:ascii="Times New Roman" w:hAnsi="Times New Roman"/>
          <w:b/>
          <w:sz w:val="24"/>
          <w:szCs w:val="24"/>
        </w:rPr>
      </w:pPr>
      <w:r w:rsidRPr="00D673C4">
        <w:rPr>
          <w:rFonts w:ascii="Times New Roman" w:hAnsi="Times New Roman"/>
          <w:b/>
          <w:sz w:val="24"/>
          <w:szCs w:val="24"/>
        </w:rPr>
        <w:t>TABLE 2: TOOLS AND EQUIPMENT USED</w:t>
      </w:r>
    </w:p>
    <w:p w:rsidR="00094DC6" w:rsidRDefault="00094DC6">
      <w:pPr>
        <w:spacing w:line="480" w:lineRule="auto"/>
        <w:jc w:val="both"/>
        <w:rPr>
          <w:rFonts w:ascii="Times New Roman" w:hAnsi="Times New Roman"/>
          <w:sz w:val="24"/>
          <w:szCs w:val="24"/>
        </w:rPr>
      </w:pPr>
    </w:p>
    <w:p w:rsidR="00094DC6" w:rsidRDefault="00094DC6">
      <w:pPr>
        <w:spacing w:line="480" w:lineRule="auto"/>
        <w:jc w:val="both"/>
        <w:rPr>
          <w:rFonts w:ascii="Times New Roman" w:hAnsi="Times New Roman"/>
          <w:sz w:val="24"/>
          <w:szCs w:val="24"/>
        </w:rPr>
      </w:pPr>
    </w:p>
    <w:p w:rsidR="009E22A3" w:rsidRDefault="00CF5A41">
      <w:pPr>
        <w:spacing w:line="480" w:lineRule="auto"/>
        <w:jc w:val="both"/>
        <w:rPr>
          <w:rFonts w:ascii="Times New Roman" w:hAnsi="Times New Roman"/>
          <w:b/>
          <w:sz w:val="24"/>
          <w:szCs w:val="24"/>
        </w:rPr>
      </w:pPr>
      <w:r w:rsidRPr="001736CE">
        <w:rPr>
          <w:rFonts w:ascii="Times New Roman" w:hAnsi="Times New Roman"/>
          <w:sz w:val="24"/>
          <w:szCs w:val="24"/>
        </w:rPr>
        <w:t xml:space="preserve"> </w:t>
      </w:r>
      <w:r w:rsidRPr="001736CE">
        <w:rPr>
          <w:rFonts w:ascii="Times New Roman" w:hAnsi="Times New Roman"/>
          <w:b/>
          <w:sz w:val="24"/>
          <w:szCs w:val="24"/>
        </w:rPr>
        <w:t xml:space="preserve">3.5 </w:t>
      </w:r>
      <w:r w:rsidR="00094DC6">
        <w:rPr>
          <w:rFonts w:ascii="Times New Roman" w:hAnsi="Times New Roman"/>
          <w:b/>
          <w:sz w:val="24"/>
          <w:szCs w:val="24"/>
        </w:rPr>
        <w:tab/>
      </w:r>
      <w:r w:rsidRPr="001736CE">
        <w:rPr>
          <w:rFonts w:ascii="Times New Roman" w:hAnsi="Times New Roman"/>
          <w:b/>
          <w:sz w:val="24"/>
          <w:szCs w:val="24"/>
        </w:rPr>
        <w:t>Materials Used</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5"/>
        <w:gridCol w:w="3600"/>
      </w:tblGrid>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jc w:val="center"/>
              <w:rPr>
                <w:rFonts w:ascii="Times New Roman" w:hAnsi="Times New Roman"/>
                <w:b/>
                <w:sz w:val="24"/>
                <w:szCs w:val="24"/>
              </w:rPr>
            </w:pPr>
            <w:r w:rsidRPr="00094DC6">
              <w:rPr>
                <w:rFonts w:ascii="Times New Roman" w:hAnsi="Times New Roman"/>
                <w:b/>
                <w:sz w:val="24"/>
                <w:szCs w:val="24"/>
              </w:rPr>
              <w:t>Material</w:t>
            </w:r>
          </w:p>
        </w:tc>
        <w:tc>
          <w:tcPr>
            <w:tcW w:w="3600" w:type="dxa"/>
            <w:tcMar>
              <w:top w:w="30" w:type="dxa"/>
              <w:left w:w="45" w:type="dxa"/>
              <w:bottom w:w="30" w:type="dxa"/>
              <w:right w:w="45" w:type="dxa"/>
            </w:tcMar>
            <w:vAlign w:val="bottom"/>
            <w:hideMark/>
          </w:tcPr>
          <w:p w:rsidR="00094DC6" w:rsidRPr="00094DC6" w:rsidRDefault="00094DC6" w:rsidP="00094DC6">
            <w:pPr>
              <w:spacing w:line="240" w:lineRule="auto"/>
              <w:jc w:val="center"/>
              <w:rPr>
                <w:rFonts w:ascii="Times New Roman" w:hAnsi="Times New Roman"/>
                <w:b/>
                <w:sz w:val="24"/>
                <w:szCs w:val="24"/>
              </w:rPr>
            </w:pPr>
            <w:r w:rsidRPr="00094DC6">
              <w:rPr>
                <w:rFonts w:ascii="Times New Roman" w:hAnsi="Times New Roman"/>
                <w:b/>
                <w:sz w:val="24"/>
                <w:szCs w:val="24"/>
              </w:rPr>
              <w:t>Purpose</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Mild steel sheet (2.5 mm)</w:t>
            </w:r>
          </w:p>
        </w:tc>
        <w:tc>
          <w:tcPr>
            <w:tcW w:w="3600" w:type="dxa"/>
            <w:tcMar>
              <w:top w:w="30" w:type="dxa"/>
              <w:left w:w="0" w:type="dxa"/>
              <w:bottom w:w="30" w:type="dxa"/>
              <w:right w:w="0"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Main burner body</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Cast iron pipe</w:t>
            </w:r>
          </w:p>
        </w:tc>
        <w:tc>
          <w:tcPr>
            <w:tcW w:w="3600" w:type="dxa"/>
            <w:tcMar>
              <w:top w:w="30" w:type="dxa"/>
              <w:left w:w="0" w:type="dxa"/>
              <w:bottom w:w="30" w:type="dxa"/>
              <w:right w:w="0"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Fuel inlet and distribution channel</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Refractory ceramic</w:t>
            </w:r>
          </w:p>
        </w:tc>
        <w:tc>
          <w:tcPr>
            <w:tcW w:w="3600" w:type="dxa"/>
            <w:tcMar>
              <w:top w:w="30" w:type="dxa"/>
              <w:left w:w="0" w:type="dxa"/>
              <w:bottom w:w="30" w:type="dxa"/>
              <w:right w:w="0"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Insulating internal lining</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Gas nozzles (brass)</w:t>
            </w:r>
          </w:p>
        </w:tc>
        <w:tc>
          <w:tcPr>
            <w:tcW w:w="3600" w:type="dxa"/>
            <w:tcMar>
              <w:top w:w="30" w:type="dxa"/>
              <w:left w:w="45" w:type="dxa"/>
              <w:bottom w:w="30" w:type="dxa"/>
              <w:right w:w="45"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Flame outlet tips</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Bolts and nuts</w:t>
            </w:r>
          </w:p>
        </w:tc>
        <w:tc>
          <w:tcPr>
            <w:tcW w:w="3600" w:type="dxa"/>
            <w:tcMar>
              <w:top w:w="30" w:type="dxa"/>
              <w:left w:w="0" w:type="dxa"/>
              <w:bottom w:w="30" w:type="dxa"/>
              <w:right w:w="0"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Assembling burner components</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LPG gas cylinder</w:t>
            </w:r>
          </w:p>
        </w:tc>
        <w:tc>
          <w:tcPr>
            <w:tcW w:w="3600" w:type="dxa"/>
            <w:tcMar>
              <w:top w:w="30" w:type="dxa"/>
              <w:left w:w="45" w:type="dxa"/>
              <w:bottom w:w="30" w:type="dxa"/>
              <w:right w:w="45"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Fuel source</w:t>
            </w:r>
          </w:p>
        </w:tc>
      </w:tr>
      <w:tr w:rsidR="00094DC6" w:rsidRPr="00094DC6" w:rsidTr="00094DC6">
        <w:trPr>
          <w:trHeight w:val="315"/>
        </w:trPr>
        <w:tc>
          <w:tcPr>
            <w:tcW w:w="2875" w:type="dxa"/>
            <w:tcMar>
              <w:top w:w="30" w:type="dxa"/>
              <w:left w:w="45" w:type="dxa"/>
              <w:bottom w:w="30" w:type="dxa"/>
              <w:right w:w="45" w:type="dxa"/>
            </w:tcMar>
            <w:vAlign w:val="bottom"/>
            <w:hideMark/>
          </w:tcPr>
          <w:p w:rsidR="00094DC6" w:rsidRPr="00094DC6" w:rsidRDefault="00094DC6" w:rsidP="00094DC6">
            <w:pPr>
              <w:spacing w:line="240" w:lineRule="auto"/>
              <w:ind w:firstLine="130"/>
              <w:jc w:val="both"/>
              <w:rPr>
                <w:rFonts w:ascii="Times New Roman" w:hAnsi="Times New Roman"/>
                <w:sz w:val="24"/>
                <w:szCs w:val="24"/>
              </w:rPr>
            </w:pPr>
            <w:r w:rsidRPr="00094DC6">
              <w:rPr>
                <w:rFonts w:ascii="Times New Roman" w:hAnsi="Times New Roman"/>
                <w:sz w:val="24"/>
                <w:szCs w:val="24"/>
              </w:rPr>
              <w:t>Hose clamp</w:t>
            </w:r>
          </w:p>
        </w:tc>
        <w:tc>
          <w:tcPr>
            <w:tcW w:w="3600" w:type="dxa"/>
            <w:tcMar>
              <w:top w:w="30" w:type="dxa"/>
              <w:left w:w="0" w:type="dxa"/>
              <w:bottom w:w="30" w:type="dxa"/>
              <w:right w:w="0" w:type="dxa"/>
            </w:tcMar>
            <w:vAlign w:val="bottom"/>
            <w:hideMark/>
          </w:tcPr>
          <w:p w:rsidR="00094DC6" w:rsidRPr="00094DC6" w:rsidRDefault="00094DC6" w:rsidP="00094DC6">
            <w:pPr>
              <w:spacing w:line="240" w:lineRule="auto"/>
              <w:ind w:firstLine="90"/>
              <w:jc w:val="both"/>
              <w:rPr>
                <w:rFonts w:ascii="Times New Roman" w:hAnsi="Times New Roman"/>
                <w:sz w:val="24"/>
                <w:szCs w:val="24"/>
              </w:rPr>
            </w:pPr>
            <w:r w:rsidRPr="00094DC6">
              <w:rPr>
                <w:rFonts w:ascii="Times New Roman" w:hAnsi="Times New Roman"/>
                <w:sz w:val="24"/>
                <w:szCs w:val="24"/>
              </w:rPr>
              <w:t>Securing fuel hose</w:t>
            </w:r>
          </w:p>
        </w:tc>
      </w:tr>
    </w:tbl>
    <w:p w:rsidR="00D673C4" w:rsidRDefault="00094DC6" w:rsidP="00094DC6">
      <w:pPr>
        <w:spacing w:line="480" w:lineRule="auto"/>
        <w:jc w:val="center"/>
        <w:rPr>
          <w:rFonts w:ascii="Times New Roman" w:hAnsi="Times New Roman"/>
          <w:b/>
          <w:sz w:val="24"/>
          <w:szCs w:val="24"/>
        </w:rPr>
      </w:pPr>
      <w:r>
        <w:rPr>
          <w:rFonts w:ascii="Times New Roman" w:hAnsi="Times New Roman"/>
          <w:b/>
          <w:sz w:val="24"/>
          <w:szCs w:val="24"/>
        </w:rPr>
        <w:t>TABLE 3: MATERIAL USED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5"/>
        <w:gridCol w:w="3060"/>
        <w:gridCol w:w="3960"/>
      </w:tblGrid>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jc w:val="center"/>
              <w:rPr>
                <w:rFonts w:ascii="Times New Roman" w:eastAsia="Times New Roman" w:hAnsi="Times New Roman"/>
                <w:b/>
                <w:sz w:val="24"/>
                <w:szCs w:val="24"/>
                <w:lang w:eastAsia="en-US"/>
              </w:rPr>
            </w:pPr>
            <w:r w:rsidRPr="00094DC6">
              <w:rPr>
                <w:rFonts w:ascii="Times New Roman" w:eastAsia="Times New Roman" w:hAnsi="Times New Roman"/>
                <w:b/>
                <w:sz w:val="24"/>
                <w:szCs w:val="24"/>
                <w:lang w:eastAsia="en-US"/>
              </w:rPr>
              <w:t>Component</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jc w:val="center"/>
              <w:rPr>
                <w:rFonts w:ascii="Times New Roman" w:eastAsia="Times New Roman" w:hAnsi="Times New Roman"/>
                <w:b/>
                <w:sz w:val="24"/>
                <w:szCs w:val="24"/>
                <w:lang w:eastAsia="en-US"/>
              </w:rPr>
            </w:pPr>
            <w:r w:rsidRPr="00094DC6">
              <w:rPr>
                <w:rFonts w:ascii="Times New Roman" w:eastAsia="Times New Roman" w:hAnsi="Times New Roman"/>
                <w:b/>
                <w:sz w:val="24"/>
                <w:szCs w:val="24"/>
                <w:lang w:eastAsia="en-US"/>
              </w:rPr>
              <w:t>Material</w:t>
            </w:r>
          </w:p>
        </w:tc>
        <w:tc>
          <w:tcPr>
            <w:tcW w:w="3960" w:type="dxa"/>
            <w:tcMar>
              <w:top w:w="30" w:type="dxa"/>
              <w:left w:w="45" w:type="dxa"/>
              <w:bottom w:w="30" w:type="dxa"/>
              <w:right w:w="45" w:type="dxa"/>
            </w:tcMar>
            <w:vAlign w:val="bottom"/>
            <w:hideMark/>
          </w:tcPr>
          <w:p w:rsidR="00094DC6" w:rsidRPr="00094DC6" w:rsidRDefault="00094DC6" w:rsidP="00094DC6">
            <w:pPr>
              <w:spacing w:line="240" w:lineRule="auto"/>
              <w:jc w:val="center"/>
              <w:rPr>
                <w:rFonts w:ascii="Times New Roman" w:eastAsia="Times New Roman" w:hAnsi="Times New Roman"/>
                <w:b/>
                <w:sz w:val="24"/>
                <w:szCs w:val="24"/>
                <w:lang w:eastAsia="en-US"/>
              </w:rPr>
            </w:pPr>
            <w:r w:rsidRPr="00094DC6">
              <w:rPr>
                <w:rFonts w:ascii="Times New Roman" w:eastAsia="Times New Roman" w:hAnsi="Times New Roman"/>
                <w:b/>
                <w:sz w:val="24"/>
                <w:szCs w:val="24"/>
                <w:lang w:eastAsia="en-US"/>
              </w:rPr>
              <w:t>Remarks</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Burner Head Body</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Mild steel (2.5 mm sheet)</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Formable, easily welded</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Nozzles</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Brass (</w:t>
            </w:r>
            <w:r w:rsidRPr="00094DC6">
              <w:rPr>
                <w:rFonts w:ascii="Cambria Math" w:eastAsia="Times New Roman" w:hAnsi="Cambria Math" w:cs="Cambria Math"/>
                <w:sz w:val="24"/>
                <w:szCs w:val="24"/>
                <w:lang w:eastAsia="en-US"/>
              </w:rPr>
              <w:t>∅</w:t>
            </w:r>
            <w:r w:rsidRPr="00094DC6">
              <w:rPr>
                <w:rFonts w:ascii="Times New Roman" w:eastAsia="Times New Roman" w:hAnsi="Times New Roman"/>
                <w:sz w:val="24"/>
                <w:szCs w:val="24"/>
                <w:lang w:eastAsia="en-US"/>
              </w:rPr>
              <w:t>5 mm internal dia.)</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Resistant to corrosion and high temp</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Main Frame</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SHS 30x30x3 mm</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High rigidity, moderate weight</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Pot Support Bars</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Mild steel rods (</w:t>
            </w:r>
            <w:r w:rsidRPr="00094DC6">
              <w:rPr>
                <w:rFonts w:ascii="Cambria Math" w:eastAsia="Times New Roman" w:hAnsi="Cambria Math" w:cs="Cambria Math"/>
                <w:sz w:val="24"/>
                <w:szCs w:val="24"/>
                <w:lang w:eastAsia="en-US"/>
              </w:rPr>
              <w:t>∅</w:t>
            </w:r>
            <w:r w:rsidRPr="00094DC6">
              <w:rPr>
                <w:rFonts w:ascii="Times New Roman" w:eastAsia="Times New Roman" w:hAnsi="Times New Roman"/>
                <w:sz w:val="24"/>
                <w:szCs w:val="24"/>
                <w:lang w:eastAsia="en-US"/>
              </w:rPr>
              <w:t>10 mm)</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Load bearing and flame resistant</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Gas Piping</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Galvanized steel (21​")</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Pressure rated, rust-protected</w:t>
            </w:r>
          </w:p>
        </w:tc>
      </w:tr>
      <w:tr w:rsidR="00094DC6" w:rsidRPr="00094DC6" w:rsidTr="00094DC6">
        <w:trPr>
          <w:trHeight w:val="315"/>
        </w:trPr>
        <w:tc>
          <w:tcPr>
            <w:tcW w:w="2245" w:type="dxa"/>
            <w:tcMar>
              <w:top w:w="30" w:type="dxa"/>
              <w:left w:w="45" w:type="dxa"/>
              <w:bottom w:w="30" w:type="dxa"/>
              <w:right w:w="45" w:type="dxa"/>
            </w:tcMar>
            <w:vAlign w:val="bottom"/>
            <w:hideMark/>
          </w:tcPr>
          <w:p w:rsidR="00094DC6" w:rsidRPr="00094DC6" w:rsidRDefault="00094DC6" w:rsidP="00094DC6">
            <w:pPr>
              <w:spacing w:line="240" w:lineRule="auto"/>
              <w:ind w:firstLine="13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Insulation (optional)</w:t>
            </w:r>
          </w:p>
        </w:tc>
        <w:tc>
          <w:tcPr>
            <w:tcW w:w="3060" w:type="dxa"/>
            <w:tcMar>
              <w:top w:w="30" w:type="dxa"/>
              <w:left w:w="45" w:type="dxa"/>
              <w:bottom w:w="30" w:type="dxa"/>
              <w:right w:w="45" w:type="dxa"/>
            </w:tcMar>
            <w:vAlign w:val="bottom"/>
            <w:hideMark/>
          </w:tcPr>
          <w:p w:rsidR="00094DC6" w:rsidRPr="00094DC6" w:rsidRDefault="00094DC6" w:rsidP="00094DC6">
            <w:pPr>
              <w:spacing w:line="240" w:lineRule="auto"/>
              <w:ind w:firstLine="45"/>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Ceramic wool mat</w:t>
            </w:r>
          </w:p>
        </w:tc>
        <w:tc>
          <w:tcPr>
            <w:tcW w:w="3960" w:type="dxa"/>
            <w:tcMar>
              <w:top w:w="30" w:type="dxa"/>
              <w:left w:w="0" w:type="dxa"/>
              <w:bottom w:w="30" w:type="dxa"/>
              <w:right w:w="0" w:type="dxa"/>
            </w:tcMar>
            <w:vAlign w:val="bottom"/>
            <w:hideMark/>
          </w:tcPr>
          <w:p w:rsidR="00094DC6" w:rsidRPr="00094DC6" w:rsidRDefault="00094DC6" w:rsidP="00094DC6">
            <w:pPr>
              <w:spacing w:line="240" w:lineRule="auto"/>
              <w:ind w:firstLine="180"/>
              <w:rPr>
                <w:rFonts w:ascii="Times New Roman" w:eastAsia="Times New Roman" w:hAnsi="Times New Roman"/>
                <w:sz w:val="24"/>
                <w:szCs w:val="24"/>
                <w:lang w:eastAsia="en-US"/>
              </w:rPr>
            </w:pPr>
            <w:r w:rsidRPr="00094DC6">
              <w:rPr>
                <w:rFonts w:ascii="Times New Roman" w:eastAsia="Times New Roman" w:hAnsi="Times New Roman"/>
                <w:sz w:val="24"/>
                <w:szCs w:val="24"/>
                <w:lang w:eastAsia="en-US"/>
              </w:rPr>
              <w:t>For thermal shielding if required</w:t>
            </w:r>
          </w:p>
        </w:tc>
      </w:tr>
    </w:tbl>
    <w:p w:rsidR="00D673C4" w:rsidRPr="00D673C4" w:rsidRDefault="00094DC6" w:rsidP="00D673C4">
      <w:pPr>
        <w:spacing w:line="240" w:lineRule="auto"/>
        <w:jc w:val="center"/>
        <w:rPr>
          <w:rFonts w:ascii="Times New Roman" w:hAnsi="Times New Roman"/>
          <w:b/>
          <w:sz w:val="24"/>
          <w:szCs w:val="24"/>
        </w:rPr>
      </w:pPr>
      <w:r>
        <w:rPr>
          <w:rFonts w:ascii="Times New Roman" w:hAnsi="Times New Roman"/>
          <w:b/>
          <w:sz w:val="24"/>
          <w:szCs w:val="24"/>
        </w:rPr>
        <w:t>TABLE 4: COMPONENTS</w:t>
      </w:r>
    </w:p>
    <w:p w:rsidR="009E22A3" w:rsidRPr="001736CE" w:rsidRDefault="00CF5A41" w:rsidP="00094DC6">
      <w:pPr>
        <w:spacing w:after="160" w:line="259" w:lineRule="auto"/>
        <w:rPr>
          <w:rFonts w:ascii="Times New Roman" w:hAnsi="Times New Roman"/>
          <w:b/>
          <w:sz w:val="24"/>
          <w:szCs w:val="24"/>
        </w:rPr>
      </w:pPr>
      <w:r>
        <w:rPr>
          <w:rFonts w:ascii="Times New Roman" w:hAnsi="Times New Roman"/>
          <w:b/>
          <w:sz w:val="24"/>
          <w:szCs w:val="24"/>
        </w:rPr>
        <w:br w:type="page"/>
      </w:r>
      <w:r w:rsidRPr="001736CE">
        <w:rPr>
          <w:rFonts w:ascii="Times New Roman" w:hAnsi="Times New Roman"/>
          <w:b/>
          <w:sz w:val="24"/>
          <w:szCs w:val="24"/>
        </w:rPr>
        <w:t>3.6 Fabrication Procedures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Step 1: Design and Simulation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Burner model was developed using Fusion 360 CAD software.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Simulated gas flow and temperature profile using ANSYS.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Step 2: Cutting and Shaping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Mild steel sheets were marked and cut to shape using an angle grinder.</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Holes were drilled for nozzles and mounting brackets.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Step 3: Assembly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Burner faces were attached to a central gas manifold.</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Nozzles were fixed on each face, ensuring equal spacing.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Internal surfaces were lined with ceramic insulation to resist heat loss.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Step 4: Welding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All joints were welded using arc welding.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Welds were tested for gas leaks.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Step 5: Finishing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The surface was sanded, primed, and painted with heat resistant coating.</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3.7 Testing and Evaluation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fabricated burner was tested under laboratory conditions using LPG.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Testing Parameters: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Flame temperature (using thermocouple)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Burner efficiency (based on fuel consumption vs. heat output)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Flame symmetry (visual inspection and infrared imaging)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Combustion stability (response to pressure variations)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Leak test using soapy water around joints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Test Procedure: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1. The burner was connected to a regulated LPG source.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2. The valves were adjusted to achieve optimal combustion.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3. The temperature at each face was recorded over 10 minutes.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4. The fuel consumption was monitored using a flow meter.</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3.8 Safety Measures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Fire extinguisher was kept nearby.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Testing was conducted in an open, well-ventilated area.</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Leak checks were done before ignition.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Operators wore PPE (gloves, goggles, heat resistant apron).</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3.9 Limitations of the Methodology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Simulation tools were limited to free versions with basic features.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Testing environment lacked automated data logging equipment.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Fuel source was limited to LPG, excluding biogas and natural gas tests.</w:t>
      </w:r>
    </w:p>
    <w:p w:rsidR="009E22A3" w:rsidRPr="001736CE" w:rsidRDefault="00CF5A41">
      <w:pPr>
        <w:spacing w:line="480" w:lineRule="auto"/>
        <w:jc w:val="center"/>
        <w:rPr>
          <w:rFonts w:ascii="Times New Roman" w:hAnsi="Times New Roman"/>
          <w:b/>
          <w:sz w:val="24"/>
          <w:szCs w:val="24"/>
        </w:rPr>
      </w:pPr>
      <w:r w:rsidRPr="001736CE">
        <w:rPr>
          <w:rFonts w:ascii="Times New Roman" w:hAnsi="Times New Roman"/>
          <w:sz w:val="24"/>
          <w:szCs w:val="24"/>
        </w:rPr>
        <w:br w:type="page"/>
      </w:r>
      <w:r w:rsidRPr="001736CE">
        <w:rPr>
          <w:rFonts w:ascii="Times New Roman" w:hAnsi="Times New Roman"/>
          <w:b/>
          <w:sz w:val="24"/>
          <w:szCs w:val="24"/>
        </w:rPr>
        <w:t>CHAPTER FOUR: RESULTS AND DISCUSSION</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4.1 Introduction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4.2 Visual Flame Observation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tbl>
      <w:tblPr>
        <w:tblW w:w="6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5"/>
        <w:gridCol w:w="3600"/>
      </w:tblGrid>
      <w:tr w:rsidR="00E23AD8" w:rsidRPr="00E23AD8" w:rsidTr="00E23AD8">
        <w:trPr>
          <w:trHeight w:val="315"/>
        </w:trPr>
        <w:tc>
          <w:tcPr>
            <w:tcW w:w="3145" w:type="dxa"/>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eastAsia="Times New Roman" w:hAnsi="Times New Roman"/>
                <w:b/>
                <w:sz w:val="24"/>
                <w:szCs w:val="24"/>
                <w:lang w:eastAsia="en-US"/>
              </w:rPr>
            </w:pPr>
            <w:r w:rsidRPr="00E23AD8">
              <w:rPr>
                <w:rFonts w:ascii="Times New Roman" w:eastAsia="Times New Roman" w:hAnsi="Times New Roman"/>
                <w:b/>
                <w:sz w:val="24"/>
                <w:szCs w:val="24"/>
                <w:lang w:eastAsia="en-US"/>
              </w:rPr>
              <w:t>Observation Parameter</w:t>
            </w:r>
          </w:p>
        </w:tc>
        <w:tc>
          <w:tcPr>
            <w:tcW w:w="3600" w:type="dxa"/>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eastAsia="Times New Roman" w:hAnsi="Times New Roman"/>
                <w:b/>
                <w:sz w:val="24"/>
                <w:szCs w:val="24"/>
                <w:lang w:eastAsia="en-US"/>
              </w:rPr>
            </w:pPr>
            <w:r w:rsidRPr="00E23AD8">
              <w:rPr>
                <w:rFonts w:ascii="Times New Roman" w:eastAsia="Times New Roman" w:hAnsi="Times New Roman"/>
                <w:b/>
                <w:sz w:val="24"/>
                <w:szCs w:val="24"/>
                <w:lang w:eastAsia="en-US"/>
              </w:rPr>
              <w:t>Result</w:t>
            </w:r>
          </w:p>
        </w:tc>
      </w:tr>
      <w:tr w:rsidR="00E23AD8" w:rsidRPr="00E23AD8" w:rsidTr="00E23AD8">
        <w:trPr>
          <w:trHeight w:val="315"/>
        </w:trPr>
        <w:tc>
          <w:tcPr>
            <w:tcW w:w="3145" w:type="dxa"/>
            <w:tcMar>
              <w:top w:w="30" w:type="dxa"/>
              <w:left w:w="45" w:type="dxa"/>
              <w:bottom w:w="30" w:type="dxa"/>
              <w:right w:w="45" w:type="dxa"/>
            </w:tcMar>
            <w:vAlign w:val="bottom"/>
            <w:hideMark/>
          </w:tcPr>
          <w:p w:rsidR="00E23AD8" w:rsidRPr="00E23AD8" w:rsidRDefault="00E23AD8" w:rsidP="00E23AD8">
            <w:pPr>
              <w:spacing w:line="240" w:lineRule="auto"/>
              <w:ind w:firstLine="4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Flame color</w:t>
            </w:r>
          </w:p>
        </w:tc>
        <w:tc>
          <w:tcPr>
            <w:tcW w:w="3600" w:type="dxa"/>
            <w:tcMar>
              <w:top w:w="30" w:type="dxa"/>
              <w:left w:w="0" w:type="dxa"/>
              <w:bottom w:w="30" w:type="dxa"/>
              <w:right w:w="0" w:type="dxa"/>
            </w:tcMar>
            <w:vAlign w:val="bottom"/>
            <w:hideMark/>
          </w:tcPr>
          <w:p w:rsidR="00E23AD8" w:rsidRPr="00E23AD8" w:rsidRDefault="00E23AD8" w:rsidP="00E23AD8">
            <w:pPr>
              <w:spacing w:line="240" w:lineRule="auto"/>
              <w:ind w:firstLine="9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Blue with minimal yellow tip</w:t>
            </w:r>
          </w:p>
        </w:tc>
      </w:tr>
      <w:tr w:rsidR="00E23AD8" w:rsidRPr="00E23AD8" w:rsidTr="00E23AD8">
        <w:trPr>
          <w:trHeight w:val="315"/>
        </w:trPr>
        <w:tc>
          <w:tcPr>
            <w:tcW w:w="3145" w:type="dxa"/>
            <w:tcMar>
              <w:top w:w="30" w:type="dxa"/>
              <w:left w:w="45" w:type="dxa"/>
              <w:bottom w:w="30" w:type="dxa"/>
              <w:right w:w="45" w:type="dxa"/>
            </w:tcMar>
            <w:vAlign w:val="bottom"/>
            <w:hideMark/>
          </w:tcPr>
          <w:p w:rsidR="00E23AD8" w:rsidRPr="00E23AD8" w:rsidRDefault="00E23AD8" w:rsidP="00E23AD8">
            <w:pPr>
              <w:spacing w:line="240" w:lineRule="auto"/>
              <w:ind w:firstLine="4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Flame height</w:t>
            </w:r>
          </w:p>
        </w:tc>
        <w:tc>
          <w:tcPr>
            <w:tcW w:w="3600" w:type="dxa"/>
            <w:tcMar>
              <w:top w:w="30" w:type="dxa"/>
              <w:left w:w="45" w:type="dxa"/>
              <w:bottom w:w="30" w:type="dxa"/>
              <w:right w:w="45" w:type="dxa"/>
            </w:tcMar>
            <w:vAlign w:val="bottom"/>
            <w:hideMark/>
          </w:tcPr>
          <w:p w:rsidR="00E23AD8" w:rsidRPr="00E23AD8" w:rsidRDefault="00E23AD8" w:rsidP="00E23AD8">
            <w:pPr>
              <w:spacing w:line="240" w:lineRule="auto"/>
              <w:ind w:firstLine="9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~80 mm</w:t>
            </w:r>
          </w:p>
        </w:tc>
      </w:tr>
      <w:tr w:rsidR="00E23AD8" w:rsidRPr="00E23AD8" w:rsidTr="00E23AD8">
        <w:trPr>
          <w:trHeight w:val="315"/>
        </w:trPr>
        <w:tc>
          <w:tcPr>
            <w:tcW w:w="3145" w:type="dxa"/>
            <w:tcMar>
              <w:top w:w="30" w:type="dxa"/>
              <w:left w:w="45" w:type="dxa"/>
              <w:bottom w:w="30" w:type="dxa"/>
              <w:right w:w="45" w:type="dxa"/>
            </w:tcMar>
            <w:vAlign w:val="bottom"/>
            <w:hideMark/>
          </w:tcPr>
          <w:p w:rsidR="00E23AD8" w:rsidRPr="00E23AD8" w:rsidRDefault="00E23AD8" w:rsidP="00E23AD8">
            <w:pPr>
              <w:spacing w:line="240" w:lineRule="auto"/>
              <w:ind w:firstLine="4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Flame spread</w:t>
            </w:r>
          </w:p>
        </w:tc>
        <w:tc>
          <w:tcPr>
            <w:tcW w:w="3600" w:type="dxa"/>
            <w:tcMar>
              <w:top w:w="30" w:type="dxa"/>
              <w:left w:w="0" w:type="dxa"/>
              <w:bottom w:w="30" w:type="dxa"/>
              <w:right w:w="0" w:type="dxa"/>
            </w:tcMar>
            <w:vAlign w:val="bottom"/>
            <w:hideMark/>
          </w:tcPr>
          <w:p w:rsidR="00E23AD8" w:rsidRPr="00E23AD8" w:rsidRDefault="00E23AD8" w:rsidP="00E23AD8">
            <w:pPr>
              <w:spacing w:line="240" w:lineRule="auto"/>
              <w:ind w:firstLine="9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Even across nozzles</w:t>
            </w:r>
          </w:p>
        </w:tc>
      </w:tr>
      <w:tr w:rsidR="00E23AD8" w:rsidRPr="00E23AD8" w:rsidTr="00E23AD8">
        <w:trPr>
          <w:trHeight w:val="315"/>
        </w:trPr>
        <w:tc>
          <w:tcPr>
            <w:tcW w:w="3145" w:type="dxa"/>
            <w:tcMar>
              <w:top w:w="30" w:type="dxa"/>
              <w:left w:w="45" w:type="dxa"/>
              <w:bottom w:w="30" w:type="dxa"/>
              <w:right w:w="45" w:type="dxa"/>
            </w:tcMar>
            <w:vAlign w:val="bottom"/>
            <w:hideMark/>
          </w:tcPr>
          <w:p w:rsidR="00E23AD8" w:rsidRPr="00E23AD8" w:rsidRDefault="00E23AD8" w:rsidP="00E23AD8">
            <w:pPr>
              <w:spacing w:line="240" w:lineRule="auto"/>
              <w:ind w:firstLine="4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Stability under wind</w:t>
            </w:r>
          </w:p>
        </w:tc>
        <w:tc>
          <w:tcPr>
            <w:tcW w:w="3600" w:type="dxa"/>
            <w:tcMar>
              <w:top w:w="30" w:type="dxa"/>
              <w:left w:w="0" w:type="dxa"/>
              <w:bottom w:w="30" w:type="dxa"/>
              <w:right w:w="0" w:type="dxa"/>
            </w:tcMar>
            <w:vAlign w:val="bottom"/>
            <w:hideMark/>
          </w:tcPr>
          <w:p w:rsidR="00E23AD8" w:rsidRPr="00E23AD8" w:rsidRDefault="00E23AD8" w:rsidP="00E23AD8">
            <w:pPr>
              <w:spacing w:line="240" w:lineRule="auto"/>
              <w:ind w:firstLine="90"/>
              <w:rPr>
                <w:rFonts w:ascii="Times New Roman" w:eastAsia="Times New Roman" w:hAnsi="Times New Roman"/>
                <w:sz w:val="24"/>
                <w:szCs w:val="24"/>
                <w:lang w:eastAsia="en-US"/>
              </w:rPr>
            </w:pPr>
            <w:r w:rsidRPr="00E23AD8">
              <w:rPr>
                <w:rFonts w:ascii="Times New Roman" w:eastAsia="Times New Roman" w:hAnsi="Times New Roman"/>
                <w:sz w:val="24"/>
                <w:szCs w:val="24"/>
                <w:lang w:eastAsia="en-US"/>
              </w:rPr>
              <w:t>Moderate turbulence resistance</w:t>
            </w:r>
          </w:p>
        </w:tc>
      </w:tr>
    </w:tbl>
    <w:p w:rsidR="00094DC6" w:rsidRPr="00094DC6" w:rsidRDefault="00094DC6" w:rsidP="00094DC6">
      <w:pPr>
        <w:spacing w:line="480" w:lineRule="auto"/>
        <w:jc w:val="center"/>
        <w:rPr>
          <w:rFonts w:ascii="Times New Roman" w:hAnsi="Times New Roman"/>
          <w:b/>
          <w:sz w:val="24"/>
          <w:szCs w:val="24"/>
        </w:rPr>
      </w:pPr>
      <w:r>
        <w:rPr>
          <w:rFonts w:ascii="Times New Roman" w:hAnsi="Times New Roman"/>
          <w:b/>
          <w:sz w:val="24"/>
          <w:szCs w:val="24"/>
        </w:rPr>
        <w:t>TABLE 5: VISUAL FLAM OBSERVATION</w:t>
      </w:r>
    </w:p>
    <w:p w:rsidR="009E22A3" w:rsidRPr="00CF5A41" w:rsidRDefault="00CF5A41">
      <w:pPr>
        <w:spacing w:line="480" w:lineRule="auto"/>
        <w:jc w:val="both"/>
        <w:rPr>
          <w:rFonts w:ascii="Times New Roman" w:hAnsi="Times New Roman"/>
          <w:sz w:val="24"/>
          <w:szCs w:val="24"/>
        </w:rPr>
      </w:pPr>
      <w:r w:rsidRPr="001736CE">
        <w:rPr>
          <w:rFonts w:ascii="Times New Roman" w:hAnsi="Times New Roman"/>
          <w:sz w:val="24"/>
          <w:szCs w:val="24"/>
        </w:rPr>
        <w:t>The symmetric blue flame is indicative of complete combustion and proper nozzle geometry. Yellow tips were only observed at ignition, likely due to initial gas-air imbalance.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4.3 Flame Temperature Measurement</w:t>
      </w:r>
    </w:p>
    <w:p w:rsidR="009E22A3" w:rsidRDefault="00CF5A41">
      <w:pPr>
        <w:spacing w:line="480" w:lineRule="auto"/>
        <w:jc w:val="both"/>
        <w:rPr>
          <w:rFonts w:ascii="Times New Roman" w:hAnsi="Times New Roman"/>
          <w:sz w:val="24"/>
          <w:szCs w:val="24"/>
        </w:rPr>
      </w:pPr>
      <w:r w:rsidRPr="001736CE">
        <w:rPr>
          <w:rFonts w:ascii="Times New Roman" w:hAnsi="Times New Roman"/>
          <w:sz w:val="24"/>
          <w:szCs w:val="24"/>
        </w:rPr>
        <w:t>Temperature measurements were taken at the centerline of each burner face, 5 cm above the flame. An infrared (IR) thermometer and K-type thermocouple were used.</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2160"/>
        <w:gridCol w:w="2340"/>
      </w:tblGrid>
      <w:tr w:rsidR="00E23AD8" w:rsidRPr="00E23AD8" w:rsidTr="00E23AD8">
        <w:trPr>
          <w:trHeight w:val="315"/>
        </w:trPr>
        <w:tc>
          <w:tcPr>
            <w:tcW w:w="3055" w:type="dxa"/>
            <w:tcMar>
              <w:top w:w="30" w:type="dxa"/>
              <w:left w:w="45" w:type="dxa"/>
              <w:bottom w:w="30" w:type="dxa"/>
              <w:right w:w="45" w:type="dxa"/>
            </w:tcMar>
            <w:vAlign w:val="bottom"/>
            <w:hideMark/>
          </w:tcPr>
          <w:p w:rsidR="00E23AD8" w:rsidRPr="00E23AD8" w:rsidRDefault="00E23AD8" w:rsidP="00E23AD8">
            <w:pPr>
              <w:spacing w:line="240" w:lineRule="auto"/>
              <w:jc w:val="both"/>
              <w:rPr>
                <w:rFonts w:ascii="Times New Roman" w:hAnsi="Times New Roman"/>
                <w:b/>
                <w:sz w:val="24"/>
                <w:szCs w:val="24"/>
              </w:rPr>
            </w:pPr>
            <w:r w:rsidRPr="00E23AD8">
              <w:rPr>
                <w:rFonts w:ascii="Times New Roman" w:hAnsi="Times New Roman"/>
                <w:b/>
                <w:sz w:val="24"/>
                <w:szCs w:val="24"/>
              </w:rPr>
              <w:t>Measurement Point</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jc w:val="both"/>
              <w:rPr>
                <w:rFonts w:ascii="Times New Roman" w:hAnsi="Times New Roman"/>
                <w:b/>
                <w:sz w:val="24"/>
                <w:szCs w:val="24"/>
              </w:rPr>
            </w:pPr>
            <w:r w:rsidRPr="00E23AD8">
              <w:rPr>
                <w:rFonts w:ascii="Times New Roman" w:hAnsi="Times New Roman"/>
                <w:b/>
                <w:sz w:val="24"/>
                <w:szCs w:val="24"/>
              </w:rPr>
              <w:t>Left Burner (</w:t>
            </w:r>
            <w:r w:rsidRPr="00E23AD8">
              <w:rPr>
                <w:rFonts w:ascii="Cambria Math" w:hAnsi="Cambria Math" w:cs="Cambria Math"/>
                <w:b/>
                <w:sz w:val="24"/>
                <w:szCs w:val="24"/>
              </w:rPr>
              <w:t>∘</w:t>
            </w:r>
            <w:r w:rsidRPr="00E23AD8">
              <w:rPr>
                <w:rFonts w:ascii="Times New Roman" w:hAnsi="Times New Roman"/>
                <w:b/>
                <w:sz w:val="24"/>
                <w:szCs w:val="24"/>
              </w:rPr>
              <w:t>C)</w:t>
            </w:r>
          </w:p>
        </w:tc>
        <w:tc>
          <w:tcPr>
            <w:tcW w:w="2340" w:type="dxa"/>
            <w:tcMar>
              <w:top w:w="30" w:type="dxa"/>
              <w:left w:w="0" w:type="dxa"/>
              <w:bottom w:w="30" w:type="dxa"/>
              <w:right w:w="0" w:type="dxa"/>
            </w:tcMar>
            <w:vAlign w:val="bottom"/>
            <w:hideMark/>
          </w:tcPr>
          <w:p w:rsidR="00E23AD8" w:rsidRPr="00E23AD8" w:rsidRDefault="00E23AD8" w:rsidP="00E23AD8">
            <w:pPr>
              <w:spacing w:line="240" w:lineRule="auto"/>
              <w:jc w:val="both"/>
              <w:rPr>
                <w:rFonts w:ascii="Times New Roman" w:hAnsi="Times New Roman"/>
                <w:b/>
                <w:sz w:val="24"/>
                <w:szCs w:val="24"/>
              </w:rPr>
            </w:pPr>
            <w:r w:rsidRPr="00E23AD8">
              <w:rPr>
                <w:rFonts w:ascii="Times New Roman" w:hAnsi="Times New Roman"/>
                <w:b/>
                <w:sz w:val="24"/>
                <w:szCs w:val="24"/>
              </w:rPr>
              <w:t>Right Burner (</w:t>
            </w:r>
            <w:r w:rsidRPr="00E23AD8">
              <w:rPr>
                <w:rFonts w:ascii="Cambria Math" w:hAnsi="Cambria Math" w:cs="Cambria Math"/>
                <w:b/>
                <w:sz w:val="24"/>
                <w:szCs w:val="24"/>
              </w:rPr>
              <w:t>∘</w:t>
            </w:r>
            <w:r w:rsidRPr="00E23AD8">
              <w:rPr>
                <w:rFonts w:ascii="Times New Roman" w:hAnsi="Times New Roman"/>
                <w:b/>
                <w:sz w:val="24"/>
                <w:szCs w:val="24"/>
              </w:rPr>
              <w:t>C)</w:t>
            </w:r>
          </w:p>
        </w:tc>
      </w:tr>
      <w:tr w:rsidR="00E23AD8" w:rsidRPr="00E23AD8" w:rsidTr="00E23AD8">
        <w:trPr>
          <w:trHeight w:val="315"/>
        </w:trPr>
        <w:tc>
          <w:tcPr>
            <w:tcW w:w="3055"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Center (5 cm above flame)</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823</w:t>
            </w:r>
          </w:p>
        </w:tc>
        <w:tc>
          <w:tcPr>
            <w:tcW w:w="234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817</w:t>
            </w:r>
          </w:p>
        </w:tc>
      </w:tr>
      <w:tr w:rsidR="00E23AD8" w:rsidRPr="00E23AD8" w:rsidTr="00E23AD8">
        <w:trPr>
          <w:trHeight w:val="315"/>
        </w:trPr>
        <w:tc>
          <w:tcPr>
            <w:tcW w:w="3055"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Edge (~2 cm off-center)</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790</w:t>
            </w:r>
          </w:p>
        </w:tc>
        <w:tc>
          <w:tcPr>
            <w:tcW w:w="234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778</w:t>
            </w:r>
          </w:p>
        </w:tc>
      </w:tr>
    </w:tbl>
    <w:p w:rsidR="00E23AD8" w:rsidRPr="00E23AD8" w:rsidRDefault="00E23AD8" w:rsidP="00E23AD8">
      <w:pPr>
        <w:spacing w:line="480" w:lineRule="auto"/>
        <w:jc w:val="center"/>
        <w:rPr>
          <w:rFonts w:ascii="Times New Roman" w:hAnsi="Times New Roman"/>
          <w:b/>
          <w:sz w:val="24"/>
          <w:szCs w:val="24"/>
        </w:rPr>
      </w:pPr>
      <w:r>
        <w:rPr>
          <w:rFonts w:ascii="Times New Roman" w:hAnsi="Times New Roman"/>
          <w:b/>
          <w:sz w:val="24"/>
          <w:szCs w:val="24"/>
        </w:rPr>
        <w:t>TABLE 6: FLAME TEMPERATURE MEASUREMENT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4.4 Boiling Time Test (Thermal Efficiency)</w:t>
      </w:r>
    </w:p>
    <w:p w:rsidR="009E22A3" w:rsidRDefault="00CF5A41">
      <w:pPr>
        <w:spacing w:line="480" w:lineRule="auto"/>
        <w:jc w:val="both"/>
        <w:rPr>
          <w:rFonts w:ascii="Times New Roman" w:hAnsi="Times New Roman"/>
          <w:sz w:val="24"/>
          <w:szCs w:val="24"/>
        </w:rPr>
      </w:pPr>
      <w:r w:rsidRPr="001736CE">
        <w:rPr>
          <w:rFonts w:ascii="Times New Roman" w:hAnsi="Times New Roman"/>
          <w:sz w:val="24"/>
          <w:szCs w:val="24"/>
        </w:rPr>
        <w:t>A 1-liter stainless steel pot filled with tap water at 25°C was placed 3 cm above each burner face to assess heating capability.</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7"/>
        <w:gridCol w:w="2073"/>
        <w:gridCol w:w="1997"/>
      </w:tblGrid>
      <w:tr w:rsidR="00E23AD8" w:rsidRPr="00E23AD8" w:rsidTr="00E23AD8">
        <w:trPr>
          <w:trHeight w:val="315"/>
        </w:trPr>
        <w:tc>
          <w:tcPr>
            <w:tcW w:w="0" w:type="auto"/>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hAnsi="Times New Roman"/>
                <w:b/>
                <w:sz w:val="24"/>
                <w:szCs w:val="24"/>
              </w:rPr>
            </w:pPr>
            <w:r w:rsidRPr="00E23AD8">
              <w:rPr>
                <w:rFonts w:ascii="Times New Roman" w:hAnsi="Times New Roman"/>
                <w:b/>
                <w:sz w:val="24"/>
                <w:szCs w:val="24"/>
              </w:rPr>
              <w:t>Test Parameter</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hAnsi="Times New Roman"/>
                <w:b/>
                <w:sz w:val="24"/>
                <w:szCs w:val="24"/>
              </w:rPr>
            </w:pPr>
            <w:r w:rsidRPr="00E23AD8">
              <w:rPr>
                <w:rFonts w:ascii="Times New Roman" w:hAnsi="Times New Roman"/>
                <w:b/>
                <w:sz w:val="24"/>
                <w:szCs w:val="24"/>
              </w:rPr>
              <w:t>Result (Left Face)</w:t>
            </w:r>
          </w:p>
        </w:tc>
        <w:tc>
          <w:tcPr>
            <w:tcW w:w="0" w:type="auto"/>
            <w:tcMar>
              <w:top w:w="30" w:type="dxa"/>
              <w:left w:w="0" w:type="dxa"/>
              <w:bottom w:w="30" w:type="dxa"/>
              <w:right w:w="0" w:type="dxa"/>
            </w:tcMar>
            <w:vAlign w:val="bottom"/>
            <w:hideMark/>
          </w:tcPr>
          <w:p w:rsidR="00E23AD8" w:rsidRPr="00E23AD8" w:rsidRDefault="00E23AD8" w:rsidP="00E23AD8">
            <w:pPr>
              <w:spacing w:line="240" w:lineRule="auto"/>
              <w:jc w:val="center"/>
              <w:rPr>
                <w:rFonts w:ascii="Times New Roman" w:hAnsi="Times New Roman"/>
                <w:b/>
                <w:sz w:val="24"/>
                <w:szCs w:val="24"/>
              </w:rPr>
            </w:pPr>
            <w:r w:rsidRPr="00E23AD8">
              <w:rPr>
                <w:rFonts w:ascii="Times New Roman" w:hAnsi="Times New Roman"/>
                <w:b/>
                <w:sz w:val="24"/>
                <w:szCs w:val="24"/>
              </w:rPr>
              <w:t>Result (Right Face)</w:t>
            </w:r>
          </w:p>
        </w:tc>
      </w:tr>
      <w:tr w:rsidR="00E23AD8" w:rsidRPr="00E23AD8" w:rsidTr="00E23AD8">
        <w:trPr>
          <w:trHeight w:val="315"/>
        </w:trPr>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Initial water temp</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25</w:t>
            </w:r>
            <w:r>
              <w:rPr>
                <w:rFonts w:ascii="Times New Roman" w:hAnsi="Times New Roman"/>
                <w:sz w:val="24"/>
                <w:szCs w:val="24"/>
                <w:vertAlign w:val="superscript"/>
              </w:rPr>
              <w:t>o</w:t>
            </w:r>
            <w:r w:rsidRPr="00E23AD8">
              <w:rPr>
                <w:rFonts w:ascii="Times New Roman" w:hAnsi="Times New Roman"/>
                <w:sz w:val="24"/>
                <w:szCs w:val="24"/>
              </w:rPr>
              <w:t>C</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2</w:t>
            </w:r>
            <w:r>
              <w:rPr>
                <w:rFonts w:ascii="Times New Roman" w:hAnsi="Times New Roman"/>
                <w:sz w:val="24"/>
                <w:szCs w:val="24"/>
                <w:vertAlign w:val="superscript"/>
              </w:rPr>
              <w:t>o</w:t>
            </w:r>
            <w:r w:rsidRPr="00E23AD8">
              <w:rPr>
                <w:rFonts w:ascii="Times New Roman" w:hAnsi="Times New Roman"/>
                <w:sz w:val="24"/>
                <w:szCs w:val="24"/>
              </w:rPr>
              <w:t>C</w:t>
            </w:r>
          </w:p>
        </w:tc>
      </w:tr>
      <w:tr w:rsidR="00E23AD8" w:rsidRPr="00E23AD8" w:rsidTr="00E23AD8">
        <w:trPr>
          <w:trHeight w:val="315"/>
        </w:trPr>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Time to boil (100</w:t>
            </w:r>
            <w:r>
              <w:rPr>
                <w:rFonts w:ascii="Times New Roman" w:hAnsi="Times New Roman"/>
                <w:sz w:val="24"/>
                <w:szCs w:val="24"/>
                <w:vertAlign w:val="superscript"/>
              </w:rPr>
              <w:t>o</w:t>
            </w:r>
            <w:r w:rsidRPr="00E23AD8">
              <w:rPr>
                <w:rFonts w:ascii="Times New Roman" w:hAnsi="Times New Roman"/>
                <w:sz w:val="24"/>
                <w:szCs w:val="24"/>
              </w:rPr>
              <w:t>C)</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6.8 minutes</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7.1 minutes</w:t>
            </w:r>
          </w:p>
        </w:tc>
      </w:tr>
      <w:tr w:rsidR="00E23AD8" w:rsidRPr="00E23AD8" w:rsidTr="00E23AD8">
        <w:trPr>
          <w:trHeight w:val="315"/>
        </w:trPr>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Flame contact area</w:t>
            </w:r>
          </w:p>
        </w:tc>
        <w:tc>
          <w:tcPr>
            <w:tcW w:w="0" w:type="auto"/>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90% base coverage</w:t>
            </w:r>
          </w:p>
        </w:tc>
        <w:tc>
          <w:tcPr>
            <w:tcW w:w="0" w:type="auto"/>
            <w:tcMar>
              <w:top w:w="30" w:type="dxa"/>
              <w:left w:w="0" w:type="dxa"/>
              <w:bottom w:w="30" w:type="dxa"/>
              <w:right w:w="0"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90% base coverage</w:t>
            </w:r>
          </w:p>
        </w:tc>
      </w:tr>
    </w:tbl>
    <w:p w:rsidR="00E23AD8" w:rsidRPr="00E23AD8" w:rsidRDefault="00E23AD8" w:rsidP="00E23AD8">
      <w:pPr>
        <w:spacing w:line="480" w:lineRule="auto"/>
        <w:jc w:val="center"/>
        <w:rPr>
          <w:rFonts w:ascii="Times New Roman" w:hAnsi="Times New Roman"/>
          <w:b/>
          <w:sz w:val="24"/>
          <w:szCs w:val="24"/>
        </w:rPr>
      </w:pPr>
      <w:r>
        <w:rPr>
          <w:rFonts w:ascii="Times New Roman" w:hAnsi="Times New Roman"/>
          <w:b/>
          <w:sz w:val="24"/>
          <w:szCs w:val="24"/>
        </w:rPr>
        <w:t>TABLE 7: BOILING TIME TEST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burner effectively boiled 1L of water in under 7 minutes, confirming sufficient heat flux for typical industrial tasks such as boiling, soldering, or drying. The ~5% difference between faces is within tolerance.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4.5 Fuel Consumption Rate</w:t>
      </w:r>
    </w:p>
    <w:p w:rsidR="009E22A3" w:rsidRDefault="00CF5A41">
      <w:pPr>
        <w:spacing w:line="480" w:lineRule="auto"/>
        <w:jc w:val="both"/>
        <w:rPr>
          <w:rFonts w:ascii="Times New Roman" w:hAnsi="Times New Roman"/>
          <w:sz w:val="24"/>
          <w:szCs w:val="24"/>
        </w:rPr>
      </w:pPr>
      <w:r w:rsidRPr="001736CE">
        <w:rPr>
          <w:rFonts w:ascii="Times New Roman" w:hAnsi="Times New Roman"/>
          <w:sz w:val="24"/>
          <w:szCs w:val="24"/>
        </w:rPr>
        <w:t>Using a calibrated LPG flow meter, the gas consumption was recorded during a 15-minute full-load operation.</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5"/>
        <w:gridCol w:w="2160"/>
      </w:tblGrid>
      <w:tr w:rsidR="00E23AD8" w:rsidRPr="00E23AD8" w:rsidTr="00E23AD8">
        <w:trPr>
          <w:trHeight w:val="315"/>
        </w:trPr>
        <w:tc>
          <w:tcPr>
            <w:tcW w:w="3685" w:type="dxa"/>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hAnsi="Times New Roman"/>
                <w:b/>
                <w:sz w:val="24"/>
                <w:szCs w:val="24"/>
              </w:rPr>
            </w:pPr>
            <w:r w:rsidRPr="00E23AD8">
              <w:rPr>
                <w:rFonts w:ascii="Times New Roman" w:hAnsi="Times New Roman"/>
                <w:b/>
                <w:sz w:val="24"/>
                <w:szCs w:val="24"/>
              </w:rPr>
              <w:t>Test Parameter</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jc w:val="center"/>
              <w:rPr>
                <w:rFonts w:ascii="Times New Roman" w:hAnsi="Times New Roman"/>
                <w:b/>
                <w:sz w:val="24"/>
                <w:szCs w:val="24"/>
              </w:rPr>
            </w:pPr>
            <w:r w:rsidRPr="00E23AD8">
              <w:rPr>
                <w:rFonts w:ascii="Times New Roman" w:hAnsi="Times New Roman"/>
                <w:b/>
                <w:sz w:val="24"/>
                <w:szCs w:val="24"/>
              </w:rPr>
              <w:t>Measured Value</w:t>
            </w:r>
          </w:p>
        </w:tc>
      </w:tr>
      <w:tr w:rsidR="00E23AD8" w:rsidRPr="00E23AD8" w:rsidTr="00E23AD8">
        <w:trPr>
          <w:trHeight w:val="315"/>
        </w:trPr>
        <w:tc>
          <w:tcPr>
            <w:tcW w:w="3685"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Gas consumption (LPG)</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0.65 kg</w:t>
            </w:r>
          </w:p>
        </w:tc>
      </w:tr>
      <w:tr w:rsidR="00E23AD8" w:rsidRPr="00E23AD8" w:rsidTr="00E23AD8">
        <w:trPr>
          <w:trHeight w:val="315"/>
        </w:trPr>
        <w:tc>
          <w:tcPr>
            <w:tcW w:w="3685"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Rate per minute</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43.3 grams/min</w:t>
            </w:r>
          </w:p>
        </w:tc>
      </w:tr>
      <w:tr w:rsidR="00E23AD8" w:rsidRPr="00E23AD8" w:rsidTr="00E23AD8">
        <w:trPr>
          <w:trHeight w:val="315"/>
        </w:trPr>
        <w:tc>
          <w:tcPr>
            <w:tcW w:w="3685"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Est. full cylinder runtime (12.5 kg)</w:t>
            </w:r>
          </w:p>
        </w:tc>
        <w:tc>
          <w:tcPr>
            <w:tcW w:w="2160" w:type="dxa"/>
            <w:tcMar>
              <w:top w:w="30" w:type="dxa"/>
              <w:left w:w="45" w:type="dxa"/>
              <w:bottom w:w="30" w:type="dxa"/>
              <w:right w:w="45" w:type="dxa"/>
            </w:tcMar>
            <w:vAlign w:val="bottom"/>
            <w:hideMark/>
          </w:tcPr>
          <w:p w:rsidR="00E23AD8" w:rsidRPr="00E23AD8" w:rsidRDefault="00E23AD8" w:rsidP="00E23AD8">
            <w:pPr>
              <w:spacing w:line="240" w:lineRule="auto"/>
              <w:ind w:firstLine="130"/>
              <w:jc w:val="both"/>
              <w:rPr>
                <w:rFonts w:ascii="Times New Roman" w:hAnsi="Times New Roman"/>
                <w:sz w:val="24"/>
                <w:szCs w:val="24"/>
              </w:rPr>
            </w:pPr>
            <w:r w:rsidRPr="00E23AD8">
              <w:rPr>
                <w:rFonts w:ascii="Times New Roman" w:hAnsi="Times New Roman"/>
                <w:sz w:val="24"/>
                <w:szCs w:val="24"/>
              </w:rPr>
              <w:t>~289 mins</w:t>
            </w:r>
          </w:p>
        </w:tc>
      </w:tr>
    </w:tbl>
    <w:p w:rsidR="00E23AD8" w:rsidRPr="00E23AD8" w:rsidRDefault="00E23AD8" w:rsidP="00E23AD8">
      <w:pPr>
        <w:spacing w:line="480" w:lineRule="auto"/>
        <w:rPr>
          <w:rFonts w:ascii="Times New Roman" w:hAnsi="Times New Roman"/>
          <w:b/>
          <w:sz w:val="24"/>
          <w:szCs w:val="24"/>
        </w:rPr>
      </w:pPr>
      <w:r>
        <w:rPr>
          <w:rFonts w:ascii="Times New Roman" w:hAnsi="Times New Roman"/>
          <w:b/>
          <w:sz w:val="24"/>
          <w:szCs w:val="24"/>
        </w:rPr>
        <w:t xml:space="preserve">  TABLE 8: FUEL CONSUMPTION RATE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burner exhibits an average LPG consumption rate suitable for sustained industrial heating tasks. The rate falls within the energy density limits of 46 MJ/kg for LPG.</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4.6 Structural Stability Test</w:t>
      </w:r>
    </w:p>
    <w:p w:rsidR="009E22A3" w:rsidRDefault="00CF5A41">
      <w:pPr>
        <w:spacing w:line="480" w:lineRule="auto"/>
        <w:jc w:val="both"/>
        <w:rPr>
          <w:rFonts w:ascii="Times New Roman" w:hAnsi="Times New Roman"/>
          <w:sz w:val="24"/>
          <w:szCs w:val="24"/>
        </w:rPr>
      </w:pPr>
      <w:r w:rsidRPr="001736CE">
        <w:rPr>
          <w:rFonts w:ascii="Times New Roman" w:hAnsi="Times New Roman"/>
          <w:sz w:val="24"/>
          <w:szCs w:val="24"/>
        </w:rPr>
        <w:t>A dead-load test was conducted by placing 10 kg static weight on the pot support bars to evaluate rigidity.</w:t>
      </w:r>
    </w:p>
    <w:p w:rsidR="00E23AD8" w:rsidRDefault="00E23AD8">
      <w:pPr>
        <w:spacing w:line="480" w:lineRule="auto"/>
        <w:jc w:val="both"/>
        <w:rPr>
          <w:rFonts w:ascii="Times New Roman" w:hAnsi="Times New Roman"/>
          <w:sz w:val="24"/>
          <w:szCs w:val="24"/>
        </w:rPr>
      </w:pPr>
    </w:p>
    <w:p w:rsidR="00E23AD8" w:rsidRDefault="00E23AD8">
      <w:pPr>
        <w:spacing w:line="480" w:lineRule="auto"/>
        <w:jc w:val="both"/>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62"/>
        <w:gridCol w:w="2070"/>
      </w:tblGrid>
      <w:tr w:rsidR="00E23AD8" w:rsidRPr="00E23AD8" w:rsidTr="00E23AD8">
        <w:tc>
          <w:tcPr>
            <w:tcW w:w="2962"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jc w:val="center"/>
              <w:rPr>
                <w:rFonts w:ascii="Times New Roman" w:hAnsi="Times New Roman"/>
                <w:b/>
                <w:sz w:val="24"/>
                <w:szCs w:val="24"/>
              </w:rPr>
            </w:pPr>
            <w:r w:rsidRPr="00E23AD8">
              <w:rPr>
                <w:rFonts w:ascii="Times New Roman" w:hAnsi="Times New Roman"/>
                <w:b/>
                <w:sz w:val="24"/>
                <w:szCs w:val="24"/>
              </w:rPr>
              <w:t>Parameter</w:t>
            </w:r>
          </w:p>
        </w:tc>
        <w:tc>
          <w:tcPr>
            <w:tcW w:w="2070"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jc w:val="center"/>
              <w:rPr>
                <w:rFonts w:ascii="Times New Roman" w:hAnsi="Times New Roman"/>
                <w:b/>
                <w:sz w:val="24"/>
                <w:szCs w:val="24"/>
              </w:rPr>
            </w:pPr>
            <w:r w:rsidRPr="00E23AD8">
              <w:rPr>
                <w:rFonts w:ascii="Times New Roman" w:hAnsi="Times New Roman"/>
                <w:b/>
                <w:sz w:val="24"/>
                <w:szCs w:val="24"/>
              </w:rPr>
              <w:t>Result</w:t>
            </w:r>
          </w:p>
        </w:tc>
      </w:tr>
      <w:tr w:rsidR="00E23AD8" w:rsidRPr="00E23AD8" w:rsidTr="00E23AD8">
        <w:tc>
          <w:tcPr>
            <w:tcW w:w="2962"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Support deflection</w:t>
            </w:r>
          </w:p>
        </w:tc>
        <w:tc>
          <w:tcPr>
            <w:tcW w:w="2070"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&lt; 1 mm</w:t>
            </w:r>
          </w:p>
        </w:tc>
      </w:tr>
      <w:tr w:rsidR="00E23AD8" w:rsidRPr="00E23AD8" w:rsidTr="00E23AD8">
        <w:tc>
          <w:tcPr>
            <w:tcW w:w="2962"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Weld integrity</w:t>
            </w:r>
          </w:p>
        </w:tc>
        <w:tc>
          <w:tcPr>
            <w:tcW w:w="2070"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No visible cracks</w:t>
            </w:r>
          </w:p>
        </w:tc>
      </w:tr>
      <w:tr w:rsidR="00E23AD8" w:rsidRPr="00E23AD8" w:rsidTr="00E23AD8">
        <w:tc>
          <w:tcPr>
            <w:tcW w:w="2962"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Frame vibration (manual)</w:t>
            </w:r>
          </w:p>
        </w:tc>
        <w:tc>
          <w:tcPr>
            <w:tcW w:w="2070" w:type="dxa"/>
            <w:tcBorders>
              <w:top w:val="single" w:sz="6" w:space="0" w:color="000000"/>
              <w:left w:val="single" w:sz="6" w:space="0" w:color="000000"/>
              <w:bottom w:val="single" w:sz="6" w:space="0" w:color="000000"/>
              <w:right w:val="single" w:sz="6" w:space="0" w:color="000000"/>
            </w:tcBorders>
            <w:hideMark/>
          </w:tcPr>
          <w:p w:rsidR="00E23AD8" w:rsidRPr="00E23AD8" w:rsidRDefault="00E23AD8" w:rsidP="00E23AD8">
            <w:pPr>
              <w:spacing w:line="360" w:lineRule="auto"/>
              <w:ind w:firstLine="67"/>
              <w:jc w:val="both"/>
              <w:rPr>
                <w:rFonts w:ascii="Times New Roman" w:hAnsi="Times New Roman"/>
                <w:sz w:val="24"/>
                <w:szCs w:val="24"/>
              </w:rPr>
            </w:pPr>
            <w:r w:rsidRPr="00E23AD8">
              <w:rPr>
                <w:rFonts w:ascii="Times New Roman" w:hAnsi="Times New Roman"/>
                <w:sz w:val="24"/>
                <w:szCs w:val="24"/>
              </w:rPr>
              <w:t>Minimal</w:t>
            </w:r>
          </w:p>
        </w:tc>
      </w:tr>
    </w:tbl>
    <w:p w:rsidR="00E23AD8" w:rsidRPr="00E23AD8" w:rsidRDefault="00E23AD8">
      <w:pPr>
        <w:spacing w:line="480" w:lineRule="auto"/>
        <w:jc w:val="both"/>
        <w:rPr>
          <w:rFonts w:ascii="Times New Roman" w:hAnsi="Times New Roman"/>
          <w:b/>
          <w:sz w:val="24"/>
          <w:szCs w:val="24"/>
        </w:rPr>
      </w:pPr>
      <w:r>
        <w:rPr>
          <w:rFonts w:ascii="Times New Roman" w:hAnsi="Times New Roman"/>
          <w:b/>
          <w:sz w:val="24"/>
          <w:szCs w:val="24"/>
        </w:rPr>
        <w:t xml:space="preserve">TABLE 9: </w:t>
      </w:r>
      <w:r w:rsidRPr="00E23AD8">
        <w:rPr>
          <w:rFonts w:ascii="Times New Roman" w:hAnsi="Times New Roman"/>
          <w:b/>
          <w:bCs/>
          <w:sz w:val="24"/>
          <w:szCs w:val="24"/>
        </w:rPr>
        <w:t xml:space="preserve">STRUCTURAL </w:t>
      </w:r>
      <w:r>
        <w:rPr>
          <w:rFonts w:ascii="Times New Roman" w:hAnsi="Times New Roman"/>
          <w:b/>
          <w:bCs/>
          <w:sz w:val="24"/>
          <w:szCs w:val="24"/>
        </w:rPr>
        <w:t xml:space="preserve">STABILITY </w:t>
      </w:r>
      <w:r w:rsidRPr="00E23AD8">
        <w:rPr>
          <w:rFonts w:ascii="Times New Roman" w:hAnsi="Times New Roman"/>
          <w:b/>
          <w:bCs/>
          <w:sz w:val="24"/>
          <w:szCs w:val="24"/>
        </w:rPr>
        <w:t xml:space="preserve">TEST </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frame and supports withstood the operational load without deformation or structural compromise, confirming the suitability of the 30×30×3 mm SHS and rod combination.</w:t>
      </w:r>
    </w:p>
    <w:p w:rsidR="009E22A3" w:rsidRDefault="00CF5A41">
      <w:pPr>
        <w:spacing w:line="480" w:lineRule="auto"/>
        <w:jc w:val="both"/>
        <w:rPr>
          <w:rFonts w:ascii="Times New Roman" w:hAnsi="Times New Roman"/>
          <w:b/>
          <w:sz w:val="24"/>
          <w:szCs w:val="24"/>
        </w:rPr>
      </w:pPr>
      <w:r w:rsidRPr="001736CE">
        <w:rPr>
          <w:rFonts w:ascii="Times New Roman" w:hAnsi="Times New Roman"/>
          <w:b/>
          <w:sz w:val="24"/>
          <w:szCs w:val="24"/>
        </w:rPr>
        <w:t>4.7 Comparative Assessment with Single-Face Burners</w:t>
      </w:r>
    </w:p>
    <w:tbl>
      <w:tblPr>
        <w:tblW w:w="8722" w:type="dxa"/>
        <w:tblCellMar>
          <w:top w:w="15" w:type="dxa"/>
          <w:left w:w="15" w:type="dxa"/>
          <w:bottom w:w="15" w:type="dxa"/>
          <w:right w:w="15" w:type="dxa"/>
        </w:tblCellMar>
        <w:tblLook w:val="04A0" w:firstRow="1" w:lastRow="0" w:firstColumn="1" w:lastColumn="0" w:noHBand="0" w:noVBand="1"/>
      </w:tblPr>
      <w:tblGrid>
        <w:gridCol w:w="3232"/>
        <w:gridCol w:w="2070"/>
        <w:gridCol w:w="3420"/>
      </w:tblGrid>
      <w:tr w:rsidR="00094B0D" w:rsidRPr="00094B0D" w:rsidTr="00094B0D">
        <w:tc>
          <w:tcPr>
            <w:tcW w:w="3232"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jc w:val="center"/>
              <w:rPr>
                <w:rFonts w:ascii="Times New Roman" w:hAnsi="Times New Roman"/>
                <w:b/>
                <w:sz w:val="24"/>
                <w:szCs w:val="24"/>
              </w:rPr>
            </w:pPr>
            <w:r w:rsidRPr="00094B0D">
              <w:rPr>
                <w:rFonts w:ascii="Times New Roman" w:hAnsi="Times New Roman"/>
                <w:b/>
                <w:sz w:val="24"/>
                <w:szCs w:val="24"/>
              </w:rPr>
              <w:t>Metric</w:t>
            </w:r>
          </w:p>
        </w:tc>
        <w:tc>
          <w:tcPr>
            <w:tcW w:w="207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jc w:val="center"/>
              <w:rPr>
                <w:rFonts w:ascii="Times New Roman" w:hAnsi="Times New Roman"/>
                <w:b/>
                <w:sz w:val="24"/>
                <w:szCs w:val="24"/>
              </w:rPr>
            </w:pPr>
            <w:r w:rsidRPr="00094B0D">
              <w:rPr>
                <w:rFonts w:ascii="Times New Roman" w:hAnsi="Times New Roman"/>
                <w:b/>
                <w:sz w:val="24"/>
                <w:szCs w:val="24"/>
              </w:rPr>
              <w:t>Single-Face Burner</w:t>
            </w:r>
          </w:p>
        </w:tc>
        <w:tc>
          <w:tcPr>
            <w:tcW w:w="342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jc w:val="center"/>
              <w:rPr>
                <w:rFonts w:ascii="Times New Roman" w:hAnsi="Times New Roman"/>
                <w:b/>
                <w:sz w:val="24"/>
                <w:szCs w:val="24"/>
              </w:rPr>
            </w:pPr>
            <w:r w:rsidRPr="00094B0D">
              <w:rPr>
                <w:rFonts w:ascii="Times New Roman" w:hAnsi="Times New Roman"/>
                <w:b/>
                <w:sz w:val="24"/>
                <w:szCs w:val="24"/>
              </w:rPr>
              <w:t>Fabricated Two-Face Burner</w:t>
            </w:r>
          </w:p>
        </w:tc>
      </w:tr>
      <w:tr w:rsidR="00094B0D" w:rsidRPr="00094B0D" w:rsidTr="00094B0D">
        <w:tc>
          <w:tcPr>
            <w:tcW w:w="3232"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Heating time (1L water)</w:t>
            </w:r>
          </w:p>
        </w:tc>
        <w:tc>
          <w:tcPr>
            <w:tcW w:w="207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~10 minutes</w:t>
            </w:r>
          </w:p>
        </w:tc>
        <w:tc>
          <w:tcPr>
            <w:tcW w:w="342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~7 minutes</w:t>
            </w:r>
          </w:p>
        </w:tc>
      </w:tr>
      <w:tr w:rsidR="00094B0D" w:rsidRPr="00094B0D" w:rsidTr="00094B0D">
        <w:tc>
          <w:tcPr>
            <w:tcW w:w="3232"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Fuel consumption (per task)</w:t>
            </w:r>
          </w:p>
        </w:tc>
        <w:tc>
          <w:tcPr>
            <w:tcW w:w="207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0.55 kg</w:t>
            </w:r>
          </w:p>
        </w:tc>
        <w:tc>
          <w:tcPr>
            <w:tcW w:w="342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0.65 kg</w:t>
            </w:r>
          </w:p>
        </w:tc>
      </w:tr>
      <w:tr w:rsidR="00094B0D" w:rsidRPr="00094B0D" w:rsidTr="00094B0D">
        <w:tc>
          <w:tcPr>
            <w:tcW w:w="3232"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Heat uniformity</w:t>
            </w:r>
          </w:p>
        </w:tc>
        <w:tc>
          <w:tcPr>
            <w:tcW w:w="207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Moderate</w:t>
            </w:r>
          </w:p>
        </w:tc>
        <w:tc>
          <w:tcPr>
            <w:tcW w:w="342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High</w:t>
            </w:r>
          </w:p>
        </w:tc>
      </w:tr>
      <w:tr w:rsidR="00094B0D" w:rsidRPr="00094B0D" w:rsidTr="00094B0D">
        <w:tc>
          <w:tcPr>
            <w:tcW w:w="3232"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Flame coverage</w:t>
            </w:r>
          </w:p>
        </w:tc>
        <w:tc>
          <w:tcPr>
            <w:tcW w:w="207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One direction</w:t>
            </w:r>
          </w:p>
        </w:tc>
        <w:tc>
          <w:tcPr>
            <w:tcW w:w="3420" w:type="dxa"/>
            <w:tcBorders>
              <w:top w:val="single" w:sz="6" w:space="0" w:color="000000"/>
              <w:left w:val="single" w:sz="6" w:space="0" w:color="000000"/>
              <w:bottom w:val="single" w:sz="6" w:space="0" w:color="000000"/>
              <w:right w:val="single" w:sz="6" w:space="0" w:color="000000"/>
            </w:tcBorders>
            <w:hideMark/>
          </w:tcPr>
          <w:p w:rsidR="00094B0D" w:rsidRPr="00094B0D" w:rsidRDefault="00094B0D" w:rsidP="00094B0D">
            <w:pPr>
              <w:spacing w:line="360" w:lineRule="auto"/>
              <w:ind w:firstLine="247"/>
              <w:jc w:val="both"/>
              <w:rPr>
                <w:rFonts w:ascii="Times New Roman" w:hAnsi="Times New Roman"/>
                <w:sz w:val="24"/>
                <w:szCs w:val="24"/>
              </w:rPr>
            </w:pPr>
            <w:r w:rsidRPr="00094B0D">
              <w:rPr>
                <w:rFonts w:ascii="Times New Roman" w:hAnsi="Times New Roman"/>
                <w:sz w:val="24"/>
                <w:szCs w:val="24"/>
              </w:rPr>
              <w:t>Bi-directional</w:t>
            </w:r>
          </w:p>
        </w:tc>
      </w:tr>
    </w:tbl>
    <w:p w:rsidR="00E23AD8" w:rsidRPr="00094B0D" w:rsidRDefault="00094B0D" w:rsidP="00094B0D">
      <w:pPr>
        <w:spacing w:line="480" w:lineRule="auto"/>
        <w:jc w:val="center"/>
        <w:rPr>
          <w:rFonts w:ascii="Times New Roman" w:hAnsi="Times New Roman"/>
          <w:b/>
          <w:sz w:val="24"/>
          <w:szCs w:val="24"/>
        </w:rPr>
      </w:pPr>
      <w:r>
        <w:rPr>
          <w:rFonts w:ascii="Times New Roman" w:hAnsi="Times New Roman"/>
          <w:b/>
          <w:sz w:val="24"/>
          <w:szCs w:val="24"/>
        </w:rPr>
        <w:t>TABLE 10: COMPARATIVE ASSESSMENT WITH SINGLE FACE BURNER</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rsidR="00094B0D" w:rsidRDefault="00094B0D">
      <w:pPr>
        <w:spacing w:line="480" w:lineRule="auto"/>
        <w:jc w:val="both"/>
        <w:rPr>
          <w:rFonts w:ascii="Times New Roman" w:hAnsi="Times New Roman"/>
          <w:b/>
          <w:sz w:val="24"/>
          <w:szCs w:val="24"/>
        </w:rPr>
      </w:pP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4.8 Challenges Encountered During Testing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Minor flame instability during sudden pressure spikes; mitigated by throttling valves.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Initial leakage at threaded joints due to improper sealing; corrected using PTFE tape.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Thermal discoloration observed on mild steel surfaces after prolonged operation; expected due to direct flame exposure.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4.9 Summary of Results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Flame was stable, symmetric, and high-temperature (820 ± 10°C).</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Boiling efficiency showed ~30% improvement over single-face units.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Structural frame remained stable under 10 kg load.</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Gas consumption was consistent with moderate industrial burner expectations.</w:t>
      </w:r>
    </w:p>
    <w:p w:rsidR="009E22A3" w:rsidRPr="001736CE" w:rsidRDefault="00CF5A41">
      <w:pPr>
        <w:spacing w:line="480" w:lineRule="auto"/>
        <w:jc w:val="center"/>
        <w:rPr>
          <w:rFonts w:ascii="Times New Roman" w:hAnsi="Times New Roman"/>
          <w:b/>
          <w:sz w:val="24"/>
          <w:szCs w:val="24"/>
        </w:rPr>
      </w:pPr>
      <w:r w:rsidRPr="001736CE">
        <w:rPr>
          <w:rFonts w:ascii="Times New Roman" w:hAnsi="Times New Roman"/>
          <w:sz w:val="24"/>
          <w:szCs w:val="24"/>
        </w:rPr>
        <w:br w:type="page"/>
      </w:r>
      <w:r w:rsidRPr="001736CE">
        <w:rPr>
          <w:rFonts w:ascii="Times New Roman" w:hAnsi="Times New Roman"/>
          <w:b/>
          <w:sz w:val="24"/>
          <w:szCs w:val="24"/>
        </w:rPr>
        <w:t>CHAPTER FIVE: CONCLUSION AND RECOMMENDATION</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5.1 Conclusion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final prototype exhibited:</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Stable and symmetric flame behavior across both faces.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Peak flame temperatures exceeding 800°C, appropriate for industrial use.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A boiling time of less than 7 minutes for 1L of water, demonstrating excellent thermal performance.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A robust structural frame, capable of handling typical industrial loads (up to 10 kg without deformation).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A fuel consumption rate consistent with similar-sized single burners, yet providing improved heat coverage.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two-face design offers significant advantages over conventional single-face burners in terms of uniform heating, time efficiency, and process throughput, without substantially increasing fuel usage or fabrication complexity.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The methodology applied was rigorous, involving structured material selection, thermal design analysis, systematic fabrication steps, and performance evaluation through flame, thermal, and structural testing. Overall, the project demonstrates the technical and economic feasibility of locally fabricating efficient two-face industrial gas burners for small to medium-scale applications in Nigeria and similar developing contexts.</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5.2 Recommendations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Based on the findings of this study, the following recommendations are made:</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5.2.1 Design and Fabrication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Include adjustable flame control valves on each burner face to allow independent operation depending on load requirement.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Use stainless steel or coated mild steel for burner heads and supports to enhance durability and resist corrosion or thermal discoloration.</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Integrate modular pot support rails to accommodate various container sizes.</w:t>
      </w:r>
    </w:p>
    <w:p w:rsidR="00CF5A41" w:rsidRDefault="00CF5A41">
      <w:pPr>
        <w:spacing w:after="160" w:line="259" w:lineRule="auto"/>
        <w:rPr>
          <w:rFonts w:ascii="Times New Roman" w:hAnsi="Times New Roman"/>
          <w:b/>
          <w:sz w:val="24"/>
          <w:szCs w:val="24"/>
        </w:rPr>
      </w:pPr>
      <w:r>
        <w:rPr>
          <w:rFonts w:ascii="Times New Roman" w:hAnsi="Times New Roman"/>
          <w:b/>
          <w:sz w:val="24"/>
          <w:szCs w:val="24"/>
        </w:rPr>
        <w:br w:type="page"/>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 xml:space="preserve"> 5.2.2 Safety Enhancements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Add thermal insulation (e.g., ceramic wool) around burner bodies to reduce heat loss and protect users.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Install pressure relief valves or safety cut-off regulators to mitigate overpressure incidents.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Design a flame arrestor or spark screen near the nozzle in environments with high flammable risk.</w:t>
      </w: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5.2.3 Future Research</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Conduct emission analysis (CO, NOx) using a combustion gas analyzer to ensure environmental compliance.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Test the burner with alternative fuels (e.g., biogas or compressed natural gas) to evaluate multi-fuel capabilities.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Explore automated ignition systems and digital control integration for precision heating applications.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Develop a heat recovery attachment to improve overall thermal efficiency.</w:t>
      </w:r>
    </w:p>
    <w:p w:rsidR="00CF5A41" w:rsidRDefault="00CF5A41">
      <w:pPr>
        <w:spacing w:line="480" w:lineRule="auto"/>
        <w:jc w:val="both"/>
        <w:rPr>
          <w:rFonts w:ascii="Times New Roman" w:hAnsi="Times New Roman"/>
          <w:b/>
          <w:sz w:val="24"/>
          <w:szCs w:val="24"/>
        </w:rPr>
      </w:pPr>
    </w:p>
    <w:p w:rsidR="00CF5A41" w:rsidRDefault="00CF5A41">
      <w:pPr>
        <w:spacing w:line="480" w:lineRule="auto"/>
        <w:jc w:val="both"/>
        <w:rPr>
          <w:rFonts w:ascii="Times New Roman" w:hAnsi="Times New Roman"/>
          <w:b/>
          <w:sz w:val="24"/>
          <w:szCs w:val="24"/>
        </w:rPr>
      </w:pPr>
    </w:p>
    <w:p w:rsidR="00CF5A41" w:rsidRDefault="00CF5A41">
      <w:pPr>
        <w:spacing w:line="480" w:lineRule="auto"/>
        <w:jc w:val="both"/>
        <w:rPr>
          <w:rFonts w:ascii="Times New Roman" w:hAnsi="Times New Roman"/>
          <w:b/>
          <w:sz w:val="24"/>
          <w:szCs w:val="24"/>
        </w:rPr>
      </w:pPr>
    </w:p>
    <w:p w:rsidR="009E22A3" w:rsidRPr="001736CE" w:rsidRDefault="00CF5A41">
      <w:pPr>
        <w:spacing w:line="480" w:lineRule="auto"/>
        <w:jc w:val="both"/>
        <w:rPr>
          <w:rFonts w:ascii="Times New Roman" w:hAnsi="Times New Roman"/>
          <w:b/>
          <w:sz w:val="24"/>
          <w:szCs w:val="24"/>
        </w:rPr>
      </w:pPr>
      <w:r w:rsidRPr="001736CE">
        <w:rPr>
          <w:rFonts w:ascii="Times New Roman" w:hAnsi="Times New Roman"/>
          <w:b/>
          <w:sz w:val="24"/>
          <w:szCs w:val="24"/>
        </w:rPr>
        <w:t>5.3 Contribution to Engineering Practice</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This project contributes to local engineering capacity by:</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 xml:space="preserve"> Demonstrating the viability of dual-face heat systems for faster and more uniform processing.</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Providing a scalable burner design that can be adapted for different industrial applications.</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Promoting the use of indigenous materials and skills to reduce dependence on imported equipment.</w:t>
      </w:r>
    </w:p>
    <w:p w:rsidR="009E22A3" w:rsidRPr="001736CE" w:rsidRDefault="00CF5A41">
      <w:pPr>
        <w:spacing w:line="480" w:lineRule="auto"/>
        <w:jc w:val="both"/>
        <w:rPr>
          <w:rFonts w:ascii="Times New Roman" w:hAnsi="Times New Roman"/>
          <w:sz w:val="24"/>
          <w:szCs w:val="24"/>
        </w:rPr>
      </w:pPr>
      <w:r w:rsidRPr="001736CE">
        <w:rPr>
          <w:rFonts w:ascii="Times New Roman" w:hAnsi="Times New Roman"/>
          <w:sz w:val="24"/>
          <w:szCs w:val="24"/>
        </w:rPr>
        <w:t>Offering a replicable fabrication and testing methodology for technical institutions and small manufacturing setups.</w:t>
      </w:r>
    </w:p>
    <w:p w:rsidR="009E22A3" w:rsidRPr="001736CE" w:rsidRDefault="00CF5A41" w:rsidP="001736CE">
      <w:pPr>
        <w:jc w:val="center"/>
        <w:rPr>
          <w:rFonts w:ascii="Times New Roman" w:hAnsi="Times New Roman"/>
          <w:b/>
          <w:sz w:val="24"/>
          <w:szCs w:val="24"/>
        </w:rPr>
      </w:pPr>
      <w:r w:rsidRPr="001736CE">
        <w:rPr>
          <w:rFonts w:ascii="Times New Roman" w:hAnsi="Times New Roman"/>
          <w:sz w:val="24"/>
          <w:szCs w:val="24"/>
        </w:rPr>
        <w:br w:type="page"/>
      </w:r>
      <w:r w:rsidRPr="001736CE">
        <w:rPr>
          <w:rFonts w:ascii="Times New Roman" w:hAnsi="Times New Roman"/>
          <w:b/>
          <w:sz w:val="24"/>
          <w:szCs w:val="24"/>
        </w:rPr>
        <w:t>References</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Adeyemi, A. O., &amp; Owolabi, T. O. (2019). Development of indigenous heating systems for small industries in Nigeria. Nigerian Journal of Mechanical Engineering, 16(2), 54–61.</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Kumar, R., Sharma, V., &amp; Patel, S. (2020). Performance analysis of twin flame burner systems. International Journal of Heat and Mass Transfer, 148, 119160.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Olabode, R. A., Yusuf, M. O., &amp; Adigun, T. S. (2022). Challenges in the local fabrication of industrial equipment in Nigeria. Nigerian Journal of Engineering Technology, 18(1), 35–43.</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Singh, G., &amp; Jain, R. (2018). Industrial burners and combustion control systems. New Delhi: Tata McGrawHill Education.</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Adeyemi, A. O., &amp; Owolabi, T. O. (2019). Development of indigenous heating systems for small industries in Nigeria. Nigerian Journal of Mechanical Engineering, 16(2), 54–61.</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Kumar, R., Sharma, V., &amp; Patel, S. (2020). Performance analysis of twin flame burner systems. International Journal of Heat and Mass Transfer, 148, 119160.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Olabode, R. A., Yusuf, M. O., &amp; Adigun, T. S. (2022). Challenges in the local fabrication of industrial equipment in Nigeria. Nigerian Journal of Engineering Technology, 18(1), 35–43.</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Singh, G., &amp; Jain, R. (2018). Industrial burners and combustion control systems. New Delhi: Tata McGrawHill Education.</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Ahmed, S., &amp; Robinson, T. (2021). Combustion science and burner optimization. International Journal of Heat Engineering, 45(3), 233–242.</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Arora, C. P. (2020). Refrigeration and air conditioning (3rd ed.). Tata McGraw-Hill.</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Adeyemi, A. O., &amp; Owolabi, T. O. (2019). Development of indigenous heating systems for small industries in Nigeria. Nigerian Journal of Mechanical Engineering, 16(2), 54–61.</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Eze, C. P., &amp; Nwankwo, F. E. (2019). Biogas as a substitute for industrial heating: Challenges and prospects. Renewable Energy Reports, 6(1), 29–35.</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Idowu, M. A., Fagbohun, B. J., &amp; Adekunle, B. R. (2020). Prospects of local content in thermal system development. Journal of Applied Engineering and Technology, 9(1), 23–30.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Khan, M. Z., Shehu, M. A., &amp; Faruk, H. U. (2020). Flame stability in gas-fired burners. Journal of Mechanical Systems, 33(4), 112–119.</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Kareem, A. B., &amp; Abiola, R. T. (2022). Green industrial heating systems for Africa. Energy &amp; Climate Journal, 12(1), 18–27.</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Kumar, R., Sharma, V., &amp; Patel, S. (2020). Performance analysis of twin flame burner systems. International Journal of Heat and Mass Transfer, 148, 119160.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Li, X., &amp; Wang, Y. (2019). Dual flame burner design for rotary kiln application. Energy Engineering, 31(2), 41–49.</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Li, M., Cheng, Y., &amp; Xu, D. (2018). Thermal efficiency and combustion behavior in industrial burners. Combustion Science Journal, 27(3), 204–212.</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Makinde, D. O., Ogundipe, J. A., &amp; Ayeni, A. O. (2020). Fabrication and testing of locally made industrial burners. Journal of Mechanical Process Engineering, 12(4), 88–95.</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Nwachukwu, K. M., Chukwu, J. E., &amp; Nwokorie, P. C. (2021). Combustion efficiency of fabricated gas burners. Nigerian Journal of Engineering Research and Development, 20(1), 66–73.</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Ogunleye, S. A., &amp; Fashola, T. A. (2018). Cost evaluation of local and imported heating appliances. Journal of Industrial Engineering, 14(3), 112–118.</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Okonkwo, M. C., &amp; Eze, G. O. (2022). Energy-efficient burner technologies: Application in Nigerian SMEs. Journal of Sustainable Industrial Systems, 7(2), 101–109.</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Olabode, R. A., Yusuf, M. O., &amp; Adigun, T. S. (2022). Challenges in the local fabrication of industrial equipment in Nigeria. Nigerian Journal of Engineering Technology, 18(1), 35–43.</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Onyejekwe, I. E., Adefemi, T. S., &amp; Ajayi, R. F. (2017). Materials selection in thermal systems fabrication. West African Journal of Industrial Engineering, 8(2), 21–30.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Patel, M. R., &amp; Rajput, H. S. (2017). Design considerations in industrial gas burners. International Journal of Engineering Innovations and Research, 6(1), 28–35.</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Sharma, D., Gupta, A., &amp; Taneja, R. (2020). Advanced control systems for industrial combustion. Control Engineering Journal, 15(2), 102–110.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Singh, G., &amp; Jain, R. (2018). Industrial burners and combustion control systems. New Delhi: Tata McGraw-Hill Education.</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Wang, L., &amp; He, Y. (2019). Low NOx burner technologies in manufacturing. Journal of Industrial Thermodynamics, 6(3), 151–161.</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Yakubu, A. M., &amp; Bashir, M. S. (2021). Development of prototype heating systems for rural applications. Energy Development Journal, 5(1), 47–56.</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Zhou, H., &amp; Tan, Y. (2018). Air-fuel ratio control in modern burner systems. Journal of Mechanical Automation, 13(1), 59–66.</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Zhang, W., &amp; Gao, L. (2019). Gas combustion modeling and simulation. Simulation and Modeling in Heat Transfer, 4(4), 73–80.</w:t>
      </w:r>
    </w:p>
    <w:p w:rsidR="009E22A3" w:rsidRPr="001736CE" w:rsidRDefault="00CF5A41" w:rsidP="00CF5A41">
      <w:pPr>
        <w:ind w:left="990" w:hanging="990"/>
        <w:jc w:val="both"/>
        <w:rPr>
          <w:rFonts w:ascii="Times New Roman" w:hAnsi="Times New Roman"/>
          <w:sz w:val="24"/>
          <w:szCs w:val="24"/>
        </w:rPr>
      </w:pPr>
      <w:r w:rsidRPr="001736CE">
        <w:rPr>
          <w:rFonts w:ascii="Times New Roman" w:hAnsi="Times New Roman"/>
          <w:sz w:val="24"/>
          <w:szCs w:val="24"/>
        </w:rPr>
        <w:t>Zhu, M., &amp; Lin, C. (2020). Thermal systems for small and medium industries: Design and challenges. Asia-Pacific Journal of Mechanical Design, 11(2), 90–99.</w:t>
      </w:r>
    </w:p>
    <w:p w:rsidR="00094B0D" w:rsidRDefault="00094B0D">
      <w:pPr>
        <w:spacing w:after="160" w:line="259" w:lineRule="auto"/>
        <w:rPr>
          <w:rFonts w:ascii="Times New Roman" w:hAnsi="Times New Roman"/>
          <w:sz w:val="24"/>
          <w:szCs w:val="24"/>
        </w:rPr>
      </w:pPr>
      <w:r>
        <w:rPr>
          <w:rFonts w:ascii="Times New Roman" w:hAnsi="Times New Roman"/>
          <w:sz w:val="24"/>
          <w:szCs w:val="24"/>
        </w:rPr>
        <w:br w:type="page"/>
      </w:r>
    </w:p>
    <w:p w:rsidR="009E22A3" w:rsidRPr="00094B0D" w:rsidRDefault="00094B0D" w:rsidP="00094B0D">
      <w:pPr>
        <w:jc w:val="center"/>
        <w:rPr>
          <w:rFonts w:ascii="Times New Roman" w:hAnsi="Times New Roman"/>
          <w:b/>
          <w:sz w:val="24"/>
          <w:szCs w:val="24"/>
        </w:rPr>
      </w:pPr>
      <w:r w:rsidRPr="00094B0D">
        <w:rPr>
          <w:rFonts w:ascii="Times New Roman" w:hAnsi="Times New Roman"/>
          <w:b/>
          <w:sz w:val="24"/>
          <w:szCs w:val="24"/>
        </w:rPr>
        <w:t>APPENDIX</w:t>
      </w:r>
    </w:p>
    <w:p w:rsidR="00094B0D" w:rsidRDefault="00094B0D" w:rsidP="00094B0D">
      <w:pPr>
        <w:jc w:val="both"/>
        <w:rPr>
          <w:rFonts w:ascii="Times New Roman" w:hAnsi="Times New Roman"/>
          <w:b/>
          <w:sz w:val="24"/>
          <w:szCs w:val="24"/>
        </w:rPr>
      </w:pPr>
      <w:r w:rsidRPr="00094B0D">
        <w:rPr>
          <w:rFonts w:ascii="Times New Roman" w:hAnsi="Times New Roman"/>
          <w:b/>
          <w:sz w:val="24"/>
          <w:szCs w:val="24"/>
        </w:rPr>
        <w:t>LIST OF TABLE</w:t>
      </w:r>
    </w:p>
    <w:p w:rsidR="00094B0D" w:rsidRDefault="00094B0D" w:rsidP="00094B0D">
      <w:pPr>
        <w:jc w:val="both"/>
        <w:rPr>
          <w:rFonts w:ascii="Times New Roman" w:hAnsi="Times New Roman"/>
          <w:sz w:val="24"/>
          <w:szCs w:val="24"/>
        </w:rPr>
      </w:pPr>
      <w:r>
        <w:rPr>
          <w:rFonts w:ascii="Times New Roman" w:hAnsi="Times New Roman"/>
          <w:sz w:val="24"/>
          <w:szCs w:val="24"/>
        </w:rPr>
        <w:t>Table 1: Design Parameters and Specification</w:t>
      </w:r>
    </w:p>
    <w:p w:rsidR="00094B0D" w:rsidRDefault="00094B0D" w:rsidP="00094B0D">
      <w:pPr>
        <w:jc w:val="both"/>
        <w:rPr>
          <w:rFonts w:ascii="Times New Roman" w:hAnsi="Times New Roman"/>
          <w:sz w:val="24"/>
          <w:szCs w:val="24"/>
        </w:rPr>
      </w:pPr>
      <w:r>
        <w:rPr>
          <w:rFonts w:ascii="Times New Roman" w:hAnsi="Times New Roman"/>
          <w:sz w:val="24"/>
          <w:szCs w:val="24"/>
        </w:rPr>
        <w:t>Table 2: Tools and Equipment Used</w:t>
      </w:r>
    </w:p>
    <w:p w:rsidR="00094B0D" w:rsidRDefault="00094B0D" w:rsidP="00094B0D">
      <w:pPr>
        <w:jc w:val="both"/>
        <w:rPr>
          <w:rFonts w:ascii="Times New Roman" w:hAnsi="Times New Roman"/>
          <w:sz w:val="24"/>
          <w:szCs w:val="24"/>
        </w:rPr>
      </w:pPr>
      <w:r>
        <w:rPr>
          <w:rFonts w:ascii="Times New Roman" w:hAnsi="Times New Roman"/>
          <w:sz w:val="24"/>
          <w:szCs w:val="24"/>
        </w:rPr>
        <w:t>Table 3: Material Used</w:t>
      </w:r>
    </w:p>
    <w:p w:rsidR="00094B0D" w:rsidRDefault="00094B0D" w:rsidP="00094B0D">
      <w:pPr>
        <w:jc w:val="both"/>
        <w:rPr>
          <w:rFonts w:ascii="Times New Roman" w:hAnsi="Times New Roman"/>
          <w:sz w:val="24"/>
          <w:szCs w:val="24"/>
        </w:rPr>
      </w:pPr>
      <w:r>
        <w:rPr>
          <w:rFonts w:ascii="Times New Roman" w:hAnsi="Times New Roman"/>
          <w:sz w:val="24"/>
          <w:szCs w:val="24"/>
        </w:rPr>
        <w:t>Table 4: Components</w:t>
      </w:r>
    </w:p>
    <w:p w:rsidR="00094B0D" w:rsidRDefault="00094B0D" w:rsidP="00094B0D">
      <w:pPr>
        <w:jc w:val="both"/>
        <w:rPr>
          <w:rFonts w:ascii="Times New Roman" w:hAnsi="Times New Roman"/>
          <w:sz w:val="24"/>
          <w:szCs w:val="24"/>
        </w:rPr>
      </w:pPr>
      <w:r>
        <w:rPr>
          <w:rFonts w:ascii="Times New Roman" w:hAnsi="Times New Roman"/>
          <w:sz w:val="24"/>
          <w:szCs w:val="24"/>
        </w:rPr>
        <w:t>Table 5: Visual Flame Observation</w:t>
      </w:r>
    </w:p>
    <w:p w:rsidR="00094B0D" w:rsidRDefault="00094B0D" w:rsidP="00094B0D">
      <w:pPr>
        <w:jc w:val="both"/>
        <w:rPr>
          <w:rFonts w:ascii="Times New Roman" w:hAnsi="Times New Roman"/>
          <w:sz w:val="24"/>
          <w:szCs w:val="24"/>
        </w:rPr>
      </w:pPr>
      <w:r>
        <w:rPr>
          <w:rFonts w:ascii="Times New Roman" w:hAnsi="Times New Roman"/>
          <w:sz w:val="24"/>
          <w:szCs w:val="24"/>
        </w:rPr>
        <w:t>Table 6: Flame Temperature Measurement</w:t>
      </w:r>
    </w:p>
    <w:p w:rsidR="00094B0D" w:rsidRDefault="00094B0D" w:rsidP="00094B0D">
      <w:pPr>
        <w:jc w:val="both"/>
        <w:rPr>
          <w:rFonts w:ascii="Times New Roman" w:hAnsi="Times New Roman"/>
          <w:sz w:val="24"/>
          <w:szCs w:val="24"/>
        </w:rPr>
      </w:pPr>
      <w:r>
        <w:rPr>
          <w:rFonts w:ascii="Times New Roman" w:hAnsi="Times New Roman"/>
          <w:sz w:val="24"/>
          <w:szCs w:val="24"/>
        </w:rPr>
        <w:t>Table 7: Boiling Time Test</w:t>
      </w:r>
    </w:p>
    <w:p w:rsidR="00094B0D" w:rsidRDefault="00094B0D" w:rsidP="00094B0D">
      <w:pPr>
        <w:jc w:val="both"/>
        <w:rPr>
          <w:rFonts w:ascii="Times New Roman" w:hAnsi="Times New Roman"/>
          <w:sz w:val="24"/>
          <w:szCs w:val="24"/>
        </w:rPr>
      </w:pPr>
      <w:r>
        <w:rPr>
          <w:rFonts w:ascii="Times New Roman" w:hAnsi="Times New Roman"/>
          <w:sz w:val="24"/>
          <w:szCs w:val="24"/>
        </w:rPr>
        <w:t>Table 8: Fuel Consumption Rate</w:t>
      </w:r>
    </w:p>
    <w:p w:rsidR="00094B0D" w:rsidRDefault="00094B0D" w:rsidP="00094B0D">
      <w:pPr>
        <w:jc w:val="both"/>
        <w:rPr>
          <w:rFonts w:ascii="Times New Roman" w:hAnsi="Times New Roman"/>
          <w:sz w:val="24"/>
          <w:szCs w:val="24"/>
        </w:rPr>
      </w:pPr>
      <w:r>
        <w:rPr>
          <w:rFonts w:ascii="Times New Roman" w:hAnsi="Times New Roman"/>
          <w:sz w:val="24"/>
          <w:szCs w:val="24"/>
        </w:rPr>
        <w:t>Table 9: Structural Stability Test</w:t>
      </w:r>
    </w:p>
    <w:p w:rsidR="00094B0D" w:rsidRPr="00094B0D" w:rsidRDefault="00094B0D" w:rsidP="00094B0D">
      <w:pPr>
        <w:jc w:val="both"/>
        <w:rPr>
          <w:rFonts w:ascii="Times New Roman" w:hAnsi="Times New Roman"/>
          <w:sz w:val="24"/>
          <w:szCs w:val="24"/>
        </w:rPr>
      </w:pPr>
      <w:r>
        <w:rPr>
          <w:rFonts w:ascii="Times New Roman" w:hAnsi="Times New Roman"/>
          <w:sz w:val="24"/>
          <w:szCs w:val="24"/>
        </w:rPr>
        <w:t>Table 10: Comparative Assessment With Single Face Burner</w:t>
      </w:r>
    </w:p>
    <w:sectPr w:rsidR="00094B0D" w:rsidRPr="00094B0D" w:rsidSect="00CF5A41">
      <w:footerReference w:type="default" r:id="rId1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972" w:rsidRDefault="00A87972" w:rsidP="0044475A">
      <w:pPr>
        <w:spacing w:after="0" w:line="240" w:lineRule="auto"/>
      </w:pPr>
      <w:r>
        <w:separator/>
      </w:r>
    </w:p>
  </w:endnote>
  <w:endnote w:type="continuationSeparator" w:id="0">
    <w:p w:rsidR="00A87972" w:rsidRDefault="00A87972" w:rsidP="0044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657182"/>
      <w:docPartObj>
        <w:docPartGallery w:val="Page Numbers (Bottom of Page)"/>
        <w:docPartUnique/>
      </w:docPartObj>
    </w:sdtPr>
    <w:sdtEndPr>
      <w:rPr>
        <w:noProof/>
      </w:rPr>
    </w:sdtEndPr>
    <w:sdtContent>
      <w:p w:rsidR="00E23AD8" w:rsidRDefault="00E23AD8">
        <w:pPr>
          <w:pStyle w:val="Footer"/>
          <w:jc w:val="center"/>
        </w:pPr>
        <w:r>
          <w:fldChar w:fldCharType="begin"/>
        </w:r>
        <w:r>
          <w:instrText xml:space="preserve"> PAGE   \* MERGEFORMAT </w:instrText>
        </w:r>
        <w:r>
          <w:fldChar w:fldCharType="separate"/>
        </w:r>
        <w:r w:rsidR="00A87972">
          <w:rPr>
            <w:noProof/>
          </w:rPr>
          <w:t>1</w:t>
        </w:r>
        <w:r>
          <w:rPr>
            <w:noProof/>
          </w:rPr>
          <w:fldChar w:fldCharType="end"/>
        </w:r>
      </w:p>
    </w:sdtContent>
  </w:sdt>
  <w:p w:rsidR="00E23AD8" w:rsidRDefault="00E23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972" w:rsidRDefault="00A87972" w:rsidP="0044475A">
      <w:pPr>
        <w:spacing w:after="0" w:line="240" w:lineRule="auto"/>
      </w:pPr>
      <w:r>
        <w:separator/>
      </w:r>
    </w:p>
  </w:footnote>
  <w:footnote w:type="continuationSeparator" w:id="0">
    <w:p w:rsidR="00A87972" w:rsidRDefault="00A87972" w:rsidP="004447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A3"/>
    <w:rsid w:val="0000543E"/>
    <w:rsid w:val="00094B0D"/>
    <w:rsid w:val="00094DC6"/>
    <w:rsid w:val="001736CE"/>
    <w:rsid w:val="002601B4"/>
    <w:rsid w:val="003D7B6E"/>
    <w:rsid w:val="0044475A"/>
    <w:rsid w:val="00787DCB"/>
    <w:rsid w:val="009E22A3"/>
    <w:rsid w:val="00A87972"/>
    <w:rsid w:val="00BF2497"/>
    <w:rsid w:val="00C02B06"/>
    <w:rsid w:val="00C375B6"/>
    <w:rsid w:val="00C43AD9"/>
    <w:rsid w:val="00C82B41"/>
    <w:rsid w:val="00CF5A41"/>
    <w:rsid w:val="00D2165E"/>
    <w:rsid w:val="00D673C4"/>
    <w:rsid w:val="00DF5B57"/>
    <w:rsid w:val="00E23AD8"/>
    <w:rsid w:val="00E408E8"/>
    <w:rsid w:val="00EC6E65"/>
    <w:rsid w:val="00F34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01926598-8831-454C-8E14-6A7157EC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Header">
    <w:name w:val="header"/>
    <w:basedOn w:val="Normal"/>
    <w:link w:val="HeaderChar"/>
    <w:uiPriority w:val="99"/>
    <w:unhideWhenUsed/>
    <w:rsid w:val="00444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75A"/>
    <w:rPr>
      <w:sz w:val="22"/>
      <w:szCs w:val="22"/>
      <w:lang w:eastAsia="zh-CN"/>
    </w:rPr>
  </w:style>
  <w:style w:type="paragraph" w:styleId="Footer">
    <w:name w:val="footer"/>
    <w:basedOn w:val="Normal"/>
    <w:link w:val="FooterChar"/>
    <w:uiPriority w:val="99"/>
    <w:unhideWhenUsed/>
    <w:rsid w:val="00444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75A"/>
    <w:rPr>
      <w:sz w:val="22"/>
      <w:szCs w:val="22"/>
      <w:lang w:eastAsia="zh-CN"/>
    </w:rPr>
  </w:style>
  <w:style w:type="table" w:styleId="TableGrid">
    <w:name w:val="Table Grid"/>
    <w:basedOn w:val="TableNormal"/>
    <w:uiPriority w:val="59"/>
    <w:rsid w:val="00BF2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039">
      <w:bodyDiv w:val="1"/>
      <w:marLeft w:val="0"/>
      <w:marRight w:val="0"/>
      <w:marTop w:val="0"/>
      <w:marBottom w:val="0"/>
      <w:divBdr>
        <w:top w:val="none" w:sz="0" w:space="0" w:color="auto"/>
        <w:left w:val="none" w:sz="0" w:space="0" w:color="auto"/>
        <w:bottom w:val="none" w:sz="0" w:space="0" w:color="auto"/>
        <w:right w:val="none" w:sz="0" w:space="0" w:color="auto"/>
      </w:divBdr>
      <w:divsChild>
        <w:div w:id="1985697321">
          <w:marLeft w:val="0"/>
          <w:marRight w:val="0"/>
          <w:marTop w:val="0"/>
          <w:marBottom w:val="0"/>
          <w:divBdr>
            <w:top w:val="none" w:sz="0" w:space="0" w:color="auto"/>
            <w:left w:val="none" w:sz="0" w:space="0" w:color="auto"/>
            <w:bottom w:val="none" w:sz="0" w:space="0" w:color="auto"/>
            <w:right w:val="none" w:sz="0" w:space="0" w:color="auto"/>
          </w:divBdr>
          <w:divsChild>
            <w:div w:id="108160580">
              <w:marLeft w:val="0"/>
              <w:marRight w:val="0"/>
              <w:marTop w:val="0"/>
              <w:marBottom w:val="0"/>
              <w:divBdr>
                <w:top w:val="none" w:sz="0" w:space="0" w:color="auto"/>
                <w:left w:val="none" w:sz="0" w:space="0" w:color="auto"/>
                <w:bottom w:val="none" w:sz="0" w:space="0" w:color="auto"/>
                <w:right w:val="none" w:sz="0" w:space="0" w:color="auto"/>
              </w:divBdr>
            </w:div>
          </w:divsChild>
        </w:div>
        <w:div w:id="555045493">
          <w:marLeft w:val="0"/>
          <w:marRight w:val="0"/>
          <w:marTop w:val="0"/>
          <w:marBottom w:val="0"/>
          <w:divBdr>
            <w:top w:val="none" w:sz="0" w:space="0" w:color="auto"/>
            <w:left w:val="none" w:sz="0" w:space="0" w:color="auto"/>
            <w:bottom w:val="none" w:sz="0" w:space="0" w:color="auto"/>
            <w:right w:val="none" w:sz="0" w:space="0" w:color="auto"/>
          </w:divBdr>
          <w:divsChild>
            <w:div w:id="2041126528">
              <w:marLeft w:val="0"/>
              <w:marRight w:val="0"/>
              <w:marTop w:val="0"/>
              <w:marBottom w:val="0"/>
              <w:divBdr>
                <w:top w:val="none" w:sz="0" w:space="0" w:color="auto"/>
                <w:left w:val="none" w:sz="0" w:space="0" w:color="auto"/>
                <w:bottom w:val="none" w:sz="0" w:space="0" w:color="auto"/>
                <w:right w:val="none" w:sz="0" w:space="0" w:color="auto"/>
              </w:divBdr>
            </w:div>
          </w:divsChild>
        </w:div>
        <w:div w:id="1024400190">
          <w:marLeft w:val="0"/>
          <w:marRight w:val="0"/>
          <w:marTop w:val="0"/>
          <w:marBottom w:val="0"/>
          <w:divBdr>
            <w:top w:val="none" w:sz="0" w:space="0" w:color="auto"/>
            <w:left w:val="none" w:sz="0" w:space="0" w:color="auto"/>
            <w:bottom w:val="none" w:sz="0" w:space="0" w:color="auto"/>
            <w:right w:val="none" w:sz="0" w:space="0" w:color="auto"/>
          </w:divBdr>
          <w:divsChild>
            <w:div w:id="16865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786">
      <w:bodyDiv w:val="1"/>
      <w:marLeft w:val="0"/>
      <w:marRight w:val="0"/>
      <w:marTop w:val="0"/>
      <w:marBottom w:val="0"/>
      <w:divBdr>
        <w:top w:val="none" w:sz="0" w:space="0" w:color="auto"/>
        <w:left w:val="none" w:sz="0" w:space="0" w:color="auto"/>
        <w:bottom w:val="none" w:sz="0" w:space="0" w:color="auto"/>
        <w:right w:val="none" w:sz="0" w:space="0" w:color="auto"/>
      </w:divBdr>
      <w:divsChild>
        <w:div w:id="1010570321">
          <w:marLeft w:val="0"/>
          <w:marRight w:val="0"/>
          <w:marTop w:val="0"/>
          <w:marBottom w:val="0"/>
          <w:divBdr>
            <w:top w:val="none" w:sz="0" w:space="0" w:color="auto"/>
            <w:left w:val="none" w:sz="0" w:space="0" w:color="auto"/>
            <w:bottom w:val="none" w:sz="0" w:space="0" w:color="auto"/>
            <w:right w:val="none" w:sz="0" w:space="0" w:color="auto"/>
          </w:divBdr>
          <w:divsChild>
            <w:div w:id="1021207604">
              <w:marLeft w:val="0"/>
              <w:marRight w:val="0"/>
              <w:marTop w:val="0"/>
              <w:marBottom w:val="0"/>
              <w:divBdr>
                <w:top w:val="none" w:sz="0" w:space="0" w:color="auto"/>
                <w:left w:val="none" w:sz="0" w:space="0" w:color="auto"/>
                <w:bottom w:val="none" w:sz="0" w:space="0" w:color="auto"/>
                <w:right w:val="none" w:sz="0" w:space="0" w:color="auto"/>
              </w:divBdr>
            </w:div>
          </w:divsChild>
        </w:div>
        <w:div w:id="1374576665">
          <w:marLeft w:val="0"/>
          <w:marRight w:val="0"/>
          <w:marTop w:val="0"/>
          <w:marBottom w:val="0"/>
          <w:divBdr>
            <w:top w:val="none" w:sz="0" w:space="0" w:color="auto"/>
            <w:left w:val="none" w:sz="0" w:space="0" w:color="auto"/>
            <w:bottom w:val="none" w:sz="0" w:space="0" w:color="auto"/>
            <w:right w:val="none" w:sz="0" w:space="0" w:color="auto"/>
          </w:divBdr>
          <w:divsChild>
            <w:div w:id="1669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6839">
      <w:bodyDiv w:val="1"/>
      <w:marLeft w:val="0"/>
      <w:marRight w:val="0"/>
      <w:marTop w:val="0"/>
      <w:marBottom w:val="0"/>
      <w:divBdr>
        <w:top w:val="none" w:sz="0" w:space="0" w:color="auto"/>
        <w:left w:val="none" w:sz="0" w:space="0" w:color="auto"/>
        <w:bottom w:val="none" w:sz="0" w:space="0" w:color="auto"/>
        <w:right w:val="none" w:sz="0" w:space="0" w:color="auto"/>
      </w:divBdr>
    </w:div>
    <w:div w:id="578293314">
      <w:bodyDiv w:val="1"/>
      <w:marLeft w:val="0"/>
      <w:marRight w:val="0"/>
      <w:marTop w:val="0"/>
      <w:marBottom w:val="0"/>
      <w:divBdr>
        <w:top w:val="none" w:sz="0" w:space="0" w:color="auto"/>
        <w:left w:val="none" w:sz="0" w:space="0" w:color="auto"/>
        <w:bottom w:val="none" w:sz="0" w:space="0" w:color="auto"/>
        <w:right w:val="none" w:sz="0" w:space="0" w:color="auto"/>
      </w:divBdr>
      <w:divsChild>
        <w:div w:id="957487439">
          <w:marLeft w:val="0"/>
          <w:marRight w:val="0"/>
          <w:marTop w:val="0"/>
          <w:marBottom w:val="0"/>
          <w:divBdr>
            <w:top w:val="none" w:sz="0" w:space="0" w:color="auto"/>
            <w:left w:val="none" w:sz="0" w:space="0" w:color="auto"/>
            <w:bottom w:val="none" w:sz="0" w:space="0" w:color="auto"/>
            <w:right w:val="none" w:sz="0" w:space="0" w:color="auto"/>
          </w:divBdr>
          <w:divsChild>
            <w:div w:id="760295719">
              <w:marLeft w:val="0"/>
              <w:marRight w:val="0"/>
              <w:marTop w:val="0"/>
              <w:marBottom w:val="0"/>
              <w:divBdr>
                <w:top w:val="none" w:sz="0" w:space="0" w:color="auto"/>
                <w:left w:val="none" w:sz="0" w:space="0" w:color="auto"/>
                <w:bottom w:val="none" w:sz="0" w:space="0" w:color="auto"/>
                <w:right w:val="none" w:sz="0" w:space="0" w:color="auto"/>
              </w:divBdr>
            </w:div>
          </w:divsChild>
        </w:div>
        <w:div w:id="1820533407">
          <w:marLeft w:val="0"/>
          <w:marRight w:val="0"/>
          <w:marTop w:val="0"/>
          <w:marBottom w:val="0"/>
          <w:divBdr>
            <w:top w:val="none" w:sz="0" w:space="0" w:color="auto"/>
            <w:left w:val="none" w:sz="0" w:space="0" w:color="auto"/>
            <w:bottom w:val="none" w:sz="0" w:space="0" w:color="auto"/>
            <w:right w:val="none" w:sz="0" w:space="0" w:color="auto"/>
          </w:divBdr>
          <w:divsChild>
            <w:div w:id="56711190">
              <w:marLeft w:val="0"/>
              <w:marRight w:val="0"/>
              <w:marTop w:val="0"/>
              <w:marBottom w:val="0"/>
              <w:divBdr>
                <w:top w:val="none" w:sz="0" w:space="0" w:color="auto"/>
                <w:left w:val="none" w:sz="0" w:space="0" w:color="auto"/>
                <w:bottom w:val="none" w:sz="0" w:space="0" w:color="auto"/>
                <w:right w:val="none" w:sz="0" w:space="0" w:color="auto"/>
              </w:divBdr>
            </w:div>
          </w:divsChild>
        </w:div>
        <w:div w:id="1956449654">
          <w:marLeft w:val="0"/>
          <w:marRight w:val="0"/>
          <w:marTop w:val="0"/>
          <w:marBottom w:val="0"/>
          <w:divBdr>
            <w:top w:val="none" w:sz="0" w:space="0" w:color="auto"/>
            <w:left w:val="none" w:sz="0" w:space="0" w:color="auto"/>
            <w:bottom w:val="none" w:sz="0" w:space="0" w:color="auto"/>
            <w:right w:val="none" w:sz="0" w:space="0" w:color="auto"/>
          </w:divBdr>
          <w:divsChild>
            <w:div w:id="1055735425">
              <w:marLeft w:val="0"/>
              <w:marRight w:val="0"/>
              <w:marTop w:val="0"/>
              <w:marBottom w:val="0"/>
              <w:divBdr>
                <w:top w:val="none" w:sz="0" w:space="0" w:color="auto"/>
                <w:left w:val="none" w:sz="0" w:space="0" w:color="auto"/>
                <w:bottom w:val="none" w:sz="0" w:space="0" w:color="auto"/>
                <w:right w:val="none" w:sz="0" w:space="0" w:color="auto"/>
              </w:divBdr>
            </w:div>
          </w:divsChild>
        </w:div>
        <w:div w:id="1278371237">
          <w:marLeft w:val="0"/>
          <w:marRight w:val="0"/>
          <w:marTop w:val="0"/>
          <w:marBottom w:val="0"/>
          <w:divBdr>
            <w:top w:val="none" w:sz="0" w:space="0" w:color="auto"/>
            <w:left w:val="none" w:sz="0" w:space="0" w:color="auto"/>
            <w:bottom w:val="none" w:sz="0" w:space="0" w:color="auto"/>
            <w:right w:val="none" w:sz="0" w:space="0" w:color="auto"/>
          </w:divBdr>
          <w:divsChild>
            <w:div w:id="2137216905">
              <w:marLeft w:val="0"/>
              <w:marRight w:val="0"/>
              <w:marTop w:val="0"/>
              <w:marBottom w:val="0"/>
              <w:divBdr>
                <w:top w:val="none" w:sz="0" w:space="0" w:color="auto"/>
                <w:left w:val="none" w:sz="0" w:space="0" w:color="auto"/>
                <w:bottom w:val="none" w:sz="0" w:space="0" w:color="auto"/>
                <w:right w:val="none" w:sz="0" w:space="0" w:color="auto"/>
              </w:divBdr>
            </w:div>
          </w:divsChild>
        </w:div>
        <w:div w:id="1729526909">
          <w:marLeft w:val="0"/>
          <w:marRight w:val="0"/>
          <w:marTop w:val="0"/>
          <w:marBottom w:val="0"/>
          <w:divBdr>
            <w:top w:val="none" w:sz="0" w:space="0" w:color="auto"/>
            <w:left w:val="none" w:sz="0" w:space="0" w:color="auto"/>
            <w:bottom w:val="none" w:sz="0" w:space="0" w:color="auto"/>
            <w:right w:val="none" w:sz="0" w:space="0" w:color="auto"/>
          </w:divBdr>
          <w:divsChild>
            <w:div w:id="596793883">
              <w:marLeft w:val="0"/>
              <w:marRight w:val="0"/>
              <w:marTop w:val="0"/>
              <w:marBottom w:val="0"/>
              <w:divBdr>
                <w:top w:val="none" w:sz="0" w:space="0" w:color="auto"/>
                <w:left w:val="none" w:sz="0" w:space="0" w:color="auto"/>
                <w:bottom w:val="none" w:sz="0" w:space="0" w:color="auto"/>
                <w:right w:val="none" w:sz="0" w:space="0" w:color="auto"/>
              </w:divBdr>
            </w:div>
          </w:divsChild>
        </w:div>
        <w:div w:id="643432455">
          <w:marLeft w:val="0"/>
          <w:marRight w:val="0"/>
          <w:marTop w:val="0"/>
          <w:marBottom w:val="0"/>
          <w:divBdr>
            <w:top w:val="none" w:sz="0" w:space="0" w:color="auto"/>
            <w:left w:val="none" w:sz="0" w:space="0" w:color="auto"/>
            <w:bottom w:val="none" w:sz="0" w:space="0" w:color="auto"/>
            <w:right w:val="none" w:sz="0" w:space="0" w:color="auto"/>
          </w:divBdr>
          <w:divsChild>
            <w:div w:id="17344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38681">
      <w:bodyDiv w:val="1"/>
      <w:marLeft w:val="0"/>
      <w:marRight w:val="0"/>
      <w:marTop w:val="0"/>
      <w:marBottom w:val="0"/>
      <w:divBdr>
        <w:top w:val="none" w:sz="0" w:space="0" w:color="auto"/>
        <w:left w:val="none" w:sz="0" w:space="0" w:color="auto"/>
        <w:bottom w:val="none" w:sz="0" w:space="0" w:color="auto"/>
        <w:right w:val="none" w:sz="0" w:space="0" w:color="auto"/>
      </w:divBdr>
      <w:divsChild>
        <w:div w:id="273250368">
          <w:marLeft w:val="0"/>
          <w:marRight w:val="0"/>
          <w:marTop w:val="0"/>
          <w:marBottom w:val="0"/>
          <w:divBdr>
            <w:top w:val="none" w:sz="0" w:space="0" w:color="auto"/>
            <w:left w:val="none" w:sz="0" w:space="0" w:color="auto"/>
            <w:bottom w:val="none" w:sz="0" w:space="0" w:color="auto"/>
            <w:right w:val="none" w:sz="0" w:space="0" w:color="auto"/>
          </w:divBdr>
          <w:divsChild>
            <w:div w:id="1871140387">
              <w:marLeft w:val="0"/>
              <w:marRight w:val="0"/>
              <w:marTop w:val="0"/>
              <w:marBottom w:val="0"/>
              <w:divBdr>
                <w:top w:val="none" w:sz="0" w:space="0" w:color="auto"/>
                <w:left w:val="none" w:sz="0" w:space="0" w:color="auto"/>
                <w:bottom w:val="none" w:sz="0" w:space="0" w:color="auto"/>
                <w:right w:val="none" w:sz="0" w:space="0" w:color="auto"/>
              </w:divBdr>
            </w:div>
          </w:divsChild>
        </w:div>
        <w:div w:id="976378496">
          <w:marLeft w:val="0"/>
          <w:marRight w:val="0"/>
          <w:marTop w:val="0"/>
          <w:marBottom w:val="0"/>
          <w:divBdr>
            <w:top w:val="none" w:sz="0" w:space="0" w:color="auto"/>
            <w:left w:val="none" w:sz="0" w:space="0" w:color="auto"/>
            <w:bottom w:val="none" w:sz="0" w:space="0" w:color="auto"/>
            <w:right w:val="none" w:sz="0" w:space="0" w:color="auto"/>
          </w:divBdr>
          <w:divsChild>
            <w:div w:id="1474058481">
              <w:marLeft w:val="0"/>
              <w:marRight w:val="0"/>
              <w:marTop w:val="0"/>
              <w:marBottom w:val="0"/>
              <w:divBdr>
                <w:top w:val="none" w:sz="0" w:space="0" w:color="auto"/>
                <w:left w:val="none" w:sz="0" w:space="0" w:color="auto"/>
                <w:bottom w:val="none" w:sz="0" w:space="0" w:color="auto"/>
                <w:right w:val="none" w:sz="0" w:space="0" w:color="auto"/>
              </w:divBdr>
            </w:div>
          </w:divsChild>
        </w:div>
        <w:div w:id="1140729905">
          <w:marLeft w:val="0"/>
          <w:marRight w:val="0"/>
          <w:marTop w:val="0"/>
          <w:marBottom w:val="0"/>
          <w:divBdr>
            <w:top w:val="none" w:sz="0" w:space="0" w:color="auto"/>
            <w:left w:val="none" w:sz="0" w:space="0" w:color="auto"/>
            <w:bottom w:val="none" w:sz="0" w:space="0" w:color="auto"/>
            <w:right w:val="none" w:sz="0" w:space="0" w:color="auto"/>
          </w:divBdr>
          <w:divsChild>
            <w:div w:id="2115242390">
              <w:marLeft w:val="0"/>
              <w:marRight w:val="0"/>
              <w:marTop w:val="0"/>
              <w:marBottom w:val="0"/>
              <w:divBdr>
                <w:top w:val="none" w:sz="0" w:space="0" w:color="auto"/>
                <w:left w:val="none" w:sz="0" w:space="0" w:color="auto"/>
                <w:bottom w:val="none" w:sz="0" w:space="0" w:color="auto"/>
                <w:right w:val="none" w:sz="0" w:space="0" w:color="auto"/>
              </w:divBdr>
            </w:div>
          </w:divsChild>
        </w:div>
        <w:div w:id="452332141">
          <w:marLeft w:val="0"/>
          <w:marRight w:val="0"/>
          <w:marTop w:val="0"/>
          <w:marBottom w:val="0"/>
          <w:divBdr>
            <w:top w:val="none" w:sz="0" w:space="0" w:color="auto"/>
            <w:left w:val="none" w:sz="0" w:space="0" w:color="auto"/>
            <w:bottom w:val="none" w:sz="0" w:space="0" w:color="auto"/>
            <w:right w:val="none" w:sz="0" w:space="0" w:color="auto"/>
          </w:divBdr>
          <w:divsChild>
            <w:div w:id="2112623538">
              <w:marLeft w:val="0"/>
              <w:marRight w:val="0"/>
              <w:marTop w:val="0"/>
              <w:marBottom w:val="0"/>
              <w:divBdr>
                <w:top w:val="none" w:sz="0" w:space="0" w:color="auto"/>
                <w:left w:val="none" w:sz="0" w:space="0" w:color="auto"/>
                <w:bottom w:val="none" w:sz="0" w:space="0" w:color="auto"/>
                <w:right w:val="none" w:sz="0" w:space="0" w:color="auto"/>
              </w:divBdr>
            </w:div>
          </w:divsChild>
        </w:div>
        <w:div w:id="517159978">
          <w:marLeft w:val="0"/>
          <w:marRight w:val="0"/>
          <w:marTop w:val="0"/>
          <w:marBottom w:val="0"/>
          <w:divBdr>
            <w:top w:val="none" w:sz="0" w:space="0" w:color="auto"/>
            <w:left w:val="none" w:sz="0" w:space="0" w:color="auto"/>
            <w:bottom w:val="none" w:sz="0" w:space="0" w:color="auto"/>
            <w:right w:val="none" w:sz="0" w:space="0" w:color="auto"/>
          </w:divBdr>
          <w:divsChild>
            <w:div w:id="332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623">
      <w:bodyDiv w:val="1"/>
      <w:marLeft w:val="0"/>
      <w:marRight w:val="0"/>
      <w:marTop w:val="0"/>
      <w:marBottom w:val="0"/>
      <w:divBdr>
        <w:top w:val="none" w:sz="0" w:space="0" w:color="auto"/>
        <w:left w:val="none" w:sz="0" w:space="0" w:color="auto"/>
        <w:bottom w:val="none" w:sz="0" w:space="0" w:color="auto"/>
        <w:right w:val="none" w:sz="0" w:space="0" w:color="auto"/>
      </w:divBdr>
      <w:divsChild>
        <w:div w:id="1691955440">
          <w:marLeft w:val="0"/>
          <w:marRight w:val="0"/>
          <w:marTop w:val="0"/>
          <w:marBottom w:val="0"/>
          <w:divBdr>
            <w:top w:val="none" w:sz="0" w:space="0" w:color="auto"/>
            <w:left w:val="none" w:sz="0" w:space="0" w:color="auto"/>
            <w:bottom w:val="none" w:sz="0" w:space="0" w:color="auto"/>
            <w:right w:val="none" w:sz="0" w:space="0" w:color="auto"/>
          </w:divBdr>
          <w:divsChild>
            <w:div w:id="707755813">
              <w:marLeft w:val="0"/>
              <w:marRight w:val="0"/>
              <w:marTop w:val="0"/>
              <w:marBottom w:val="0"/>
              <w:divBdr>
                <w:top w:val="none" w:sz="0" w:space="0" w:color="auto"/>
                <w:left w:val="none" w:sz="0" w:space="0" w:color="auto"/>
                <w:bottom w:val="none" w:sz="0" w:space="0" w:color="auto"/>
                <w:right w:val="none" w:sz="0" w:space="0" w:color="auto"/>
              </w:divBdr>
            </w:div>
          </w:divsChild>
        </w:div>
        <w:div w:id="526679380">
          <w:marLeft w:val="0"/>
          <w:marRight w:val="0"/>
          <w:marTop w:val="0"/>
          <w:marBottom w:val="0"/>
          <w:divBdr>
            <w:top w:val="none" w:sz="0" w:space="0" w:color="auto"/>
            <w:left w:val="none" w:sz="0" w:space="0" w:color="auto"/>
            <w:bottom w:val="none" w:sz="0" w:space="0" w:color="auto"/>
            <w:right w:val="none" w:sz="0" w:space="0" w:color="auto"/>
          </w:divBdr>
          <w:divsChild>
            <w:div w:id="2086104302">
              <w:marLeft w:val="0"/>
              <w:marRight w:val="0"/>
              <w:marTop w:val="0"/>
              <w:marBottom w:val="0"/>
              <w:divBdr>
                <w:top w:val="none" w:sz="0" w:space="0" w:color="auto"/>
                <w:left w:val="none" w:sz="0" w:space="0" w:color="auto"/>
                <w:bottom w:val="none" w:sz="0" w:space="0" w:color="auto"/>
                <w:right w:val="none" w:sz="0" w:space="0" w:color="auto"/>
              </w:divBdr>
            </w:div>
          </w:divsChild>
        </w:div>
        <w:div w:id="1914506451">
          <w:marLeft w:val="0"/>
          <w:marRight w:val="0"/>
          <w:marTop w:val="0"/>
          <w:marBottom w:val="0"/>
          <w:divBdr>
            <w:top w:val="none" w:sz="0" w:space="0" w:color="auto"/>
            <w:left w:val="none" w:sz="0" w:space="0" w:color="auto"/>
            <w:bottom w:val="none" w:sz="0" w:space="0" w:color="auto"/>
            <w:right w:val="none" w:sz="0" w:space="0" w:color="auto"/>
          </w:divBdr>
          <w:divsChild>
            <w:div w:id="543906735">
              <w:marLeft w:val="0"/>
              <w:marRight w:val="0"/>
              <w:marTop w:val="0"/>
              <w:marBottom w:val="0"/>
              <w:divBdr>
                <w:top w:val="none" w:sz="0" w:space="0" w:color="auto"/>
                <w:left w:val="none" w:sz="0" w:space="0" w:color="auto"/>
                <w:bottom w:val="none" w:sz="0" w:space="0" w:color="auto"/>
                <w:right w:val="none" w:sz="0" w:space="0" w:color="auto"/>
              </w:divBdr>
            </w:div>
          </w:divsChild>
        </w:div>
        <w:div w:id="925724645">
          <w:marLeft w:val="0"/>
          <w:marRight w:val="0"/>
          <w:marTop w:val="0"/>
          <w:marBottom w:val="0"/>
          <w:divBdr>
            <w:top w:val="none" w:sz="0" w:space="0" w:color="auto"/>
            <w:left w:val="none" w:sz="0" w:space="0" w:color="auto"/>
            <w:bottom w:val="none" w:sz="0" w:space="0" w:color="auto"/>
            <w:right w:val="none" w:sz="0" w:space="0" w:color="auto"/>
          </w:divBdr>
          <w:divsChild>
            <w:div w:id="297149561">
              <w:marLeft w:val="0"/>
              <w:marRight w:val="0"/>
              <w:marTop w:val="0"/>
              <w:marBottom w:val="0"/>
              <w:divBdr>
                <w:top w:val="none" w:sz="0" w:space="0" w:color="auto"/>
                <w:left w:val="none" w:sz="0" w:space="0" w:color="auto"/>
                <w:bottom w:val="none" w:sz="0" w:space="0" w:color="auto"/>
                <w:right w:val="none" w:sz="0" w:space="0" w:color="auto"/>
              </w:divBdr>
            </w:div>
          </w:divsChild>
        </w:div>
        <w:div w:id="1814904960">
          <w:marLeft w:val="0"/>
          <w:marRight w:val="0"/>
          <w:marTop w:val="0"/>
          <w:marBottom w:val="0"/>
          <w:divBdr>
            <w:top w:val="none" w:sz="0" w:space="0" w:color="auto"/>
            <w:left w:val="none" w:sz="0" w:space="0" w:color="auto"/>
            <w:bottom w:val="none" w:sz="0" w:space="0" w:color="auto"/>
            <w:right w:val="none" w:sz="0" w:space="0" w:color="auto"/>
          </w:divBdr>
          <w:divsChild>
            <w:div w:id="985621944">
              <w:marLeft w:val="0"/>
              <w:marRight w:val="0"/>
              <w:marTop w:val="0"/>
              <w:marBottom w:val="0"/>
              <w:divBdr>
                <w:top w:val="none" w:sz="0" w:space="0" w:color="auto"/>
                <w:left w:val="none" w:sz="0" w:space="0" w:color="auto"/>
                <w:bottom w:val="none" w:sz="0" w:space="0" w:color="auto"/>
                <w:right w:val="none" w:sz="0" w:space="0" w:color="auto"/>
              </w:divBdr>
            </w:div>
          </w:divsChild>
        </w:div>
        <w:div w:id="1705131921">
          <w:marLeft w:val="0"/>
          <w:marRight w:val="0"/>
          <w:marTop w:val="0"/>
          <w:marBottom w:val="0"/>
          <w:divBdr>
            <w:top w:val="none" w:sz="0" w:space="0" w:color="auto"/>
            <w:left w:val="none" w:sz="0" w:space="0" w:color="auto"/>
            <w:bottom w:val="none" w:sz="0" w:space="0" w:color="auto"/>
            <w:right w:val="none" w:sz="0" w:space="0" w:color="auto"/>
          </w:divBdr>
          <w:divsChild>
            <w:div w:id="2091845959">
              <w:marLeft w:val="0"/>
              <w:marRight w:val="0"/>
              <w:marTop w:val="0"/>
              <w:marBottom w:val="0"/>
              <w:divBdr>
                <w:top w:val="none" w:sz="0" w:space="0" w:color="auto"/>
                <w:left w:val="none" w:sz="0" w:space="0" w:color="auto"/>
                <w:bottom w:val="none" w:sz="0" w:space="0" w:color="auto"/>
                <w:right w:val="none" w:sz="0" w:space="0" w:color="auto"/>
              </w:divBdr>
            </w:div>
          </w:divsChild>
        </w:div>
        <w:div w:id="24454094">
          <w:marLeft w:val="0"/>
          <w:marRight w:val="0"/>
          <w:marTop w:val="0"/>
          <w:marBottom w:val="0"/>
          <w:divBdr>
            <w:top w:val="none" w:sz="0" w:space="0" w:color="auto"/>
            <w:left w:val="none" w:sz="0" w:space="0" w:color="auto"/>
            <w:bottom w:val="none" w:sz="0" w:space="0" w:color="auto"/>
            <w:right w:val="none" w:sz="0" w:space="0" w:color="auto"/>
          </w:divBdr>
          <w:divsChild>
            <w:div w:id="9202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03701">
      <w:bodyDiv w:val="1"/>
      <w:marLeft w:val="0"/>
      <w:marRight w:val="0"/>
      <w:marTop w:val="0"/>
      <w:marBottom w:val="0"/>
      <w:divBdr>
        <w:top w:val="none" w:sz="0" w:space="0" w:color="auto"/>
        <w:left w:val="none" w:sz="0" w:space="0" w:color="auto"/>
        <w:bottom w:val="none" w:sz="0" w:space="0" w:color="auto"/>
        <w:right w:val="none" w:sz="0" w:space="0" w:color="auto"/>
      </w:divBdr>
      <w:divsChild>
        <w:div w:id="664364429">
          <w:marLeft w:val="0"/>
          <w:marRight w:val="0"/>
          <w:marTop w:val="0"/>
          <w:marBottom w:val="0"/>
          <w:divBdr>
            <w:top w:val="none" w:sz="0" w:space="0" w:color="auto"/>
            <w:left w:val="none" w:sz="0" w:space="0" w:color="auto"/>
            <w:bottom w:val="none" w:sz="0" w:space="0" w:color="auto"/>
            <w:right w:val="none" w:sz="0" w:space="0" w:color="auto"/>
          </w:divBdr>
          <w:divsChild>
            <w:div w:id="1579710190">
              <w:marLeft w:val="0"/>
              <w:marRight w:val="0"/>
              <w:marTop w:val="0"/>
              <w:marBottom w:val="0"/>
              <w:divBdr>
                <w:top w:val="none" w:sz="0" w:space="0" w:color="auto"/>
                <w:left w:val="none" w:sz="0" w:space="0" w:color="auto"/>
                <w:bottom w:val="none" w:sz="0" w:space="0" w:color="auto"/>
                <w:right w:val="none" w:sz="0" w:space="0" w:color="auto"/>
              </w:divBdr>
            </w:div>
          </w:divsChild>
        </w:div>
        <w:div w:id="1590193992">
          <w:marLeft w:val="0"/>
          <w:marRight w:val="0"/>
          <w:marTop w:val="0"/>
          <w:marBottom w:val="0"/>
          <w:divBdr>
            <w:top w:val="none" w:sz="0" w:space="0" w:color="auto"/>
            <w:left w:val="none" w:sz="0" w:space="0" w:color="auto"/>
            <w:bottom w:val="none" w:sz="0" w:space="0" w:color="auto"/>
            <w:right w:val="none" w:sz="0" w:space="0" w:color="auto"/>
          </w:divBdr>
          <w:divsChild>
            <w:div w:id="1898583938">
              <w:marLeft w:val="0"/>
              <w:marRight w:val="0"/>
              <w:marTop w:val="0"/>
              <w:marBottom w:val="0"/>
              <w:divBdr>
                <w:top w:val="none" w:sz="0" w:space="0" w:color="auto"/>
                <w:left w:val="none" w:sz="0" w:space="0" w:color="auto"/>
                <w:bottom w:val="none" w:sz="0" w:space="0" w:color="auto"/>
                <w:right w:val="none" w:sz="0" w:space="0" w:color="auto"/>
              </w:divBdr>
            </w:div>
          </w:divsChild>
        </w:div>
        <w:div w:id="1330986824">
          <w:marLeft w:val="0"/>
          <w:marRight w:val="0"/>
          <w:marTop w:val="0"/>
          <w:marBottom w:val="0"/>
          <w:divBdr>
            <w:top w:val="none" w:sz="0" w:space="0" w:color="auto"/>
            <w:left w:val="none" w:sz="0" w:space="0" w:color="auto"/>
            <w:bottom w:val="none" w:sz="0" w:space="0" w:color="auto"/>
            <w:right w:val="none" w:sz="0" w:space="0" w:color="auto"/>
          </w:divBdr>
          <w:divsChild>
            <w:div w:id="968903480">
              <w:marLeft w:val="0"/>
              <w:marRight w:val="0"/>
              <w:marTop w:val="0"/>
              <w:marBottom w:val="0"/>
              <w:divBdr>
                <w:top w:val="none" w:sz="0" w:space="0" w:color="auto"/>
                <w:left w:val="none" w:sz="0" w:space="0" w:color="auto"/>
                <w:bottom w:val="none" w:sz="0" w:space="0" w:color="auto"/>
                <w:right w:val="none" w:sz="0" w:space="0" w:color="auto"/>
              </w:divBdr>
            </w:div>
          </w:divsChild>
        </w:div>
        <w:div w:id="1964655138">
          <w:marLeft w:val="0"/>
          <w:marRight w:val="0"/>
          <w:marTop w:val="0"/>
          <w:marBottom w:val="0"/>
          <w:divBdr>
            <w:top w:val="none" w:sz="0" w:space="0" w:color="auto"/>
            <w:left w:val="none" w:sz="0" w:space="0" w:color="auto"/>
            <w:bottom w:val="none" w:sz="0" w:space="0" w:color="auto"/>
            <w:right w:val="none" w:sz="0" w:space="0" w:color="auto"/>
          </w:divBdr>
          <w:divsChild>
            <w:div w:id="1511796702">
              <w:marLeft w:val="0"/>
              <w:marRight w:val="0"/>
              <w:marTop w:val="0"/>
              <w:marBottom w:val="0"/>
              <w:divBdr>
                <w:top w:val="none" w:sz="0" w:space="0" w:color="auto"/>
                <w:left w:val="none" w:sz="0" w:space="0" w:color="auto"/>
                <w:bottom w:val="none" w:sz="0" w:space="0" w:color="auto"/>
                <w:right w:val="none" w:sz="0" w:space="0" w:color="auto"/>
              </w:divBdr>
            </w:div>
          </w:divsChild>
        </w:div>
        <w:div w:id="708796405">
          <w:marLeft w:val="0"/>
          <w:marRight w:val="0"/>
          <w:marTop w:val="0"/>
          <w:marBottom w:val="0"/>
          <w:divBdr>
            <w:top w:val="none" w:sz="0" w:space="0" w:color="auto"/>
            <w:left w:val="none" w:sz="0" w:space="0" w:color="auto"/>
            <w:bottom w:val="none" w:sz="0" w:space="0" w:color="auto"/>
            <w:right w:val="none" w:sz="0" w:space="0" w:color="auto"/>
          </w:divBdr>
          <w:divsChild>
            <w:div w:id="6605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80409">
      <w:bodyDiv w:val="1"/>
      <w:marLeft w:val="0"/>
      <w:marRight w:val="0"/>
      <w:marTop w:val="0"/>
      <w:marBottom w:val="0"/>
      <w:divBdr>
        <w:top w:val="none" w:sz="0" w:space="0" w:color="auto"/>
        <w:left w:val="none" w:sz="0" w:space="0" w:color="auto"/>
        <w:bottom w:val="none" w:sz="0" w:space="0" w:color="auto"/>
        <w:right w:val="none" w:sz="0" w:space="0" w:color="auto"/>
      </w:divBdr>
    </w:div>
    <w:div w:id="1182627027">
      <w:bodyDiv w:val="1"/>
      <w:marLeft w:val="0"/>
      <w:marRight w:val="0"/>
      <w:marTop w:val="0"/>
      <w:marBottom w:val="0"/>
      <w:divBdr>
        <w:top w:val="none" w:sz="0" w:space="0" w:color="auto"/>
        <w:left w:val="none" w:sz="0" w:space="0" w:color="auto"/>
        <w:bottom w:val="none" w:sz="0" w:space="0" w:color="auto"/>
        <w:right w:val="none" w:sz="0" w:space="0" w:color="auto"/>
      </w:divBdr>
    </w:div>
    <w:div w:id="1240096127">
      <w:bodyDiv w:val="1"/>
      <w:marLeft w:val="0"/>
      <w:marRight w:val="0"/>
      <w:marTop w:val="0"/>
      <w:marBottom w:val="0"/>
      <w:divBdr>
        <w:top w:val="none" w:sz="0" w:space="0" w:color="auto"/>
        <w:left w:val="none" w:sz="0" w:space="0" w:color="auto"/>
        <w:bottom w:val="none" w:sz="0" w:space="0" w:color="auto"/>
        <w:right w:val="none" w:sz="0" w:space="0" w:color="auto"/>
      </w:divBdr>
    </w:div>
    <w:div w:id="1494956115">
      <w:bodyDiv w:val="1"/>
      <w:marLeft w:val="0"/>
      <w:marRight w:val="0"/>
      <w:marTop w:val="0"/>
      <w:marBottom w:val="0"/>
      <w:divBdr>
        <w:top w:val="none" w:sz="0" w:space="0" w:color="auto"/>
        <w:left w:val="none" w:sz="0" w:space="0" w:color="auto"/>
        <w:bottom w:val="none" w:sz="0" w:space="0" w:color="auto"/>
        <w:right w:val="none" w:sz="0" w:space="0" w:color="auto"/>
      </w:divBdr>
      <w:divsChild>
        <w:div w:id="1327517160">
          <w:marLeft w:val="0"/>
          <w:marRight w:val="0"/>
          <w:marTop w:val="0"/>
          <w:marBottom w:val="0"/>
          <w:divBdr>
            <w:top w:val="none" w:sz="0" w:space="0" w:color="auto"/>
            <w:left w:val="none" w:sz="0" w:space="0" w:color="auto"/>
            <w:bottom w:val="none" w:sz="0" w:space="0" w:color="auto"/>
            <w:right w:val="none" w:sz="0" w:space="0" w:color="auto"/>
          </w:divBdr>
          <w:divsChild>
            <w:div w:id="18486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48D8C6-B58C-42A4-B6D0-A3D71829D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TECNO KI5k</dc:creator>
  <cp:lastModifiedBy>USER PC</cp:lastModifiedBy>
  <cp:revision>3</cp:revision>
  <cp:lastPrinted>2025-07-18T15:53:00Z</cp:lastPrinted>
  <dcterms:created xsi:type="dcterms:W3CDTF">2025-07-18T15:55:00Z</dcterms:created>
  <dcterms:modified xsi:type="dcterms:W3CDTF">2025-07-21T14:17:00Z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345298dcfc0f44efb599b9cdb43ff084</vt:lpwstr>
  </property>
  <property fmtid="{D5CDD505-2E9C-101B-9397-08002B2CF9AE}" pid="3" name="KSOProductBuildVer">
    <vt:lpwstr>3081-11.33.90</vt:lpwstr>
  </property>
</Properties>
</file>