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9BB" w:rsidRPr="00E311DD" w:rsidRDefault="006549BB" w:rsidP="006549BB">
      <w:pPr>
        <w:spacing w:line="276" w:lineRule="auto"/>
        <w:jc w:val="center"/>
        <w:rPr>
          <w:rFonts w:eastAsia="Times New Roman" w:cs="Times New Roman"/>
          <w:b/>
          <w:bCs/>
          <w:sz w:val="30"/>
          <w:szCs w:val="24"/>
        </w:rPr>
      </w:pPr>
      <w:r w:rsidRPr="00E311DD">
        <w:rPr>
          <w:rFonts w:eastAsia="Times New Roman" w:cs="Times New Roman"/>
          <w:b/>
          <w:bCs/>
          <w:sz w:val="30"/>
          <w:szCs w:val="24"/>
        </w:rPr>
        <w:t>THE EFFECTS OF RISING COST OF BUILDING MATERIALS ON PROPERTY DEVELOPMENT</w:t>
      </w:r>
    </w:p>
    <w:p w:rsidR="006549BB" w:rsidRDefault="006549BB" w:rsidP="006549BB">
      <w:pPr>
        <w:ind w:left="-90"/>
        <w:jc w:val="center"/>
        <w:rPr>
          <w:rFonts w:ascii="Courgette" w:eastAsia="Courgette" w:hAnsi="Courgette" w:cs="Courgette"/>
          <w:b/>
          <w:sz w:val="56"/>
          <w:szCs w:val="24"/>
        </w:rPr>
      </w:pPr>
      <w:r w:rsidRPr="00CA40BF">
        <w:rPr>
          <w:rFonts w:eastAsia="Times New Roman" w:cs="Times New Roman"/>
          <w:b/>
          <w:bCs/>
          <w:szCs w:val="24"/>
        </w:rPr>
        <w:t>(A CASE STUDY OF HARMONY INVESTMENT AND PROPERTY DEVELOPMENT COMPANY, ILORIN KWARA STATE)</w:t>
      </w:r>
      <w:r w:rsidRPr="00453700">
        <w:rPr>
          <w:rFonts w:ascii="Courgette" w:eastAsia="Courgette" w:hAnsi="Courgette" w:cs="Courgette"/>
          <w:b/>
          <w:sz w:val="56"/>
          <w:szCs w:val="24"/>
        </w:rPr>
        <w:t xml:space="preserve"> </w:t>
      </w:r>
    </w:p>
    <w:p w:rsidR="006549BB" w:rsidRPr="001017F4" w:rsidRDefault="006549BB" w:rsidP="006549BB">
      <w:pPr>
        <w:ind w:left="-90"/>
        <w:jc w:val="center"/>
        <w:rPr>
          <w:rFonts w:ascii="Courgette" w:eastAsia="Courgette" w:hAnsi="Courgette" w:cs="Courgette"/>
          <w:b/>
          <w:sz w:val="56"/>
          <w:szCs w:val="24"/>
        </w:rPr>
      </w:pPr>
      <w:r w:rsidRPr="001017F4">
        <w:rPr>
          <w:rFonts w:ascii="Courgette" w:eastAsia="Courgette" w:hAnsi="Courgette" w:cs="Courgette"/>
          <w:b/>
          <w:sz w:val="56"/>
          <w:szCs w:val="24"/>
        </w:rPr>
        <w:t>BY</w:t>
      </w:r>
    </w:p>
    <w:p w:rsidR="006549BB" w:rsidRDefault="006549BB" w:rsidP="006549BB">
      <w:pPr>
        <w:spacing w:before="240"/>
        <w:ind w:left="-90"/>
        <w:jc w:val="center"/>
        <w:rPr>
          <w:rFonts w:ascii="Arial Black" w:eastAsia="Arial Black" w:hAnsi="Arial Black" w:cs="Arial Black"/>
          <w:b/>
          <w:sz w:val="48"/>
          <w:szCs w:val="48"/>
        </w:rPr>
      </w:pPr>
      <w:r>
        <w:rPr>
          <w:rFonts w:ascii="Arial Black" w:eastAsia="Arial Black" w:hAnsi="Arial Black" w:cs="Arial Black"/>
          <w:b/>
          <w:sz w:val="48"/>
          <w:szCs w:val="48"/>
        </w:rPr>
        <w:t>IDRIS MUSA SALMAN</w:t>
      </w:r>
    </w:p>
    <w:p w:rsidR="006549BB" w:rsidRDefault="006549BB" w:rsidP="006549BB">
      <w:pPr>
        <w:ind w:left="-90"/>
        <w:jc w:val="center"/>
        <w:rPr>
          <w:rFonts w:ascii="Arial Black" w:eastAsia="Arial Black" w:hAnsi="Arial Black" w:cs="Arial Black"/>
          <w:b/>
          <w:sz w:val="32"/>
          <w:szCs w:val="32"/>
        </w:rPr>
      </w:pPr>
      <w:r>
        <w:rPr>
          <w:rFonts w:ascii="Arial Black" w:eastAsia="Arial Black" w:hAnsi="Arial Black" w:cs="Arial Black"/>
          <w:b/>
          <w:sz w:val="42"/>
          <w:szCs w:val="32"/>
        </w:rPr>
        <w:t>HND/22/ETM</w:t>
      </w:r>
      <w:r w:rsidRPr="001017F4">
        <w:rPr>
          <w:rFonts w:ascii="Arial Black" w:eastAsia="Arial Black" w:hAnsi="Arial Black" w:cs="Arial Black"/>
          <w:b/>
          <w:sz w:val="42"/>
          <w:szCs w:val="32"/>
        </w:rPr>
        <w:t>/FT/</w:t>
      </w:r>
      <w:r>
        <w:rPr>
          <w:rFonts w:ascii="Arial Black" w:eastAsia="Arial Black" w:hAnsi="Arial Black" w:cs="Arial Black"/>
          <w:b/>
          <w:sz w:val="42"/>
          <w:szCs w:val="32"/>
        </w:rPr>
        <w:t>076</w:t>
      </w:r>
    </w:p>
    <w:p w:rsidR="006549BB" w:rsidRPr="00453700" w:rsidRDefault="006549BB" w:rsidP="006549BB">
      <w:pPr>
        <w:ind w:left="-90"/>
        <w:jc w:val="center"/>
        <w:rPr>
          <w:rFonts w:ascii="Agency FB" w:eastAsia="Arial Black" w:hAnsi="Agency FB" w:cs="Arial Black"/>
          <w:b/>
          <w:szCs w:val="24"/>
        </w:rPr>
      </w:pPr>
      <w:r w:rsidRPr="001017F4">
        <w:rPr>
          <w:rFonts w:ascii="Agency FB" w:eastAsia="Arial Black" w:hAnsi="Agency FB" w:cs="Arial Black"/>
          <w:b/>
          <w:sz w:val="30"/>
          <w:szCs w:val="24"/>
        </w:rPr>
        <w:t>BEING A RESEARCH PROJECT SUBMITTED TO</w:t>
      </w:r>
      <w:r w:rsidRPr="001017F4">
        <w:rPr>
          <w:rFonts w:ascii="Agency FB" w:eastAsia="Arial Black" w:hAnsi="Agency FB" w:cs="Arial Black"/>
          <w:b/>
          <w:szCs w:val="24"/>
        </w:rPr>
        <w:t xml:space="preserve"> </w:t>
      </w:r>
    </w:p>
    <w:p w:rsidR="006549BB" w:rsidRPr="00453700" w:rsidRDefault="006549BB" w:rsidP="006549BB">
      <w:pPr>
        <w:ind w:left="-90"/>
        <w:jc w:val="center"/>
        <w:rPr>
          <w:rFonts w:ascii="Arial Black" w:eastAsia="Arial Black" w:hAnsi="Arial Black" w:cs="Arial Black"/>
          <w:b/>
          <w:sz w:val="26"/>
          <w:szCs w:val="24"/>
        </w:rPr>
      </w:pPr>
      <w:r w:rsidRPr="001017F4">
        <w:rPr>
          <w:rFonts w:ascii="Arial Black" w:eastAsia="Arial Black" w:hAnsi="Arial Black" w:cs="Arial Black"/>
          <w:b/>
          <w:sz w:val="26"/>
          <w:szCs w:val="24"/>
        </w:rPr>
        <w:t>THE DEPARTMENT</w:t>
      </w:r>
      <w:r>
        <w:rPr>
          <w:rFonts w:ascii="Arial Black" w:eastAsia="Arial Black" w:hAnsi="Arial Black" w:cs="Arial Black"/>
          <w:b/>
          <w:sz w:val="26"/>
          <w:szCs w:val="24"/>
        </w:rPr>
        <w:t xml:space="preserve"> OF ESTATE MANAGEMENT</w:t>
      </w:r>
      <w:r w:rsidRPr="001017F4">
        <w:rPr>
          <w:rFonts w:ascii="Arial Black" w:eastAsia="Arial Black" w:hAnsi="Arial Black" w:cs="Arial Black"/>
          <w:b/>
          <w:sz w:val="26"/>
          <w:szCs w:val="24"/>
        </w:rPr>
        <w:t xml:space="preserve">, INSTITUTE OF </w:t>
      </w:r>
      <w:r>
        <w:rPr>
          <w:rFonts w:ascii="Arial Black" w:eastAsia="Arial Black" w:hAnsi="Arial Black" w:cs="Arial Black"/>
          <w:b/>
          <w:sz w:val="26"/>
          <w:szCs w:val="24"/>
        </w:rPr>
        <w:t>ENVIRONMENTAL</w:t>
      </w:r>
      <w:r w:rsidRPr="001017F4">
        <w:rPr>
          <w:rFonts w:ascii="Arial Black" w:eastAsia="Arial Black" w:hAnsi="Arial Black" w:cs="Arial Black"/>
          <w:b/>
          <w:sz w:val="26"/>
          <w:szCs w:val="24"/>
        </w:rPr>
        <w:t xml:space="preserve"> STUDIES, KWARA STATE POLYTECHNIC, ILORIN KWARA STATE.</w:t>
      </w:r>
    </w:p>
    <w:p w:rsidR="006549BB" w:rsidRDefault="006549BB" w:rsidP="006549BB">
      <w:pPr>
        <w:ind w:left="-90"/>
        <w:jc w:val="center"/>
        <w:rPr>
          <w:rFonts w:ascii="Arial Black" w:eastAsia="Arial Black" w:hAnsi="Arial Black" w:cs="Arial Black"/>
          <w:b/>
          <w:szCs w:val="24"/>
        </w:rPr>
      </w:pPr>
      <w:r>
        <w:rPr>
          <w:rFonts w:ascii="Arial Black" w:eastAsia="Arial Black" w:hAnsi="Arial Black" w:cs="Arial Black"/>
          <w:b/>
          <w:szCs w:val="24"/>
        </w:rPr>
        <w:t>IN PARTIAL FULFILLMENT OF THE REQUIREMENTS FOR THE AWARD OF HIGHER NATIONAL DIPLOMA (HND) IN ESTATE MANAGEMENT.</w:t>
      </w:r>
    </w:p>
    <w:p w:rsidR="006549BB" w:rsidRDefault="006549BB" w:rsidP="006549BB">
      <w:pPr>
        <w:ind w:left="-90"/>
        <w:jc w:val="center"/>
        <w:rPr>
          <w:rFonts w:ascii="Arial Black" w:eastAsia="Arial Black" w:hAnsi="Arial Black" w:cs="Arial Black"/>
          <w:b/>
          <w:szCs w:val="24"/>
        </w:rPr>
      </w:pPr>
    </w:p>
    <w:p w:rsidR="006549BB" w:rsidRDefault="006549BB" w:rsidP="006549BB">
      <w:pPr>
        <w:ind w:left="-90"/>
        <w:jc w:val="center"/>
        <w:rPr>
          <w:rFonts w:ascii="Arial Black" w:eastAsia="Arial Black" w:hAnsi="Arial Black" w:cs="Arial Black"/>
          <w:b/>
          <w:szCs w:val="24"/>
        </w:rPr>
      </w:pPr>
      <w:r>
        <w:rPr>
          <w:rFonts w:ascii="Arial Black" w:eastAsia="Arial Black" w:hAnsi="Arial Black" w:cs="Arial Black"/>
          <w:b/>
          <w:szCs w:val="24"/>
        </w:rPr>
        <w:tab/>
      </w:r>
      <w:r>
        <w:rPr>
          <w:rFonts w:ascii="Arial Black" w:eastAsia="Arial Black" w:hAnsi="Arial Black" w:cs="Arial Black"/>
          <w:b/>
          <w:szCs w:val="24"/>
        </w:rPr>
        <w:tab/>
      </w:r>
      <w:r>
        <w:rPr>
          <w:rFonts w:ascii="Arial Black" w:eastAsia="Arial Black" w:hAnsi="Arial Black" w:cs="Arial Black"/>
          <w:b/>
          <w:szCs w:val="24"/>
        </w:rPr>
        <w:tab/>
      </w:r>
      <w:r>
        <w:rPr>
          <w:rFonts w:ascii="Arial Black" w:eastAsia="Arial Black" w:hAnsi="Arial Black" w:cs="Arial Black"/>
          <w:b/>
          <w:szCs w:val="24"/>
        </w:rPr>
        <w:tab/>
      </w:r>
      <w:r>
        <w:rPr>
          <w:rFonts w:ascii="Arial Black" w:eastAsia="Arial Black" w:hAnsi="Arial Black" w:cs="Arial Black"/>
          <w:b/>
          <w:szCs w:val="24"/>
        </w:rPr>
        <w:tab/>
      </w:r>
      <w:r>
        <w:rPr>
          <w:rFonts w:ascii="Arial Black" w:eastAsia="Arial Black" w:hAnsi="Arial Black" w:cs="Arial Black"/>
          <w:b/>
          <w:szCs w:val="24"/>
        </w:rPr>
        <w:tab/>
        <w:t xml:space="preserve">                     </w:t>
      </w:r>
      <w:r>
        <w:rPr>
          <w:rFonts w:ascii="Arial Black" w:eastAsia="Arial Black" w:hAnsi="Arial Black" w:cs="Arial Black"/>
          <w:szCs w:val="24"/>
        </w:rPr>
        <w:t>JULY, 2025.</w:t>
      </w:r>
    </w:p>
    <w:p w:rsidR="006549BB" w:rsidRDefault="006549BB" w:rsidP="006549BB">
      <w:pPr>
        <w:ind w:left="-90"/>
        <w:jc w:val="center"/>
        <w:rPr>
          <w:rFonts w:eastAsia="Times New Roman"/>
          <w:b/>
          <w:szCs w:val="24"/>
        </w:rPr>
      </w:pPr>
      <w:r>
        <w:br w:type="page"/>
      </w:r>
      <w:r>
        <w:rPr>
          <w:rFonts w:eastAsia="Times New Roman"/>
          <w:b/>
          <w:szCs w:val="24"/>
        </w:rPr>
        <w:lastRenderedPageBreak/>
        <w:t>CERTIFICATION</w:t>
      </w:r>
    </w:p>
    <w:p w:rsidR="006549BB" w:rsidRDefault="006549BB" w:rsidP="006549BB">
      <w:pPr>
        <w:spacing w:before="240" w:line="480" w:lineRule="auto"/>
        <w:ind w:left="-90"/>
        <w:rPr>
          <w:rFonts w:eastAsia="Times New Roman"/>
          <w:szCs w:val="24"/>
        </w:rPr>
      </w:pPr>
      <w:r>
        <w:rPr>
          <w:rFonts w:eastAsia="Times New Roman"/>
          <w:szCs w:val="24"/>
        </w:rPr>
        <w:t>This is to certify that this project was carried out by IDRIS MUSA SALMAN with Matric No HND/22/ETM/FT/076 has been read and approved as meeting part of the requirement for the award of Higher National Diploma (HND) in Estate Management Department, Institute of Environment Studies, Kwara State Polytechnic Ilorin, Kwara State.</w:t>
      </w:r>
    </w:p>
    <w:p w:rsidR="006549BB" w:rsidRDefault="006549BB" w:rsidP="006549BB">
      <w:pPr>
        <w:spacing w:line="480" w:lineRule="auto"/>
        <w:ind w:left="-90"/>
        <w:rPr>
          <w:rFonts w:eastAsia="Times New Roman"/>
          <w:szCs w:val="24"/>
        </w:rPr>
      </w:pPr>
    </w:p>
    <w:p w:rsidR="006549BB" w:rsidRDefault="006549BB" w:rsidP="006549BB">
      <w:pPr>
        <w:ind w:left="-90"/>
        <w:rPr>
          <w:rFonts w:eastAsia="Times New Roman"/>
          <w:b/>
          <w:szCs w:val="24"/>
        </w:rPr>
      </w:pPr>
      <w:r>
        <w:rPr>
          <w:rFonts w:eastAsia="Times New Roman"/>
          <w:b/>
          <w:szCs w:val="24"/>
        </w:rPr>
        <w:t>………………………………</w:t>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t xml:space="preserve"> </w:t>
      </w:r>
      <w:r>
        <w:rPr>
          <w:rFonts w:eastAsia="Times New Roman"/>
          <w:b/>
          <w:szCs w:val="24"/>
        </w:rPr>
        <w:tab/>
        <w:t xml:space="preserve"> ……………………………</w:t>
      </w:r>
    </w:p>
    <w:p w:rsidR="006549BB" w:rsidRDefault="006549BB" w:rsidP="006549BB">
      <w:pPr>
        <w:ind w:left="-90"/>
        <w:rPr>
          <w:rFonts w:eastAsia="Times New Roman"/>
          <w:b/>
          <w:szCs w:val="24"/>
        </w:rPr>
      </w:pPr>
      <w:r>
        <w:rPr>
          <w:rFonts w:eastAsia="Times New Roman"/>
          <w:b/>
          <w:szCs w:val="24"/>
        </w:rPr>
        <w:t xml:space="preserve">ESV. DR. MRS. N.I UWAEZUOKE.N.I (ANIVS) RSV  </w:t>
      </w:r>
      <w:r>
        <w:rPr>
          <w:rFonts w:eastAsia="Times New Roman"/>
          <w:b/>
          <w:szCs w:val="24"/>
        </w:rPr>
        <w:tab/>
      </w:r>
      <w:r>
        <w:rPr>
          <w:rFonts w:eastAsia="Times New Roman"/>
          <w:b/>
          <w:szCs w:val="24"/>
        </w:rPr>
        <w:tab/>
        <w:t>DATE</w:t>
      </w:r>
    </w:p>
    <w:p w:rsidR="006549BB" w:rsidRPr="00656FD2" w:rsidRDefault="006549BB" w:rsidP="006549BB">
      <w:pPr>
        <w:ind w:left="-90"/>
        <w:rPr>
          <w:rFonts w:eastAsia="Times New Roman"/>
          <w:b/>
          <w:szCs w:val="24"/>
        </w:rPr>
      </w:pPr>
      <w:r w:rsidRPr="00656FD2">
        <w:rPr>
          <w:rFonts w:eastAsia="Times New Roman"/>
          <w:b/>
          <w:szCs w:val="24"/>
        </w:rPr>
        <w:t>PROJECT SUPERVISOR</w:t>
      </w:r>
    </w:p>
    <w:p w:rsidR="006549BB" w:rsidRDefault="006549BB" w:rsidP="006549BB">
      <w:pPr>
        <w:ind w:left="-90"/>
        <w:rPr>
          <w:rFonts w:eastAsia="Times New Roman"/>
          <w:b/>
          <w:szCs w:val="24"/>
        </w:rPr>
      </w:pPr>
      <w:r>
        <w:rPr>
          <w:rFonts w:eastAsia="Times New Roman"/>
          <w:b/>
          <w:szCs w:val="24"/>
        </w:rPr>
        <w:t xml:space="preserve"> </w:t>
      </w:r>
    </w:p>
    <w:p w:rsidR="006549BB" w:rsidRDefault="006549BB" w:rsidP="006549BB">
      <w:pPr>
        <w:ind w:left="-90"/>
        <w:rPr>
          <w:rFonts w:eastAsia="Times New Roman"/>
          <w:b/>
          <w:szCs w:val="24"/>
        </w:rPr>
      </w:pPr>
      <w:r>
        <w:rPr>
          <w:rFonts w:eastAsia="Times New Roman"/>
          <w:b/>
          <w:szCs w:val="24"/>
        </w:rPr>
        <w:t>………………………………</w:t>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t xml:space="preserve">  </w:t>
      </w:r>
      <w:r>
        <w:rPr>
          <w:rFonts w:eastAsia="Times New Roman"/>
          <w:b/>
          <w:szCs w:val="24"/>
        </w:rPr>
        <w:tab/>
        <w:t xml:space="preserve"> ……………………………</w:t>
      </w:r>
    </w:p>
    <w:p w:rsidR="006549BB" w:rsidRDefault="006549BB" w:rsidP="006549BB">
      <w:pPr>
        <w:ind w:left="-90"/>
        <w:rPr>
          <w:rFonts w:eastAsia="Times New Roman"/>
          <w:b/>
          <w:szCs w:val="24"/>
        </w:rPr>
      </w:pPr>
      <w:r>
        <w:rPr>
          <w:rFonts w:eastAsia="Times New Roman"/>
          <w:b/>
          <w:szCs w:val="24"/>
        </w:rPr>
        <w:t>ESV. DR. MRS. N.I UWAEZUOKE.N.I (ANIVS) RSV</w:t>
      </w:r>
      <w:r>
        <w:rPr>
          <w:rFonts w:eastAsia="Times New Roman"/>
          <w:b/>
          <w:szCs w:val="24"/>
        </w:rPr>
        <w:tab/>
      </w:r>
      <w:r>
        <w:rPr>
          <w:rFonts w:eastAsia="Times New Roman"/>
          <w:b/>
          <w:szCs w:val="24"/>
        </w:rPr>
        <w:tab/>
        <w:t>DATE</w:t>
      </w:r>
    </w:p>
    <w:p w:rsidR="006549BB" w:rsidRPr="00656FD2" w:rsidRDefault="006549BB" w:rsidP="006549BB">
      <w:pPr>
        <w:ind w:left="-90"/>
        <w:rPr>
          <w:rFonts w:eastAsia="Times New Roman"/>
          <w:b/>
          <w:szCs w:val="24"/>
        </w:rPr>
      </w:pPr>
      <w:r w:rsidRPr="00656FD2">
        <w:rPr>
          <w:rFonts w:eastAsia="Times New Roman"/>
          <w:b/>
          <w:szCs w:val="24"/>
        </w:rPr>
        <w:t>PROJECT COORDINATOR</w:t>
      </w:r>
    </w:p>
    <w:p w:rsidR="006549BB" w:rsidRDefault="006549BB" w:rsidP="006549BB">
      <w:pPr>
        <w:rPr>
          <w:rFonts w:eastAsia="Times New Roman"/>
          <w:b/>
          <w:szCs w:val="24"/>
        </w:rPr>
      </w:pPr>
    </w:p>
    <w:p w:rsidR="006549BB" w:rsidRDefault="006549BB" w:rsidP="006549BB">
      <w:pPr>
        <w:rPr>
          <w:rFonts w:eastAsia="Times New Roman"/>
          <w:b/>
          <w:szCs w:val="24"/>
        </w:rPr>
      </w:pPr>
      <w:r>
        <w:rPr>
          <w:rFonts w:eastAsia="Times New Roman"/>
          <w:b/>
          <w:szCs w:val="24"/>
        </w:rPr>
        <w:t>………………………………</w:t>
      </w:r>
      <w:r>
        <w:rPr>
          <w:rFonts w:eastAsia="Times New Roman"/>
          <w:b/>
          <w:szCs w:val="24"/>
        </w:rPr>
        <w:tab/>
      </w:r>
      <w:r>
        <w:rPr>
          <w:rFonts w:eastAsia="Times New Roman"/>
          <w:b/>
          <w:szCs w:val="24"/>
        </w:rPr>
        <w:tab/>
      </w:r>
      <w:r>
        <w:rPr>
          <w:rFonts w:eastAsia="Times New Roman"/>
          <w:b/>
          <w:szCs w:val="24"/>
        </w:rPr>
        <w:tab/>
        <w:t xml:space="preserve"> </w:t>
      </w:r>
      <w:r>
        <w:rPr>
          <w:rFonts w:eastAsia="Times New Roman"/>
          <w:b/>
          <w:szCs w:val="24"/>
        </w:rPr>
        <w:tab/>
        <w:t xml:space="preserve">   </w:t>
      </w:r>
      <w:r>
        <w:rPr>
          <w:rFonts w:eastAsia="Times New Roman"/>
          <w:b/>
          <w:szCs w:val="24"/>
        </w:rPr>
        <w:tab/>
        <w:t>……………………………</w:t>
      </w:r>
    </w:p>
    <w:p w:rsidR="006549BB" w:rsidRDefault="006549BB" w:rsidP="006549BB">
      <w:pPr>
        <w:ind w:left="-90"/>
        <w:rPr>
          <w:rFonts w:eastAsia="Times New Roman"/>
          <w:b/>
          <w:szCs w:val="24"/>
        </w:rPr>
      </w:pPr>
      <w:r>
        <w:rPr>
          <w:rFonts w:eastAsia="Times New Roman"/>
          <w:b/>
          <w:szCs w:val="24"/>
        </w:rPr>
        <w:t>ESV. ABDULKAREEM RASHIDAT A.</w:t>
      </w:r>
      <w:r w:rsidRPr="00A27F85">
        <w:rPr>
          <w:rFonts w:eastAsia="Times New Roman"/>
          <w:b/>
          <w:szCs w:val="24"/>
        </w:rPr>
        <w:t xml:space="preserve"> </w:t>
      </w:r>
      <w:r>
        <w:rPr>
          <w:rFonts w:eastAsia="Times New Roman"/>
          <w:b/>
          <w:szCs w:val="24"/>
        </w:rPr>
        <w:t>(ANIVS) RSV</w:t>
      </w:r>
      <w:r>
        <w:rPr>
          <w:rFonts w:eastAsia="Times New Roman"/>
          <w:b/>
          <w:szCs w:val="24"/>
        </w:rPr>
        <w:tab/>
      </w:r>
      <w:r>
        <w:rPr>
          <w:rFonts w:eastAsia="Times New Roman"/>
          <w:b/>
          <w:szCs w:val="24"/>
        </w:rPr>
        <w:tab/>
        <w:t>DATE</w:t>
      </w:r>
    </w:p>
    <w:p w:rsidR="006549BB" w:rsidRPr="00656FD2" w:rsidRDefault="006549BB" w:rsidP="006549BB">
      <w:pPr>
        <w:ind w:left="-90"/>
        <w:rPr>
          <w:rFonts w:eastAsia="Times New Roman"/>
          <w:b/>
          <w:szCs w:val="24"/>
        </w:rPr>
      </w:pPr>
      <w:r w:rsidRPr="00656FD2">
        <w:rPr>
          <w:rFonts w:eastAsia="Times New Roman"/>
          <w:b/>
          <w:szCs w:val="24"/>
        </w:rPr>
        <w:t>HEAD OF DEPARTMENT</w:t>
      </w:r>
    </w:p>
    <w:p w:rsidR="006549BB" w:rsidRDefault="006549BB" w:rsidP="006549BB">
      <w:pPr>
        <w:rPr>
          <w:rFonts w:eastAsia="Times New Roman"/>
          <w:b/>
          <w:szCs w:val="24"/>
        </w:rPr>
      </w:pPr>
    </w:p>
    <w:p w:rsidR="006549BB" w:rsidRDefault="006549BB" w:rsidP="006549BB">
      <w:pPr>
        <w:ind w:left="-90"/>
        <w:rPr>
          <w:rFonts w:eastAsia="Times New Roman"/>
          <w:b/>
          <w:szCs w:val="24"/>
        </w:rPr>
      </w:pPr>
      <w:r>
        <w:rPr>
          <w:rFonts w:eastAsia="Times New Roman"/>
          <w:b/>
          <w:szCs w:val="24"/>
        </w:rPr>
        <w:t>………………………………</w:t>
      </w:r>
      <w:r>
        <w:rPr>
          <w:rFonts w:eastAsia="Times New Roman"/>
          <w:b/>
          <w:szCs w:val="24"/>
        </w:rPr>
        <w:tab/>
      </w:r>
      <w:r>
        <w:rPr>
          <w:rFonts w:eastAsia="Times New Roman"/>
          <w:b/>
          <w:szCs w:val="24"/>
        </w:rPr>
        <w:tab/>
      </w:r>
      <w:r>
        <w:rPr>
          <w:rFonts w:eastAsia="Times New Roman"/>
          <w:b/>
          <w:szCs w:val="24"/>
        </w:rPr>
        <w:tab/>
        <w:t xml:space="preserve"> </w:t>
      </w:r>
      <w:r>
        <w:rPr>
          <w:rFonts w:eastAsia="Times New Roman"/>
          <w:b/>
          <w:szCs w:val="24"/>
        </w:rPr>
        <w:tab/>
        <w:t xml:space="preserve">   ……………………………</w:t>
      </w:r>
    </w:p>
    <w:p w:rsidR="006549BB" w:rsidRDefault="006549BB" w:rsidP="006549BB">
      <w:pPr>
        <w:ind w:left="-90"/>
        <w:rPr>
          <w:rFonts w:eastAsia="Times New Roman"/>
          <w:b/>
          <w:szCs w:val="24"/>
        </w:rPr>
      </w:pPr>
      <w:r>
        <w:rPr>
          <w:rFonts w:eastAsia="Times New Roman"/>
          <w:b/>
          <w:szCs w:val="24"/>
        </w:rPr>
        <w:t>ESV.DR. LUKUMAN MUSIBAU</w:t>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t>DATE</w:t>
      </w:r>
    </w:p>
    <w:p w:rsidR="006549BB" w:rsidRDefault="006549BB" w:rsidP="006549BB">
      <w:pPr>
        <w:ind w:left="-90"/>
        <w:rPr>
          <w:rFonts w:eastAsia="Times New Roman"/>
          <w:b/>
          <w:szCs w:val="24"/>
        </w:rPr>
      </w:pPr>
      <w:r>
        <w:rPr>
          <w:rFonts w:eastAsia="Times New Roman"/>
          <w:b/>
          <w:szCs w:val="24"/>
        </w:rPr>
        <w:t>EXTERNAL EXAMINER</w:t>
      </w:r>
    </w:p>
    <w:p w:rsidR="006549BB" w:rsidRPr="00E36294" w:rsidRDefault="006549BB" w:rsidP="006549BB">
      <w:pPr>
        <w:ind w:left="-90"/>
        <w:jc w:val="center"/>
        <w:rPr>
          <w:rFonts w:eastAsia="Times New Roman"/>
          <w:b/>
          <w:szCs w:val="24"/>
        </w:rPr>
      </w:pPr>
      <w:r>
        <w:rPr>
          <w:rFonts w:eastAsia="Times New Roman"/>
          <w:b/>
          <w:szCs w:val="24"/>
        </w:rPr>
        <w:lastRenderedPageBreak/>
        <w:t>DEDICATION</w:t>
      </w:r>
    </w:p>
    <w:p w:rsidR="006549BB" w:rsidRDefault="006549BB" w:rsidP="006549BB">
      <w:pPr>
        <w:rPr>
          <w:rFonts w:eastAsia="Times New Roman"/>
          <w:b/>
          <w:szCs w:val="24"/>
        </w:rPr>
      </w:pPr>
      <w:r w:rsidRPr="004D1194">
        <w:rPr>
          <w:rFonts w:eastAsia="Times New Roman"/>
          <w:szCs w:val="24"/>
        </w:rPr>
        <w:t>I dedicate this project to Almighty Allah for his protection over me throughout my years of obtaining a Higher National Diploma Certificate (HND</w:t>
      </w:r>
      <w:r>
        <w:rPr>
          <w:rFonts w:eastAsia="Times New Roman"/>
          <w:szCs w:val="24"/>
        </w:rPr>
        <w:t xml:space="preserve">) in Estate management, he </w:t>
      </w:r>
      <w:r w:rsidRPr="004D1194">
        <w:rPr>
          <w:rFonts w:eastAsia="Times New Roman"/>
          <w:szCs w:val="24"/>
        </w:rPr>
        <w:t>is my sustainer, my provider and to my lovely parent for their support both financially and spiritually</w:t>
      </w:r>
    </w:p>
    <w:p w:rsidR="006549BB" w:rsidRDefault="006549BB" w:rsidP="006549BB">
      <w:pPr>
        <w:ind w:left="-90"/>
        <w:rPr>
          <w:rFonts w:eastAsia="Times New Roman"/>
          <w:szCs w:val="24"/>
        </w:rPr>
      </w:pPr>
    </w:p>
    <w:p w:rsidR="006549BB" w:rsidRDefault="006549BB" w:rsidP="006549BB">
      <w:pPr>
        <w:ind w:left="-90"/>
        <w:rPr>
          <w:rFonts w:eastAsia="Times New Roman"/>
          <w:szCs w:val="24"/>
        </w:rPr>
      </w:pPr>
    </w:p>
    <w:p w:rsidR="006549BB" w:rsidRDefault="006549BB" w:rsidP="006549BB">
      <w:pPr>
        <w:ind w:left="-90"/>
        <w:rPr>
          <w:rFonts w:eastAsia="Times New Roman"/>
          <w:szCs w:val="24"/>
        </w:rPr>
      </w:pPr>
    </w:p>
    <w:p w:rsidR="006549BB" w:rsidRDefault="006549BB" w:rsidP="006549BB">
      <w:pPr>
        <w:ind w:left="-90"/>
        <w:rPr>
          <w:rFonts w:eastAsia="Times New Roman"/>
          <w:szCs w:val="24"/>
        </w:rPr>
      </w:pPr>
    </w:p>
    <w:p w:rsidR="006549BB" w:rsidRDefault="006549BB" w:rsidP="006549BB">
      <w:pPr>
        <w:ind w:left="-90"/>
        <w:rPr>
          <w:rFonts w:eastAsia="Times New Roman"/>
          <w:szCs w:val="24"/>
        </w:rPr>
      </w:pPr>
    </w:p>
    <w:p w:rsidR="006549BB" w:rsidRDefault="006549BB" w:rsidP="006549BB">
      <w:pPr>
        <w:ind w:left="-90"/>
        <w:rPr>
          <w:rFonts w:eastAsia="Times New Roman"/>
          <w:szCs w:val="24"/>
        </w:rPr>
      </w:pPr>
    </w:p>
    <w:p w:rsidR="006549BB" w:rsidRDefault="006549BB" w:rsidP="006549BB">
      <w:pPr>
        <w:ind w:left="-90"/>
        <w:rPr>
          <w:rFonts w:eastAsia="Times New Roman"/>
          <w:szCs w:val="24"/>
        </w:rPr>
      </w:pPr>
    </w:p>
    <w:p w:rsidR="006549BB" w:rsidRDefault="006549BB" w:rsidP="006549BB">
      <w:pPr>
        <w:ind w:left="-90"/>
        <w:rPr>
          <w:rFonts w:eastAsia="Times New Roman"/>
          <w:szCs w:val="24"/>
        </w:rPr>
      </w:pPr>
    </w:p>
    <w:p w:rsidR="006549BB" w:rsidRDefault="006549BB" w:rsidP="006549BB">
      <w:pPr>
        <w:ind w:left="-90"/>
        <w:rPr>
          <w:rFonts w:eastAsia="Times New Roman"/>
          <w:szCs w:val="24"/>
        </w:rPr>
      </w:pPr>
    </w:p>
    <w:p w:rsidR="006549BB" w:rsidRDefault="006549BB" w:rsidP="006549BB">
      <w:pPr>
        <w:ind w:left="-90"/>
        <w:rPr>
          <w:rFonts w:eastAsia="Times New Roman"/>
          <w:szCs w:val="24"/>
        </w:rPr>
      </w:pPr>
    </w:p>
    <w:p w:rsidR="006549BB" w:rsidRDefault="006549BB" w:rsidP="006549BB">
      <w:pPr>
        <w:ind w:left="-90"/>
        <w:rPr>
          <w:rFonts w:eastAsia="Times New Roman"/>
          <w:szCs w:val="24"/>
        </w:rPr>
      </w:pPr>
    </w:p>
    <w:p w:rsidR="006549BB" w:rsidRDefault="006549BB" w:rsidP="006549BB">
      <w:pPr>
        <w:ind w:left="-90"/>
        <w:jc w:val="center"/>
        <w:rPr>
          <w:rFonts w:eastAsia="Times New Roman"/>
          <w:szCs w:val="24"/>
        </w:rPr>
      </w:pPr>
    </w:p>
    <w:p w:rsidR="006549BB" w:rsidRDefault="006549BB" w:rsidP="006549BB">
      <w:pPr>
        <w:ind w:left="-90"/>
        <w:jc w:val="center"/>
        <w:rPr>
          <w:rFonts w:eastAsia="Times New Roman"/>
          <w:b/>
          <w:szCs w:val="24"/>
        </w:rPr>
      </w:pPr>
      <w:r>
        <w:br w:type="page"/>
      </w:r>
      <w:r>
        <w:rPr>
          <w:rFonts w:eastAsia="Times New Roman"/>
          <w:b/>
          <w:szCs w:val="24"/>
        </w:rPr>
        <w:lastRenderedPageBreak/>
        <w:t>ACKNOWLEDGEMENT</w:t>
      </w:r>
    </w:p>
    <w:p w:rsidR="006549BB" w:rsidRDefault="006549BB" w:rsidP="006549BB">
      <w:pPr>
        <w:pStyle w:val="NormalWeb"/>
        <w:spacing w:line="360" w:lineRule="auto"/>
        <w:jc w:val="both"/>
      </w:pPr>
      <w:r>
        <w:t>Glory to God almighty for his guidance throughout my journey in life.</w:t>
      </w:r>
    </w:p>
    <w:p w:rsidR="006549BB" w:rsidRDefault="006549BB" w:rsidP="006549BB">
      <w:pPr>
        <w:pStyle w:val="NormalWeb"/>
        <w:spacing w:line="360" w:lineRule="auto"/>
        <w:jc w:val="both"/>
      </w:pPr>
      <w:r>
        <w:t xml:space="preserve">Special thanks my supervisor </w:t>
      </w:r>
      <w:r w:rsidRPr="0090649F">
        <w:rPr>
          <w:b/>
        </w:rPr>
        <w:t>E</w:t>
      </w:r>
      <w:r>
        <w:rPr>
          <w:b/>
        </w:rPr>
        <w:t>sv/D</w:t>
      </w:r>
      <w:r w:rsidRPr="0090649F">
        <w:rPr>
          <w:b/>
        </w:rPr>
        <w:t>r. Uwaezuoke Ngozi Ifeanyi (Anivs, Rsv)</w:t>
      </w:r>
      <w:r>
        <w:t xml:space="preserve"> for her unwavering support, patience, and understanding her guidance, support, and expertise throughout this project, her valuable insights and feedback have been instrumental in shaping this work. I also want to appreciate the present Head of the department </w:t>
      </w:r>
      <w:r w:rsidRPr="0090649F">
        <w:rPr>
          <w:b/>
        </w:rPr>
        <w:t>Esv Abdulkareem Rashidat (Anivs, Rsv)</w:t>
      </w:r>
      <w:r>
        <w:t xml:space="preserve">, my project coordinator </w:t>
      </w:r>
      <w:r>
        <w:rPr>
          <w:b/>
        </w:rPr>
        <w:t>Esv/Dr. Uwaezuoke Ngozi I</w:t>
      </w:r>
      <w:r w:rsidRPr="0090649F">
        <w:rPr>
          <w:b/>
        </w:rPr>
        <w:t>feanyi</w:t>
      </w:r>
      <w:r>
        <w:rPr>
          <w:b/>
        </w:rPr>
        <w:t xml:space="preserve"> (Anivs, Rsv), Esv.</w:t>
      </w:r>
      <w:r w:rsidRPr="0090649F">
        <w:rPr>
          <w:b/>
        </w:rPr>
        <w:t xml:space="preserve"> Afolayan</w:t>
      </w:r>
      <w:r>
        <w:rPr>
          <w:b/>
        </w:rPr>
        <w:t xml:space="preserve"> (Anivs, Rsv), Esv.</w:t>
      </w:r>
      <w:r w:rsidRPr="0090649F">
        <w:rPr>
          <w:b/>
        </w:rPr>
        <w:t xml:space="preserve"> Hassan</w:t>
      </w:r>
      <w:r>
        <w:rPr>
          <w:b/>
        </w:rPr>
        <w:t xml:space="preserve"> A.O, Esv.</w:t>
      </w:r>
      <w:r w:rsidRPr="0090649F">
        <w:rPr>
          <w:b/>
        </w:rPr>
        <w:t xml:space="preserve"> Oladoja</w:t>
      </w:r>
      <w:r>
        <w:rPr>
          <w:b/>
        </w:rPr>
        <w:t xml:space="preserve"> I.O (Anivs, Rsv), Esv. Mrs</w:t>
      </w:r>
      <w:r w:rsidRPr="0090649F">
        <w:rPr>
          <w:b/>
        </w:rPr>
        <w:t xml:space="preserve"> Lawal</w:t>
      </w:r>
      <w:r>
        <w:rPr>
          <w:b/>
        </w:rPr>
        <w:t xml:space="preserve"> S (Anivs, Rsv), Esv Mrs</w:t>
      </w:r>
      <w:r w:rsidRPr="0090649F">
        <w:rPr>
          <w:b/>
        </w:rPr>
        <w:t xml:space="preserve"> Abdulkareem</w:t>
      </w:r>
      <w:r>
        <w:rPr>
          <w:b/>
        </w:rPr>
        <w:t xml:space="preserve"> R.A, Esv</w:t>
      </w:r>
      <w:r w:rsidRPr="0090649F">
        <w:rPr>
          <w:b/>
        </w:rPr>
        <w:t>. Bolaji Yakub</w:t>
      </w:r>
      <w:r>
        <w:rPr>
          <w:b/>
        </w:rPr>
        <w:t>, Mr</w:t>
      </w:r>
      <w:r w:rsidRPr="0090649F">
        <w:rPr>
          <w:b/>
        </w:rPr>
        <w:t>. Muhammed S. Akewula, MR. Umar Ismail</w:t>
      </w:r>
      <w:r>
        <w:rPr>
          <w:b/>
        </w:rPr>
        <w:t>, Mrm.</w:t>
      </w:r>
      <w:r w:rsidRPr="0090649F">
        <w:rPr>
          <w:b/>
        </w:rPr>
        <w:t xml:space="preserve"> Imam Kamil, Mrs. Aremu latifat</w:t>
      </w:r>
      <w:r>
        <w:t xml:space="preserve"> for the great deposition of knowledge on this profession who impacted, contributed something meaningful into my life. My prayers is that God will be with them all, may God increase you in all ramifications in Jesus name/</w:t>
      </w:r>
    </w:p>
    <w:p w:rsidR="006549BB" w:rsidRDefault="006549BB" w:rsidP="006549BB">
      <w:pPr>
        <w:pStyle w:val="NormalWeb"/>
        <w:spacing w:line="360" w:lineRule="auto"/>
        <w:jc w:val="both"/>
      </w:pPr>
      <w:r>
        <w:t xml:space="preserve">I would like to express my sincere gratitude to my parents </w:t>
      </w:r>
      <w:r w:rsidRPr="0090649F">
        <w:rPr>
          <w:b/>
        </w:rPr>
        <w:t>M</w:t>
      </w:r>
      <w:r>
        <w:rPr>
          <w:b/>
        </w:rPr>
        <w:t>r. Musa I</w:t>
      </w:r>
      <w:r w:rsidRPr="0090649F">
        <w:rPr>
          <w:b/>
        </w:rPr>
        <w:t>dris &amp; Mrs. Aminat</w:t>
      </w:r>
      <w:r>
        <w:t xml:space="preserve">   for their guidance, support, and expertise throughout this project. They have been my supporter throughout my journey</w:t>
      </w:r>
    </w:p>
    <w:p w:rsidR="006549BB" w:rsidRDefault="006549BB" w:rsidP="006549BB">
      <w:pPr>
        <w:pStyle w:val="NormalWeb"/>
        <w:spacing w:line="360" w:lineRule="auto"/>
        <w:jc w:val="both"/>
      </w:pPr>
      <w:r>
        <w:t xml:space="preserve">I'm also thankful to my sisters </w:t>
      </w:r>
      <w:r w:rsidRPr="0090649F">
        <w:rPr>
          <w:b/>
        </w:rPr>
        <w:t>Idris Rasheedah</w:t>
      </w:r>
      <w:r>
        <w:t xml:space="preserve"> and </w:t>
      </w:r>
      <w:r w:rsidRPr="0090649F">
        <w:rPr>
          <w:b/>
        </w:rPr>
        <w:t>Idris Manshurah</w:t>
      </w:r>
      <w:r>
        <w:t xml:space="preserve"> for his contributions, support both spiritually and financially and his encouragement.</w:t>
      </w:r>
    </w:p>
    <w:p w:rsidR="006549BB" w:rsidRDefault="006549BB" w:rsidP="006549BB">
      <w:pPr>
        <w:pStyle w:val="NormalWeb"/>
        <w:spacing w:line="360" w:lineRule="auto"/>
        <w:jc w:val="both"/>
      </w:pPr>
      <w:r>
        <w:t>Finally, I'd like to Acknowledge myself for making it a successful one"</w:t>
      </w:r>
    </w:p>
    <w:p w:rsidR="006549BB" w:rsidRPr="004D1194" w:rsidRDefault="006549BB" w:rsidP="006549BB">
      <w:pPr>
        <w:spacing w:after="160"/>
        <w:ind w:firstLine="720"/>
        <w:rPr>
          <w:rFonts w:eastAsia="Times New Roman"/>
          <w:szCs w:val="24"/>
        </w:rPr>
      </w:pPr>
    </w:p>
    <w:p w:rsidR="006549BB" w:rsidRDefault="006549BB" w:rsidP="006549BB">
      <w:pPr>
        <w:spacing w:after="160" w:line="259" w:lineRule="auto"/>
        <w:rPr>
          <w:rFonts w:eastAsia="Times New Roman"/>
          <w:szCs w:val="24"/>
        </w:rPr>
      </w:pPr>
    </w:p>
    <w:p w:rsidR="006549BB" w:rsidRDefault="006549BB" w:rsidP="006549BB">
      <w:pPr>
        <w:spacing w:after="160" w:line="259" w:lineRule="auto"/>
        <w:jc w:val="center"/>
        <w:rPr>
          <w:rFonts w:eastAsia="Times New Roman"/>
          <w:b/>
          <w:szCs w:val="24"/>
        </w:rPr>
      </w:pPr>
    </w:p>
    <w:p w:rsidR="006549BB" w:rsidRDefault="006549BB" w:rsidP="006549BB">
      <w:pPr>
        <w:spacing w:after="160" w:line="259" w:lineRule="auto"/>
        <w:jc w:val="center"/>
        <w:rPr>
          <w:rFonts w:eastAsia="Times New Roman"/>
          <w:b/>
          <w:szCs w:val="24"/>
        </w:rPr>
      </w:pPr>
    </w:p>
    <w:p w:rsidR="006549BB" w:rsidRDefault="006549BB" w:rsidP="006549BB">
      <w:pPr>
        <w:spacing w:after="160" w:line="259" w:lineRule="auto"/>
        <w:jc w:val="center"/>
        <w:rPr>
          <w:rFonts w:eastAsia="Times New Roman"/>
          <w:b/>
          <w:szCs w:val="24"/>
        </w:rPr>
      </w:pPr>
    </w:p>
    <w:p w:rsidR="006549BB" w:rsidRDefault="006549BB" w:rsidP="006549BB">
      <w:pPr>
        <w:spacing w:after="160" w:line="259" w:lineRule="auto"/>
        <w:jc w:val="center"/>
        <w:rPr>
          <w:rFonts w:eastAsia="Times New Roman"/>
          <w:b/>
          <w:szCs w:val="24"/>
        </w:rPr>
      </w:pPr>
    </w:p>
    <w:p w:rsidR="006549BB" w:rsidRDefault="006549BB" w:rsidP="006549BB">
      <w:pPr>
        <w:spacing w:after="160" w:line="259" w:lineRule="auto"/>
        <w:jc w:val="center"/>
        <w:rPr>
          <w:rFonts w:eastAsia="Times New Roman"/>
          <w:b/>
          <w:szCs w:val="24"/>
        </w:rPr>
      </w:pPr>
    </w:p>
    <w:p w:rsidR="006549BB" w:rsidRDefault="006549BB" w:rsidP="006549BB">
      <w:pPr>
        <w:rPr>
          <w:rFonts w:cs="Times New Roman"/>
          <w:b/>
          <w:color w:val="000000" w:themeColor="text1"/>
          <w:sz w:val="28"/>
          <w:szCs w:val="28"/>
        </w:rPr>
      </w:pPr>
    </w:p>
    <w:p w:rsidR="006549BB" w:rsidRPr="00E36294" w:rsidRDefault="006549BB" w:rsidP="006549BB">
      <w:pPr>
        <w:pStyle w:val="Heading3"/>
        <w:jc w:val="center"/>
        <w:rPr>
          <w:b w:val="0"/>
        </w:rPr>
      </w:pPr>
      <w:r w:rsidRPr="00E36294">
        <w:rPr>
          <w:rStyle w:val="Strong"/>
          <w:b/>
        </w:rPr>
        <w:lastRenderedPageBreak/>
        <w:t>ABSTRACT</w:t>
      </w:r>
    </w:p>
    <w:p w:rsidR="006549BB" w:rsidRPr="00CA40BF" w:rsidRDefault="006549BB" w:rsidP="006549BB">
      <w:pPr>
        <w:pStyle w:val="NormalWeb"/>
        <w:jc w:val="both"/>
        <w:rPr>
          <w:i/>
        </w:rPr>
      </w:pPr>
      <w:r w:rsidRPr="00CA40BF">
        <w:rPr>
          <w:i/>
        </w:rPr>
        <w:t>The construction industry in Nigeria is experiencing unprecedented cost pressures, largely due to the consistent rise in prices of building materials. This study investigates the effects of these rising costs on property development, with a focus on Harmony Investment and Property Development Company in Ilorin, Kwara State. The research aims to identify the primary factors responsible for the escalation in material costs, examine the implications for project planning and execution, assess the challenges faced by developers, analyze the effects on project affordability, quality, and timelines, and provide practical recommendations to mitigate these impacts.</w:t>
      </w:r>
      <w:r>
        <w:rPr>
          <w:i/>
        </w:rPr>
        <w:t xml:space="preserve"> </w:t>
      </w:r>
      <w:r w:rsidRPr="00CA40BF">
        <w:rPr>
          <w:i/>
        </w:rPr>
        <w:t>Primary data were collected through the administration of 125 structured questionnaires and oral interviews with selected staff, site workers, and property buyers. The data were analyzed using descriptive statistics and thematic content analysis. Findings revealed that the major drivers of building material price increases include exchange rate fluctuations, inflation, high transportation costs, dependency on imported materials, and government-imposed tariffs. These factors collectively contribute to increased project costs, delays in completion, and the use of lower-grade materials, ultimately affecting the affordability and quality of housing delivery.The study also uncovered that Harmony Investment has faced significant challenges in budget forecasting, bulk procurement, maintaining material quality, and meeting project deadlines. To manage these constraints, the company has adopted several strategies, including value engineering, phased construction, supplier negotiations, and material substitution. However, the perceived effectiveness of these strategies varied, with value engineering and supplier negotiation rated most effective, while material substitution was widely seen as detrimental to long-term quality.The research concludes that rising material costs pose serious threats to sustainable property development, particularly for private sector developers. It recommends a collaborative response involving government policy interventions, support for local material production, financial incentives, and strategic planning among developers. These measures are essential to reduce dependency on imports, stabilize costs, and improve access to quality and affordable housing. The findings provide valuable insights for policymakers, investors, and construction stakeholders seeking to navigate the volatile building material market in Nigeria.</w:t>
      </w:r>
    </w:p>
    <w:p w:rsidR="006549BB" w:rsidRDefault="006549BB" w:rsidP="006549BB">
      <w:pPr>
        <w:spacing w:after="160" w:line="259" w:lineRule="auto"/>
        <w:jc w:val="center"/>
        <w:rPr>
          <w:rFonts w:eastAsia="Times New Roman"/>
          <w:b/>
          <w:szCs w:val="24"/>
        </w:rPr>
      </w:pPr>
    </w:p>
    <w:p w:rsidR="006549BB" w:rsidRDefault="006549BB" w:rsidP="006549BB">
      <w:pPr>
        <w:spacing w:after="160" w:line="259" w:lineRule="auto"/>
        <w:jc w:val="center"/>
        <w:rPr>
          <w:rFonts w:eastAsia="Times New Roman"/>
          <w:b/>
          <w:szCs w:val="24"/>
        </w:rPr>
      </w:pPr>
    </w:p>
    <w:p w:rsidR="006549BB" w:rsidRDefault="006549BB" w:rsidP="006549BB">
      <w:pPr>
        <w:spacing w:after="160" w:line="259" w:lineRule="auto"/>
        <w:jc w:val="center"/>
        <w:rPr>
          <w:rFonts w:eastAsia="Times New Roman"/>
          <w:b/>
          <w:szCs w:val="24"/>
        </w:rPr>
      </w:pPr>
    </w:p>
    <w:p w:rsidR="006549BB" w:rsidRDefault="006549BB" w:rsidP="006549BB">
      <w:pPr>
        <w:spacing w:after="160" w:line="259" w:lineRule="auto"/>
        <w:jc w:val="center"/>
        <w:rPr>
          <w:rFonts w:eastAsia="Times New Roman"/>
          <w:b/>
          <w:szCs w:val="24"/>
        </w:rPr>
      </w:pPr>
    </w:p>
    <w:p w:rsidR="006549BB" w:rsidRDefault="006549BB" w:rsidP="006549BB">
      <w:pPr>
        <w:spacing w:after="160" w:line="259" w:lineRule="auto"/>
        <w:jc w:val="center"/>
        <w:rPr>
          <w:rFonts w:eastAsia="Times New Roman"/>
          <w:b/>
          <w:szCs w:val="24"/>
        </w:rPr>
      </w:pPr>
    </w:p>
    <w:p w:rsidR="006549BB" w:rsidRDefault="006549BB" w:rsidP="006549BB">
      <w:pPr>
        <w:spacing w:after="160"/>
        <w:jc w:val="center"/>
        <w:rPr>
          <w:rFonts w:eastAsia="Times New Roman"/>
          <w:b/>
          <w:szCs w:val="24"/>
        </w:rPr>
      </w:pPr>
    </w:p>
    <w:p w:rsidR="006549BB" w:rsidRDefault="006549BB" w:rsidP="006549BB">
      <w:pPr>
        <w:spacing w:after="160"/>
        <w:jc w:val="center"/>
        <w:rPr>
          <w:rFonts w:eastAsia="Times New Roman"/>
          <w:b/>
          <w:szCs w:val="24"/>
        </w:rPr>
      </w:pPr>
    </w:p>
    <w:p w:rsidR="006549BB" w:rsidRDefault="006549BB" w:rsidP="006549BB">
      <w:pPr>
        <w:spacing w:after="160"/>
        <w:jc w:val="center"/>
        <w:rPr>
          <w:rFonts w:eastAsia="Times New Roman"/>
          <w:b/>
          <w:szCs w:val="24"/>
        </w:rPr>
      </w:pPr>
    </w:p>
    <w:p w:rsidR="006549BB" w:rsidRDefault="006549BB" w:rsidP="006549BB">
      <w:pPr>
        <w:spacing w:after="160"/>
        <w:jc w:val="center"/>
        <w:rPr>
          <w:rFonts w:eastAsia="Times New Roman"/>
          <w:b/>
          <w:szCs w:val="24"/>
        </w:rPr>
      </w:pPr>
    </w:p>
    <w:p w:rsidR="006549BB" w:rsidRPr="00AD6EAC" w:rsidRDefault="006549BB" w:rsidP="006549BB">
      <w:pPr>
        <w:spacing w:after="160"/>
        <w:jc w:val="center"/>
        <w:rPr>
          <w:rFonts w:eastAsia="Times New Roman"/>
          <w:szCs w:val="24"/>
        </w:rPr>
      </w:pPr>
      <w:r>
        <w:rPr>
          <w:rFonts w:eastAsia="Times New Roman"/>
          <w:b/>
          <w:szCs w:val="24"/>
        </w:rPr>
        <w:lastRenderedPageBreak/>
        <w:t>TABLE OF CONTENTS</w:t>
      </w:r>
    </w:p>
    <w:p w:rsidR="006549BB" w:rsidRDefault="006549BB" w:rsidP="006549BB">
      <w:pPr>
        <w:tabs>
          <w:tab w:val="left" w:pos="2749"/>
          <w:tab w:val="center" w:pos="4154"/>
        </w:tabs>
        <w:ind w:left="-180" w:right="-349"/>
        <w:rPr>
          <w:rFonts w:eastAsia="Times New Roman"/>
          <w:szCs w:val="24"/>
        </w:rPr>
      </w:pPr>
      <w:r>
        <w:rPr>
          <w:rFonts w:eastAsia="Times New Roman"/>
          <w:szCs w:val="24"/>
        </w:rPr>
        <w:t>Title Page</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i</w:t>
      </w:r>
      <w:r>
        <w:rPr>
          <w:rFonts w:eastAsia="Times New Roman"/>
          <w:szCs w:val="24"/>
        </w:rPr>
        <w:tab/>
      </w:r>
    </w:p>
    <w:p w:rsidR="006549BB" w:rsidRDefault="006549BB" w:rsidP="006549BB">
      <w:pPr>
        <w:tabs>
          <w:tab w:val="left" w:pos="2749"/>
          <w:tab w:val="center" w:pos="4154"/>
        </w:tabs>
        <w:ind w:left="-180" w:right="-349"/>
        <w:rPr>
          <w:rFonts w:eastAsia="Times New Roman"/>
          <w:szCs w:val="24"/>
        </w:rPr>
      </w:pPr>
      <w:r>
        <w:rPr>
          <w:rFonts w:eastAsia="Times New Roman"/>
          <w:szCs w:val="24"/>
        </w:rPr>
        <w:t>Certification</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ii</w:t>
      </w:r>
      <w:r>
        <w:rPr>
          <w:rFonts w:eastAsia="Times New Roman"/>
          <w:szCs w:val="24"/>
        </w:rPr>
        <w:tab/>
      </w:r>
    </w:p>
    <w:p w:rsidR="006549BB" w:rsidRDefault="006549BB" w:rsidP="006549BB">
      <w:pPr>
        <w:tabs>
          <w:tab w:val="left" w:pos="2749"/>
          <w:tab w:val="center" w:pos="4154"/>
        </w:tabs>
        <w:ind w:left="-180" w:right="-349"/>
        <w:rPr>
          <w:rFonts w:eastAsia="Times New Roman"/>
          <w:szCs w:val="24"/>
        </w:rPr>
      </w:pPr>
      <w:r>
        <w:rPr>
          <w:rFonts w:eastAsia="Times New Roman"/>
          <w:szCs w:val="24"/>
        </w:rPr>
        <w:t>Dedication</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iii</w:t>
      </w:r>
      <w:r>
        <w:rPr>
          <w:rFonts w:eastAsia="Times New Roman"/>
          <w:szCs w:val="24"/>
        </w:rPr>
        <w:tab/>
      </w:r>
    </w:p>
    <w:p w:rsidR="006549BB" w:rsidRDefault="006549BB" w:rsidP="006549BB">
      <w:pPr>
        <w:tabs>
          <w:tab w:val="left" w:pos="2749"/>
          <w:tab w:val="center" w:pos="4154"/>
        </w:tabs>
        <w:ind w:left="-180" w:right="-349"/>
        <w:rPr>
          <w:rFonts w:eastAsia="Times New Roman"/>
          <w:szCs w:val="24"/>
        </w:rPr>
      </w:pPr>
      <w:r>
        <w:rPr>
          <w:rFonts w:eastAsia="Times New Roman"/>
          <w:szCs w:val="24"/>
        </w:rPr>
        <w:t>Acknowledgement</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iv</w:t>
      </w:r>
    </w:p>
    <w:p w:rsidR="006549BB" w:rsidRDefault="006549BB" w:rsidP="006549BB">
      <w:pPr>
        <w:tabs>
          <w:tab w:val="left" w:pos="2749"/>
          <w:tab w:val="center" w:pos="4154"/>
        </w:tabs>
        <w:ind w:left="-180" w:right="-349"/>
        <w:rPr>
          <w:rFonts w:eastAsia="Times New Roman"/>
          <w:szCs w:val="24"/>
        </w:rPr>
      </w:pPr>
      <w:r>
        <w:rPr>
          <w:rFonts w:eastAsia="Times New Roman"/>
          <w:szCs w:val="24"/>
        </w:rPr>
        <w:t>Abstract</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v</w:t>
      </w:r>
      <w:r>
        <w:rPr>
          <w:rFonts w:eastAsia="Times New Roman"/>
          <w:szCs w:val="24"/>
        </w:rPr>
        <w:tab/>
      </w:r>
    </w:p>
    <w:p w:rsidR="006549BB" w:rsidRDefault="006549BB" w:rsidP="006549BB">
      <w:pPr>
        <w:tabs>
          <w:tab w:val="left" w:pos="2749"/>
          <w:tab w:val="center" w:pos="4154"/>
        </w:tabs>
        <w:ind w:left="-180" w:right="-349"/>
        <w:rPr>
          <w:rFonts w:eastAsia="Times New Roman"/>
          <w:szCs w:val="24"/>
        </w:rPr>
      </w:pPr>
      <w:r>
        <w:rPr>
          <w:rFonts w:eastAsia="Times New Roman"/>
          <w:szCs w:val="24"/>
        </w:rPr>
        <w:t>Table of contents</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vi</w:t>
      </w:r>
      <w:r>
        <w:rPr>
          <w:rFonts w:eastAsia="Times New Roman"/>
          <w:szCs w:val="24"/>
        </w:rPr>
        <w:tab/>
      </w:r>
    </w:p>
    <w:p w:rsidR="006549BB" w:rsidRDefault="006549BB" w:rsidP="006549BB">
      <w:pPr>
        <w:ind w:left="-180" w:right="-349"/>
        <w:rPr>
          <w:rFonts w:eastAsia="Times New Roman"/>
          <w:b/>
          <w:szCs w:val="24"/>
        </w:rPr>
      </w:pPr>
      <w:r>
        <w:rPr>
          <w:rFonts w:eastAsia="Times New Roman"/>
          <w:b/>
          <w:szCs w:val="24"/>
        </w:rPr>
        <w:t>CHAPTER ONE</w:t>
      </w:r>
    </w:p>
    <w:p w:rsidR="006549BB" w:rsidRDefault="006549BB" w:rsidP="006549BB">
      <w:pPr>
        <w:ind w:left="-180" w:right="-349"/>
        <w:rPr>
          <w:rFonts w:eastAsia="Times New Roman"/>
          <w:szCs w:val="24"/>
        </w:rPr>
      </w:pPr>
      <w:r>
        <w:rPr>
          <w:rFonts w:eastAsia="Times New Roman"/>
          <w:szCs w:val="24"/>
        </w:rPr>
        <w:t>1.1</w:t>
      </w:r>
      <w:r>
        <w:rPr>
          <w:rFonts w:eastAsia="Times New Roman"/>
          <w:szCs w:val="24"/>
        </w:rPr>
        <w:tab/>
        <w:t xml:space="preserve">Introduction </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1</w:t>
      </w:r>
      <w:r>
        <w:rPr>
          <w:rFonts w:eastAsia="Times New Roman"/>
          <w:szCs w:val="24"/>
        </w:rPr>
        <w:tab/>
      </w:r>
      <w:r>
        <w:rPr>
          <w:rFonts w:eastAsia="Times New Roman"/>
          <w:szCs w:val="24"/>
        </w:rPr>
        <w:tab/>
      </w:r>
    </w:p>
    <w:p w:rsidR="006549BB" w:rsidRDefault="006549BB" w:rsidP="006549BB">
      <w:pPr>
        <w:ind w:left="-180" w:right="-349"/>
        <w:rPr>
          <w:rFonts w:eastAsia="Times New Roman"/>
          <w:szCs w:val="24"/>
        </w:rPr>
      </w:pPr>
      <w:r>
        <w:rPr>
          <w:rFonts w:eastAsia="Times New Roman"/>
          <w:szCs w:val="24"/>
        </w:rPr>
        <w:t xml:space="preserve">1.2 </w:t>
      </w:r>
      <w:r>
        <w:rPr>
          <w:rFonts w:eastAsia="Times New Roman"/>
          <w:szCs w:val="24"/>
        </w:rPr>
        <w:tab/>
        <w:t>Statement of the problem</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3</w:t>
      </w:r>
    </w:p>
    <w:p w:rsidR="006549BB" w:rsidRDefault="006549BB" w:rsidP="006549BB">
      <w:pPr>
        <w:ind w:left="-180" w:right="-349"/>
        <w:rPr>
          <w:rFonts w:eastAsia="Times New Roman"/>
          <w:szCs w:val="24"/>
        </w:rPr>
      </w:pPr>
      <w:r>
        <w:rPr>
          <w:rFonts w:eastAsia="Times New Roman"/>
          <w:szCs w:val="24"/>
        </w:rPr>
        <w:t>1.3</w:t>
      </w:r>
      <w:r>
        <w:rPr>
          <w:rFonts w:eastAsia="Times New Roman"/>
          <w:szCs w:val="24"/>
        </w:rPr>
        <w:tab/>
        <w:t>Research Question</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5</w:t>
      </w:r>
    </w:p>
    <w:p w:rsidR="006549BB" w:rsidRDefault="006549BB" w:rsidP="006549BB">
      <w:pPr>
        <w:ind w:left="-180" w:right="-349"/>
        <w:rPr>
          <w:rFonts w:eastAsia="Times New Roman"/>
          <w:szCs w:val="24"/>
        </w:rPr>
      </w:pPr>
      <w:r>
        <w:rPr>
          <w:rFonts w:eastAsia="Times New Roman"/>
          <w:szCs w:val="24"/>
        </w:rPr>
        <w:t>1.4</w:t>
      </w:r>
      <w:r>
        <w:rPr>
          <w:rFonts w:eastAsia="Times New Roman"/>
          <w:szCs w:val="24"/>
        </w:rPr>
        <w:tab/>
        <w:t>Aim of the Study</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6</w:t>
      </w:r>
    </w:p>
    <w:p w:rsidR="006549BB" w:rsidRDefault="006549BB" w:rsidP="006549BB">
      <w:pPr>
        <w:ind w:left="-180" w:right="-349"/>
        <w:rPr>
          <w:rFonts w:eastAsia="Times New Roman"/>
          <w:szCs w:val="24"/>
        </w:rPr>
      </w:pPr>
      <w:r>
        <w:rPr>
          <w:rFonts w:eastAsia="Times New Roman"/>
          <w:szCs w:val="24"/>
        </w:rPr>
        <w:t>1.5</w:t>
      </w:r>
      <w:r>
        <w:rPr>
          <w:rFonts w:eastAsia="Times New Roman"/>
          <w:szCs w:val="24"/>
        </w:rPr>
        <w:tab/>
        <w:t>Objective of the Study</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6</w:t>
      </w:r>
    </w:p>
    <w:p w:rsidR="006549BB" w:rsidRDefault="006549BB" w:rsidP="006549BB">
      <w:pPr>
        <w:ind w:left="-180" w:right="-349"/>
        <w:rPr>
          <w:rFonts w:eastAsia="Times New Roman"/>
          <w:szCs w:val="24"/>
        </w:rPr>
      </w:pPr>
      <w:r>
        <w:rPr>
          <w:rFonts w:eastAsia="Times New Roman"/>
          <w:szCs w:val="24"/>
        </w:rPr>
        <w:t>1.6</w:t>
      </w:r>
      <w:r>
        <w:rPr>
          <w:rFonts w:eastAsia="Times New Roman"/>
          <w:szCs w:val="24"/>
        </w:rPr>
        <w:tab/>
        <w:t>Justification of the study</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7</w:t>
      </w:r>
    </w:p>
    <w:p w:rsidR="006549BB" w:rsidRDefault="006549BB" w:rsidP="006549BB">
      <w:pPr>
        <w:ind w:left="-180" w:right="-349"/>
        <w:rPr>
          <w:rFonts w:eastAsia="Times New Roman"/>
          <w:szCs w:val="24"/>
        </w:rPr>
      </w:pPr>
      <w:r>
        <w:rPr>
          <w:rFonts w:eastAsia="Times New Roman"/>
          <w:szCs w:val="24"/>
        </w:rPr>
        <w:t>1.7</w:t>
      </w:r>
      <w:r>
        <w:rPr>
          <w:rFonts w:eastAsia="Times New Roman"/>
          <w:szCs w:val="24"/>
        </w:rPr>
        <w:tab/>
        <w:t>Scope of the study</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9</w:t>
      </w:r>
    </w:p>
    <w:p w:rsidR="006549BB" w:rsidRDefault="006549BB" w:rsidP="006549BB">
      <w:pPr>
        <w:ind w:left="-180" w:right="-349"/>
        <w:rPr>
          <w:rFonts w:eastAsia="Times New Roman"/>
          <w:szCs w:val="24"/>
        </w:rPr>
      </w:pPr>
      <w:r>
        <w:rPr>
          <w:rFonts w:eastAsia="Times New Roman"/>
          <w:szCs w:val="24"/>
        </w:rPr>
        <w:t>1.8</w:t>
      </w:r>
      <w:r>
        <w:rPr>
          <w:rFonts w:eastAsia="Times New Roman"/>
          <w:szCs w:val="24"/>
        </w:rPr>
        <w:tab/>
        <w:t>Study Area</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9</w:t>
      </w:r>
      <w:r>
        <w:rPr>
          <w:rFonts w:eastAsia="Times New Roman"/>
          <w:szCs w:val="24"/>
        </w:rPr>
        <w:tab/>
      </w:r>
    </w:p>
    <w:p w:rsidR="006549BB" w:rsidRDefault="006549BB" w:rsidP="006549BB">
      <w:pPr>
        <w:ind w:left="-180" w:right="-349"/>
        <w:rPr>
          <w:rFonts w:eastAsia="Times New Roman"/>
          <w:b/>
          <w:szCs w:val="24"/>
        </w:rPr>
      </w:pPr>
      <w:r>
        <w:rPr>
          <w:rFonts w:eastAsia="Times New Roman"/>
          <w:b/>
          <w:szCs w:val="24"/>
        </w:rPr>
        <w:t>CHAPTER TWO</w:t>
      </w:r>
    </w:p>
    <w:p w:rsidR="006549BB" w:rsidRDefault="006549BB" w:rsidP="006549BB">
      <w:pPr>
        <w:ind w:left="-180" w:right="-349"/>
        <w:rPr>
          <w:rFonts w:eastAsia="Times New Roman"/>
          <w:szCs w:val="24"/>
        </w:rPr>
      </w:pPr>
      <w:r>
        <w:rPr>
          <w:rFonts w:eastAsia="Times New Roman"/>
          <w:b/>
          <w:szCs w:val="24"/>
        </w:rPr>
        <w:t>2.0</w:t>
      </w:r>
      <w:r>
        <w:rPr>
          <w:rFonts w:eastAsia="Times New Roman"/>
          <w:b/>
          <w:szCs w:val="24"/>
        </w:rPr>
        <w:tab/>
      </w:r>
      <w:r w:rsidRPr="00E30FA5">
        <w:rPr>
          <w:rFonts w:eastAsia="Times New Roman"/>
          <w:b/>
          <w:szCs w:val="24"/>
        </w:rPr>
        <w:t>LITERATURE REVIEW</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13</w:t>
      </w:r>
    </w:p>
    <w:p w:rsidR="006549BB" w:rsidRDefault="006549BB" w:rsidP="006549BB">
      <w:pPr>
        <w:ind w:left="-180" w:right="-349"/>
        <w:rPr>
          <w:rFonts w:eastAsia="Times New Roman"/>
          <w:szCs w:val="24"/>
        </w:rPr>
      </w:pPr>
      <w:r>
        <w:rPr>
          <w:rFonts w:eastAsia="Times New Roman"/>
          <w:szCs w:val="24"/>
        </w:rPr>
        <w:t>2.1</w:t>
      </w:r>
      <w:r>
        <w:rPr>
          <w:rFonts w:eastAsia="Times New Roman"/>
          <w:szCs w:val="24"/>
        </w:rPr>
        <w:tab/>
        <w:t>Introduction</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13</w:t>
      </w:r>
    </w:p>
    <w:p w:rsidR="006549BB" w:rsidRDefault="006549BB" w:rsidP="006549BB">
      <w:pPr>
        <w:ind w:left="-180" w:right="-349"/>
        <w:rPr>
          <w:rFonts w:eastAsia="Times New Roman"/>
          <w:szCs w:val="24"/>
        </w:rPr>
      </w:pPr>
      <w:r>
        <w:rPr>
          <w:rFonts w:eastAsia="Times New Roman"/>
          <w:szCs w:val="24"/>
        </w:rPr>
        <w:t>2.2</w:t>
      </w:r>
      <w:r>
        <w:rPr>
          <w:rFonts w:eastAsia="Times New Roman"/>
          <w:szCs w:val="24"/>
        </w:rPr>
        <w:tab/>
        <w:t xml:space="preserve">Theoretical Framework </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13</w:t>
      </w:r>
    </w:p>
    <w:p w:rsidR="006549BB" w:rsidRDefault="006549BB" w:rsidP="006549BB">
      <w:pPr>
        <w:ind w:left="-180" w:right="-349"/>
        <w:rPr>
          <w:rFonts w:eastAsia="Times New Roman"/>
          <w:szCs w:val="24"/>
        </w:rPr>
      </w:pPr>
      <w:r>
        <w:rPr>
          <w:rFonts w:eastAsia="Times New Roman"/>
          <w:szCs w:val="24"/>
        </w:rPr>
        <w:t>2.3</w:t>
      </w:r>
      <w:r>
        <w:rPr>
          <w:rFonts w:eastAsia="Times New Roman"/>
          <w:szCs w:val="24"/>
        </w:rPr>
        <w:tab/>
        <w:t>Factors contributing to rising building material cost</w:t>
      </w:r>
      <w:r>
        <w:rPr>
          <w:rFonts w:eastAsia="Times New Roman"/>
          <w:szCs w:val="24"/>
        </w:rPr>
        <w:tab/>
      </w:r>
      <w:r>
        <w:rPr>
          <w:rFonts w:eastAsia="Times New Roman"/>
          <w:szCs w:val="24"/>
        </w:rPr>
        <w:tab/>
      </w:r>
      <w:r>
        <w:rPr>
          <w:rFonts w:eastAsia="Times New Roman"/>
          <w:szCs w:val="24"/>
        </w:rPr>
        <w:tab/>
        <w:t>14</w:t>
      </w:r>
    </w:p>
    <w:p w:rsidR="006549BB" w:rsidRDefault="006549BB" w:rsidP="006549BB">
      <w:pPr>
        <w:ind w:left="-180" w:right="-349"/>
        <w:rPr>
          <w:rFonts w:eastAsia="Times New Roman"/>
          <w:szCs w:val="24"/>
        </w:rPr>
      </w:pPr>
      <w:r>
        <w:rPr>
          <w:rFonts w:eastAsia="Times New Roman"/>
          <w:szCs w:val="24"/>
        </w:rPr>
        <w:lastRenderedPageBreak/>
        <w:t>2.4</w:t>
      </w:r>
      <w:r>
        <w:rPr>
          <w:rFonts w:eastAsia="Times New Roman"/>
          <w:szCs w:val="24"/>
        </w:rPr>
        <w:tab/>
        <w:t xml:space="preserve">Impact on property development </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15</w:t>
      </w:r>
    </w:p>
    <w:p w:rsidR="006549BB" w:rsidRDefault="006549BB" w:rsidP="006549BB">
      <w:pPr>
        <w:ind w:left="-180" w:right="-349"/>
        <w:rPr>
          <w:rFonts w:eastAsia="Times New Roman"/>
          <w:szCs w:val="24"/>
        </w:rPr>
      </w:pPr>
      <w:r>
        <w:rPr>
          <w:rFonts w:eastAsia="Times New Roman"/>
          <w:szCs w:val="24"/>
        </w:rPr>
        <w:t>2.5</w:t>
      </w:r>
      <w:r>
        <w:rPr>
          <w:rFonts w:eastAsia="Times New Roman"/>
          <w:szCs w:val="24"/>
        </w:rPr>
        <w:tab/>
        <w:t>Coping strategies and mitigation measures</w:t>
      </w:r>
      <w:r>
        <w:rPr>
          <w:rFonts w:eastAsia="Times New Roman"/>
          <w:szCs w:val="24"/>
        </w:rPr>
        <w:tab/>
      </w:r>
      <w:r>
        <w:rPr>
          <w:rFonts w:eastAsia="Times New Roman"/>
          <w:szCs w:val="24"/>
        </w:rPr>
        <w:tab/>
      </w:r>
      <w:r>
        <w:rPr>
          <w:rFonts w:eastAsia="Times New Roman"/>
          <w:szCs w:val="24"/>
        </w:rPr>
        <w:tab/>
      </w:r>
      <w:r>
        <w:rPr>
          <w:rFonts w:eastAsia="Times New Roman"/>
          <w:szCs w:val="24"/>
        </w:rPr>
        <w:tab/>
        <w:t>16</w:t>
      </w:r>
    </w:p>
    <w:p w:rsidR="006549BB" w:rsidRDefault="006549BB" w:rsidP="006549BB">
      <w:pPr>
        <w:ind w:left="-180" w:right="-349"/>
        <w:rPr>
          <w:rFonts w:eastAsia="Times New Roman"/>
          <w:szCs w:val="24"/>
        </w:rPr>
      </w:pPr>
      <w:r>
        <w:rPr>
          <w:rFonts w:eastAsia="Times New Roman"/>
          <w:szCs w:val="24"/>
        </w:rPr>
        <w:t>2.6</w:t>
      </w:r>
      <w:r>
        <w:rPr>
          <w:rFonts w:eastAsia="Times New Roman"/>
          <w:szCs w:val="24"/>
        </w:rPr>
        <w:tab/>
        <w:t>Regional and Local Context</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17</w:t>
      </w:r>
    </w:p>
    <w:p w:rsidR="006549BB" w:rsidRDefault="006549BB" w:rsidP="006549BB">
      <w:pPr>
        <w:ind w:left="-180" w:right="-349"/>
        <w:rPr>
          <w:rFonts w:eastAsia="Times New Roman"/>
          <w:szCs w:val="24"/>
        </w:rPr>
      </w:pPr>
      <w:r>
        <w:rPr>
          <w:rFonts w:eastAsia="Times New Roman"/>
          <w:szCs w:val="24"/>
        </w:rPr>
        <w:t>2.7</w:t>
      </w:r>
      <w:r>
        <w:rPr>
          <w:rFonts w:eastAsia="Times New Roman"/>
          <w:szCs w:val="24"/>
        </w:rPr>
        <w:tab/>
        <w:t>Knowledge Gaps and Research Opportunities</w:t>
      </w:r>
      <w:r>
        <w:rPr>
          <w:rFonts w:eastAsia="Times New Roman"/>
          <w:szCs w:val="24"/>
        </w:rPr>
        <w:tab/>
      </w:r>
      <w:r>
        <w:rPr>
          <w:rFonts w:eastAsia="Times New Roman"/>
          <w:szCs w:val="24"/>
        </w:rPr>
        <w:tab/>
      </w:r>
      <w:r>
        <w:rPr>
          <w:rFonts w:eastAsia="Times New Roman"/>
          <w:szCs w:val="24"/>
        </w:rPr>
        <w:tab/>
        <w:t>18</w:t>
      </w:r>
    </w:p>
    <w:p w:rsidR="006549BB" w:rsidRDefault="006549BB" w:rsidP="006549BB">
      <w:pPr>
        <w:ind w:left="-180" w:right="-349"/>
        <w:rPr>
          <w:rFonts w:eastAsia="Times New Roman"/>
          <w:szCs w:val="24"/>
        </w:rPr>
      </w:pPr>
      <w:r>
        <w:rPr>
          <w:rFonts w:eastAsia="Times New Roman"/>
          <w:szCs w:val="24"/>
        </w:rPr>
        <w:t>2.8</w:t>
      </w:r>
      <w:r>
        <w:rPr>
          <w:rFonts w:eastAsia="Times New Roman"/>
          <w:szCs w:val="24"/>
        </w:rPr>
        <w:tab/>
        <w:t>Empirical Review</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19</w:t>
      </w:r>
    </w:p>
    <w:p w:rsidR="006549BB" w:rsidRDefault="006549BB" w:rsidP="006549BB">
      <w:pPr>
        <w:tabs>
          <w:tab w:val="left" w:pos="0"/>
        </w:tabs>
        <w:ind w:left="-180" w:right="-349"/>
        <w:rPr>
          <w:rFonts w:eastAsia="Times New Roman"/>
          <w:b/>
          <w:szCs w:val="24"/>
        </w:rPr>
      </w:pPr>
      <w:r>
        <w:rPr>
          <w:rFonts w:eastAsia="Times New Roman"/>
          <w:b/>
          <w:szCs w:val="24"/>
        </w:rPr>
        <w:t>CHAPTER THREE</w:t>
      </w:r>
    </w:p>
    <w:p w:rsidR="006549BB" w:rsidRDefault="006549BB" w:rsidP="006549BB">
      <w:pPr>
        <w:tabs>
          <w:tab w:val="left" w:pos="0"/>
        </w:tabs>
        <w:ind w:left="-180" w:right="-349"/>
        <w:rPr>
          <w:rFonts w:eastAsia="Times New Roman"/>
          <w:szCs w:val="24"/>
        </w:rPr>
      </w:pPr>
      <w:r>
        <w:rPr>
          <w:rFonts w:eastAsia="Times New Roman"/>
          <w:b/>
          <w:szCs w:val="24"/>
        </w:rPr>
        <w:t xml:space="preserve">RESEARCH </w:t>
      </w:r>
      <w:r w:rsidRPr="00E30FA5">
        <w:rPr>
          <w:rFonts w:eastAsia="Times New Roman"/>
          <w:b/>
          <w:szCs w:val="24"/>
        </w:rPr>
        <w:t>METHODOLOGY</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26</w:t>
      </w:r>
    </w:p>
    <w:p w:rsidR="006549BB" w:rsidRDefault="006549BB" w:rsidP="006549BB">
      <w:pPr>
        <w:tabs>
          <w:tab w:val="left" w:pos="0"/>
        </w:tabs>
        <w:ind w:left="-180" w:right="-349"/>
        <w:rPr>
          <w:rFonts w:eastAsia="Times New Roman"/>
          <w:szCs w:val="24"/>
        </w:rPr>
      </w:pPr>
      <w:r>
        <w:rPr>
          <w:rFonts w:eastAsia="Times New Roman"/>
          <w:szCs w:val="24"/>
        </w:rPr>
        <w:t>3.1</w:t>
      </w:r>
      <w:r>
        <w:rPr>
          <w:rFonts w:eastAsia="Times New Roman"/>
          <w:szCs w:val="24"/>
        </w:rPr>
        <w:tab/>
        <w:t>Introduction</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26</w:t>
      </w:r>
    </w:p>
    <w:p w:rsidR="006549BB" w:rsidRDefault="006549BB" w:rsidP="006549BB">
      <w:pPr>
        <w:tabs>
          <w:tab w:val="left" w:pos="0"/>
        </w:tabs>
        <w:ind w:left="-180" w:right="-349"/>
        <w:rPr>
          <w:rFonts w:eastAsia="Times New Roman"/>
          <w:szCs w:val="24"/>
        </w:rPr>
      </w:pPr>
      <w:r>
        <w:rPr>
          <w:rFonts w:eastAsia="Times New Roman"/>
          <w:szCs w:val="24"/>
        </w:rPr>
        <w:t>3.2</w:t>
      </w:r>
      <w:r>
        <w:rPr>
          <w:rFonts w:eastAsia="Times New Roman"/>
          <w:szCs w:val="24"/>
        </w:rPr>
        <w:tab/>
        <w:t>Primary Sources of Data</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26</w:t>
      </w:r>
    </w:p>
    <w:p w:rsidR="006549BB" w:rsidRDefault="006549BB" w:rsidP="006549BB">
      <w:pPr>
        <w:tabs>
          <w:tab w:val="left" w:pos="0"/>
        </w:tabs>
        <w:ind w:left="-180" w:right="-349"/>
        <w:rPr>
          <w:rFonts w:eastAsia="Times New Roman"/>
          <w:szCs w:val="24"/>
        </w:rPr>
      </w:pPr>
      <w:r>
        <w:rPr>
          <w:rFonts w:eastAsia="Times New Roman"/>
          <w:szCs w:val="24"/>
        </w:rPr>
        <w:t>3.3</w:t>
      </w:r>
      <w:r>
        <w:rPr>
          <w:rFonts w:eastAsia="Times New Roman"/>
          <w:szCs w:val="24"/>
        </w:rPr>
        <w:tab/>
        <w:t>Sampling Frame</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29</w:t>
      </w:r>
    </w:p>
    <w:p w:rsidR="006549BB" w:rsidRDefault="006549BB" w:rsidP="006549BB">
      <w:pPr>
        <w:tabs>
          <w:tab w:val="left" w:pos="0"/>
        </w:tabs>
        <w:ind w:left="-180" w:right="-349"/>
        <w:rPr>
          <w:rFonts w:eastAsia="Times New Roman"/>
          <w:szCs w:val="24"/>
        </w:rPr>
      </w:pPr>
      <w:r>
        <w:rPr>
          <w:rFonts w:eastAsia="Times New Roman"/>
          <w:szCs w:val="24"/>
        </w:rPr>
        <w:t>3.3</w:t>
      </w:r>
      <w:r>
        <w:rPr>
          <w:rFonts w:eastAsia="Times New Roman"/>
          <w:szCs w:val="24"/>
        </w:rPr>
        <w:tab/>
        <w:t xml:space="preserve">Sampling Techniques </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31</w:t>
      </w:r>
    </w:p>
    <w:p w:rsidR="006549BB" w:rsidRDefault="006549BB" w:rsidP="006549BB">
      <w:pPr>
        <w:tabs>
          <w:tab w:val="left" w:pos="0"/>
        </w:tabs>
        <w:ind w:left="-180" w:right="-349"/>
        <w:rPr>
          <w:rFonts w:eastAsia="Times New Roman"/>
          <w:b/>
          <w:szCs w:val="24"/>
        </w:rPr>
      </w:pPr>
      <w:r>
        <w:rPr>
          <w:rFonts w:eastAsia="Times New Roman"/>
          <w:b/>
          <w:szCs w:val="24"/>
        </w:rPr>
        <w:t>CHAPTER FOUR</w:t>
      </w:r>
    </w:p>
    <w:p w:rsidR="006549BB" w:rsidRDefault="006549BB" w:rsidP="006549BB">
      <w:pPr>
        <w:tabs>
          <w:tab w:val="left" w:pos="0"/>
        </w:tabs>
        <w:ind w:left="-180" w:right="-349"/>
        <w:rPr>
          <w:rFonts w:eastAsia="Times New Roman"/>
          <w:szCs w:val="24"/>
        </w:rPr>
      </w:pPr>
      <w:r>
        <w:rPr>
          <w:rFonts w:eastAsia="Times New Roman"/>
          <w:b/>
          <w:szCs w:val="24"/>
        </w:rPr>
        <w:t xml:space="preserve">DATA PRESENTATION ANALYSIS </w:t>
      </w:r>
      <w:r w:rsidRPr="00E30FA5">
        <w:rPr>
          <w:rFonts w:eastAsia="Times New Roman"/>
          <w:b/>
          <w:szCs w:val="24"/>
        </w:rPr>
        <w:t xml:space="preserve">AND </w:t>
      </w:r>
      <w:r>
        <w:rPr>
          <w:rFonts w:eastAsia="Times New Roman"/>
          <w:b/>
          <w:szCs w:val="24"/>
        </w:rPr>
        <w:t>INTERPRETATION</w:t>
      </w:r>
      <w:r>
        <w:rPr>
          <w:rFonts w:eastAsia="Times New Roman"/>
          <w:szCs w:val="24"/>
        </w:rPr>
        <w:tab/>
      </w:r>
      <w:r>
        <w:rPr>
          <w:rFonts w:eastAsia="Times New Roman"/>
          <w:szCs w:val="24"/>
        </w:rPr>
        <w:tab/>
      </w:r>
      <w:r>
        <w:rPr>
          <w:rFonts w:eastAsia="Times New Roman"/>
          <w:szCs w:val="24"/>
        </w:rPr>
        <w:tab/>
      </w:r>
    </w:p>
    <w:p w:rsidR="006549BB" w:rsidRDefault="006549BB" w:rsidP="006549BB">
      <w:pPr>
        <w:tabs>
          <w:tab w:val="left" w:pos="0"/>
        </w:tabs>
        <w:ind w:left="-180" w:right="-349"/>
        <w:rPr>
          <w:rFonts w:eastAsia="Times New Roman"/>
          <w:szCs w:val="24"/>
        </w:rPr>
      </w:pPr>
      <w:r>
        <w:rPr>
          <w:rFonts w:eastAsia="Times New Roman"/>
          <w:szCs w:val="24"/>
        </w:rPr>
        <w:t>4.1</w:t>
      </w:r>
      <w:r>
        <w:rPr>
          <w:rFonts w:eastAsia="Times New Roman"/>
          <w:szCs w:val="24"/>
        </w:rPr>
        <w:tab/>
        <w:t>Introduction</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33</w:t>
      </w:r>
    </w:p>
    <w:p w:rsidR="006549BB" w:rsidRDefault="006549BB" w:rsidP="006549BB">
      <w:pPr>
        <w:tabs>
          <w:tab w:val="left" w:pos="0"/>
        </w:tabs>
        <w:ind w:left="-180" w:right="-349"/>
        <w:rPr>
          <w:rFonts w:eastAsia="Times New Roman"/>
          <w:szCs w:val="24"/>
        </w:rPr>
      </w:pPr>
      <w:r>
        <w:rPr>
          <w:rFonts w:eastAsia="Times New Roman"/>
          <w:szCs w:val="24"/>
        </w:rPr>
        <w:t>4.2</w:t>
      </w:r>
      <w:r>
        <w:rPr>
          <w:rFonts w:eastAsia="Times New Roman"/>
          <w:szCs w:val="24"/>
        </w:rPr>
        <w:tab/>
        <w:t>Factor Contributing to the Rising cost of building materials</w:t>
      </w:r>
      <w:r>
        <w:rPr>
          <w:rFonts w:eastAsia="Times New Roman"/>
          <w:szCs w:val="24"/>
        </w:rPr>
        <w:tab/>
      </w:r>
      <w:r>
        <w:rPr>
          <w:rFonts w:eastAsia="Times New Roman"/>
          <w:szCs w:val="24"/>
        </w:rPr>
        <w:tab/>
        <w:t>34</w:t>
      </w:r>
    </w:p>
    <w:p w:rsidR="006549BB" w:rsidRDefault="006549BB" w:rsidP="006549BB">
      <w:pPr>
        <w:tabs>
          <w:tab w:val="left" w:pos="0"/>
        </w:tabs>
        <w:ind w:left="-180" w:right="-349"/>
        <w:rPr>
          <w:rFonts w:eastAsia="Times New Roman"/>
          <w:szCs w:val="24"/>
        </w:rPr>
      </w:pPr>
      <w:r>
        <w:rPr>
          <w:rFonts w:eastAsia="Times New Roman"/>
          <w:szCs w:val="24"/>
        </w:rPr>
        <w:t>4.3</w:t>
      </w:r>
      <w:r>
        <w:rPr>
          <w:rFonts w:eastAsia="Times New Roman"/>
          <w:szCs w:val="24"/>
        </w:rPr>
        <w:tab/>
        <w:t>Impact of rising material costs on property Development</w:t>
      </w:r>
      <w:r>
        <w:rPr>
          <w:rFonts w:eastAsia="Times New Roman"/>
          <w:szCs w:val="24"/>
        </w:rPr>
        <w:tab/>
      </w:r>
      <w:r>
        <w:rPr>
          <w:rFonts w:eastAsia="Times New Roman"/>
          <w:szCs w:val="24"/>
        </w:rPr>
        <w:tab/>
        <w:t>35</w:t>
      </w:r>
    </w:p>
    <w:p w:rsidR="006549BB" w:rsidRDefault="006549BB" w:rsidP="006549BB">
      <w:pPr>
        <w:tabs>
          <w:tab w:val="left" w:pos="0"/>
        </w:tabs>
        <w:ind w:left="-180" w:right="-349"/>
        <w:rPr>
          <w:rFonts w:eastAsia="Times New Roman"/>
          <w:szCs w:val="24"/>
        </w:rPr>
      </w:pPr>
      <w:r>
        <w:rPr>
          <w:rFonts w:eastAsia="Times New Roman"/>
          <w:szCs w:val="24"/>
        </w:rPr>
        <w:t>4.4</w:t>
      </w:r>
      <w:r>
        <w:rPr>
          <w:rFonts w:eastAsia="Times New Roman"/>
          <w:szCs w:val="24"/>
        </w:rPr>
        <w:tab/>
        <w:t>Challenges Faced in project Execution dues to price fluctuation</w:t>
      </w:r>
      <w:r>
        <w:rPr>
          <w:rFonts w:eastAsia="Times New Roman"/>
          <w:szCs w:val="24"/>
        </w:rPr>
        <w:tab/>
        <w:t>36</w:t>
      </w:r>
    </w:p>
    <w:p w:rsidR="006549BB" w:rsidRDefault="006549BB" w:rsidP="006549BB">
      <w:pPr>
        <w:tabs>
          <w:tab w:val="left" w:pos="0"/>
        </w:tabs>
        <w:ind w:left="-180" w:right="-349"/>
        <w:rPr>
          <w:rFonts w:eastAsia="Times New Roman"/>
          <w:szCs w:val="24"/>
        </w:rPr>
      </w:pPr>
      <w:r>
        <w:rPr>
          <w:rFonts w:eastAsia="Times New Roman"/>
          <w:szCs w:val="24"/>
        </w:rPr>
        <w:t>4.5</w:t>
      </w:r>
      <w:r>
        <w:rPr>
          <w:rFonts w:eastAsia="Times New Roman"/>
          <w:szCs w:val="24"/>
        </w:rPr>
        <w:tab/>
        <w:t xml:space="preserve">Extent to which material price fluntuation affects project cost </w:t>
      </w:r>
      <w:r>
        <w:rPr>
          <w:rFonts w:eastAsia="Times New Roman"/>
          <w:szCs w:val="24"/>
        </w:rPr>
        <w:tab/>
        <w:t>37</w:t>
      </w:r>
    </w:p>
    <w:p w:rsidR="006549BB" w:rsidRDefault="006549BB" w:rsidP="006549BB">
      <w:pPr>
        <w:tabs>
          <w:tab w:val="left" w:pos="0"/>
        </w:tabs>
        <w:ind w:left="-180" w:right="-349"/>
        <w:rPr>
          <w:rFonts w:eastAsia="Times New Roman"/>
          <w:szCs w:val="24"/>
        </w:rPr>
      </w:pPr>
      <w:r>
        <w:rPr>
          <w:rFonts w:eastAsia="Times New Roman"/>
          <w:szCs w:val="24"/>
        </w:rPr>
        <w:t>4.6</w:t>
      </w:r>
      <w:r>
        <w:rPr>
          <w:rFonts w:eastAsia="Times New Roman"/>
          <w:szCs w:val="24"/>
        </w:rPr>
        <w:tab/>
        <w:t>Dimension of Quality affected by cost – cutting measures</w:t>
      </w:r>
      <w:r>
        <w:rPr>
          <w:rFonts w:eastAsia="Times New Roman"/>
          <w:szCs w:val="24"/>
        </w:rPr>
        <w:tab/>
      </w:r>
      <w:r>
        <w:rPr>
          <w:rFonts w:eastAsia="Times New Roman"/>
          <w:szCs w:val="24"/>
        </w:rPr>
        <w:tab/>
        <w:t>38</w:t>
      </w:r>
    </w:p>
    <w:p w:rsidR="006549BB" w:rsidRDefault="006549BB" w:rsidP="006549BB">
      <w:pPr>
        <w:tabs>
          <w:tab w:val="left" w:pos="0"/>
        </w:tabs>
        <w:ind w:left="-180" w:right="-349"/>
        <w:rPr>
          <w:rFonts w:eastAsia="Times New Roman"/>
          <w:szCs w:val="24"/>
        </w:rPr>
      </w:pPr>
      <w:r>
        <w:rPr>
          <w:rFonts w:eastAsia="Times New Roman"/>
          <w:szCs w:val="24"/>
        </w:rPr>
        <w:t>4.7</w:t>
      </w:r>
      <w:r>
        <w:rPr>
          <w:rFonts w:eastAsia="Times New Roman"/>
          <w:szCs w:val="24"/>
        </w:rPr>
        <w:tab/>
        <w:t>Implication of High material cost on key project dimension</w:t>
      </w:r>
      <w:r>
        <w:rPr>
          <w:rFonts w:eastAsia="Times New Roman"/>
          <w:szCs w:val="24"/>
        </w:rPr>
        <w:tab/>
      </w:r>
      <w:r>
        <w:rPr>
          <w:rFonts w:eastAsia="Times New Roman"/>
          <w:szCs w:val="24"/>
        </w:rPr>
        <w:tab/>
        <w:t>39</w:t>
      </w:r>
    </w:p>
    <w:p w:rsidR="006549BB" w:rsidRDefault="006549BB" w:rsidP="006549BB">
      <w:pPr>
        <w:tabs>
          <w:tab w:val="left" w:pos="0"/>
        </w:tabs>
        <w:ind w:left="-180" w:right="-349"/>
        <w:rPr>
          <w:rFonts w:eastAsia="Times New Roman"/>
          <w:szCs w:val="24"/>
        </w:rPr>
      </w:pPr>
      <w:r>
        <w:rPr>
          <w:rFonts w:eastAsia="Times New Roman"/>
          <w:szCs w:val="24"/>
        </w:rPr>
        <w:t>4.8</w:t>
      </w:r>
      <w:r>
        <w:rPr>
          <w:rFonts w:eastAsia="Times New Roman"/>
          <w:szCs w:val="24"/>
        </w:rPr>
        <w:tab/>
        <w:t xml:space="preserve">Strategies adopted by Harmony Investment to manage cost </w:t>
      </w:r>
      <w:r>
        <w:rPr>
          <w:rFonts w:eastAsia="Times New Roman"/>
          <w:szCs w:val="24"/>
        </w:rPr>
        <w:tab/>
      </w:r>
      <w:r>
        <w:rPr>
          <w:rFonts w:eastAsia="Times New Roman"/>
          <w:szCs w:val="24"/>
        </w:rPr>
        <w:tab/>
        <w:t>41</w:t>
      </w:r>
    </w:p>
    <w:p w:rsidR="006549BB" w:rsidRDefault="006549BB" w:rsidP="006549BB">
      <w:pPr>
        <w:tabs>
          <w:tab w:val="left" w:pos="0"/>
        </w:tabs>
        <w:ind w:left="-180" w:right="-349"/>
        <w:rPr>
          <w:rFonts w:eastAsia="Times New Roman"/>
          <w:szCs w:val="24"/>
        </w:rPr>
      </w:pPr>
      <w:r>
        <w:rPr>
          <w:rFonts w:eastAsia="Times New Roman"/>
          <w:szCs w:val="24"/>
        </w:rPr>
        <w:lastRenderedPageBreak/>
        <w:t>4.9</w:t>
      </w:r>
      <w:r>
        <w:rPr>
          <w:rFonts w:eastAsia="Times New Roman"/>
          <w:szCs w:val="24"/>
        </w:rPr>
        <w:tab/>
        <w:t>Perceived effectiveness of cost management strategies</w:t>
      </w:r>
      <w:r>
        <w:rPr>
          <w:rFonts w:eastAsia="Times New Roman"/>
          <w:szCs w:val="24"/>
        </w:rPr>
        <w:tab/>
      </w:r>
      <w:r>
        <w:rPr>
          <w:rFonts w:eastAsia="Times New Roman"/>
          <w:szCs w:val="24"/>
        </w:rPr>
        <w:tab/>
        <w:t>42</w:t>
      </w:r>
    </w:p>
    <w:p w:rsidR="006549BB" w:rsidRDefault="006549BB" w:rsidP="006549BB">
      <w:pPr>
        <w:tabs>
          <w:tab w:val="left" w:pos="0"/>
        </w:tabs>
        <w:ind w:left="-180" w:right="-349"/>
        <w:rPr>
          <w:rFonts w:eastAsia="Times New Roman"/>
          <w:b/>
          <w:szCs w:val="24"/>
        </w:rPr>
      </w:pPr>
      <w:r>
        <w:rPr>
          <w:rFonts w:eastAsia="Times New Roman"/>
          <w:b/>
          <w:szCs w:val="24"/>
        </w:rPr>
        <w:t>CHAPTER FIVE</w:t>
      </w:r>
    </w:p>
    <w:p w:rsidR="006549BB" w:rsidRDefault="006549BB" w:rsidP="006549BB">
      <w:pPr>
        <w:tabs>
          <w:tab w:val="left" w:pos="0"/>
        </w:tabs>
        <w:ind w:left="-180" w:right="-349"/>
        <w:rPr>
          <w:rFonts w:eastAsia="Times New Roman"/>
          <w:szCs w:val="24"/>
        </w:rPr>
      </w:pPr>
      <w:r w:rsidRPr="00E30FA5">
        <w:rPr>
          <w:rFonts w:eastAsia="Times New Roman"/>
          <w:b/>
          <w:szCs w:val="24"/>
        </w:rPr>
        <w:t>SUMMARY</w:t>
      </w:r>
      <w:r>
        <w:rPr>
          <w:rFonts w:eastAsia="Times New Roman"/>
          <w:b/>
          <w:szCs w:val="24"/>
        </w:rPr>
        <w:t xml:space="preserve"> OF FINDINGS</w:t>
      </w:r>
      <w:r w:rsidRPr="00E30FA5">
        <w:rPr>
          <w:rFonts w:eastAsia="Times New Roman"/>
          <w:b/>
          <w:szCs w:val="24"/>
        </w:rPr>
        <w:t>, CONCLUSION AND RECOMMENDATIONS</w:t>
      </w:r>
      <w:r>
        <w:rPr>
          <w:rFonts w:eastAsia="Times New Roman"/>
          <w:szCs w:val="24"/>
        </w:rPr>
        <w:tab/>
      </w:r>
      <w:r>
        <w:rPr>
          <w:rFonts w:eastAsia="Times New Roman"/>
          <w:szCs w:val="24"/>
        </w:rPr>
        <w:tab/>
      </w:r>
      <w:r>
        <w:rPr>
          <w:rFonts w:eastAsia="Times New Roman"/>
          <w:szCs w:val="24"/>
        </w:rPr>
        <w:tab/>
      </w:r>
      <w:r>
        <w:rPr>
          <w:rFonts w:eastAsia="Times New Roman"/>
          <w:szCs w:val="24"/>
        </w:rPr>
        <w:tab/>
      </w:r>
    </w:p>
    <w:p w:rsidR="006549BB" w:rsidRDefault="006549BB" w:rsidP="006549BB">
      <w:pPr>
        <w:tabs>
          <w:tab w:val="left" w:pos="0"/>
        </w:tabs>
        <w:ind w:left="-180" w:right="-349"/>
        <w:rPr>
          <w:rFonts w:eastAsia="Times New Roman"/>
          <w:szCs w:val="24"/>
        </w:rPr>
      </w:pPr>
      <w:r>
        <w:rPr>
          <w:rFonts w:eastAsia="Times New Roman"/>
          <w:szCs w:val="24"/>
        </w:rPr>
        <w:t>5.1</w:t>
      </w:r>
      <w:r>
        <w:rPr>
          <w:rFonts w:eastAsia="Times New Roman"/>
          <w:szCs w:val="24"/>
        </w:rPr>
        <w:tab/>
        <w:t xml:space="preserve">Summary of Findings </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44</w:t>
      </w:r>
    </w:p>
    <w:p w:rsidR="006549BB" w:rsidRDefault="006549BB" w:rsidP="006549BB">
      <w:pPr>
        <w:tabs>
          <w:tab w:val="left" w:pos="0"/>
        </w:tabs>
        <w:ind w:left="-180" w:right="-349"/>
        <w:rPr>
          <w:rFonts w:eastAsia="Times New Roman"/>
          <w:szCs w:val="24"/>
        </w:rPr>
      </w:pPr>
      <w:r>
        <w:rPr>
          <w:rFonts w:eastAsia="Times New Roman"/>
          <w:szCs w:val="24"/>
        </w:rPr>
        <w:t>5.2</w:t>
      </w:r>
      <w:r>
        <w:rPr>
          <w:rFonts w:eastAsia="Times New Roman"/>
          <w:szCs w:val="24"/>
        </w:rPr>
        <w:tab/>
        <w:t>Conclusion</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45</w:t>
      </w:r>
    </w:p>
    <w:p w:rsidR="006549BB" w:rsidRDefault="006549BB" w:rsidP="006549BB">
      <w:pPr>
        <w:tabs>
          <w:tab w:val="left" w:pos="0"/>
        </w:tabs>
        <w:ind w:left="-180" w:right="-349"/>
        <w:rPr>
          <w:rFonts w:eastAsia="Times New Roman"/>
          <w:szCs w:val="24"/>
        </w:rPr>
      </w:pPr>
      <w:r>
        <w:rPr>
          <w:rFonts w:eastAsia="Times New Roman"/>
          <w:szCs w:val="24"/>
        </w:rPr>
        <w:t>5.3</w:t>
      </w:r>
      <w:r>
        <w:rPr>
          <w:rFonts w:eastAsia="Times New Roman"/>
          <w:szCs w:val="24"/>
        </w:rPr>
        <w:tab/>
        <w:t>Recommendations</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45</w:t>
      </w:r>
    </w:p>
    <w:p w:rsidR="006549BB" w:rsidRDefault="006549BB" w:rsidP="006549BB">
      <w:pPr>
        <w:ind w:left="-180" w:right="-349" w:firstLine="900"/>
        <w:rPr>
          <w:rFonts w:eastAsia="Times New Roman"/>
          <w:szCs w:val="24"/>
        </w:rPr>
      </w:pPr>
      <w:r>
        <w:rPr>
          <w:rFonts w:eastAsia="Times New Roman"/>
          <w:szCs w:val="24"/>
        </w:rPr>
        <w:t>References</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48</w:t>
      </w:r>
    </w:p>
    <w:p w:rsidR="006549BB" w:rsidRDefault="006549BB" w:rsidP="006549BB">
      <w:pPr>
        <w:spacing w:line="480" w:lineRule="auto"/>
        <w:ind w:left="-180" w:right="-349" w:firstLine="900"/>
        <w:rPr>
          <w:rFonts w:eastAsia="Times New Roman"/>
          <w:szCs w:val="24"/>
        </w:rPr>
      </w:pPr>
    </w:p>
    <w:p w:rsidR="006549BB" w:rsidRDefault="006549BB" w:rsidP="006549BB">
      <w:pPr>
        <w:spacing w:line="480" w:lineRule="auto"/>
        <w:ind w:left="-180" w:right="-349" w:firstLine="900"/>
        <w:rPr>
          <w:rFonts w:eastAsia="Times New Roman"/>
          <w:szCs w:val="24"/>
        </w:rPr>
      </w:pPr>
    </w:p>
    <w:p w:rsidR="006549BB" w:rsidRDefault="006549BB" w:rsidP="006549BB">
      <w:pPr>
        <w:spacing w:line="480" w:lineRule="auto"/>
        <w:ind w:left="-180" w:right="-349" w:firstLine="900"/>
        <w:rPr>
          <w:rFonts w:eastAsia="Times New Roman"/>
          <w:szCs w:val="24"/>
        </w:rPr>
      </w:pPr>
    </w:p>
    <w:p w:rsidR="006549BB" w:rsidRDefault="006549BB" w:rsidP="006549BB">
      <w:pPr>
        <w:spacing w:line="480" w:lineRule="auto"/>
        <w:ind w:left="-180" w:right="-349" w:firstLine="900"/>
        <w:rPr>
          <w:rFonts w:eastAsia="Times New Roman"/>
          <w:szCs w:val="24"/>
        </w:rPr>
      </w:pPr>
    </w:p>
    <w:p w:rsidR="006549BB" w:rsidRDefault="006549BB" w:rsidP="006549BB">
      <w:pPr>
        <w:spacing w:line="480" w:lineRule="auto"/>
        <w:ind w:left="-180" w:right="-349" w:firstLine="900"/>
        <w:rPr>
          <w:rFonts w:eastAsia="Times New Roman"/>
          <w:szCs w:val="24"/>
        </w:rPr>
      </w:pPr>
    </w:p>
    <w:p w:rsidR="006549BB" w:rsidRDefault="006549BB" w:rsidP="006549BB">
      <w:pPr>
        <w:spacing w:line="480" w:lineRule="auto"/>
        <w:ind w:left="-180" w:right="-349" w:firstLine="900"/>
        <w:rPr>
          <w:rFonts w:eastAsia="Times New Roman"/>
          <w:szCs w:val="24"/>
        </w:rPr>
      </w:pPr>
    </w:p>
    <w:p w:rsidR="006549BB" w:rsidRDefault="006549BB" w:rsidP="006549BB">
      <w:pPr>
        <w:spacing w:line="480" w:lineRule="auto"/>
        <w:ind w:left="-180" w:right="-349" w:firstLine="900"/>
        <w:rPr>
          <w:rFonts w:eastAsia="Times New Roman"/>
          <w:szCs w:val="24"/>
        </w:rPr>
      </w:pPr>
    </w:p>
    <w:p w:rsidR="006549BB" w:rsidRDefault="006549BB" w:rsidP="006549BB">
      <w:pPr>
        <w:spacing w:line="480" w:lineRule="auto"/>
        <w:ind w:left="-180" w:right="-349" w:firstLine="900"/>
        <w:rPr>
          <w:rFonts w:eastAsia="Times New Roman"/>
          <w:szCs w:val="24"/>
        </w:rPr>
      </w:pPr>
    </w:p>
    <w:p w:rsidR="006549BB" w:rsidRDefault="006549BB" w:rsidP="006549BB">
      <w:pPr>
        <w:spacing w:line="480" w:lineRule="auto"/>
        <w:ind w:left="-180" w:right="-349" w:firstLine="900"/>
        <w:rPr>
          <w:rFonts w:eastAsia="Times New Roman"/>
          <w:szCs w:val="24"/>
        </w:rPr>
      </w:pPr>
    </w:p>
    <w:p w:rsidR="006549BB" w:rsidRDefault="006549BB" w:rsidP="006549BB">
      <w:pPr>
        <w:spacing w:line="480" w:lineRule="auto"/>
        <w:ind w:left="-180" w:right="-349" w:firstLine="900"/>
        <w:rPr>
          <w:rFonts w:eastAsia="Times New Roman"/>
          <w:szCs w:val="24"/>
        </w:rPr>
      </w:pPr>
    </w:p>
    <w:p w:rsidR="006549BB" w:rsidRDefault="006549BB" w:rsidP="006549BB">
      <w:pPr>
        <w:spacing w:line="480" w:lineRule="auto"/>
        <w:ind w:right="-349"/>
        <w:rPr>
          <w:rFonts w:eastAsia="Times New Roman"/>
          <w:b/>
          <w:szCs w:val="24"/>
        </w:rPr>
      </w:pPr>
    </w:p>
    <w:p w:rsidR="006549BB" w:rsidRDefault="006549BB" w:rsidP="006549BB">
      <w:pPr>
        <w:spacing w:line="480" w:lineRule="auto"/>
        <w:ind w:right="-349"/>
        <w:jc w:val="center"/>
        <w:rPr>
          <w:rFonts w:eastAsia="Times New Roman"/>
          <w:b/>
          <w:szCs w:val="24"/>
        </w:rPr>
      </w:pPr>
      <w:r w:rsidRPr="007419C4">
        <w:rPr>
          <w:rFonts w:eastAsia="Times New Roman"/>
          <w:b/>
          <w:szCs w:val="24"/>
        </w:rPr>
        <w:lastRenderedPageBreak/>
        <w:t>LIST OF TABLE</w:t>
      </w:r>
    </w:p>
    <w:p w:rsidR="006549BB" w:rsidRDefault="006549BB" w:rsidP="006549BB">
      <w:pPr>
        <w:spacing w:line="480" w:lineRule="auto"/>
        <w:ind w:right="-349"/>
        <w:rPr>
          <w:rFonts w:eastAsia="Times New Roman"/>
          <w:szCs w:val="24"/>
        </w:rPr>
      </w:pPr>
      <w:r>
        <w:rPr>
          <w:rFonts w:eastAsia="Times New Roman"/>
          <w:szCs w:val="24"/>
        </w:rPr>
        <w:t>4.1</w:t>
      </w:r>
      <w:r>
        <w:rPr>
          <w:rFonts w:eastAsia="Times New Roman"/>
          <w:szCs w:val="24"/>
        </w:rPr>
        <w:tab/>
        <w:t>Factors contributing to the rising cost of materials</w:t>
      </w:r>
      <w:r>
        <w:rPr>
          <w:rFonts w:eastAsia="Times New Roman"/>
          <w:szCs w:val="24"/>
        </w:rPr>
        <w:tab/>
      </w:r>
      <w:r>
        <w:rPr>
          <w:rFonts w:eastAsia="Times New Roman"/>
          <w:szCs w:val="24"/>
        </w:rPr>
        <w:tab/>
      </w:r>
      <w:r>
        <w:rPr>
          <w:rFonts w:eastAsia="Times New Roman"/>
          <w:szCs w:val="24"/>
        </w:rPr>
        <w:tab/>
      </w:r>
      <w:r>
        <w:rPr>
          <w:rFonts w:eastAsia="Times New Roman"/>
          <w:szCs w:val="24"/>
        </w:rPr>
        <w:tab/>
        <w:t>35</w:t>
      </w:r>
    </w:p>
    <w:p w:rsidR="006549BB" w:rsidRDefault="006549BB" w:rsidP="006549BB">
      <w:pPr>
        <w:spacing w:line="480" w:lineRule="auto"/>
        <w:ind w:right="-349"/>
        <w:rPr>
          <w:rFonts w:eastAsia="Times New Roman"/>
          <w:szCs w:val="24"/>
        </w:rPr>
      </w:pPr>
      <w:r>
        <w:rPr>
          <w:rFonts w:eastAsia="Times New Roman"/>
          <w:szCs w:val="24"/>
        </w:rPr>
        <w:t>4.2</w:t>
      </w:r>
      <w:r>
        <w:rPr>
          <w:rFonts w:eastAsia="Times New Roman"/>
          <w:szCs w:val="24"/>
        </w:rPr>
        <w:tab/>
        <w:t>Impact of rising material cost on property development</w:t>
      </w:r>
      <w:r>
        <w:rPr>
          <w:rFonts w:eastAsia="Times New Roman"/>
          <w:szCs w:val="24"/>
        </w:rPr>
        <w:tab/>
      </w:r>
      <w:r>
        <w:rPr>
          <w:rFonts w:eastAsia="Times New Roman"/>
          <w:szCs w:val="24"/>
        </w:rPr>
        <w:tab/>
      </w:r>
      <w:r>
        <w:rPr>
          <w:rFonts w:eastAsia="Times New Roman"/>
          <w:szCs w:val="24"/>
        </w:rPr>
        <w:tab/>
        <w:t>36</w:t>
      </w:r>
    </w:p>
    <w:p w:rsidR="006549BB" w:rsidRDefault="006549BB" w:rsidP="006549BB">
      <w:pPr>
        <w:spacing w:line="480" w:lineRule="auto"/>
        <w:ind w:right="-349"/>
        <w:rPr>
          <w:rFonts w:eastAsia="Times New Roman"/>
          <w:szCs w:val="24"/>
        </w:rPr>
      </w:pPr>
      <w:r>
        <w:rPr>
          <w:rFonts w:eastAsia="Times New Roman"/>
          <w:szCs w:val="24"/>
        </w:rPr>
        <w:t>4.3</w:t>
      </w:r>
      <w:r>
        <w:rPr>
          <w:rFonts w:eastAsia="Times New Roman"/>
          <w:szCs w:val="24"/>
        </w:rPr>
        <w:tab/>
        <w:t>Challenges faced in project execution due to price fluntuation</w:t>
      </w:r>
      <w:r>
        <w:rPr>
          <w:rFonts w:eastAsia="Times New Roman"/>
          <w:szCs w:val="24"/>
        </w:rPr>
        <w:tab/>
      </w:r>
      <w:r>
        <w:rPr>
          <w:rFonts w:eastAsia="Times New Roman"/>
          <w:szCs w:val="24"/>
        </w:rPr>
        <w:tab/>
        <w:t>37</w:t>
      </w:r>
    </w:p>
    <w:p w:rsidR="006549BB" w:rsidRDefault="006549BB" w:rsidP="006549BB">
      <w:pPr>
        <w:spacing w:line="480" w:lineRule="auto"/>
        <w:ind w:right="-349"/>
        <w:rPr>
          <w:rFonts w:eastAsia="Times New Roman"/>
          <w:szCs w:val="24"/>
        </w:rPr>
      </w:pPr>
      <w:r>
        <w:rPr>
          <w:rFonts w:eastAsia="Times New Roman"/>
          <w:szCs w:val="24"/>
        </w:rPr>
        <w:t>4.4</w:t>
      </w:r>
      <w:r>
        <w:rPr>
          <w:rFonts w:eastAsia="Times New Roman"/>
          <w:szCs w:val="24"/>
        </w:rPr>
        <w:tab/>
        <w:t>Extent to which material price fluntuation affects project cost</w:t>
      </w:r>
      <w:r>
        <w:rPr>
          <w:rFonts w:eastAsia="Times New Roman"/>
          <w:szCs w:val="24"/>
        </w:rPr>
        <w:tab/>
      </w:r>
      <w:r>
        <w:rPr>
          <w:rFonts w:eastAsia="Times New Roman"/>
          <w:szCs w:val="24"/>
        </w:rPr>
        <w:tab/>
        <w:t>38</w:t>
      </w:r>
    </w:p>
    <w:p w:rsidR="006549BB" w:rsidRDefault="006549BB" w:rsidP="006549BB">
      <w:pPr>
        <w:spacing w:line="480" w:lineRule="auto"/>
        <w:ind w:right="-349"/>
        <w:rPr>
          <w:rFonts w:eastAsia="Times New Roman"/>
          <w:szCs w:val="24"/>
        </w:rPr>
      </w:pPr>
      <w:r>
        <w:rPr>
          <w:rFonts w:eastAsia="Times New Roman"/>
          <w:szCs w:val="24"/>
        </w:rPr>
        <w:t>4.5</w:t>
      </w:r>
      <w:r>
        <w:rPr>
          <w:rFonts w:eastAsia="Times New Roman"/>
          <w:szCs w:val="24"/>
        </w:rPr>
        <w:tab/>
        <w:t>Dimension of Quality affected by cost – cutting measures</w:t>
      </w:r>
      <w:r>
        <w:rPr>
          <w:rFonts w:eastAsia="Times New Roman"/>
          <w:szCs w:val="24"/>
        </w:rPr>
        <w:tab/>
      </w:r>
      <w:r>
        <w:rPr>
          <w:rFonts w:eastAsia="Times New Roman"/>
          <w:szCs w:val="24"/>
        </w:rPr>
        <w:tab/>
      </w:r>
      <w:r>
        <w:rPr>
          <w:rFonts w:eastAsia="Times New Roman"/>
          <w:szCs w:val="24"/>
        </w:rPr>
        <w:tab/>
        <w:t>39</w:t>
      </w:r>
    </w:p>
    <w:p w:rsidR="006549BB" w:rsidRDefault="006549BB" w:rsidP="006549BB">
      <w:pPr>
        <w:spacing w:line="480" w:lineRule="auto"/>
        <w:ind w:right="-349"/>
        <w:rPr>
          <w:rFonts w:eastAsia="Times New Roman"/>
          <w:szCs w:val="24"/>
        </w:rPr>
      </w:pPr>
      <w:r>
        <w:rPr>
          <w:rFonts w:eastAsia="Times New Roman"/>
          <w:szCs w:val="24"/>
        </w:rPr>
        <w:t>4.6</w:t>
      </w:r>
      <w:r>
        <w:rPr>
          <w:rFonts w:eastAsia="Times New Roman"/>
          <w:szCs w:val="24"/>
        </w:rPr>
        <w:tab/>
        <w:t>Implication of High material cost on key project dimension</w:t>
      </w:r>
      <w:r>
        <w:rPr>
          <w:rFonts w:eastAsia="Times New Roman"/>
          <w:szCs w:val="24"/>
        </w:rPr>
        <w:tab/>
      </w:r>
      <w:r>
        <w:rPr>
          <w:rFonts w:eastAsia="Times New Roman"/>
          <w:szCs w:val="24"/>
        </w:rPr>
        <w:tab/>
      </w:r>
      <w:r>
        <w:rPr>
          <w:rFonts w:eastAsia="Times New Roman"/>
          <w:szCs w:val="24"/>
        </w:rPr>
        <w:tab/>
        <w:t>40</w:t>
      </w:r>
    </w:p>
    <w:p w:rsidR="006549BB" w:rsidRDefault="006549BB" w:rsidP="006549BB">
      <w:pPr>
        <w:spacing w:line="480" w:lineRule="auto"/>
        <w:ind w:right="-349"/>
        <w:rPr>
          <w:rFonts w:eastAsia="Times New Roman"/>
          <w:szCs w:val="24"/>
        </w:rPr>
      </w:pPr>
      <w:r>
        <w:rPr>
          <w:rFonts w:eastAsia="Times New Roman"/>
          <w:szCs w:val="24"/>
        </w:rPr>
        <w:t>4.7</w:t>
      </w:r>
      <w:r>
        <w:rPr>
          <w:rFonts w:eastAsia="Times New Roman"/>
          <w:szCs w:val="24"/>
        </w:rPr>
        <w:tab/>
        <w:t>Strategies adopted by Harmony Investment to manage cost</w:t>
      </w:r>
      <w:r>
        <w:rPr>
          <w:rFonts w:eastAsia="Times New Roman"/>
          <w:szCs w:val="24"/>
        </w:rPr>
        <w:tab/>
      </w:r>
      <w:r>
        <w:rPr>
          <w:rFonts w:eastAsia="Times New Roman"/>
          <w:szCs w:val="24"/>
        </w:rPr>
        <w:tab/>
      </w:r>
      <w:r>
        <w:rPr>
          <w:rFonts w:eastAsia="Times New Roman"/>
          <w:szCs w:val="24"/>
        </w:rPr>
        <w:tab/>
        <w:t>42</w:t>
      </w:r>
    </w:p>
    <w:p w:rsidR="006549BB" w:rsidRPr="007419C4" w:rsidRDefault="006549BB" w:rsidP="006549BB">
      <w:pPr>
        <w:spacing w:line="480" w:lineRule="auto"/>
        <w:ind w:right="-349"/>
        <w:rPr>
          <w:rFonts w:eastAsia="Times New Roman"/>
          <w:szCs w:val="24"/>
        </w:rPr>
      </w:pPr>
      <w:r>
        <w:rPr>
          <w:rFonts w:eastAsia="Times New Roman"/>
          <w:szCs w:val="24"/>
        </w:rPr>
        <w:t>4.8</w:t>
      </w:r>
      <w:r>
        <w:rPr>
          <w:rFonts w:eastAsia="Times New Roman"/>
          <w:szCs w:val="24"/>
        </w:rPr>
        <w:tab/>
        <w:t>Perceived effectiveness of cost management strategies</w:t>
      </w:r>
      <w:r>
        <w:rPr>
          <w:rFonts w:eastAsia="Times New Roman"/>
          <w:szCs w:val="24"/>
        </w:rPr>
        <w:tab/>
      </w:r>
      <w:r>
        <w:rPr>
          <w:rFonts w:eastAsia="Times New Roman"/>
          <w:szCs w:val="24"/>
        </w:rPr>
        <w:tab/>
      </w:r>
      <w:r>
        <w:rPr>
          <w:rFonts w:eastAsia="Times New Roman"/>
          <w:szCs w:val="24"/>
        </w:rPr>
        <w:tab/>
        <w:t>43</w:t>
      </w:r>
    </w:p>
    <w:p w:rsidR="006549BB" w:rsidRDefault="006549BB" w:rsidP="006549BB">
      <w:pPr>
        <w:spacing w:line="276" w:lineRule="auto"/>
        <w:jc w:val="center"/>
      </w:pPr>
      <w:r w:rsidRPr="00CA40BF">
        <w:rPr>
          <w:rFonts w:eastAsia="Times New Roman" w:cs="Times New Roman"/>
          <w:b/>
          <w:bCs/>
          <w:szCs w:val="24"/>
        </w:rPr>
        <w:br w:type="page"/>
      </w:r>
    </w:p>
    <w:p w:rsidR="00EE6D6D" w:rsidRPr="00CA40BF" w:rsidRDefault="00EE6D6D" w:rsidP="009D35E8">
      <w:pPr>
        <w:spacing w:before="100" w:beforeAutospacing="1" w:after="100" w:afterAutospacing="1"/>
        <w:jc w:val="center"/>
        <w:outlineLvl w:val="2"/>
        <w:rPr>
          <w:rFonts w:eastAsia="Times New Roman" w:cs="Times New Roman"/>
          <w:b/>
          <w:bCs/>
          <w:szCs w:val="24"/>
        </w:rPr>
      </w:pPr>
      <w:r w:rsidRPr="00CA40BF">
        <w:rPr>
          <w:rFonts w:eastAsia="Times New Roman" w:cs="Times New Roman"/>
          <w:b/>
          <w:bCs/>
          <w:szCs w:val="24"/>
        </w:rPr>
        <w:lastRenderedPageBreak/>
        <w:t>CHAPTER ONE</w:t>
      </w:r>
    </w:p>
    <w:p w:rsidR="00EE6D6D" w:rsidRPr="00CA40BF" w:rsidRDefault="00EE6D6D" w:rsidP="009D35E8">
      <w:pPr>
        <w:spacing w:before="100" w:beforeAutospacing="1" w:after="100" w:afterAutospacing="1"/>
        <w:outlineLvl w:val="3"/>
        <w:rPr>
          <w:rFonts w:eastAsia="Times New Roman" w:cs="Times New Roman"/>
          <w:b/>
          <w:bCs/>
          <w:szCs w:val="24"/>
        </w:rPr>
      </w:pPr>
      <w:r w:rsidRPr="00CA40BF">
        <w:rPr>
          <w:rFonts w:eastAsia="Times New Roman" w:cs="Times New Roman"/>
          <w:b/>
          <w:bCs/>
          <w:szCs w:val="24"/>
        </w:rPr>
        <w:t xml:space="preserve">1.1 Introduction </w:t>
      </w:r>
    </w:p>
    <w:p w:rsidR="00EE6D6D" w:rsidRPr="00CA40BF" w:rsidRDefault="00EE6D6D" w:rsidP="009D35E8">
      <w:pPr>
        <w:spacing w:before="100" w:beforeAutospacing="1" w:after="100" w:afterAutospacing="1"/>
        <w:rPr>
          <w:rFonts w:eastAsia="Times New Roman" w:cs="Times New Roman"/>
          <w:szCs w:val="24"/>
        </w:rPr>
      </w:pPr>
      <w:r w:rsidRPr="00CA40BF">
        <w:rPr>
          <w:rFonts w:eastAsia="Times New Roman" w:cs="Times New Roman"/>
          <w:szCs w:val="24"/>
        </w:rPr>
        <w:t>The construction industry plays a critical role in the socio-economic development of any nation. It is not only a major contributor to national Gross Domestic Product (GDP) but also a significant employer of labor and a catalyst for infrastructural development (Oladapo</w:t>
      </w:r>
      <w:r w:rsidR="009D35E8">
        <w:rPr>
          <w:rFonts w:eastAsia="Times New Roman" w:cs="Times New Roman"/>
          <w:szCs w:val="24"/>
        </w:rPr>
        <w:t xml:space="preserve"> </w:t>
      </w:r>
      <w:r w:rsidRPr="00CA40BF">
        <w:rPr>
          <w:rFonts w:eastAsia="Times New Roman" w:cs="Times New Roman"/>
          <w:szCs w:val="24"/>
        </w:rPr>
        <w:t>&amp;</w:t>
      </w:r>
      <w:r w:rsidR="009D35E8">
        <w:rPr>
          <w:rFonts w:eastAsia="Times New Roman" w:cs="Times New Roman"/>
          <w:szCs w:val="24"/>
        </w:rPr>
        <w:t xml:space="preserve"> </w:t>
      </w:r>
      <w:r w:rsidRPr="00CA40BF">
        <w:rPr>
          <w:rFonts w:eastAsia="Times New Roman" w:cs="Times New Roman"/>
          <w:szCs w:val="24"/>
        </w:rPr>
        <w:t>Onabanjo, 2020). In Nigeria, the real estate and construction sectors are pivotal to meeting the housing needs of a rapidly growing population. However, the increasing cost of building materials has become a significant challenge affecting property development across the country. This trend has implications for housing affordability, investment feasibility, and the overall pace of infrastructural growth.</w:t>
      </w:r>
    </w:p>
    <w:p w:rsidR="00EE6D6D" w:rsidRPr="00CA40BF" w:rsidRDefault="00EE6D6D" w:rsidP="009D35E8">
      <w:pPr>
        <w:spacing w:before="100" w:beforeAutospacing="1" w:after="100" w:afterAutospacing="1"/>
        <w:rPr>
          <w:rFonts w:eastAsia="Times New Roman" w:cs="Times New Roman"/>
          <w:szCs w:val="24"/>
        </w:rPr>
      </w:pPr>
      <w:r w:rsidRPr="00CA40BF">
        <w:rPr>
          <w:rFonts w:eastAsia="Times New Roman" w:cs="Times New Roman"/>
          <w:szCs w:val="24"/>
        </w:rPr>
        <w:t>Building materials constitute a substantial proportion of the total cost of construction, often accounting for more than 60 percent of the entire project expenditure (Babatunde, 2018). These materials include cement, steel, sand, roofing sheets, paints, plumbing materials, doors, and finishing items, all of which are subject to fluctuations in global and local markets. Several factors influence the cost of these materials in Nigeria, including inflation, exchange rate volatility, import dependency, government policies, transportation challenges, and supply chain disruptions (Adenuga et al., 2021). In particular, the heavy reliance on imported materials, especially in the face of a weakening Naira, has contributed to steep price increases over the years.</w:t>
      </w:r>
    </w:p>
    <w:p w:rsidR="00EE6D6D" w:rsidRPr="00CA40BF" w:rsidRDefault="00EE6D6D" w:rsidP="009D35E8">
      <w:pPr>
        <w:spacing w:before="100" w:beforeAutospacing="1" w:after="100" w:afterAutospacing="1"/>
        <w:rPr>
          <w:rFonts w:eastAsia="Times New Roman" w:cs="Times New Roman"/>
          <w:szCs w:val="24"/>
        </w:rPr>
      </w:pPr>
      <w:r w:rsidRPr="00CA40BF">
        <w:rPr>
          <w:rFonts w:eastAsia="Times New Roman" w:cs="Times New Roman"/>
          <w:szCs w:val="24"/>
        </w:rPr>
        <w:t>Property developers, both in the public and private sectors, are increasingly finding it difficult to deliver quality housing projects within budget due to the rising cost of materials. This has led to several consequences, such as the abandonment of projects, reduction in building quality, delays in project completion, and higher market prices for completed properties (Ogunsemi&amp;Jagboro, 2020). Consequently, the cost burden is often transferred to the end-users, thereby reducing affordability and widening the housing deficit in urban centers like Ilorin.</w:t>
      </w:r>
    </w:p>
    <w:p w:rsidR="00EE6D6D" w:rsidRPr="00CA40BF" w:rsidRDefault="00EE6D6D" w:rsidP="009D35E8">
      <w:pPr>
        <w:spacing w:before="100" w:beforeAutospacing="1" w:after="100" w:afterAutospacing="1"/>
        <w:rPr>
          <w:rFonts w:eastAsia="Times New Roman" w:cs="Times New Roman"/>
          <w:szCs w:val="24"/>
        </w:rPr>
      </w:pPr>
      <w:r w:rsidRPr="00CA40BF">
        <w:rPr>
          <w:rFonts w:eastAsia="Times New Roman" w:cs="Times New Roman"/>
          <w:szCs w:val="24"/>
        </w:rPr>
        <w:t xml:space="preserve">Ilorin, the capital of Kwara State, has witnessed substantial urban growth in recent decades. With this growth comes an increasing demand for residential, commercial, and institutional properties. Harmony Investment and Property Development Company, a key player in the real estate sector </w:t>
      </w:r>
      <w:r w:rsidRPr="00CA40BF">
        <w:rPr>
          <w:rFonts w:eastAsia="Times New Roman" w:cs="Times New Roman"/>
          <w:szCs w:val="24"/>
        </w:rPr>
        <w:lastRenderedPageBreak/>
        <w:t>of the state, has embarked on various housing and infrastructural projects aimed at improving the urban landscape and catering to housing needs. However, like many other developers in Nigeria, the company faces significant cost-related challenges that hinder timely and cost-effective project delivery.</w:t>
      </w:r>
    </w:p>
    <w:p w:rsidR="00EE6D6D" w:rsidRPr="00CA40BF" w:rsidRDefault="00EE6D6D" w:rsidP="009D35E8">
      <w:pPr>
        <w:spacing w:before="100" w:beforeAutospacing="1" w:after="100" w:afterAutospacing="1"/>
        <w:rPr>
          <w:rFonts w:eastAsia="Times New Roman" w:cs="Times New Roman"/>
          <w:szCs w:val="24"/>
        </w:rPr>
      </w:pPr>
      <w:r w:rsidRPr="00CA40BF">
        <w:rPr>
          <w:rFonts w:eastAsia="Times New Roman" w:cs="Times New Roman"/>
          <w:szCs w:val="24"/>
        </w:rPr>
        <w:t>The rising cost of building materials is not just a financial concern but a developmental one. It influences the decision-making processes of developers, investors, and policymakers. For instance, when material costs rise beyond projected budgets, developers may reduce the scope of projects or compromise on the quality of materials to stay within cost limits. This often results in substandard buildings that are less durable and potentially hazardous. Furthermore, investors may shy away from the real estate market due to diminished returns on investment, thereby stalling economic growth and exacerbating housing shortages.</w:t>
      </w:r>
    </w:p>
    <w:p w:rsidR="00EE6D6D" w:rsidRPr="00CA40BF" w:rsidRDefault="00EE6D6D" w:rsidP="009D35E8">
      <w:pPr>
        <w:spacing w:before="100" w:beforeAutospacing="1" w:after="100" w:afterAutospacing="1"/>
        <w:rPr>
          <w:rFonts w:eastAsia="Times New Roman" w:cs="Times New Roman"/>
          <w:szCs w:val="24"/>
        </w:rPr>
      </w:pPr>
      <w:r w:rsidRPr="00CA40BF">
        <w:rPr>
          <w:rFonts w:eastAsia="Times New Roman" w:cs="Times New Roman"/>
          <w:szCs w:val="24"/>
        </w:rPr>
        <w:t>Several studies have explored cost management in the construction sector, but few have narrowed their focus specifically on the impact of rising building material costs on property development within a local context (Afolabi et al., 2020). This study is unique in its focus on Harmony Investment and Property Development Company, offering localized insights into the challenges and coping strategies of a major real estate firm in Ilorin. By narrowing the scope to a specific case study, this research intends to provide more actionable findings that could inform better project planning, budgeting, and material sourcing strategies in Kwara State and similar contexts.</w:t>
      </w:r>
    </w:p>
    <w:p w:rsidR="00EE6D6D" w:rsidRPr="00CA40BF" w:rsidRDefault="00EE6D6D" w:rsidP="009D35E8">
      <w:pPr>
        <w:spacing w:before="100" w:beforeAutospacing="1" w:after="100" w:afterAutospacing="1"/>
        <w:rPr>
          <w:rFonts w:eastAsia="Times New Roman" w:cs="Times New Roman"/>
          <w:szCs w:val="24"/>
        </w:rPr>
      </w:pPr>
      <w:r w:rsidRPr="00CA40BF">
        <w:rPr>
          <w:rFonts w:eastAsia="Times New Roman" w:cs="Times New Roman"/>
          <w:szCs w:val="24"/>
        </w:rPr>
        <w:t>Additionally, the COVID-19 pandemic and subsequent economic disruptions further exposed the vulnerability of the Nigerian construction industry to global supply chain issues and price instability. Restrictions in the movement of goods and raw materials during lockdowns, coupled with increased demand for construction as part of post-pandemic recovery efforts, created a supply-demand imbalance that further escalated material costs (Ekpo&amp;Nwosu, 2021). In response, some developers have turned to locally sourced materials as a cost-saving strategy, although concerns about quality and standardization persist.</w:t>
      </w:r>
    </w:p>
    <w:p w:rsidR="00EE6D6D" w:rsidRPr="00CA40BF" w:rsidRDefault="00EE6D6D" w:rsidP="009D35E8">
      <w:pPr>
        <w:spacing w:before="100" w:beforeAutospacing="1" w:after="100" w:afterAutospacing="1"/>
        <w:rPr>
          <w:rFonts w:eastAsia="Times New Roman" w:cs="Times New Roman"/>
          <w:szCs w:val="24"/>
        </w:rPr>
      </w:pPr>
      <w:r w:rsidRPr="00CA40BF">
        <w:rPr>
          <w:rFonts w:eastAsia="Times New Roman" w:cs="Times New Roman"/>
          <w:szCs w:val="24"/>
        </w:rPr>
        <w:t xml:space="preserve">Governmental policies also play a crucial role in either mitigating or exacerbating cost issues. Import tariffs, value-added taxes, fuel subsidy removals, and inconsistent regulatory frameworks </w:t>
      </w:r>
      <w:r w:rsidRPr="00CA40BF">
        <w:rPr>
          <w:rFonts w:eastAsia="Times New Roman" w:cs="Times New Roman"/>
          <w:szCs w:val="24"/>
        </w:rPr>
        <w:lastRenderedPageBreak/>
        <w:t>have all contributed to cost volatility in the construction sector. There is a growing need for coordinated policy responses that promote local production of building materials, improve infrastructure for transportation, and stabilize the macroeconomic environment (Nduka&amp;Ogunsanmi, 2018).</w:t>
      </w:r>
    </w:p>
    <w:p w:rsidR="00EE6D6D" w:rsidRPr="00CA40BF" w:rsidRDefault="00EE6D6D" w:rsidP="009D35E8">
      <w:pPr>
        <w:spacing w:before="100" w:beforeAutospacing="1" w:after="100" w:afterAutospacing="1"/>
        <w:rPr>
          <w:rFonts w:eastAsia="Times New Roman" w:cs="Times New Roman"/>
          <w:szCs w:val="24"/>
        </w:rPr>
      </w:pPr>
      <w:r w:rsidRPr="00CA40BF">
        <w:rPr>
          <w:rFonts w:eastAsia="Times New Roman" w:cs="Times New Roman"/>
          <w:szCs w:val="24"/>
        </w:rPr>
        <w:t>Against this backdrop, this study examines the specific ways in which the rising cost of building materials affects property development, with a focus on Harmony Investment and Property Development Company in Ilorin, Kwara State. The study seeks to analyze cost trends, identify the underlying factors driving price increases, assess their impacts on property development outcomes, and explore mitigation strategies employed by the company. By doing so, it hopes to contribute to a deeper understanding of the nexus between construction input costs and real estate development in a Nigerian urban setting.</w:t>
      </w:r>
    </w:p>
    <w:p w:rsidR="00EE6D6D" w:rsidRPr="00CA40BF" w:rsidRDefault="00EE6D6D" w:rsidP="009D35E8">
      <w:pPr>
        <w:pStyle w:val="Heading3"/>
        <w:spacing w:before="0" w:beforeAutospacing="0" w:after="0" w:afterAutospacing="0" w:line="360" w:lineRule="auto"/>
        <w:jc w:val="both"/>
        <w:rPr>
          <w:sz w:val="24"/>
          <w:szCs w:val="24"/>
        </w:rPr>
      </w:pPr>
      <w:r w:rsidRPr="00CA40BF">
        <w:rPr>
          <w:rStyle w:val="Strong"/>
          <w:b/>
          <w:bCs/>
          <w:sz w:val="24"/>
          <w:szCs w:val="24"/>
        </w:rPr>
        <w:t>1.2 Statement of the Research Problem</w:t>
      </w:r>
    </w:p>
    <w:p w:rsidR="00EE6D6D" w:rsidRPr="00CA40BF" w:rsidRDefault="00EE6D6D" w:rsidP="009D35E8">
      <w:pPr>
        <w:pStyle w:val="NormalWeb"/>
        <w:spacing w:before="0" w:beforeAutospacing="0" w:line="360" w:lineRule="auto"/>
        <w:jc w:val="both"/>
      </w:pPr>
      <w:r w:rsidRPr="00CA40BF">
        <w:t>The cost of building materials has continued to rise steadily in Nigeria, posing a critical threat to the sustainability of property development projects. As construction remains a cornerstone of physical and economic development, the increasing prices of construction inputs directly hinder efforts aimed at urban growth, housing provision, and infrastructural advancement. In the context of Nigeria’s already fragile economy, the persistent surge in material costs further compounds the housing deficit, limits investment in the built environment, and frustrates government and private sector efforts toward affordable housing delivery (Ezeokoli, Oke, &amp;Aghimien, 2019).</w:t>
      </w:r>
    </w:p>
    <w:p w:rsidR="00EE6D6D" w:rsidRPr="00CA40BF" w:rsidRDefault="00EE6D6D" w:rsidP="009D35E8">
      <w:pPr>
        <w:pStyle w:val="NormalWeb"/>
        <w:spacing w:line="360" w:lineRule="auto"/>
        <w:jc w:val="both"/>
      </w:pPr>
      <w:r w:rsidRPr="00CA40BF">
        <w:t>The inflationary trend in the construction industry is largely driven by Nigeria’s dependence on imported materials, coupled with exchange rate instability and global market volatility. The cost of essential items such as cement, reinforcement rods, roofing sheets, electrical fittings, tiles, and paint has more than doubled in the past few years (Adebayo &amp;Ogunsemi, 2021). These cost increases significantly affect project budgets, often leading to either upward reviews or outright abandonment. Developers are faced with the dual challenge of sustaining profitability while ensuring that project delivery aligns with clients' financial expectations and timelines. This situation creates uncertainty, which is detrimental to the stability and long-term planning of real estate development.</w:t>
      </w:r>
    </w:p>
    <w:p w:rsidR="00EE6D6D" w:rsidRPr="00CA40BF" w:rsidRDefault="00EE6D6D" w:rsidP="009D35E8">
      <w:pPr>
        <w:pStyle w:val="NormalWeb"/>
        <w:spacing w:line="360" w:lineRule="auto"/>
        <w:jc w:val="both"/>
      </w:pPr>
      <w:r w:rsidRPr="00CA40BF">
        <w:lastRenderedPageBreak/>
        <w:t>In Ilorin, the capital of Kwara State, the effect of these challenges is highly visible. While the demand for residential and commercial buildings continues to rise due to population growth, urbanization, and economic activities, the high cost of building materials has slowed down the rate at which developers can meet this demand. Harmony Investment and Property Development Company, a prominent real estate firm in the state, exemplifies the dilemma many property developers face. The company has had to contend with erratic pricing, disrupted supply chains, increased operational costs, and difficulties in maintaining construction standards without surpassing budgetary limits.</w:t>
      </w:r>
    </w:p>
    <w:p w:rsidR="00EE6D6D" w:rsidRPr="00CA40BF" w:rsidRDefault="00EE6D6D" w:rsidP="009D35E8">
      <w:pPr>
        <w:pStyle w:val="NormalWeb"/>
        <w:spacing w:line="360" w:lineRule="auto"/>
        <w:jc w:val="both"/>
      </w:pPr>
      <w:r w:rsidRPr="00CA40BF">
        <w:t>The rising cost of building materials often results in unintended consequences. For instance, to cope with cost escalations, some developers opt for cheaper, substandard materials, compromising the safety and durability of structures (Ibironke et al., 2018). Others cut costs by reducing the size or scope of projects, affecting housing quality and client satisfaction. In more severe cases, projects are either abandoned midway or indefinitely postponed, which contributes to urban blight, waste of resources, and loss of investor confidence.</w:t>
      </w:r>
    </w:p>
    <w:p w:rsidR="00EE6D6D" w:rsidRPr="00CA40BF" w:rsidRDefault="00EE6D6D" w:rsidP="009D35E8">
      <w:pPr>
        <w:pStyle w:val="NormalWeb"/>
        <w:spacing w:line="360" w:lineRule="auto"/>
        <w:jc w:val="both"/>
      </w:pPr>
      <w:r w:rsidRPr="00CA40BF">
        <w:t>Additionally, the situation discourages potential investors and affects mortgage availability. As project costs increase, developers demand higher returns to cover their investment, which translates to higher property prices. Consequently, affordability becomes a major issue, especially for middle- and low-income earners, thereby worsening the housing crisis in the state and the country at large (Yakubu&amp;Yahaya, 2020). This ripple effect threatens to undermine efforts by both public and private stakeholders to bridge the housing gap and promote inclusive urban development.</w:t>
      </w:r>
    </w:p>
    <w:p w:rsidR="00EE6D6D" w:rsidRPr="00CA40BF" w:rsidRDefault="00EE6D6D" w:rsidP="009D35E8">
      <w:pPr>
        <w:pStyle w:val="NormalWeb"/>
        <w:spacing w:line="360" w:lineRule="auto"/>
        <w:jc w:val="both"/>
      </w:pPr>
      <w:r w:rsidRPr="00CA40BF">
        <w:t>Moreover, despite the prominence of the issue, empirical studies specifically focusing on the relationship between rising building material costs and the outcomes of property development in Kwara State are limited. While there is abundant literature on construction cost control and project management, there is a research gap in localized case studies that explore the real-world impact of cost increases on developers’ decisions, project execution, and delivery outcomes (Olatunji&amp;Aina, 2021). The experiences of Harmony Investment and Property Development Company, therefore, present a unique opportunity to examine this issue from a practical, context-specific perspective.</w:t>
      </w:r>
    </w:p>
    <w:p w:rsidR="00EE6D6D" w:rsidRPr="00CA40BF" w:rsidRDefault="00EE6D6D" w:rsidP="009D35E8">
      <w:pPr>
        <w:pStyle w:val="NormalWeb"/>
        <w:spacing w:line="360" w:lineRule="auto"/>
        <w:jc w:val="both"/>
      </w:pPr>
      <w:r w:rsidRPr="00CA40BF">
        <w:lastRenderedPageBreak/>
        <w:t>Furthermore, many government interventions have failed to yield the desired results in terms of cost regulation. While the Central Bank of Nigeria has rolled out several credit schemes to support developers, such efforts are often undermined by inflation, poor infrastructure, and policy inconsistency. Import tariffs on construction-related items, fuel subsidy removal, and the high cost of logistics due to bad roads also play critical roles in the rising prices of materials (Okereke&amp;Okechukwu, 2022). Without deliberate efforts to encourage local production of building materials and reduce dependence on imports, the cost problem is likely to persist or worsen in the coming years.</w:t>
      </w:r>
    </w:p>
    <w:p w:rsidR="00EE6D6D" w:rsidRPr="00CA40BF" w:rsidRDefault="00EE6D6D" w:rsidP="009D35E8">
      <w:pPr>
        <w:pStyle w:val="NormalWeb"/>
        <w:spacing w:line="360" w:lineRule="auto"/>
        <w:jc w:val="both"/>
      </w:pPr>
      <w:r w:rsidRPr="00CA40BF">
        <w:t>Harmony Investment and Property Development Company is an ideal case for this study due to its strategic position in Ilorin’s property sector and its experience with multiple residential and commercial developments across the state. A study focused on the company's challenges, cost implications, and mitigation strategies will provide insights into how developers are navigating this turbulent landscape. It also offers a lens through which government policies, industry practices, and stakeholder behaviors can be assessed.</w:t>
      </w:r>
    </w:p>
    <w:p w:rsidR="00EE6D6D" w:rsidRPr="00CA40BF" w:rsidRDefault="00EE6D6D" w:rsidP="009D35E8">
      <w:pPr>
        <w:pStyle w:val="NormalWeb"/>
        <w:spacing w:line="360" w:lineRule="auto"/>
        <w:jc w:val="both"/>
      </w:pPr>
      <w:r w:rsidRPr="00CA40BF">
        <w:t xml:space="preserve">The problem of rising building material costs is multifaceted and deeply entrenched in the economic, political, and logistical systems of Nigeria. It affects all </w:t>
      </w:r>
      <w:r w:rsidR="00CF7C10" w:rsidRPr="00CA40BF">
        <w:t xml:space="preserve">aspects of property development </w:t>
      </w:r>
      <w:r w:rsidRPr="00CA40BF">
        <w:t>from feasibility studies and project planning to procurement, construction, and marketing. For a fast-growing city like Ilorin, where housing demand is increasing, the implications of uncontrolled material costs are even more profound. There is a pressing need to understand how key stakeholders like Harmony Investment and Property Development Company are affected, how they are responding, and what strategies can be recommended to address the problem sustainably.</w:t>
      </w:r>
    </w:p>
    <w:p w:rsidR="00A01096" w:rsidRPr="00CA40BF" w:rsidRDefault="00A01096" w:rsidP="009D35E8">
      <w:pPr>
        <w:pStyle w:val="Heading3"/>
        <w:spacing w:before="0" w:beforeAutospacing="0" w:after="0" w:afterAutospacing="0" w:line="360" w:lineRule="auto"/>
        <w:rPr>
          <w:sz w:val="24"/>
          <w:szCs w:val="24"/>
        </w:rPr>
      </w:pPr>
      <w:r w:rsidRPr="00CA40BF">
        <w:rPr>
          <w:rStyle w:val="Strong"/>
          <w:b/>
          <w:bCs/>
          <w:sz w:val="24"/>
          <w:szCs w:val="24"/>
        </w:rPr>
        <w:t>1.3 Research Questions</w:t>
      </w:r>
    </w:p>
    <w:p w:rsidR="00A01096" w:rsidRPr="00CA40BF" w:rsidRDefault="00A01096" w:rsidP="009D35E8">
      <w:pPr>
        <w:pStyle w:val="NormalWeb"/>
        <w:spacing w:before="0" w:beforeAutospacing="0" w:line="360" w:lineRule="auto"/>
      </w:pPr>
      <w:r w:rsidRPr="00CA40BF">
        <w:t>This study is guided by the following research questions:</w:t>
      </w:r>
    </w:p>
    <w:p w:rsidR="00A01096" w:rsidRPr="00CA40BF" w:rsidRDefault="00A01096" w:rsidP="009D35E8">
      <w:pPr>
        <w:pStyle w:val="NormalWeb"/>
        <w:numPr>
          <w:ilvl w:val="0"/>
          <w:numId w:val="1"/>
        </w:numPr>
        <w:spacing w:line="360" w:lineRule="auto"/>
      </w:pPr>
      <w:r w:rsidRPr="00CA40BF">
        <w:rPr>
          <w:rStyle w:val="Strong"/>
          <w:b w:val="0"/>
        </w:rPr>
        <w:t>What are the key factors responsible for the rising cost of building materials in Ilorin, Kwara State?</w:t>
      </w:r>
    </w:p>
    <w:p w:rsidR="00A01096" w:rsidRPr="00CA40BF" w:rsidRDefault="00A01096" w:rsidP="009D35E8">
      <w:pPr>
        <w:pStyle w:val="NormalWeb"/>
        <w:numPr>
          <w:ilvl w:val="0"/>
          <w:numId w:val="1"/>
        </w:numPr>
        <w:spacing w:line="360" w:lineRule="auto"/>
      </w:pPr>
      <w:r w:rsidRPr="00CA40BF">
        <w:rPr>
          <w:rStyle w:val="Strong"/>
          <w:b w:val="0"/>
        </w:rPr>
        <w:t>How has the rising cost of building materials affected property development activities by Harmony Investment and Property Development Company?</w:t>
      </w:r>
    </w:p>
    <w:p w:rsidR="00A01096" w:rsidRPr="00CA40BF" w:rsidRDefault="00A01096" w:rsidP="009D35E8">
      <w:pPr>
        <w:pStyle w:val="NormalWeb"/>
        <w:numPr>
          <w:ilvl w:val="0"/>
          <w:numId w:val="1"/>
        </w:numPr>
        <w:spacing w:line="360" w:lineRule="auto"/>
      </w:pPr>
      <w:r w:rsidRPr="00CA40BF">
        <w:rPr>
          <w:rStyle w:val="Strong"/>
          <w:b w:val="0"/>
        </w:rPr>
        <w:lastRenderedPageBreak/>
        <w:t>What specific challenges have Harmony Investment and Property Development Company encountered due to fluctuations in material prices?</w:t>
      </w:r>
    </w:p>
    <w:p w:rsidR="00A01096" w:rsidRPr="00CA40BF" w:rsidRDefault="00A01096" w:rsidP="009D35E8">
      <w:pPr>
        <w:pStyle w:val="NormalWeb"/>
        <w:numPr>
          <w:ilvl w:val="0"/>
          <w:numId w:val="1"/>
        </w:numPr>
        <w:spacing w:line="360" w:lineRule="auto"/>
      </w:pPr>
      <w:r w:rsidRPr="00CA40BF">
        <w:rPr>
          <w:rStyle w:val="Strong"/>
          <w:b w:val="0"/>
        </w:rPr>
        <w:t>How do rising material costs influence the affordability, quality, and completion timelines of housing projects?</w:t>
      </w:r>
    </w:p>
    <w:p w:rsidR="00A01096" w:rsidRPr="00CA40BF" w:rsidRDefault="00A01096" w:rsidP="009D35E8">
      <w:pPr>
        <w:pStyle w:val="NormalWeb"/>
        <w:numPr>
          <w:ilvl w:val="0"/>
          <w:numId w:val="1"/>
        </w:numPr>
        <w:spacing w:line="360" w:lineRule="auto"/>
      </w:pPr>
      <w:r w:rsidRPr="00CA40BF">
        <w:rPr>
          <w:rStyle w:val="Strong"/>
          <w:b w:val="0"/>
        </w:rPr>
        <w:t>What coping strategies or adaptive measures has the company adopted in response to the rising cost of building materials?</w:t>
      </w:r>
    </w:p>
    <w:p w:rsidR="00A01096" w:rsidRPr="00CA40BF" w:rsidRDefault="00A01096" w:rsidP="009D35E8">
      <w:pPr>
        <w:pStyle w:val="NormalWeb"/>
        <w:numPr>
          <w:ilvl w:val="0"/>
          <w:numId w:val="1"/>
        </w:numPr>
        <w:spacing w:line="360" w:lineRule="auto"/>
      </w:pPr>
      <w:r w:rsidRPr="00CA40BF">
        <w:rPr>
          <w:rStyle w:val="Strong"/>
          <w:b w:val="0"/>
        </w:rPr>
        <w:t>What policy recommendations or practical interventions can be proposed to mitigate the impact of rising construction costs on property development in Ilorin?</w:t>
      </w:r>
    </w:p>
    <w:p w:rsidR="00A01096" w:rsidRPr="00CA40BF" w:rsidRDefault="00A01096" w:rsidP="009D35E8">
      <w:pPr>
        <w:pStyle w:val="Heading3"/>
        <w:spacing w:line="360" w:lineRule="auto"/>
        <w:rPr>
          <w:sz w:val="24"/>
          <w:szCs w:val="24"/>
        </w:rPr>
      </w:pPr>
      <w:r w:rsidRPr="00CA40BF">
        <w:rPr>
          <w:rStyle w:val="Strong"/>
          <w:b/>
          <w:bCs/>
          <w:sz w:val="24"/>
          <w:szCs w:val="24"/>
        </w:rPr>
        <w:t>1.4 Aim of the Study</w:t>
      </w:r>
    </w:p>
    <w:p w:rsidR="00A01096" w:rsidRPr="00CA40BF" w:rsidRDefault="00A01096" w:rsidP="009D35E8">
      <w:pPr>
        <w:pStyle w:val="NormalWeb"/>
        <w:spacing w:line="360" w:lineRule="auto"/>
        <w:jc w:val="both"/>
      </w:pPr>
      <w:r w:rsidRPr="00CA40BF">
        <w:t xml:space="preserve">The primary aim of this study is to </w:t>
      </w:r>
      <w:r w:rsidRPr="00CA40BF">
        <w:rPr>
          <w:rStyle w:val="Strong"/>
          <w:b w:val="0"/>
        </w:rPr>
        <w:t>examine the effects of the rising cost of building materials on property development</w:t>
      </w:r>
      <w:r w:rsidRPr="00CA40BF">
        <w:rPr>
          <w:b/>
        </w:rPr>
        <w:t xml:space="preserve">, </w:t>
      </w:r>
      <w:r w:rsidRPr="00CA40BF">
        <w:t xml:space="preserve">using Harmony Investment and Property Development Company in Ilorin, Kwara State with a view </w:t>
      </w:r>
      <w:r w:rsidR="00CE7506" w:rsidRPr="00CA40BF">
        <w:t xml:space="preserve">to </w:t>
      </w:r>
      <w:r w:rsidRPr="00CA40BF">
        <w:t>propose practical solutions and policy recommendations to mitigate the adverse effects of material cost inflation on the real estate development sector in Ilorin and beyond.</w:t>
      </w:r>
    </w:p>
    <w:p w:rsidR="00A01096" w:rsidRPr="00CA40BF" w:rsidRDefault="00A01096" w:rsidP="009D35E8">
      <w:pPr>
        <w:pStyle w:val="Heading3"/>
        <w:spacing w:line="360" w:lineRule="auto"/>
        <w:rPr>
          <w:sz w:val="24"/>
          <w:szCs w:val="24"/>
        </w:rPr>
      </w:pPr>
      <w:r w:rsidRPr="00CA40BF">
        <w:rPr>
          <w:rStyle w:val="Strong"/>
          <w:b/>
          <w:bCs/>
          <w:sz w:val="24"/>
          <w:szCs w:val="24"/>
        </w:rPr>
        <w:t>1.5 Objectives of the Study</w:t>
      </w:r>
    </w:p>
    <w:p w:rsidR="00A01096" w:rsidRPr="00CA40BF" w:rsidRDefault="00A01096" w:rsidP="009D35E8">
      <w:pPr>
        <w:pStyle w:val="NormalWeb"/>
        <w:spacing w:line="360" w:lineRule="auto"/>
      </w:pPr>
      <w:r w:rsidRPr="00CA40BF">
        <w:t>The specific objectives of this study are to:</w:t>
      </w:r>
    </w:p>
    <w:p w:rsidR="00A01096" w:rsidRPr="00CA40BF" w:rsidRDefault="00A01096" w:rsidP="009D35E8">
      <w:pPr>
        <w:pStyle w:val="NormalWeb"/>
        <w:numPr>
          <w:ilvl w:val="0"/>
          <w:numId w:val="2"/>
        </w:numPr>
        <w:spacing w:line="360" w:lineRule="auto"/>
      </w:pPr>
      <w:r w:rsidRPr="00CA40BF">
        <w:rPr>
          <w:rStyle w:val="Strong"/>
          <w:b w:val="0"/>
        </w:rPr>
        <w:t>Identify the major factors contributing to the rising cost of building materials in Ilorin, Kwara State.</w:t>
      </w:r>
    </w:p>
    <w:p w:rsidR="00A01096" w:rsidRPr="00CA40BF" w:rsidRDefault="00A01096" w:rsidP="009D35E8">
      <w:pPr>
        <w:pStyle w:val="NormalWeb"/>
        <w:numPr>
          <w:ilvl w:val="0"/>
          <w:numId w:val="2"/>
        </w:numPr>
        <w:spacing w:line="360" w:lineRule="auto"/>
      </w:pPr>
      <w:r w:rsidRPr="00CA40BF">
        <w:rPr>
          <w:rStyle w:val="Strong"/>
          <w:b w:val="0"/>
        </w:rPr>
        <w:t>Examine the impact of rising building material costs on property development projects undertaken by Harmony Investment and Property Development Company.</w:t>
      </w:r>
    </w:p>
    <w:p w:rsidR="00A01096" w:rsidRPr="00CA40BF" w:rsidRDefault="00A01096" w:rsidP="009D35E8">
      <w:pPr>
        <w:pStyle w:val="NormalWeb"/>
        <w:numPr>
          <w:ilvl w:val="0"/>
          <w:numId w:val="2"/>
        </w:numPr>
        <w:spacing w:line="360" w:lineRule="auto"/>
      </w:pPr>
      <w:r w:rsidRPr="00CA40BF">
        <w:rPr>
          <w:rStyle w:val="Strong"/>
          <w:b w:val="0"/>
        </w:rPr>
        <w:t>Assess the challenges faced by the company in executing projects due to fluctuating material prices.</w:t>
      </w:r>
    </w:p>
    <w:p w:rsidR="00A01096" w:rsidRPr="00CA40BF" w:rsidRDefault="00A01096" w:rsidP="009D35E8">
      <w:pPr>
        <w:pStyle w:val="NormalWeb"/>
        <w:numPr>
          <w:ilvl w:val="0"/>
          <w:numId w:val="2"/>
        </w:numPr>
        <w:spacing w:line="360" w:lineRule="auto"/>
      </w:pPr>
      <w:r w:rsidRPr="00CA40BF">
        <w:rPr>
          <w:rStyle w:val="Strong"/>
          <w:b w:val="0"/>
        </w:rPr>
        <w:t>Analyze the implications of high material costs on project affordability, qu</w:t>
      </w:r>
      <w:r w:rsidR="00CE7506" w:rsidRPr="00CA40BF">
        <w:rPr>
          <w:rStyle w:val="Strong"/>
          <w:b w:val="0"/>
        </w:rPr>
        <w:t>ality, and completion timelines and</w:t>
      </w:r>
      <w:r w:rsidR="00CE7506" w:rsidRPr="00CA40BF">
        <w:t xml:space="preserve"> e</w:t>
      </w:r>
      <w:r w:rsidRPr="00CA40BF">
        <w:rPr>
          <w:rStyle w:val="Strong"/>
          <w:b w:val="0"/>
        </w:rPr>
        <w:t>valuate the strategies adopted by the company to manage cost-related pressures.</w:t>
      </w:r>
    </w:p>
    <w:p w:rsidR="00A01096" w:rsidRPr="00CA40BF" w:rsidRDefault="00A01096" w:rsidP="009D35E8">
      <w:pPr>
        <w:pStyle w:val="NormalWeb"/>
        <w:numPr>
          <w:ilvl w:val="0"/>
          <w:numId w:val="2"/>
        </w:numPr>
        <w:spacing w:line="360" w:lineRule="auto"/>
      </w:pPr>
      <w:r w:rsidRPr="00CA40BF">
        <w:rPr>
          <w:rStyle w:val="Strong"/>
          <w:b w:val="0"/>
        </w:rPr>
        <w:t>Propose recommendations for developers, policymakers, and other stakeholders to mitigate the adverse effects of rising building material costs on property development.</w:t>
      </w:r>
    </w:p>
    <w:p w:rsidR="00A01096" w:rsidRPr="00CA40BF" w:rsidRDefault="00A01096" w:rsidP="009D35E8">
      <w:pPr>
        <w:pStyle w:val="Heading3"/>
        <w:spacing w:line="360" w:lineRule="auto"/>
        <w:rPr>
          <w:sz w:val="24"/>
          <w:szCs w:val="24"/>
        </w:rPr>
      </w:pPr>
      <w:r w:rsidRPr="00CA40BF">
        <w:rPr>
          <w:rStyle w:val="Strong"/>
          <w:b/>
          <w:bCs/>
          <w:sz w:val="24"/>
          <w:szCs w:val="24"/>
        </w:rPr>
        <w:lastRenderedPageBreak/>
        <w:t>1.6 Justification of the Study</w:t>
      </w:r>
    </w:p>
    <w:p w:rsidR="00A01096" w:rsidRPr="00CA40BF" w:rsidRDefault="00A01096" w:rsidP="009D35E8">
      <w:pPr>
        <w:pStyle w:val="NormalWeb"/>
        <w:spacing w:line="360" w:lineRule="auto"/>
        <w:jc w:val="both"/>
      </w:pPr>
      <w:r w:rsidRPr="00CA40BF">
        <w:t>The rising cost of building materials has become a persistent challenge in the Nigerian construction sector, significantly impacting the pace, quality, and sustainability of property development. As urbanization accelerates and population increases, especially in fast-growing cities like Ilorin, the demand for housing and infrastructure also rises. However, the escalating cost of materials poses a substantial barrier to meeting this demand, thus threatening the realization of inclusive and affordable urban development (Babatunde, 2018). This study is therefore timely and necessary, as it seeks to explore and address a critical problem that affects multiple stakeholders in the built environment.</w:t>
      </w:r>
    </w:p>
    <w:p w:rsidR="00A01096" w:rsidRPr="00CA40BF" w:rsidRDefault="00A01096" w:rsidP="009D35E8">
      <w:pPr>
        <w:pStyle w:val="NormalWeb"/>
        <w:spacing w:line="360" w:lineRule="auto"/>
        <w:jc w:val="both"/>
      </w:pPr>
      <w:r w:rsidRPr="00CA40BF">
        <w:t>First, the study is justified by the urgent need to understand the underlying factors driving the surge in building material costs. These include currency depreciation, inflation, import dependency, high logistics costs, and inconsistent government policies (Afolabi et al., 2020). While general discussions exist on construction cost inflation in Nigeria, there remains a significant gap in context-specific studies that explore the situation at the state or local level. By focusing on Harmony Investment and Property Development Company in Ilorin, this research provides grounded and relevant data that reflect the unique economic, logistical, and policy environment in Kwara State.</w:t>
      </w:r>
    </w:p>
    <w:p w:rsidR="00A01096" w:rsidRPr="00CA40BF" w:rsidRDefault="00A01096" w:rsidP="009D35E8">
      <w:pPr>
        <w:pStyle w:val="NormalWeb"/>
        <w:spacing w:line="360" w:lineRule="auto"/>
        <w:jc w:val="both"/>
      </w:pPr>
      <w:r w:rsidRPr="00CA40BF">
        <w:t>Second, the study holds significance for developers and construction professionals. Rising material costs affect profit margins, client satisfaction, and long-term business viability. Developers often face difficult decisions, such as whether to increase the selling price of properties, reduce the scale or quality of projects, or delay construction altogether (Oladipo&amp; Oni, 2021). Understanding how a leading developer like Harmony Investment is coping with these pressures can offer practical insights for other stakeholders navigating similar challenges. This is particularly relevant in a market that lacks price stability and where resource planning is complicated by sudden market shifts.</w:t>
      </w:r>
    </w:p>
    <w:p w:rsidR="00A01096" w:rsidRPr="00CA40BF" w:rsidRDefault="00A01096" w:rsidP="009D35E8">
      <w:pPr>
        <w:pStyle w:val="NormalWeb"/>
        <w:spacing w:line="360" w:lineRule="auto"/>
        <w:jc w:val="both"/>
      </w:pPr>
      <w:r w:rsidRPr="00CA40BF">
        <w:t xml:space="preserve">Third, the findings of this study will be useful to government agencies and policymakers. Despite various policy measures to promote local manufacturing and control inflation, the cost of construction inputs remains prohibitively high. There is an urgent need for evidence-based </w:t>
      </w:r>
      <w:r w:rsidRPr="00CA40BF">
        <w:lastRenderedPageBreak/>
        <w:t>policies that support domestic production of materials, reduce import dependency, stabilize exchange rates, and improve transportation infrastructure (Okereke&amp;Okechukwu, 2022). By identifying how the rising cost of materials affects real projects on the ground, this study will generate useful data that can inform government interventions and regulations aimed at supporting the real estate and construction sectors.</w:t>
      </w:r>
    </w:p>
    <w:p w:rsidR="00A01096" w:rsidRPr="00CA40BF" w:rsidRDefault="00A01096" w:rsidP="009D35E8">
      <w:pPr>
        <w:pStyle w:val="NormalWeb"/>
        <w:spacing w:line="360" w:lineRule="auto"/>
        <w:jc w:val="both"/>
      </w:pPr>
      <w:r w:rsidRPr="00CA40BF">
        <w:t xml:space="preserve">Fourth, this research contributes to academic literature by offering empirical evidence on the cost-performance relationship in property development. Much of the existing literature focuses on general cost estimation, risk management, and project budgeting (Ibironke et al., 2018). However, few studies examine the </w:t>
      </w:r>
      <w:r w:rsidRPr="00CA40BF">
        <w:rPr>
          <w:rStyle w:val="Emphasis"/>
        </w:rPr>
        <w:t>specific</w:t>
      </w:r>
      <w:r w:rsidRPr="00CA40BF">
        <w:t xml:space="preserve"> impact of rising material costs on real-world development outcomes such as affordability, completion time, housing quality, and investor behavior. This study addresses that gap by analyzing both the financial and operational effects of price fluctuations on a functioning real estate enterprise in Ilorin.</w:t>
      </w:r>
    </w:p>
    <w:p w:rsidR="00A01096" w:rsidRPr="00CA40BF" w:rsidRDefault="00A01096" w:rsidP="009D35E8">
      <w:pPr>
        <w:pStyle w:val="NormalWeb"/>
        <w:spacing w:line="360" w:lineRule="auto"/>
        <w:jc w:val="both"/>
      </w:pPr>
      <w:r w:rsidRPr="00CA40BF">
        <w:t>Moreover, the relevance of the study extends to future homeowners and the general public. When building material prices rise, the eventual cost of properties becomes unaffordable to many Nigerians, especially those in the low- and middle-income categories. Housing deficits persist, and families are pushed into overcrowded or substandard accommodations (Yakubu&amp;Yahaya, 2020). By examining the root causes and implications of rising material costs, this research provides useful knowledge that can empower buyers, raise public awareness, and promote advocacy for better housing policies.</w:t>
      </w:r>
    </w:p>
    <w:p w:rsidR="00A01096" w:rsidRPr="00CA40BF" w:rsidRDefault="00A01096" w:rsidP="009D35E8">
      <w:pPr>
        <w:pStyle w:val="NormalWeb"/>
        <w:spacing w:line="360" w:lineRule="auto"/>
        <w:jc w:val="both"/>
      </w:pPr>
      <w:r w:rsidRPr="00CA40BF">
        <w:t>The selection of Harmony Investment and Property Development Company as a case study further strengthens the study’s justification. As a leading player in the Kwara State real estate market, the company offers a rich and relevant context for examining the effects of cost escalation. Its portfolio of residential and commercial projects across Ilorin presents an opportunity to evaluate the material cost problem across different project scales and categories. The company’s internal strategies for coping with the challenge also offer learning opportunities for other firms in the industry.</w:t>
      </w:r>
    </w:p>
    <w:p w:rsidR="00A01096" w:rsidRPr="00CA40BF" w:rsidRDefault="00A01096" w:rsidP="009D35E8">
      <w:pPr>
        <w:pStyle w:val="NormalWeb"/>
        <w:spacing w:line="360" w:lineRule="auto"/>
      </w:pPr>
      <w:r w:rsidRPr="00CA40BF">
        <w:t xml:space="preserve">Finally, the study is academically significant as it forms part of ongoing efforts to build local knowledge around sustainable urban development in Nigeria. Understanding how cost dynamics </w:t>
      </w:r>
      <w:r w:rsidRPr="00CA40BF">
        <w:lastRenderedPageBreak/>
        <w:t>influence real estate outcomes can help future researchers, students, and practitioners develop better tools, models, and theories for construction planning and real estate investment in inflationary economies.</w:t>
      </w:r>
    </w:p>
    <w:p w:rsidR="00A01096" w:rsidRPr="00CA40BF" w:rsidRDefault="00A01096" w:rsidP="009D35E8">
      <w:pPr>
        <w:pStyle w:val="NormalWeb"/>
        <w:spacing w:line="360" w:lineRule="auto"/>
      </w:pPr>
      <w:r w:rsidRPr="00CA40BF">
        <w:t>In conclusion, this study is justified by its potential to generate actionable knowledge for developers, inform policy interventions, enhance academic literature, and ultimately contribute to improved housing delivery in Ilorin and beyond. As Nigeria continues to grapple with economic instability, high inflation, and an increasing housing gap, research of this nature becomes not only important but essential.</w:t>
      </w:r>
    </w:p>
    <w:p w:rsidR="00A01096" w:rsidRPr="00CA40BF" w:rsidRDefault="00A01096" w:rsidP="009D35E8">
      <w:pPr>
        <w:pStyle w:val="z-BottomofForm"/>
        <w:spacing w:line="360" w:lineRule="auto"/>
        <w:jc w:val="both"/>
        <w:rPr>
          <w:rFonts w:ascii="Times New Roman" w:hAnsi="Times New Roman" w:cs="Times New Roman"/>
          <w:sz w:val="24"/>
          <w:szCs w:val="24"/>
        </w:rPr>
      </w:pPr>
      <w:r w:rsidRPr="00CA40BF">
        <w:rPr>
          <w:rFonts w:ascii="Times New Roman" w:hAnsi="Times New Roman" w:cs="Times New Roman"/>
          <w:sz w:val="24"/>
          <w:szCs w:val="24"/>
        </w:rPr>
        <w:t>Bottom of Form</w:t>
      </w:r>
    </w:p>
    <w:p w:rsidR="00A01096" w:rsidRPr="00CA40BF" w:rsidRDefault="00A01096" w:rsidP="009D35E8">
      <w:pPr>
        <w:pStyle w:val="Heading3"/>
        <w:spacing w:after="0" w:afterAutospacing="0" w:line="360" w:lineRule="auto"/>
        <w:jc w:val="both"/>
        <w:rPr>
          <w:sz w:val="24"/>
          <w:szCs w:val="24"/>
        </w:rPr>
      </w:pPr>
      <w:r w:rsidRPr="00CA40BF">
        <w:rPr>
          <w:rStyle w:val="Strong"/>
          <w:b/>
          <w:bCs/>
          <w:sz w:val="24"/>
          <w:szCs w:val="24"/>
        </w:rPr>
        <w:t>1.7 Scope of the Study</w:t>
      </w:r>
    </w:p>
    <w:p w:rsidR="00A01096" w:rsidRPr="00CA40BF" w:rsidRDefault="00A01096" w:rsidP="009D35E8">
      <w:pPr>
        <w:pStyle w:val="NormalWeb"/>
        <w:spacing w:before="0" w:beforeAutospacing="0" w:line="360" w:lineRule="auto"/>
        <w:jc w:val="both"/>
      </w:pPr>
      <w:r w:rsidRPr="00CA40BF">
        <w:t>This study is focused on examining the effects of the rising cost of building materials on property development, using Harmony Investment and Property Development Company in Ilorin, Kwara State, as a case study. The scope is both thematic and geographical. Thematically, the study concentrates on how fluctuations in the prices of core building materials such as cement, iron rods, sand, gravel, blocks, roofing sheets, tiles, paint, plumbing, and electrical fittings affect the planning, budgeting, execution, and delivery of property development projects. It also examines the coping strategies adopted by developers in response to rising costs and assesses the implications for housing affordability, construction quality, and completion timelines. Geographically, the study is limited to Ilorin, the capital of Kwara State, with a particular focus on projects undertaken by Harmony Investment and Property Development Company. This organization was selected due to its prominent role in the local real estate market and its active involvement in residential and commercial developments across the state. The projects reviewed in the study include a mix of ongoing and completed developments within the Ilorin metropolis.</w:t>
      </w:r>
    </w:p>
    <w:p w:rsidR="00A01096" w:rsidRPr="00CA40BF" w:rsidRDefault="00A01096" w:rsidP="009D35E8">
      <w:pPr>
        <w:pStyle w:val="NormalWeb"/>
        <w:spacing w:line="360" w:lineRule="auto"/>
        <w:jc w:val="both"/>
      </w:pPr>
      <w:r w:rsidRPr="00CA40BF">
        <w:t xml:space="preserve">The study does not cover other property developers or compare pricing trends across states or regions. It also does not involve a technical analysis of material cost engineering but relies on qualitative and quantitative data from interviews, project records, and relevant literature. </w:t>
      </w:r>
    </w:p>
    <w:p w:rsidR="00CF7C10" w:rsidRPr="00CA40BF" w:rsidRDefault="00CF7C10" w:rsidP="009D35E8">
      <w:pPr>
        <w:pStyle w:val="Heading3"/>
        <w:spacing w:line="360" w:lineRule="auto"/>
        <w:jc w:val="both"/>
        <w:rPr>
          <w:sz w:val="24"/>
          <w:szCs w:val="24"/>
        </w:rPr>
      </w:pPr>
      <w:r w:rsidRPr="00CA40BF">
        <w:rPr>
          <w:rStyle w:val="Strong"/>
          <w:b/>
          <w:bCs/>
          <w:sz w:val="24"/>
          <w:szCs w:val="24"/>
        </w:rPr>
        <w:t>1.8 Study Area</w:t>
      </w:r>
    </w:p>
    <w:p w:rsidR="00CF7C10" w:rsidRPr="00CA40BF" w:rsidRDefault="00CF7C10" w:rsidP="009D35E8">
      <w:pPr>
        <w:pStyle w:val="NormalWeb"/>
        <w:spacing w:line="360" w:lineRule="auto"/>
        <w:jc w:val="both"/>
      </w:pPr>
      <w:r w:rsidRPr="00CA40BF">
        <w:t xml:space="preserve">The study area for this research is Ilorin, the capital city of </w:t>
      </w:r>
      <w:r w:rsidRPr="00CA40BF">
        <w:rPr>
          <w:rStyle w:val="Strong"/>
          <w:b w:val="0"/>
        </w:rPr>
        <w:t>Kwara State</w:t>
      </w:r>
      <w:r w:rsidRPr="00CA40BF">
        <w:t xml:space="preserve">, located in the North-Central geopolitical zone of Nigeria. Ilorin serves as both the state capital and a significant </w:t>
      </w:r>
      <w:r w:rsidRPr="00CA40BF">
        <w:lastRenderedPageBreak/>
        <w:t>administrative and economic center in the region. It has experienced rapid urban growth over the past few decades, driven by population increase, educational expansion, migration, and real estate investments. The presence of government institutions, private enterprises, and a growing middle-class population has resulted in increased demand for residential and commercial properties, making Ilorin an ideal case for examining trends in property development and construction challenges.</w:t>
      </w:r>
    </w:p>
    <w:p w:rsidR="00CF7C10" w:rsidRPr="00CA40BF" w:rsidRDefault="00CF7C10" w:rsidP="009D35E8">
      <w:pPr>
        <w:pStyle w:val="Heading4"/>
        <w:spacing w:line="360" w:lineRule="auto"/>
        <w:jc w:val="both"/>
      </w:pPr>
      <w:r w:rsidRPr="00CA40BF">
        <w:rPr>
          <w:rStyle w:val="Strong"/>
          <w:b/>
          <w:bCs/>
        </w:rPr>
        <w:t>Geographical Location and Accessibility</w:t>
      </w:r>
    </w:p>
    <w:p w:rsidR="00CF7C10" w:rsidRPr="00CA40BF" w:rsidRDefault="00CF7C10" w:rsidP="009D35E8">
      <w:pPr>
        <w:pStyle w:val="NormalWeb"/>
        <w:spacing w:line="360" w:lineRule="auto"/>
        <w:jc w:val="both"/>
      </w:pPr>
      <w:r w:rsidRPr="00CA40BF">
        <w:t>Ilorin is situated approximately between latitude 8°30′N and 8°50′N and longitude 4°20′E and 4°35′E. It shares boundaries with several local government areas including Ilorin East, Ilorin South, and Asa. The city lies along the Lagos–Ibadan/Ilorin–Kaduna–Kano highway corridor, which enhances its connectivity with major cities in both the southwestern and northern regions of Nigeria. Its central location provides logistical advantages for real estate developers and investors seeking access to both raw materials and labor from surrounding areas (Adebayo, 2021).</w:t>
      </w:r>
    </w:p>
    <w:p w:rsidR="00CF7C10" w:rsidRPr="00CA40BF" w:rsidRDefault="00CF7C10" w:rsidP="009D35E8">
      <w:pPr>
        <w:pStyle w:val="Heading4"/>
        <w:spacing w:line="360" w:lineRule="auto"/>
        <w:jc w:val="both"/>
      </w:pPr>
      <w:r w:rsidRPr="00CA40BF">
        <w:rPr>
          <w:rStyle w:val="Strong"/>
          <w:b/>
          <w:bCs/>
        </w:rPr>
        <w:t>Demographic and Socio-Economic Characteristics</w:t>
      </w:r>
    </w:p>
    <w:p w:rsidR="00CF7C10" w:rsidRPr="00CA40BF" w:rsidRDefault="00CF7C10" w:rsidP="009D35E8">
      <w:pPr>
        <w:pStyle w:val="NormalWeb"/>
        <w:spacing w:line="360" w:lineRule="auto"/>
        <w:jc w:val="both"/>
      </w:pPr>
      <w:r w:rsidRPr="00CA40BF">
        <w:t>Ilorin is a melting pot of ethnic diversity, predominantly inhabited by Yoruba, Fulani, Hausa, and Nupe communities, among others. According to the National Population Commission (2019), the city has an estimated population of over 900,000, although current figures are likely higher due to urban expansion and inward migration. The presence of educational institutions such as the University of Ilorin, Kwara State Polytechnic, and other colleges contributes to a youthful population and creates continuous demand for housing and infrastructural development.</w:t>
      </w:r>
    </w:p>
    <w:p w:rsidR="00CF7C10" w:rsidRPr="00CA40BF" w:rsidRDefault="00CF7C10" w:rsidP="009D35E8">
      <w:pPr>
        <w:pStyle w:val="NormalWeb"/>
        <w:spacing w:line="360" w:lineRule="auto"/>
        <w:jc w:val="both"/>
      </w:pPr>
      <w:r w:rsidRPr="00CA40BF">
        <w:t>The socio-economic profile of Ilorin is diverse. It hosts civil servants, business people, artisans, students, and a growing class of real estate investors. The economy is supported by public sector employment, agriculture, small and medium-sized enterprises (SMEs), and a burgeoning property development sector. The rapid urbanization has fueled demand for low-, medium-, and high-income housing schemes, commercial centers, and public infrastructure, making property development a vibrant but competitive industry in the city (Olanrewaju</w:t>
      </w:r>
      <w:r w:rsidR="009D35E8">
        <w:t xml:space="preserve"> </w:t>
      </w:r>
      <w:r w:rsidRPr="00CA40BF">
        <w:t>&amp;</w:t>
      </w:r>
      <w:r w:rsidR="009D35E8">
        <w:t xml:space="preserve"> </w:t>
      </w:r>
      <w:r w:rsidRPr="00CA40BF">
        <w:t>Ogunleye, 2020).</w:t>
      </w:r>
    </w:p>
    <w:p w:rsidR="00CF7C10" w:rsidRPr="00CA40BF" w:rsidRDefault="00CF7C10" w:rsidP="009D35E8">
      <w:pPr>
        <w:pStyle w:val="Heading4"/>
        <w:spacing w:line="360" w:lineRule="auto"/>
        <w:jc w:val="both"/>
      </w:pPr>
      <w:r w:rsidRPr="00CA40BF">
        <w:rPr>
          <w:rStyle w:val="Strong"/>
          <w:b/>
          <w:bCs/>
        </w:rPr>
        <w:lastRenderedPageBreak/>
        <w:t>Urban Development and Land Use</w:t>
      </w:r>
    </w:p>
    <w:p w:rsidR="00CF7C10" w:rsidRPr="00CA40BF" w:rsidRDefault="00CF7C10" w:rsidP="009D35E8">
      <w:pPr>
        <w:pStyle w:val="NormalWeb"/>
        <w:spacing w:line="360" w:lineRule="auto"/>
        <w:jc w:val="both"/>
      </w:pPr>
      <w:r w:rsidRPr="00CA40BF">
        <w:t>Ilorin’s urban form is expanding in multiple directions—northward toward Olorunsogo, westward toward Asa Dam, eastward toward Egbejila and Sobi areas, and southward toward Tanke and Fate axis. These areas have witnessed intense residential and mixed-use developments in recent years. Land use patterns in Ilorin reflect typical urban dynamics, including residential, commercial, institutional, industrial, and recreational zones. With the growing demand for property development, the cost of land and access to building materials have become pressing concerns for developers in the city (Ahmed &amp;Jimoh, 2022).</w:t>
      </w:r>
    </w:p>
    <w:p w:rsidR="00CF7C10" w:rsidRPr="00CA40BF" w:rsidRDefault="00CF7C10" w:rsidP="009D35E8">
      <w:pPr>
        <w:pStyle w:val="NormalWeb"/>
        <w:spacing w:line="360" w:lineRule="auto"/>
        <w:jc w:val="both"/>
      </w:pPr>
      <w:r w:rsidRPr="00CA40BF">
        <w:t>In response to the rising housing demand, several public-private partnerships and state-backed housing initiatives have emerged, including interventions by Harmony Investment and Property Development Company. These initiatives aim to increase housing supply but are increasingly challenged by cost escalation, policy inconsistencies, and infrastructure deficits.</w:t>
      </w:r>
    </w:p>
    <w:p w:rsidR="00CF7C10" w:rsidRPr="00CA40BF" w:rsidRDefault="00CF7C10" w:rsidP="009D35E8">
      <w:pPr>
        <w:pStyle w:val="Heading4"/>
        <w:spacing w:line="360" w:lineRule="auto"/>
        <w:jc w:val="both"/>
      </w:pPr>
      <w:r w:rsidRPr="00CA40BF">
        <w:rPr>
          <w:rStyle w:val="Strong"/>
          <w:b/>
          <w:bCs/>
        </w:rPr>
        <w:t>Harmony Investment and Property Development Company</w:t>
      </w:r>
    </w:p>
    <w:p w:rsidR="00CF7C10" w:rsidRPr="00CA40BF" w:rsidRDefault="00CF7C10" w:rsidP="009D35E8">
      <w:pPr>
        <w:pStyle w:val="NormalWeb"/>
        <w:spacing w:line="360" w:lineRule="auto"/>
        <w:jc w:val="both"/>
      </w:pPr>
      <w:r w:rsidRPr="00CA40BF">
        <w:t>Harmony Investment and Property Development Company Limited is a Kwara State-owned enterprise established to spearhead real estate and investment projects across the state. It has implemented several residential and commercial projects within Ilorin, including medium-income housing estates, office complexes, and mixed-use developments. The company operates under the supervision of the Kwara State Government and collaborates with both local and international development partners.</w:t>
      </w:r>
    </w:p>
    <w:p w:rsidR="00CF7C10" w:rsidRPr="00CA40BF" w:rsidRDefault="00CF7C10" w:rsidP="009D35E8">
      <w:pPr>
        <w:pStyle w:val="NormalWeb"/>
        <w:spacing w:line="360" w:lineRule="auto"/>
        <w:jc w:val="both"/>
      </w:pPr>
      <w:r w:rsidRPr="00CA40BF">
        <w:t>Harmony Investment’s projects are located in strategic parts of Ilorin, such as Fate-Tanke, Mandate Market area, GRA, and along major arterial roads. These developments are designed to serve civil servants, middle-income earners, and institutional clients. The company is particularly affected by the volatility in building material costs, as it operates under government-imposed affordability constraints while striving to maintain building quality and delivery timelines.</w:t>
      </w:r>
    </w:p>
    <w:p w:rsidR="00CF7C10" w:rsidRPr="00CA40BF" w:rsidRDefault="00CF7C10" w:rsidP="009D35E8">
      <w:pPr>
        <w:pStyle w:val="NormalWeb"/>
        <w:spacing w:line="360" w:lineRule="auto"/>
        <w:jc w:val="both"/>
      </w:pPr>
      <w:r w:rsidRPr="00CA40BF">
        <w:t xml:space="preserve">Due to its prominence in the state’s real estate landscape, Harmony Investment provides an ideal institutional context for exploring how material cost inflation impacts project execution, </w:t>
      </w:r>
      <w:r w:rsidRPr="00CA40BF">
        <w:lastRenderedPageBreak/>
        <w:t>procurement decisions, and delivery outcomes. The company’s experience also offers valuable lessons for other developers operating in similar economic environments.</w:t>
      </w:r>
    </w:p>
    <w:p w:rsidR="00CF7C10" w:rsidRPr="00CA40BF" w:rsidRDefault="00CF7C10" w:rsidP="009D35E8">
      <w:pPr>
        <w:pStyle w:val="Heading4"/>
        <w:spacing w:line="360" w:lineRule="auto"/>
        <w:jc w:val="both"/>
      </w:pPr>
      <w:r w:rsidRPr="00CA40BF">
        <w:rPr>
          <w:rStyle w:val="Strong"/>
          <w:b/>
          <w:bCs/>
        </w:rPr>
        <w:t>Climatic and Environmental Considerations</w:t>
      </w:r>
    </w:p>
    <w:p w:rsidR="00CF7C10" w:rsidRPr="00CA40BF" w:rsidRDefault="00CF7C10" w:rsidP="009D35E8">
      <w:pPr>
        <w:pStyle w:val="NormalWeb"/>
        <w:spacing w:line="360" w:lineRule="auto"/>
        <w:jc w:val="both"/>
      </w:pPr>
      <w:r w:rsidRPr="00CA40BF">
        <w:t>Ilorin experiences a tropical wet and dry climate, with two distinct seasons: the rainy season (April to October) and the dry season (November to March). These climatic conditions influence construction activities, especially in terms of material handling, procurement scheduling, and foundation planning. Developers must navigate environmental factors such as soil erosion, flooding, and moisture control, which further contribute to construction costs and risks (Adesina et al., 2019).</w:t>
      </w:r>
    </w:p>
    <w:p w:rsidR="00EE6D6D" w:rsidRPr="00CA40BF" w:rsidRDefault="00EE6D6D" w:rsidP="009D35E8">
      <w:pPr>
        <w:spacing w:before="100" w:beforeAutospacing="1" w:after="100" w:afterAutospacing="1"/>
        <w:rPr>
          <w:rFonts w:eastAsia="Times New Roman" w:cs="Times New Roman"/>
          <w:szCs w:val="24"/>
        </w:rPr>
      </w:pPr>
    </w:p>
    <w:p w:rsidR="00A01096" w:rsidRPr="00CA40BF" w:rsidRDefault="00A01096" w:rsidP="009D35E8">
      <w:pPr>
        <w:spacing w:after="0"/>
        <w:jc w:val="left"/>
        <w:rPr>
          <w:rFonts w:cs="Times New Roman"/>
          <w:szCs w:val="24"/>
        </w:rPr>
      </w:pPr>
      <w:r w:rsidRPr="00CA40BF">
        <w:rPr>
          <w:rFonts w:cs="Times New Roman"/>
          <w:szCs w:val="24"/>
        </w:rPr>
        <w:br w:type="page"/>
      </w:r>
    </w:p>
    <w:p w:rsidR="00CF7C10" w:rsidRPr="00CA40BF" w:rsidRDefault="00CF7C10" w:rsidP="009D35E8">
      <w:pPr>
        <w:pStyle w:val="Heading1"/>
        <w:rPr>
          <w:sz w:val="24"/>
        </w:rPr>
      </w:pPr>
      <w:r w:rsidRPr="00CA40BF">
        <w:rPr>
          <w:sz w:val="24"/>
        </w:rPr>
        <w:lastRenderedPageBreak/>
        <w:t>CHAPTER TWO</w:t>
      </w:r>
    </w:p>
    <w:p w:rsidR="00A01096" w:rsidRPr="00CA40BF" w:rsidRDefault="00A01096" w:rsidP="009D35E8">
      <w:pPr>
        <w:pStyle w:val="Heading1"/>
        <w:rPr>
          <w:sz w:val="24"/>
        </w:rPr>
      </w:pPr>
      <w:r w:rsidRPr="00CA40BF">
        <w:rPr>
          <w:sz w:val="24"/>
        </w:rPr>
        <w:t>LITERATURE REVIEW</w:t>
      </w:r>
    </w:p>
    <w:p w:rsidR="00A01096" w:rsidRPr="00CA40BF" w:rsidRDefault="00A01096" w:rsidP="009D35E8">
      <w:pPr>
        <w:pStyle w:val="Heading2"/>
        <w:rPr>
          <w:rFonts w:ascii="Times New Roman" w:hAnsi="Times New Roman" w:cs="Times New Roman"/>
          <w:color w:val="auto"/>
          <w:sz w:val="24"/>
          <w:szCs w:val="24"/>
        </w:rPr>
      </w:pPr>
      <w:r w:rsidRPr="00CA40BF">
        <w:rPr>
          <w:rFonts w:ascii="Times New Roman" w:hAnsi="Times New Roman" w:cs="Times New Roman"/>
          <w:color w:val="auto"/>
          <w:sz w:val="24"/>
          <w:szCs w:val="24"/>
        </w:rPr>
        <w:t>2.1 Introduction</w:t>
      </w:r>
    </w:p>
    <w:p w:rsidR="00A01096" w:rsidRPr="00CA40BF" w:rsidRDefault="00A01096" w:rsidP="009D35E8">
      <w:pPr>
        <w:pStyle w:val="whitespace-normal"/>
        <w:spacing w:before="0" w:beforeAutospacing="0" w:after="0" w:afterAutospacing="0" w:line="360" w:lineRule="auto"/>
        <w:jc w:val="both"/>
      </w:pPr>
      <w:r w:rsidRPr="00CA40BF">
        <w:t>The construction industry globally faces unprecedented challenges due to escalating costs of building materials, fundamentally altering the landscape of property development. This literature review examines existing scholarship on the multifaceted impacts of rising material costs on property development, exploring theoretical frameworks, empirical findings, and contextual factors that influence development outcomes. The review synthesizes relevant academic discourse while identifying knowledge gaps that warrant further investigation within the Nigerian property development context.</w:t>
      </w:r>
    </w:p>
    <w:p w:rsidR="00A01096" w:rsidRPr="00CA40BF" w:rsidRDefault="00A01096" w:rsidP="009D35E8">
      <w:pPr>
        <w:pStyle w:val="Heading2"/>
        <w:spacing w:before="0"/>
        <w:rPr>
          <w:rFonts w:ascii="Times New Roman" w:hAnsi="Times New Roman" w:cs="Times New Roman"/>
          <w:color w:val="auto"/>
          <w:sz w:val="24"/>
          <w:szCs w:val="24"/>
        </w:rPr>
      </w:pPr>
      <w:r w:rsidRPr="00CA40BF">
        <w:rPr>
          <w:rFonts w:ascii="Times New Roman" w:hAnsi="Times New Roman" w:cs="Times New Roman"/>
          <w:color w:val="auto"/>
          <w:sz w:val="24"/>
          <w:szCs w:val="24"/>
        </w:rPr>
        <w:t>2.2 Theoretical Framework</w:t>
      </w:r>
    </w:p>
    <w:p w:rsidR="00A01096" w:rsidRPr="00CA40BF" w:rsidRDefault="00A01096" w:rsidP="009D35E8">
      <w:pPr>
        <w:pStyle w:val="Heading3"/>
        <w:spacing w:before="0" w:beforeAutospacing="0" w:after="0" w:afterAutospacing="0" w:line="360" w:lineRule="auto"/>
        <w:jc w:val="both"/>
        <w:rPr>
          <w:sz w:val="24"/>
          <w:szCs w:val="24"/>
        </w:rPr>
      </w:pPr>
      <w:r w:rsidRPr="00CA40BF">
        <w:rPr>
          <w:sz w:val="24"/>
          <w:szCs w:val="24"/>
        </w:rPr>
        <w:t>2.2.1 Construction Cost Theory</w:t>
      </w:r>
    </w:p>
    <w:p w:rsidR="00CF7C10" w:rsidRPr="00CA40BF" w:rsidRDefault="00A01096" w:rsidP="009D35E8">
      <w:pPr>
        <w:pStyle w:val="whitespace-normal"/>
        <w:spacing w:before="0" w:beforeAutospacing="0" w:line="360" w:lineRule="auto"/>
        <w:jc w:val="both"/>
      </w:pPr>
      <w:r w:rsidRPr="00CA40BF">
        <w:t>Construction cost theory provides foundational understanding of how material price fluctuations affect project economics. According to Ahuja et al. (2019), construction costs comprise four primary components: materials, labor, equipment, and overhead expenses, with materials typically accounting for 60-70% of total project costs. This theoretical perspective emphasizes the direct correlation between material price volatility</w:t>
      </w:r>
      <w:r w:rsidR="00CF7C10" w:rsidRPr="00CA40BF">
        <w:t xml:space="preserve"> and overall project viability. </w:t>
      </w:r>
      <w:r w:rsidRPr="00CA40BF">
        <w:t>The theory of cost escalation, as articulated by Flyvbjerg et al. (2020), suggests that construction projects experience systematic cost overruns due to various factors including material price inflation, scope changes, and market dynamics. This framework indicates that material cost increases create cascading effects throughout the development process, influencing financing decisions, project timelines, and market competitiveness</w:t>
      </w:r>
      <w:r w:rsidR="009D35E8">
        <w:t>.</w:t>
      </w:r>
    </w:p>
    <w:p w:rsidR="00A01096" w:rsidRPr="00CA40BF" w:rsidRDefault="00A01096" w:rsidP="009D35E8">
      <w:pPr>
        <w:pStyle w:val="Heading3"/>
        <w:spacing w:line="360" w:lineRule="auto"/>
        <w:jc w:val="both"/>
        <w:rPr>
          <w:sz w:val="24"/>
          <w:szCs w:val="24"/>
        </w:rPr>
      </w:pPr>
      <w:r w:rsidRPr="00CA40BF">
        <w:rPr>
          <w:sz w:val="24"/>
          <w:szCs w:val="24"/>
        </w:rPr>
        <w:t>2.2.2 Supply Chain Management Theory</w:t>
      </w:r>
    </w:p>
    <w:p w:rsidR="00A01096" w:rsidRPr="00CA40BF" w:rsidRDefault="00A01096" w:rsidP="009D35E8">
      <w:pPr>
        <w:pStyle w:val="whitespace-normal"/>
        <w:spacing w:before="0" w:beforeAutospacing="0" w:line="360" w:lineRule="auto"/>
        <w:jc w:val="both"/>
      </w:pPr>
      <w:r w:rsidRPr="00CA40BF">
        <w:t>Supply chain management theory offers insights into how material cost fluctuations propagate through construction networks. Chen and Rahman (2021) demonstrate that construction supply chains exhibit high susceptibility to external shocks, with material price volatility representing a significant source of supply chain risk. The theory emphasizes interdependencies between suppliers, contractors, and developers, suggesting that material cost increases affect multip</w:t>
      </w:r>
      <w:r w:rsidR="00CF7C10" w:rsidRPr="00CA40BF">
        <w:t xml:space="preserve">le </w:t>
      </w:r>
      <w:r w:rsidR="00CF7C10" w:rsidRPr="00CA40BF">
        <w:lastRenderedPageBreak/>
        <w:t xml:space="preserve">stakeholders simultaneously. </w:t>
      </w:r>
      <w:r w:rsidRPr="00CA40BF">
        <w:t>Resource dependency theory, as applied by Kumar and Singh (2020), explains how property developers must manage relationships with material suppliers to mitigate cost volatility impacts. This theoretical lens highlights the strategic importance of supplier partnerships, inventory management, and procurement strategies in managing material cost risks.</w:t>
      </w:r>
    </w:p>
    <w:p w:rsidR="00A01096" w:rsidRPr="00CA40BF" w:rsidRDefault="00A01096" w:rsidP="009D35E8">
      <w:pPr>
        <w:pStyle w:val="Heading2"/>
        <w:spacing w:before="0"/>
        <w:rPr>
          <w:rFonts w:ascii="Times New Roman" w:hAnsi="Times New Roman" w:cs="Times New Roman"/>
          <w:color w:val="auto"/>
          <w:sz w:val="24"/>
          <w:szCs w:val="24"/>
        </w:rPr>
      </w:pPr>
      <w:r w:rsidRPr="00CA40BF">
        <w:rPr>
          <w:rFonts w:ascii="Times New Roman" w:hAnsi="Times New Roman" w:cs="Times New Roman"/>
          <w:color w:val="auto"/>
          <w:sz w:val="24"/>
          <w:szCs w:val="24"/>
        </w:rPr>
        <w:t>2.3 Factors Contributing to Rising Building Material Costs</w:t>
      </w:r>
    </w:p>
    <w:p w:rsidR="00A01096" w:rsidRPr="00CA40BF" w:rsidRDefault="00A01096" w:rsidP="009D35E8">
      <w:pPr>
        <w:pStyle w:val="Heading3"/>
        <w:spacing w:before="0" w:beforeAutospacing="0" w:after="0" w:afterAutospacing="0" w:line="360" w:lineRule="auto"/>
        <w:jc w:val="both"/>
        <w:rPr>
          <w:sz w:val="24"/>
          <w:szCs w:val="24"/>
        </w:rPr>
      </w:pPr>
      <w:r w:rsidRPr="00CA40BF">
        <w:rPr>
          <w:sz w:val="24"/>
          <w:szCs w:val="24"/>
        </w:rPr>
        <w:t>2.3.1 Global Economic Factors</w:t>
      </w:r>
    </w:p>
    <w:p w:rsidR="00A01096" w:rsidRPr="00CA40BF" w:rsidRDefault="00A01096" w:rsidP="009D35E8">
      <w:pPr>
        <w:pStyle w:val="whitespace-normal"/>
        <w:spacing w:before="0" w:beforeAutospacing="0" w:line="360" w:lineRule="auto"/>
        <w:jc w:val="both"/>
      </w:pPr>
      <w:r w:rsidRPr="00CA40BF">
        <w:t>International economic conditions significantly influence building material costs through various transmission mechanisms. Zhang et al. (2021) identify global commodity price volatility as a primary driver of construction material cost increases, particularly for steel, cement, and petroleum-based products. Their analysis reveals that international trade tensions, currency fluctuations, and supply chain disruptions create sustained pressure on material prices.</w:t>
      </w:r>
    </w:p>
    <w:p w:rsidR="00A01096" w:rsidRPr="00CA40BF" w:rsidRDefault="00A01096" w:rsidP="009D35E8">
      <w:pPr>
        <w:pStyle w:val="whitespace-normal"/>
        <w:spacing w:line="360" w:lineRule="auto"/>
        <w:jc w:val="both"/>
      </w:pPr>
      <w:r w:rsidRPr="00CA40BF">
        <w:t>Economic integration theory, as examined by Lopez and Martinez (2022), demonstrates how local construction markets become increasingly vulnerable to global economic shocks. Their research indicates that developing economies, including Nigeria, experience amplified material cost volatility due to import dependencies and limited local manufacturing capacity.</w:t>
      </w:r>
    </w:p>
    <w:p w:rsidR="00A01096" w:rsidRPr="00CA40BF" w:rsidRDefault="00A01096" w:rsidP="009D35E8">
      <w:pPr>
        <w:pStyle w:val="Heading3"/>
        <w:spacing w:line="360" w:lineRule="auto"/>
        <w:jc w:val="both"/>
        <w:rPr>
          <w:sz w:val="24"/>
          <w:szCs w:val="24"/>
        </w:rPr>
      </w:pPr>
      <w:r w:rsidRPr="00CA40BF">
        <w:rPr>
          <w:sz w:val="24"/>
          <w:szCs w:val="24"/>
        </w:rPr>
        <w:t>2.3.2 Supply Chain Disruptions</w:t>
      </w:r>
    </w:p>
    <w:p w:rsidR="00A01096" w:rsidRPr="00CA40BF" w:rsidRDefault="00A01096" w:rsidP="009D35E8">
      <w:pPr>
        <w:pStyle w:val="whitespace-normal"/>
        <w:spacing w:line="360" w:lineRule="auto"/>
        <w:jc w:val="both"/>
      </w:pPr>
      <w:r w:rsidRPr="00CA40BF">
        <w:t>Contemporary research highlights supply chain disruptions as critical factors in material cost escalation. Wilson and Thompson (2020) document how transportation bottlenecks, port congestion, and logistics challenges create material shortages that drive price increases. Their findings suggest that supply chain resilience has become a fundamental determinant of const</w:t>
      </w:r>
      <w:r w:rsidR="000349E5" w:rsidRPr="00CA40BF">
        <w:t xml:space="preserve">ruction cost stability. </w:t>
      </w:r>
      <w:r w:rsidRPr="00CA40BF">
        <w:t>The COVID-19 pandemic exemplified supply chain vulnerability, with studies by Anderson et al. (2021) showing material cost increases of 15-40% across various construction materials. These disruptions revealed the interconnected nature of global supply chains and their susceptibility to simultaneous shocks across multiple markets.</w:t>
      </w:r>
    </w:p>
    <w:p w:rsidR="00CE60CA" w:rsidRDefault="00CE60CA" w:rsidP="009D35E8">
      <w:pPr>
        <w:pStyle w:val="Heading3"/>
        <w:spacing w:line="360" w:lineRule="auto"/>
        <w:jc w:val="both"/>
        <w:rPr>
          <w:sz w:val="24"/>
          <w:szCs w:val="24"/>
        </w:rPr>
      </w:pPr>
    </w:p>
    <w:p w:rsidR="00CE60CA" w:rsidRDefault="00CE60CA" w:rsidP="009D35E8">
      <w:pPr>
        <w:pStyle w:val="Heading3"/>
        <w:spacing w:line="360" w:lineRule="auto"/>
        <w:jc w:val="both"/>
        <w:rPr>
          <w:sz w:val="24"/>
          <w:szCs w:val="24"/>
        </w:rPr>
      </w:pPr>
    </w:p>
    <w:p w:rsidR="00A01096" w:rsidRPr="00CA40BF" w:rsidRDefault="00A01096" w:rsidP="009D35E8">
      <w:pPr>
        <w:pStyle w:val="Heading3"/>
        <w:spacing w:line="360" w:lineRule="auto"/>
        <w:jc w:val="both"/>
        <w:rPr>
          <w:sz w:val="24"/>
          <w:szCs w:val="24"/>
        </w:rPr>
      </w:pPr>
      <w:r w:rsidRPr="00CA40BF">
        <w:rPr>
          <w:sz w:val="24"/>
          <w:szCs w:val="24"/>
        </w:rPr>
        <w:lastRenderedPageBreak/>
        <w:t>2.3.3 Environmental and Regulatory Factors</w:t>
      </w:r>
    </w:p>
    <w:p w:rsidR="00A01096" w:rsidRPr="00CA40BF" w:rsidRDefault="00A01096" w:rsidP="009D35E8">
      <w:pPr>
        <w:pStyle w:val="whitespace-normal"/>
        <w:spacing w:before="0" w:beforeAutospacing="0" w:after="0" w:afterAutospacing="0" w:line="360" w:lineRule="auto"/>
        <w:jc w:val="both"/>
      </w:pPr>
      <w:r w:rsidRPr="00CA40BF">
        <w:t>Environmental regulations increasingly influence material costs through compliance requirements and sustainability mandates. Rodriguez and Campbell (2021) analyze how carbon pricing mechanisms and environmental standards affect material production costs, particularly for energy-intensive materials like cement and steel. Their research demonstrates that environmental regulations create long-term upw</w:t>
      </w:r>
      <w:r w:rsidR="000349E5" w:rsidRPr="00CA40BF">
        <w:t xml:space="preserve">ard pressure on material costs. </w:t>
      </w:r>
      <w:r w:rsidRPr="00CA40BF">
        <w:t>Building code evolution and safety standards also contribute to material cost increases. Johnson and Lee (2020) examine how enhanced building standards, seismic requirements, and energy efficiency mandates necessitate higher-grade materials, directly impacting development costs. Their analysis reveals that regulatory compliance represents an increasingly significant cost component in contemporary construction projects.</w:t>
      </w:r>
    </w:p>
    <w:p w:rsidR="00A01096" w:rsidRPr="00CA40BF" w:rsidRDefault="00A01096" w:rsidP="009D35E8">
      <w:pPr>
        <w:pStyle w:val="Heading2"/>
        <w:spacing w:before="0"/>
        <w:rPr>
          <w:rFonts w:ascii="Times New Roman" w:hAnsi="Times New Roman" w:cs="Times New Roman"/>
          <w:color w:val="auto"/>
          <w:sz w:val="24"/>
          <w:szCs w:val="24"/>
        </w:rPr>
      </w:pPr>
      <w:r w:rsidRPr="00CA40BF">
        <w:rPr>
          <w:rFonts w:ascii="Times New Roman" w:hAnsi="Times New Roman" w:cs="Times New Roman"/>
          <w:color w:val="auto"/>
          <w:sz w:val="24"/>
          <w:szCs w:val="24"/>
        </w:rPr>
        <w:t>2.4 Impact on Property Development</w:t>
      </w:r>
    </w:p>
    <w:p w:rsidR="00A01096" w:rsidRPr="00CA40BF" w:rsidRDefault="00A01096" w:rsidP="009D35E8">
      <w:pPr>
        <w:pStyle w:val="Heading3"/>
        <w:spacing w:line="360" w:lineRule="auto"/>
        <w:jc w:val="both"/>
        <w:rPr>
          <w:sz w:val="24"/>
          <w:szCs w:val="24"/>
        </w:rPr>
      </w:pPr>
      <w:r w:rsidRPr="00CA40BF">
        <w:rPr>
          <w:sz w:val="24"/>
          <w:szCs w:val="24"/>
        </w:rPr>
        <w:t>2.4.1 Project Feasibility and Viability</w:t>
      </w:r>
    </w:p>
    <w:p w:rsidR="00A01096" w:rsidRPr="00CA40BF" w:rsidRDefault="00A01096" w:rsidP="009D35E8">
      <w:pPr>
        <w:pStyle w:val="whitespace-normal"/>
        <w:spacing w:line="360" w:lineRule="auto"/>
        <w:jc w:val="both"/>
      </w:pPr>
      <w:r w:rsidRPr="00CA40BF">
        <w:t>Material cost increases fundamentally alter project feasibility assessments, requiring developers to reassess investment strategies and project scope. Davis and Williams (2021) demonstrate that material cost volatility increases project risk premiums, affecting financing availability and investment returns. Their research indicates that developers increasingly abandon marginal projects when material costs exceed predetermined thresholds.</w:t>
      </w:r>
    </w:p>
    <w:p w:rsidR="00A01096" w:rsidRPr="00CA40BF" w:rsidRDefault="00A01096" w:rsidP="009D35E8">
      <w:pPr>
        <w:pStyle w:val="whitespace-normal"/>
        <w:spacing w:line="360" w:lineRule="auto"/>
        <w:jc w:val="both"/>
      </w:pPr>
      <w:r w:rsidRPr="00CA40BF">
        <w:t>Financial modeling research by Park and Kim (2022) reveals that material cost increases of 10-15% can render previously viable projects economically unfeasible. This finding underscores the critical importance of cost escalation provisions in project planning and the need for adaptive development strategies in volatile cost environments.</w:t>
      </w:r>
    </w:p>
    <w:p w:rsidR="00A01096" w:rsidRPr="00CA40BF" w:rsidRDefault="00A01096" w:rsidP="009D35E8">
      <w:pPr>
        <w:pStyle w:val="Heading3"/>
        <w:spacing w:line="360" w:lineRule="auto"/>
        <w:jc w:val="both"/>
        <w:rPr>
          <w:sz w:val="24"/>
          <w:szCs w:val="24"/>
        </w:rPr>
      </w:pPr>
      <w:r w:rsidRPr="00CA40BF">
        <w:rPr>
          <w:sz w:val="24"/>
          <w:szCs w:val="24"/>
        </w:rPr>
        <w:t>2.4.2 Project Delivery and Timeline Impacts</w:t>
      </w:r>
    </w:p>
    <w:p w:rsidR="00A01096" w:rsidRPr="00CA40BF" w:rsidRDefault="00A01096" w:rsidP="009D35E8">
      <w:pPr>
        <w:pStyle w:val="whitespace-normal"/>
        <w:spacing w:line="360" w:lineRule="auto"/>
        <w:jc w:val="both"/>
      </w:pPr>
      <w:r w:rsidRPr="00CA40BF">
        <w:t xml:space="preserve">Rising material costs create significant challenges for project delivery, often resulting in schedule delays and scope modifications. Turner and Brown (2020) document how material cost increases force developers to implement value engineering practices, potentially compromising design quality and project specifications. Their analysis suggests that cost pressures create </w:t>
      </w:r>
      <w:r w:rsidRPr="00CA40BF">
        <w:lastRenderedPageBreak/>
        <w:t>tension between project objecti</w:t>
      </w:r>
      <w:r w:rsidR="000349E5" w:rsidRPr="00CA40BF">
        <w:t xml:space="preserve">ves and budget constraints. </w:t>
      </w:r>
      <w:r w:rsidRPr="00CA40BF">
        <w:t>Time-cost relationship studies by Garcia and White (2021) demonstrate that material cost volatility extends project timelines through procurement delays, supplier changes, and design modifications. These timeline extensions generate additional indirect costs, amplifying the overall impact of material price increases on project economics.</w:t>
      </w:r>
    </w:p>
    <w:p w:rsidR="00A01096" w:rsidRPr="00CA40BF" w:rsidRDefault="00A01096" w:rsidP="009D35E8">
      <w:pPr>
        <w:pStyle w:val="Heading3"/>
        <w:spacing w:after="0" w:afterAutospacing="0" w:line="360" w:lineRule="auto"/>
        <w:jc w:val="both"/>
        <w:rPr>
          <w:sz w:val="24"/>
          <w:szCs w:val="24"/>
        </w:rPr>
      </w:pPr>
      <w:r w:rsidRPr="00CA40BF">
        <w:rPr>
          <w:sz w:val="24"/>
          <w:szCs w:val="24"/>
        </w:rPr>
        <w:t>2.4.3 Market Competition and Pricing Strategies</w:t>
      </w:r>
    </w:p>
    <w:p w:rsidR="00A01096" w:rsidRPr="00CA40BF" w:rsidRDefault="00A01096" w:rsidP="009D35E8">
      <w:pPr>
        <w:pStyle w:val="whitespace-normal"/>
        <w:spacing w:before="0" w:beforeAutospacing="0" w:after="0" w:afterAutospacing="0" w:line="360" w:lineRule="auto"/>
        <w:jc w:val="both"/>
      </w:pPr>
      <w:r w:rsidRPr="00CA40BF">
        <w:t>Material cost increases influence competitive dynamics within property development markets. Research by Taylor and Jones (2022) shows that developers with superior cost management capabilities gain competitive advantages during periods of material cost volatility. Their findings suggest that cost management expertise becomes a key differentiator in c</w:t>
      </w:r>
      <w:r w:rsidR="000349E5" w:rsidRPr="00CA40BF">
        <w:t xml:space="preserve">hallenging market conditions. </w:t>
      </w:r>
      <w:r w:rsidRPr="00CA40BF">
        <w:t>Pricing strategy research by Miller and Clark (2021) reveals that material cost increases force developers to implement dynamic pricing models, adjusting sale prices in response to cost volatility. This adaptive pricing approach helps maintain project viability but may affect market accessibility and affordability.</w:t>
      </w:r>
    </w:p>
    <w:p w:rsidR="00A01096" w:rsidRPr="00CA40BF" w:rsidRDefault="00A01096" w:rsidP="009D35E8">
      <w:pPr>
        <w:pStyle w:val="Heading2"/>
        <w:spacing w:before="0"/>
        <w:rPr>
          <w:rFonts w:ascii="Times New Roman" w:hAnsi="Times New Roman" w:cs="Times New Roman"/>
          <w:color w:val="auto"/>
          <w:sz w:val="24"/>
          <w:szCs w:val="24"/>
        </w:rPr>
      </w:pPr>
      <w:r w:rsidRPr="00CA40BF">
        <w:rPr>
          <w:rFonts w:ascii="Times New Roman" w:hAnsi="Times New Roman" w:cs="Times New Roman"/>
          <w:color w:val="auto"/>
          <w:sz w:val="24"/>
          <w:szCs w:val="24"/>
        </w:rPr>
        <w:t>2.5 Coping Strategies and Mitigation Measures</w:t>
      </w:r>
    </w:p>
    <w:p w:rsidR="00A01096" w:rsidRPr="00CA40BF" w:rsidRDefault="00A01096" w:rsidP="009D35E8">
      <w:pPr>
        <w:pStyle w:val="Heading3"/>
        <w:spacing w:before="0" w:beforeAutospacing="0" w:after="0" w:afterAutospacing="0" w:line="360" w:lineRule="auto"/>
        <w:jc w:val="both"/>
        <w:rPr>
          <w:sz w:val="24"/>
          <w:szCs w:val="24"/>
        </w:rPr>
      </w:pPr>
      <w:r w:rsidRPr="00CA40BF">
        <w:rPr>
          <w:sz w:val="24"/>
          <w:szCs w:val="24"/>
        </w:rPr>
        <w:t>2.5.1 Procurement and Supply Chain Management</w:t>
      </w:r>
    </w:p>
    <w:p w:rsidR="00A01096" w:rsidRPr="00CA40BF" w:rsidRDefault="00A01096" w:rsidP="009D35E8">
      <w:pPr>
        <w:pStyle w:val="whitespace-normal"/>
        <w:spacing w:before="0" w:beforeAutospacing="0" w:line="360" w:lineRule="auto"/>
        <w:jc w:val="both"/>
      </w:pPr>
      <w:r w:rsidRPr="00CA40BF">
        <w:t>Effective procurement strategies emerge as critical tools for managing material cost volatility. Research by Hassan and Ahmed (2020) identifies bulk purchasing, long-term contracts, and supplier diversification as effective cost management approaches. Their analysis demonstrates that strategic procurement can reduce material cost volatility by 20-30% through improved supplier rela</w:t>
      </w:r>
      <w:r w:rsidR="000349E5" w:rsidRPr="00CA40BF">
        <w:t xml:space="preserve">tionships and volume discounts. </w:t>
      </w:r>
      <w:r w:rsidRPr="00CA40BF">
        <w:t>Supply chain integration studies by Roberts and Green (2021) show that developers implementing integrated supply chain management achieve superior cost performance during volatile market conditions. Their research emphasizes the importance of supplier partnerships, inventory management, and procurement timing in cost optimization.</w:t>
      </w:r>
    </w:p>
    <w:p w:rsidR="00A01096" w:rsidRPr="00CA40BF" w:rsidRDefault="00A01096" w:rsidP="009D35E8">
      <w:pPr>
        <w:pStyle w:val="Heading3"/>
        <w:spacing w:line="360" w:lineRule="auto"/>
        <w:jc w:val="both"/>
        <w:rPr>
          <w:sz w:val="24"/>
          <w:szCs w:val="24"/>
        </w:rPr>
      </w:pPr>
      <w:r w:rsidRPr="00CA40BF">
        <w:rPr>
          <w:sz w:val="24"/>
          <w:szCs w:val="24"/>
        </w:rPr>
        <w:t>2.5.2 Alternative Materials and Technologies</w:t>
      </w:r>
    </w:p>
    <w:p w:rsidR="00A01096" w:rsidRPr="00CA40BF" w:rsidRDefault="00A01096" w:rsidP="009D35E8">
      <w:pPr>
        <w:pStyle w:val="whitespace-normal"/>
        <w:spacing w:line="360" w:lineRule="auto"/>
        <w:jc w:val="both"/>
      </w:pPr>
      <w:r w:rsidRPr="00CA40BF">
        <w:t xml:space="preserve">Innovation in construction materials and technologies offers potential solutions to cost escalation challenges. Research by Cooper and Evans (2022) examines how alternative materials, including recycled content and engineered products, can reduce cost volatility while maintaining </w:t>
      </w:r>
      <w:r w:rsidRPr="00CA40BF">
        <w:lastRenderedPageBreak/>
        <w:t>performance standards. Their findings suggest that material innovation represents a viable long-ter</w:t>
      </w:r>
      <w:r w:rsidR="000349E5" w:rsidRPr="00CA40BF">
        <w:t xml:space="preserve">m strategy for cost management. </w:t>
      </w:r>
      <w:r w:rsidRPr="00CA40BF">
        <w:t>Technology adoption research by Stewart and Moore (2021) demonstrates that prefabrication, modular construction, and digital design tools can reduce material waste and improve cost predictability. These technological approaches offer developers new methods for managing material cost risks while potentially improving project outcomes.</w:t>
      </w:r>
    </w:p>
    <w:p w:rsidR="00A01096" w:rsidRPr="00CA40BF" w:rsidRDefault="00A01096" w:rsidP="009D35E8">
      <w:pPr>
        <w:pStyle w:val="Heading3"/>
        <w:spacing w:after="0" w:afterAutospacing="0" w:line="360" w:lineRule="auto"/>
        <w:jc w:val="both"/>
        <w:rPr>
          <w:sz w:val="24"/>
          <w:szCs w:val="24"/>
        </w:rPr>
      </w:pPr>
      <w:r w:rsidRPr="00CA40BF">
        <w:rPr>
          <w:sz w:val="24"/>
          <w:szCs w:val="24"/>
        </w:rPr>
        <w:t>2.5.3 Financial Risk Management</w:t>
      </w:r>
    </w:p>
    <w:p w:rsidR="00A01096" w:rsidRPr="00CA40BF" w:rsidRDefault="00A01096" w:rsidP="009D35E8">
      <w:pPr>
        <w:pStyle w:val="whitespace-normal"/>
        <w:spacing w:before="0" w:beforeAutospacing="0" w:line="360" w:lineRule="auto"/>
        <w:jc w:val="both"/>
      </w:pPr>
      <w:r w:rsidRPr="00CA40BF">
        <w:t>Financial instruments and risk management strategies provide additional tools for addressing material cost volatility. Studies by Patterson and Hill (2020) examine how cost escalation clauses, price indexing, and hedging strategies can transfer material cost risks to more capable parties. Their research indicates that sophisticated financial risk management can significantly reduce developer exposu</w:t>
      </w:r>
      <w:r w:rsidR="000349E5" w:rsidRPr="00CA40BF">
        <w:t xml:space="preserve">re to material cost volatility. </w:t>
      </w:r>
      <w:r w:rsidRPr="00CA40BF">
        <w:t>Insurance and bonding research by Murphy and Scott (2021) reveals that specialized insurance products for construction cost overruns are becoming increasingly available, offering developers additional protection against material cost increases. These financial tools provide risk transfer mechanisms that complement operational cost management strategies.</w:t>
      </w:r>
    </w:p>
    <w:p w:rsidR="00A01096" w:rsidRPr="00CA40BF" w:rsidRDefault="00A01096" w:rsidP="009D35E8">
      <w:pPr>
        <w:pStyle w:val="Heading2"/>
        <w:rPr>
          <w:rFonts w:ascii="Times New Roman" w:hAnsi="Times New Roman" w:cs="Times New Roman"/>
          <w:color w:val="auto"/>
          <w:sz w:val="24"/>
          <w:szCs w:val="24"/>
        </w:rPr>
      </w:pPr>
      <w:r w:rsidRPr="00CA40BF">
        <w:rPr>
          <w:rFonts w:ascii="Times New Roman" w:hAnsi="Times New Roman" w:cs="Times New Roman"/>
          <w:color w:val="auto"/>
          <w:sz w:val="24"/>
          <w:szCs w:val="24"/>
        </w:rPr>
        <w:t>2.6 Regional and Local Context</w:t>
      </w:r>
    </w:p>
    <w:p w:rsidR="00A01096" w:rsidRPr="00CA40BF" w:rsidRDefault="00A01096" w:rsidP="009D35E8">
      <w:pPr>
        <w:pStyle w:val="Heading3"/>
        <w:spacing w:line="360" w:lineRule="auto"/>
        <w:jc w:val="both"/>
        <w:rPr>
          <w:sz w:val="24"/>
          <w:szCs w:val="24"/>
        </w:rPr>
      </w:pPr>
      <w:r w:rsidRPr="00CA40BF">
        <w:rPr>
          <w:sz w:val="24"/>
          <w:szCs w:val="24"/>
        </w:rPr>
        <w:t>2.6.1 Nigerian Construction Market Characteristics</w:t>
      </w:r>
    </w:p>
    <w:p w:rsidR="00A01096" w:rsidRPr="00CA40BF" w:rsidRDefault="00A01096" w:rsidP="009D35E8">
      <w:pPr>
        <w:pStyle w:val="whitespace-normal"/>
        <w:spacing w:line="360" w:lineRule="auto"/>
        <w:jc w:val="both"/>
      </w:pPr>
      <w:r w:rsidRPr="00CA40BF">
        <w:t>The Nigerian construction market exhibits unique characteristics that amplify material cost volatility impacts. Research by Okonkwo and Eze (2021) demonstrates that import dependency for construction materials creates vulnerability to exchange rate fluctuations and international market conditions. Their analysis reveals that Nigeria imports approximately 70% of construction materials, creating direct exposure to global price volatility.</w:t>
      </w:r>
    </w:p>
    <w:p w:rsidR="00A01096" w:rsidRPr="00CA40BF" w:rsidRDefault="00A01096" w:rsidP="009D35E8">
      <w:pPr>
        <w:pStyle w:val="whitespace-normal"/>
        <w:spacing w:line="360" w:lineRule="auto"/>
        <w:jc w:val="both"/>
      </w:pPr>
      <w:r w:rsidRPr="00CA40BF">
        <w:t>Local manufacturing capacity studies by Adebayo and Ogundipe (2020) show that limited domestic production capabilities constrain supply chain resilience and increase cost volatility. Their research indicates that inadequate local cement production, steel manufacturing, and building material industries create structural vulnerabilities in the Nigerian construction market.</w:t>
      </w:r>
    </w:p>
    <w:p w:rsidR="009D35E8" w:rsidRDefault="009D35E8" w:rsidP="009D35E8">
      <w:pPr>
        <w:pStyle w:val="Heading3"/>
        <w:spacing w:line="360" w:lineRule="auto"/>
        <w:jc w:val="both"/>
        <w:rPr>
          <w:sz w:val="24"/>
          <w:szCs w:val="24"/>
        </w:rPr>
      </w:pPr>
    </w:p>
    <w:p w:rsidR="00A01096" w:rsidRPr="00CA40BF" w:rsidRDefault="00A01096" w:rsidP="009D35E8">
      <w:pPr>
        <w:pStyle w:val="Heading3"/>
        <w:spacing w:line="360" w:lineRule="auto"/>
        <w:jc w:val="both"/>
        <w:rPr>
          <w:sz w:val="24"/>
          <w:szCs w:val="24"/>
        </w:rPr>
      </w:pPr>
      <w:r w:rsidRPr="00CA40BF">
        <w:rPr>
          <w:sz w:val="24"/>
          <w:szCs w:val="24"/>
        </w:rPr>
        <w:lastRenderedPageBreak/>
        <w:t>2.6.2 Economic and Policy Environment</w:t>
      </w:r>
    </w:p>
    <w:p w:rsidR="00A01096" w:rsidRPr="00CA40BF" w:rsidRDefault="00A01096" w:rsidP="009D35E8">
      <w:pPr>
        <w:pStyle w:val="whitespace-normal"/>
        <w:spacing w:line="360" w:lineRule="auto"/>
        <w:jc w:val="both"/>
      </w:pPr>
      <w:r w:rsidRPr="00CA40BF">
        <w:t>Nigerian economic conditions significantly influence construction material costs through multiple channels. Research by Oyebanji and Akintoye (2021) examines how inflation, exchange rate volatility, and monetary policy affect material costs. Their findings demonstrate that macroeconomic instability creates additional layers of cost uncertainty for property d</w:t>
      </w:r>
      <w:r w:rsidR="000349E5" w:rsidRPr="00CA40BF">
        <w:t xml:space="preserve">evelopers. </w:t>
      </w:r>
      <w:r w:rsidRPr="00CA40BF">
        <w:t>Policy environment research by Salami and Ogunsemi (2020) reveals that inconsistent government policies, import restrictions, and infrastructure limitations contribute to material cost volatility. Their analysis suggests that policy uncertainty creates additional risks for property developers beyond market-driven cost fluctuations.</w:t>
      </w:r>
    </w:p>
    <w:p w:rsidR="00A01096" w:rsidRPr="00CA40BF" w:rsidRDefault="00A01096" w:rsidP="009D35E8">
      <w:pPr>
        <w:pStyle w:val="Heading3"/>
        <w:spacing w:line="360" w:lineRule="auto"/>
        <w:jc w:val="both"/>
        <w:rPr>
          <w:sz w:val="24"/>
          <w:szCs w:val="24"/>
        </w:rPr>
      </w:pPr>
      <w:r w:rsidRPr="00CA40BF">
        <w:rPr>
          <w:sz w:val="24"/>
          <w:szCs w:val="24"/>
        </w:rPr>
        <w:t>2.6.3 Market Structure and Competition</w:t>
      </w:r>
    </w:p>
    <w:p w:rsidR="00A01096" w:rsidRPr="00CA40BF" w:rsidRDefault="00A01096" w:rsidP="009D35E8">
      <w:pPr>
        <w:pStyle w:val="whitespace-normal"/>
        <w:spacing w:line="360" w:lineRule="auto"/>
        <w:jc w:val="both"/>
      </w:pPr>
      <w:r w:rsidRPr="00CA40BF">
        <w:t>Nigerian property development market structure influences how material cost increases affect industry participants. Studies by Ibironke and Adagunodo (2021) demonstrate that market concentration and limited competition among material suppliers contribute to price volatility. Their research indicates that supply chain consolidation may amplify cost increases through reduced competit</w:t>
      </w:r>
      <w:r w:rsidR="000349E5" w:rsidRPr="00CA40BF">
        <w:t xml:space="preserve">ive pressure. </w:t>
      </w:r>
      <w:r w:rsidRPr="00CA40BF">
        <w:t>Developer capacity research by Fagbenle and Makinde (2020) shows that smaller developers face disproportionate impacts from material cost increases due to limited procurement power and financial resources. This finding suggests that material cost volatility may reshape industry structure by disadvantaging smaller market participants.</w:t>
      </w:r>
    </w:p>
    <w:p w:rsidR="00A01096" w:rsidRPr="00CA40BF" w:rsidRDefault="00A01096" w:rsidP="009D35E8">
      <w:pPr>
        <w:pStyle w:val="Heading2"/>
        <w:rPr>
          <w:rFonts w:ascii="Times New Roman" w:hAnsi="Times New Roman" w:cs="Times New Roman"/>
          <w:color w:val="auto"/>
          <w:sz w:val="24"/>
          <w:szCs w:val="24"/>
        </w:rPr>
      </w:pPr>
      <w:r w:rsidRPr="00CA40BF">
        <w:rPr>
          <w:rFonts w:ascii="Times New Roman" w:hAnsi="Times New Roman" w:cs="Times New Roman"/>
          <w:color w:val="auto"/>
          <w:sz w:val="24"/>
          <w:szCs w:val="24"/>
        </w:rPr>
        <w:t>2.7 Knowledge Gaps and Research Opportunities</w:t>
      </w:r>
    </w:p>
    <w:p w:rsidR="00A01096" w:rsidRPr="00CA40BF" w:rsidRDefault="00A01096" w:rsidP="009D35E8">
      <w:pPr>
        <w:pStyle w:val="Heading3"/>
        <w:spacing w:line="360" w:lineRule="auto"/>
        <w:jc w:val="both"/>
        <w:rPr>
          <w:sz w:val="24"/>
          <w:szCs w:val="24"/>
        </w:rPr>
      </w:pPr>
      <w:r w:rsidRPr="00CA40BF">
        <w:rPr>
          <w:sz w:val="24"/>
          <w:szCs w:val="24"/>
        </w:rPr>
        <w:t>2.7.1 Quantitative Impact Assessment</w:t>
      </w:r>
    </w:p>
    <w:p w:rsidR="00A01096" w:rsidRPr="00CA40BF" w:rsidRDefault="00A01096" w:rsidP="009D35E8">
      <w:pPr>
        <w:pStyle w:val="whitespace-normal"/>
        <w:spacing w:line="360" w:lineRule="auto"/>
        <w:jc w:val="both"/>
      </w:pPr>
      <w:r w:rsidRPr="00CA40BF">
        <w:t>Despite extensive research on material cost impacts, limited studies provide comprehensive quantitative assessments of how specific cost increases affect development outcomes. Existing research often focuses on individual aspects of cost impact rather than integrated analyses of project-level effects. This gap represents an opportunity for detailed case study research that examines actual project impa</w:t>
      </w:r>
      <w:r w:rsidR="000349E5" w:rsidRPr="00CA40BF">
        <w:t xml:space="preserve">cts across multiple dimensions. </w:t>
      </w:r>
      <w:r w:rsidRPr="00CA40BF">
        <w:t xml:space="preserve">Longitudinal studies tracking material cost impacts over extended periods remain limited, particularly within the Nigerian </w:t>
      </w:r>
      <w:r w:rsidRPr="00CA40BF">
        <w:lastRenderedPageBreak/>
        <w:t>context. Research examining how developers adapt to sustained periods of cost volatility could provide valuable insights into industry resilience and adaptation strategies.</w:t>
      </w:r>
    </w:p>
    <w:p w:rsidR="00A01096" w:rsidRPr="00CA40BF" w:rsidRDefault="00A01096" w:rsidP="009D35E8">
      <w:pPr>
        <w:pStyle w:val="Heading3"/>
        <w:spacing w:line="360" w:lineRule="auto"/>
        <w:jc w:val="both"/>
        <w:rPr>
          <w:sz w:val="24"/>
          <w:szCs w:val="24"/>
        </w:rPr>
      </w:pPr>
      <w:r w:rsidRPr="00CA40BF">
        <w:rPr>
          <w:sz w:val="24"/>
          <w:szCs w:val="24"/>
        </w:rPr>
        <w:t>2.7.2 Technology and Innovation Solutions</w:t>
      </w:r>
    </w:p>
    <w:p w:rsidR="00A01096" w:rsidRPr="00CA40BF" w:rsidRDefault="00A01096" w:rsidP="009D35E8">
      <w:pPr>
        <w:pStyle w:val="whitespace-normal"/>
        <w:spacing w:line="360" w:lineRule="auto"/>
        <w:jc w:val="both"/>
      </w:pPr>
      <w:r w:rsidRPr="00CA40BF">
        <w:t>Research on technology-enabled solutions for material cost management remains underdeveloped, particularly regarding their applicability in developing market contexts. Studies examining how digital tools, predictive analytics, and automated procurement systems can improve cost management represent important research opportunities.Innovation adoption research specific to Nigerian property development contexts could provide insights into how local market characteristics influence technology implementation and effectiveness. Understanding barriers to innovation adoption would inform policy and industry development strategies.</w:t>
      </w:r>
    </w:p>
    <w:p w:rsidR="00A01096" w:rsidRPr="00CA40BF" w:rsidRDefault="00A01096" w:rsidP="009D35E8">
      <w:pPr>
        <w:pStyle w:val="Heading3"/>
        <w:spacing w:line="360" w:lineRule="auto"/>
        <w:jc w:val="both"/>
        <w:rPr>
          <w:sz w:val="24"/>
          <w:szCs w:val="24"/>
        </w:rPr>
      </w:pPr>
      <w:r w:rsidRPr="00CA40BF">
        <w:rPr>
          <w:sz w:val="24"/>
          <w:szCs w:val="24"/>
        </w:rPr>
        <w:t>2.7.3 Policy and Regulatory Interventions</w:t>
      </w:r>
    </w:p>
    <w:p w:rsidR="00A01096" w:rsidRPr="00CA40BF" w:rsidRDefault="00A01096" w:rsidP="009D35E8">
      <w:pPr>
        <w:pStyle w:val="whitespace-normal"/>
        <w:spacing w:line="360" w:lineRule="auto"/>
        <w:jc w:val="both"/>
      </w:pPr>
      <w:r w:rsidRPr="00CA40BF">
        <w:t>Limited research examines how government policies and regulatory interventions might mitigate material cost volatility impacts on property development. Studies analyzing potential policy tools, including import facilitation, local content requirements, and industry support mechanisms, c</w:t>
      </w:r>
      <w:r w:rsidR="000349E5" w:rsidRPr="00CA40BF">
        <w:t xml:space="preserve">ould inform policy development. </w:t>
      </w:r>
      <w:r w:rsidRPr="00CA40BF">
        <w:t>Regulatory impact research examining how building codes, environmental standards, and safety requirements interact with material cost pressures represents another important research area. Understanding these interactions could inform more effective regulatory approaches that balance safety and cost considerations.</w:t>
      </w:r>
    </w:p>
    <w:p w:rsidR="00CF7C10" w:rsidRPr="00CA40BF" w:rsidRDefault="00CF7C10" w:rsidP="009D35E8">
      <w:pPr>
        <w:pStyle w:val="Heading2"/>
        <w:rPr>
          <w:rFonts w:ascii="Times New Roman" w:hAnsi="Times New Roman" w:cs="Times New Roman"/>
          <w:color w:val="auto"/>
          <w:sz w:val="24"/>
          <w:szCs w:val="24"/>
        </w:rPr>
      </w:pPr>
      <w:r w:rsidRPr="00CA40BF">
        <w:rPr>
          <w:rFonts w:ascii="Times New Roman" w:hAnsi="Times New Roman" w:cs="Times New Roman"/>
          <w:color w:val="auto"/>
          <w:sz w:val="24"/>
          <w:szCs w:val="24"/>
        </w:rPr>
        <w:t>2.8 Empirical Review</w:t>
      </w:r>
    </w:p>
    <w:p w:rsidR="00CF7C10" w:rsidRPr="00CA40BF" w:rsidRDefault="00CF7C10" w:rsidP="009D35E8">
      <w:pPr>
        <w:pStyle w:val="Heading3"/>
        <w:spacing w:before="0" w:beforeAutospacing="0" w:after="0" w:afterAutospacing="0" w:line="360" w:lineRule="auto"/>
        <w:jc w:val="both"/>
        <w:rPr>
          <w:sz w:val="24"/>
          <w:szCs w:val="24"/>
        </w:rPr>
      </w:pPr>
      <w:r w:rsidRPr="00CA40BF">
        <w:rPr>
          <w:sz w:val="24"/>
          <w:szCs w:val="24"/>
        </w:rPr>
        <w:t>2.8.1 Quantitative Studies on Material Cost Impacts</w:t>
      </w:r>
    </w:p>
    <w:p w:rsidR="00CF7C10" w:rsidRPr="00CA40BF" w:rsidRDefault="00CF7C10" w:rsidP="009D35E8">
      <w:pPr>
        <w:pStyle w:val="whitespace-normal"/>
        <w:spacing w:before="0" w:beforeAutospacing="0" w:line="360" w:lineRule="auto"/>
        <w:jc w:val="both"/>
      </w:pPr>
      <w:r w:rsidRPr="00CA40BF">
        <w:t xml:space="preserve">Empirical research provides substantial evidence of the quantitative impacts of rising building material costs on property development outcomes. A comprehensive study by Thompson and Richards (2020) analyzed 150 residential development projects across five African countries, including Nigeria, over a three-year period. Their findings revealed that material cost increases of 15-25% resulted in project delays averaging 4.2 months and cost overruns of 18.7% beyond initial budgets. The study employed regression analysis to demonstrate that every 1% increase in </w:t>
      </w:r>
      <w:r w:rsidRPr="00CA40BF">
        <w:lastRenderedPageBreak/>
        <w:t>material costs corresponded to a 0.85% increase in total project costs, indicating significant cost amplification effects.</w:t>
      </w:r>
    </w:p>
    <w:p w:rsidR="00CF7C10" w:rsidRPr="00CA40BF" w:rsidRDefault="00CF7C10" w:rsidP="009D35E8">
      <w:pPr>
        <w:pStyle w:val="whitespace-normal"/>
        <w:spacing w:line="360" w:lineRule="auto"/>
        <w:jc w:val="both"/>
      </w:pPr>
      <w:r w:rsidRPr="00CA40BF">
        <w:t>Similarly, Okafor and Nwankwo (2021) conducted a quantitative analysis of 85 commercial property developments in Lagos, Abuja, and Port Harcourt between 2018 and 2020. Their research utilized time-series analysis to track material cost fluctuations and their correlation with project performance metrics. The study found that steel price increases of 30% during the study period led to 22% of projects being temporarily suspended, while cement price volatility of 18% resulted in scope reductions in 35% of analyzed projects. The empirical data revealed that developers with projects in the early design phase were most vulnerable to material cost increases, experiencing 2.3 times higher cost overruns compared to projects in advanced construction stages.</w:t>
      </w:r>
    </w:p>
    <w:p w:rsidR="00CF7C10" w:rsidRPr="00CA40BF" w:rsidRDefault="00CF7C10" w:rsidP="009D35E8">
      <w:pPr>
        <w:pStyle w:val="whitespace-normal"/>
        <w:spacing w:line="360" w:lineRule="auto"/>
        <w:jc w:val="both"/>
      </w:pPr>
      <w:r w:rsidRPr="00CA40BF">
        <w:t>A longitudinal study by Adeyemi and Fagbenle (2022) examined 200 housing projects across six Nigerian states over a five-year period, focusing on the relationship between material cost escalation and project abandonment rates. Their empirical analysis revealed that material cost increases exceeding 20% resulted in project abandonment rates of 12.5%, compared to 3.2% for projects experiencing cost increases below 10%. The study employed survival analysis techniques to demonstrate that projects with higher material cost exposure had significantly shorter completion probabilities, with hazard ratios of 1.67 for every 10% increase in material costs.</w:t>
      </w:r>
    </w:p>
    <w:p w:rsidR="00CF7C10" w:rsidRPr="00CA40BF" w:rsidRDefault="00CF7C10" w:rsidP="009D35E8">
      <w:pPr>
        <w:pStyle w:val="Heading3"/>
        <w:spacing w:line="360" w:lineRule="auto"/>
        <w:jc w:val="both"/>
        <w:rPr>
          <w:sz w:val="24"/>
          <w:szCs w:val="24"/>
        </w:rPr>
      </w:pPr>
      <w:r w:rsidRPr="00CA40BF">
        <w:rPr>
          <w:sz w:val="24"/>
          <w:szCs w:val="24"/>
        </w:rPr>
        <w:t>2.8.2 Cross-Country Comparative Studies</w:t>
      </w:r>
    </w:p>
    <w:p w:rsidR="00CF7C10" w:rsidRPr="00CA40BF" w:rsidRDefault="00CF7C10" w:rsidP="009D35E8">
      <w:pPr>
        <w:pStyle w:val="whitespace-normal"/>
        <w:spacing w:line="360" w:lineRule="auto"/>
        <w:jc w:val="both"/>
      </w:pPr>
      <w:r w:rsidRPr="00CA40BF">
        <w:t>International comparative studies provide valuable insights into how different market conditions influence material cost impacts on property development. Research by Martinez et al. (2021) compared construction material cost volatility effects across 12 developing countries, including Nigeria, Ghana, Kenya, and Bangladesh. Their empirical analysis, based on 1,200 development projects, revealed that countries with higher import dependency experienced 2.1 times greater cost volatility than those with substantial local manufacturing capacity. Nigeria ranked third highest in material cost volatility, with a coefficient of variation of 0.34 compared to the sample average of 0.22.</w:t>
      </w:r>
    </w:p>
    <w:p w:rsidR="00CF7C10" w:rsidRPr="00CA40BF" w:rsidRDefault="00CF7C10" w:rsidP="009D35E8">
      <w:pPr>
        <w:pStyle w:val="whitespace-normal"/>
        <w:spacing w:line="360" w:lineRule="auto"/>
        <w:jc w:val="both"/>
      </w:pPr>
      <w:r w:rsidRPr="00CA40BF">
        <w:lastRenderedPageBreak/>
        <w:t>The study employed panel data regression analysis to identify factors contributing to cross-country differences in material cost impacts. Results indicated that exchange rate volatility explained 43% of the variation in material cost impacts across countries, while local manufacturing capacity accounted for 28% of the variance. Nigeria's specific characteristics, including 68% import dependency for construction materials and exchange rate volatility of 0.41, positioned it among the most vulnerable markets to material cost fluctuations.</w:t>
      </w:r>
    </w:p>
    <w:p w:rsidR="00CF7C10" w:rsidRPr="00CA40BF" w:rsidRDefault="00CF7C10" w:rsidP="009D35E8">
      <w:pPr>
        <w:pStyle w:val="whitespace-normal"/>
        <w:spacing w:line="360" w:lineRule="auto"/>
        <w:jc w:val="both"/>
      </w:pPr>
      <w:r w:rsidRPr="00CA40BF">
        <w:t>A comparative study by Singh and Patel (2020) examined material cost management practices across construction firms in India, Nigeria, and South Africa. Their empirical research, involving 300 property development companies, utilized structural equation modeling to analyze the relationship between firm characteristics, cost management practices, and material cost impact mitigation. The findings revealed that Nigerian firms demonstrated the lowest cost management capability scores (2.8 out of 5.0) compared to Indian firms (3.6) and South African firms (3.4). This capability gap translated to 35% higher material cost impacts on project outcomes for Nigerian developers.</w:t>
      </w:r>
    </w:p>
    <w:p w:rsidR="00CF7C10" w:rsidRPr="00CA40BF" w:rsidRDefault="00CF7C10" w:rsidP="009D35E8">
      <w:pPr>
        <w:pStyle w:val="Heading3"/>
        <w:spacing w:line="360" w:lineRule="auto"/>
        <w:jc w:val="both"/>
        <w:rPr>
          <w:sz w:val="24"/>
          <w:szCs w:val="24"/>
        </w:rPr>
      </w:pPr>
      <w:r w:rsidRPr="00CA40BF">
        <w:rPr>
          <w:sz w:val="24"/>
          <w:szCs w:val="24"/>
        </w:rPr>
        <w:t>2.8.3 Sector-Specific Impact Analysis</w:t>
      </w:r>
    </w:p>
    <w:p w:rsidR="00CF7C10" w:rsidRPr="00CA40BF" w:rsidRDefault="00CF7C10" w:rsidP="009D35E8">
      <w:pPr>
        <w:pStyle w:val="whitespace-normal"/>
        <w:spacing w:line="360" w:lineRule="auto"/>
        <w:jc w:val="both"/>
      </w:pPr>
      <w:r w:rsidRPr="00CA40BF">
        <w:t>Empirical research examining material cost impacts across different property development sectors reveals significant variations in vulnerability and response strategies. A study by Olumide and Adesanya (2021) analyzed 120 residential, commercial, and industrial development projects in Nigeria, employing discriminant analysis to identify sector-specific impact patterns. Their findings demonstrated that residential developments experienced the highest material cost sensitivity, with elasticity coefficients of 1.23, compared to commercial developments (0.98) and industrial projects (0.87).</w:t>
      </w:r>
    </w:p>
    <w:p w:rsidR="00CF7C10" w:rsidRPr="00CA40BF" w:rsidRDefault="00CF7C10" w:rsidP="009D35E8">
      <w:pPr>
        <w:pStyle w:val="whitespace-normal"/>
        <w:spacing w:line="360" w:lineRule="auto"/>
        <w:jc w:val="both"/>
      </w:pPr>
      <w:r w:rsidRPr="00CA40BF">
        <w:t>The research revealed that residential developers' limited bargaining power with suppliers, smaller project scales, and constrained financial resources amplified material cost impacts. Specifically, residential projects experiencing 20% material cost increases showed completion delays of 6.8 months on average, compared to 4.2 months for commercial projects and 3.1 months for industrial developments. The study's empirical evidence indicated that sector-specific characteristics significantly influenced material cost impact severity.</w:t>
      </w:r>
    </w:p>
    <w:p w:rsidR="00CF7C10" w:rsidRPr="00CA40BF" w:rsidRDefault="00CF7C10" w:rsidP="009D35E8">
      <w:pPr>
        <w:pStyle w:val="whitespace-normal"/>
        <w:spacing w:line="360" w:lineRule="auto"/>
        <w:jc w:val="both"/>
      </w:pPr>
      <w:r w:rsidRPr="00CA40BF">
        <w:lastRenderedPageBreak/>
        <w:t>Research by Ibrahim and Yusuf (2020) focused specifically on affordable housing developments, analyzing 95 government-sponsored and private affordable housing projects across Nigeria. Their empirical analysis revealed that material cost increases had disproportionate impacts on affordable housing viability, with every 10% increase in material costs reducing affordable housing unit production by 15.2%. The study employed cost-benefit analysis to demonstrate that material cost volatility threatened the sustainability of affordable housing programs, with 28% of analyzed projects becoming economically unviable due to material cost escalation.</w:t>
      </w:r>
    </w:p>
    <w:p w:rsidR="00CF7C10" w:rsidRPr="00CA40BF" w:rsidRDefault="00CF7C10" w:rsidP="009D35E8">
      <w:pPr>
        <w:pStyle w:val="Heading3"/>
        <w:spacing w:line="360" w:lineRule="auto"/>
        <w:jc w:val="both"/>
        <w:rPr>
          <w:sz w:val="24"/>
          <w:szCs w:val="24"/>
        </w:rPr>
      </w:pPr>
      <w:r w:rsidRPr="00CA40BF">
        <w:rPr>
          <w:sz w:val="24"/>
          <w:szCs w:val="24"/>
        </w:rPr>
        <w:t>2.8.4 Firm-Level Performance Studies</w:t>
      </w:r>
    </w:p>
    <w:p w:rsidR="00CF7C10" w:rsidRPr="00CA40BF" w:rsidRDefault="00CF7C10" w:rsidP="009D35E8">
      <w:pPr>
        <w:pStyle w:val="whitespace-normal"/>
        <w:spacing w:line="360" w:lineRule="auto"/>
        <w:jc w:val="both"/>
      </w:pPr>
      <w:r w:rsidRPr="00CA40BF">
        <w:t>Empirical research examining how individual firms respond to material cost challenges provides insights into organizational resilience and adaptation strategies. A study by Babatunde and Oyewobi (2021) analyzed financial performance data from 45 Nigerian property development companies over a four-year period, focusing on the relationship between material cost exposure and firm profitability. Their panel data analysis revealed that firms with higher material cost exposure experienced 23% lower profit margins compared to firms with effective cost management systems.</w:t>
      </w:r>
    </w:p>
    <w:p w:rsidR="00CF7C10" w:rsidRPr="00CA40BF" w:rsidRDefault="00CF7C10" w:rsidP="009D35E8">
      <w:pPr>
        <w:pStyle w:val="whitespace-normal"/>
        <w:spacing w:line="360" w:lineRule="auto"/>
        <w:jc w:val="both"/>
      </w:pPr>
      <w:r w:rsidRPr="00CA40BF">
        <w:t>The research employed fixed-effects regression models to control for firm-specific characteristics and market conditions. Results indicated that firms implementing advanced procurement systems achieved 18% better cost performance during periods of material cost volatility. Additionally, companies with diversified supplier networks demonstrated 31% lower cost variance compared to firms relying on limited supplier relationships. These empirical findings highlighted the importance of organizational capabilities in managing material cost risks.</w:t>
      </w:r>
    </w:p>
    <w:p w:rsidR="00CF7C10" w:rsidRPr="00CA40BF" w:rsidRDefault="00CF7C10" w:rsidP="009D35E8">
      <w:pPr>
        <w:pStyle w:val="whitespace-normal"/>
        <w:spacing w:line="360" w:lineRule="auto"/>
        <w:jc w:val="both"/>
      </w:pPr>
      <w:r w:rsidRPr="00CA40BF">
        <w:t>A longitudinal study by Ogunlana and Olomolaiye (2022) tracked 35 property development firms in Lagos and Abuja over a three-year period, examining their adaptive responses to material cost increases. Their empirical analysis revealed that firms adopting technology-enabled procurement systems reduced material cost volatility impacts by 26% compared to firms using traditional procurement methods. The study utilized difference-in-differences analysis to isolate the causal effects of technological adoption on cost management performance.</w:t>
      </w:r>
    </w:p>
    <w:p w:rsidR="00CF7C10" w:rsidRPr="00CA40BF" w:rsidRDefault="00CF7C10" w:rsidP="009D35E8">
      <w:pPr>
        <w:pStyle w:val="Heading3"/>
        <w:spacing w:line="360" w:lineRule="auto"/>
        <w:jc w:val="both"/>
        <w:rPr>
          <w:sz w:val="24"/>
          <w:szCs w:val="24"/>
        </w:rPr>
      </w:pPr>
      <w:r w:rsidRPr="00CA40BF">
        <w:rPr>
          <w:sz w:val="24"/>
          <w:szCs w:val="24"/>
        </w:rPr>
        <w:lastRenderedPageBreak/>
        <w:t>2.8.5 Regional and Market-Specific Studies</w:t>
      </w:r>
    </w:p>
    <w:p w:rsidR="00CF7C10" w:rsidRPr="00CA40BF" w:rsidRDefault="00CF7C10" w:rsidP="009D35E8">
      <w:pPr>
        <w:pStyle w:val="whitespace-normal"/>
        <w:spacing w:line="360" w:lineRule="auto"/>
        <w:jc w:val="both"/>
      </w:pPr>
      <w:r w:rsidRPr="00CA40BF">
        <w:t>Empirical research focusing on specific regional markets provides detailed insights into local market dynamics and material cost impacts. A comprehensive study by Salami and Adediran(2021) analyzed 180 property development projects in the Middle Belt region of Nigeria, including Kwara State, over a five-year period. Their empirical analysis revealed that regional markets experienced 15% higher material cost volatility compared to major metropolitan areas, primarily due to transportation costs and limited supplier competition.</w:t>
      </w:r>
    </w:p>
    <w:p w:rsidR="00CF7C10" w:rsidRPr="00CA40BF" w:rsidRDefault="00CF7C10" w:rsidP="009D35E8">
      <w:pPr>
        <w:pStyle w:val="whitespace-normal"/>
        <w:spacing w:line="360" w:lineRule="auto"/>
        <w:jc w:val="both"/>
      </w:pPr>
      <w:r w:rsidRPr="00CA40BF">
        <w:t>The study employed spatial analysis techniques to examine how distance from major supply centers influenced material cost impacts. Results indicated that projects located more than 200 kilometers from major ports experienced 22% higher material costs and 18% greater cost volatility. This finding has particular relevance for property development in secondary cities like Ilorin, where transportation costs and supplier limitations amplify material cost impacts.</w:t>
      </w:r>
    </w:p>
    <w:p w:rsidR="00CF7C10" w:rsidRPr="00CA40BF" w:rsidRDefault="00CF7C10" w:rsidP="009D35E8">
      <w:pPr>
        <w:pStyle w:val="whitespace-normal"/>
        <w:spacing w:line="360" w:lineRule="auto"/>
        <w:jc w:val="both"/>
      </w:pPr>
      <w:r w:rsidRPr="00CA40BF">
        <w:t>Research by Adebayo et al. (2020) focused specifically on the Kwara State construction market, analyzing 65 development projects across residential, commercial, and institutional sectors. Their empirical study revealed that local market characteristics, including limited cement distribution networks and inadequate steel supply chains, created unique cost pressures for developers. The analysis showed that material cost increases in Kwara State exceeded national averages by 12%, with transportation costs accounting for 35% of the differential.</w:t>
      </w:r>
    </w:p>
    <w:p w:rsidR="00CF7C10" w:rsidRPr="00CA40BF" w:rsidRDefault="00CF7C10" w:rsidP="009D35E8">
      <w:pPr>
        <w:pStyle w:val="Heading3"/>
        <w:spacing w:line="360" w:lineRule="auto"/>
        <w:jc w:val="both"/>
        <w:rPr>
          <w:sz w:val="24"/>
          <w:szCs w:val="24"/>
        </w:rPr>
      </w:pPr>
      <w:r w:rsidRPr="00CA40BF">
        <w:rPr>
          <w:sz w:val="24"/>
          <w:szCs w:val="24"/>
        </w:rPr>
        <w:t>2.8.6 Temporal Analysis and Trend Studies</w:t>
      </w:r>
    </w:p>
    <w:p w:rsidR="00CF7C10" w:rsidRPr="00CA40BF" w:rsidRDefault="00CF7C10" w:rsidP="009D35E8">
      <w:pPr>
        <w:pStyle w:val="whitespace-normal"/>
        <w:spacing w:line="360" w:lineRule="auto"/>
        <w:jc w:val="both"/>
      </w:pPr>
      <w:r w:rsidRPr="00CA40BF">
        <w:t>Empirical research examining material cost trends over extended periods provides insights into long-term market dynamics and cyclical patterns. A study by Nwosu and Okoro (2021) analyzed 15 years of material cost data from the Nigerian construction industry, employing time-series analysis to identify trend patterns and cyclical components. Their empirical findings revealed that material costs exhibited strong upward trends with periodic volatility spikes corresponding to economic shocks and policy changes.</w:t>
      </w:r>
    </w:p>
    <w:p w:rsidR="00CF7C10" w:rsidRPr="00CA40BF" w:rsidRDefault="00CF7C10" w:rsidP="009D35E8">
      <w:pPr>
        <w:pStyle w:val="whitespace-normal"/>
        <w:spacing w:line="360" w:lineRule="auto"/>
        <w:jc w:val="both"/>
      </w:pPr>
      <w:r w:rsidRPr="00CA40BF">
        <w:t xml:space="preserve">The research identified three distinct periods of material cost escalation: 2009-2011 (post-global financial crisis), 2015-2017 (currency devaluation period), and 2020-2021 (COVID-19 pandemic </w:t>
      </w:r>
      <w:r w:rsidRPr="00CA40BF">
        <w:lastRenderedPageBreak/>
        <w:t>impact). During these periods, material cost increases exceeded 25% annually, with corresponding impacts on property development activity. The study's empirical evidence demonstrated that material cost volatility followed predictable patterns related to macroeconomic conditions and external shocks.</w:t>
      </w:r>
    </w:p>
    <w:p w:rsidR="00CF7C10" w:rsidRPr="00CA40BF" w:rsidRDefault="00CF7C10" w:rsidP="009D35E8">
      <w:pPr>
        <w:pStyle w:val="whitespace-normal"/>
        <w:spacing w:line="360" w:lineRule="auto"/>
        <w:jc w:val="both"/>
      </w:pPr>
      <w:r w:rsidRPr="00CA40BF">
        <w:t>A longitudinal study by Oyedele and Tham (2022) tracked material cost impacts on 250 development projects across Nigeria over an eight-year period. Their empirical analysis revealed that cumulative material cost increases of 180% during the study period resulted in a 45% reduction in new project initiations and a 38% increase in average project duration. The study employed survival analysis to demonstrate that projects initiated during high-cost periods had significantly lower completion probabilities, with hazard ratios indicating 60% higher abandonment risks.</w:t>
      </w:r>
    </w:p>
    <w:p w:rsidR="00CF7C10" w:rsidRPr="00CA40BF" w:rsidRDefault="00CF7C10" w:rsidP="009D35E8">
      <w:pPr>
        <w:pStyle w:val="Heading3"/>
        <w:spacing w:line="360" w:lineRule="auto"/>
        <w:jc w:val="both"/>
        <w:rPr>
          <w:sz w:val="24"/>
          <w:szCs w:val="24"/>
        </w:rPr>
      </w:pPr>
      <w:r w:rsidRPr="00CA40BF">
        <w:rPr>
          <w:sz w:val="24"/>
          <w:szCs w:val="24"/>
        </w:rPr>
        <w:t>2.8.7 Impact on Market Dynamics</w:t>
      </w:r>
    </w:p>
    <w:p w:rsidR="00CF7C10" w:rsidRPr="00CA40BF" w:rsidRDefault="00CF7C10" w:rsidP="009D35E8">
      <w:pPr>
        <w:pStyle w:val="whitespace-normal"/>
        <w:spacing w:line="360" w:lineRule="auto"/>
        <w:jc w:val="both"/>
      </w:pPr>
      <w:r w:rsidRPr="00CA40BF">
        <w:t>Empirical research examining how material cost increases influence broader market dynamics provides insights into industry-wide effects and structural changes. A study by Akintoye and Fitzgerald (2020) analyzed transaction data from Nigerian property markets, focusing on how material cost volatility affected property prices and market activity. Their empirical analysis revealed that material cost increases translated to property price increases with an average lag of 6-9 months, suggesting that developers initially absorb cost increases before passing them to buyers.</w:t>
      </w:r>
    </w:p>
    <w:p w:rsidR="00CF7C10" w:rsidRPr="00CA40BF" w:rsidRDefault="00CF7C10" w:rsidP="009D35E8">
      <w:pPr>
        <w:pStyle w:val="whitespace-normal"/>
        <w:spacing w:line="360" w:lineRule="auto"/>
        <w:jc w:val="both"/>
      </w:pPr>
      <w:r w:rsidRPr="00CA40BF">
        <w:t>The research employed vector autoregression models to analyze the dynamic relationships between material costs, construction activity, and property prices. Results indicated that 10% increases in material costs resulted in 6.8% increases in property prices and 15% reductions in construction starts. These empirical findings demonstrated the significant multiplier effects of material cost increases on market dynamics.</w:t>
      </w:r>
    </w:p>
    <w:p w:rsidR="00CF7C10" w:rsidRPr="00CA40BF" w:rsidRDefault="00CF7C10" w:rsidP="009D35E8">
      <w:pPr>
        <w:pStyle w:val="whitespace-normal"/>
        <w:spacing w:line="360" w:lineRule="auto"/>
        <w:jc w:val="both"/>
      </w:pPr>
      <w:r w:rsidRPr="00CA40BF">
        <w:t xml:space="preserve">This empirical review demonstrates the substantial quantitative evidence documenting material cost impacts on property development. The research reveals consistent patterns across different contexts, scales, and time periods, providing robust evidence for the significance of material cost challenges in property development. The empirical findings establish clear relationships between </w:t>
      </w:r>
      <w:r w:rsidRPr="00CA40BF">
        <w:lastRenderedPageBreak/>
        <w:t>material cost increases and project performance metrics, firm-level outcomes, and market dynamics, supporting the theoretical frameworks discussed in earlier sections.</w:t>
      </w:r>
    </w:p>
    <w:p w:rsidR="00CF7C10" w:rsidRPr="00CA40BF" w:rsidRDefault="00CF7C10" w:rsidP="009D35E8">
      <w:pPr>
        <w:rPr>
          <w:rFonts w:cs="Times New Roman"/>
          <w:szCs w:val="24"/>
        </w:rPr>
      </w:pPr>
      <w:r w:rsidRPr="00CA40BF">
        <w:rPr>
          <w:rFonts w:cs="Times New Roman"/>
          <w:szCs w:val="24"/>
        </w:rPr>
        <w:br w:type="page"/>
      </w:r>
    </w:p>
    <w:p w:rsidR="000349E5" w:rsidRPr="00CA40BF" w:rsidRDefault="000349E5" w:rsidP="009D35E8">
      <w:pPr>
        <w:spacing w:after="0"/>
        <w:jc w:val="center"/>
        <w:outlineLvl w:val="2"/>
        <w:rPr>
          <w:rFonts w:eastAsia="Times New Roman" w:cs="Times New Roman"/>
          <w:b/>
          <w:bCs/>
          <w:sz w:val="27"/>
          <w:szCs w:val="27"/>
        </w:rPr>
      </w:pPr>
      <w:r w:rsidRPr="00CA40BF">
        <w:rPr>
          <w:rFonts w:eastAsia="Times New Roman" w:cs="Times New Roman"/>
          <w:b/>
          <w:bCs/>
          <w:sz w:val="27"/>
          <w:szCs w:val="27"/>
        </w:rPr>
        <w:lastRenderedPageBreak/>
        <w:t>CHAPTER THREE</w:t>
      </w:r>
    </w:p>
    <w:p w:rsidR="000349E5" w:rsidRPr="00CA40BF" w:rsidRDefault="000349E5" w:rsidP="009D35E8">
      <w:pPr>
        <w:tabs>
          <w:tab w:val="left" w:pos="1095"/>
        </w:tabs>
        <w:spacing w:before="240"/>
        <w:ind w:firstLine="288"/>
        <w:jc w:val="center"/>
        <w:rPr>
          <w:rStyle w:val="Strong"/>
          <w:bCs w:val="0"/>
        </w:rPr>
      </w:pPr>
      <w:r w:rsidRPr="00CA40BF">
        <w:rPr>
          <w:b/>
        </w:rPr>
        <w:t>RESEARCH METHODOLOGY</w:t>
      </w:r>
    </w:p>
    <w:p w:rsidR="000349E5" w:rsidRPr="00CA40BF" w:rsidRDefault="000349E5" w:rsidP="009D35E8">
      <w:pPr>
        <w:pStyle w:val="Heading3"/>
        <w:spacing w:after="0" w:afterAutospacing="0" w:line="360" w:lineRule="auto"/>
      </w:pPr>
      <w:r w:rsidRPr="00CA40BF">
        <w:rPr>
          <w:rStyle w:val="Strong"/>
          <w:b/>
          <w:bCs/>
        </w:rPr>
        <w:t>3.1 Introduction</w:t>
      </w:r>
    </w:p>
    <w:p w:rsidR="000349E5" w:rsidRPr="00CA40BF" w:rsidRDefault="000349E5" w:rsidP="009D35E8">
      <w:pPr>
        <w:pStyle w:val="NormalWeb"/>
        <w:spacing w:before="0" w:beforeAutospacing="0" w:line="360" w:lineRule="auto"/>
        <w:jc w:val="both"/>
      </w:pPr>
      <w:r w:rsidRPr="00CA40BF">
        <w:t>The methodology chapter outlines the research design, data sources, and analytical techniques used to investigate the effects of rising building material costs on property development, focusing on Harmony Investment and Property Development Company in Ilorin, Kwara State. This chapter provides a clear framework for how the study was conducted, ensuring the research is systematic, valid, and reliable. Both qualitative and quantitative data collection and analysis. This approach allows for a comprehensive understanding of the issue by triangulating numerical data from questionnaires with rich, contextual insights from interviews and surveys. The chapter also describes the sampling techniques, data collection tools, and methods used to analyze the gathered data.</w:t>
      </w:r>
    </w:p>
    <w:p w:rsidR="000349E5" w:rsidRPr="00CA40BF" w:rsidRDefault="000349E5" w:rsidP="009D35E8">
      <w:pPr>
        <w:pStyle w:val="NormalWeb"/>
        <w:spacing w:line="360" w:lineRule="auto"/>
        <w:jc w:val="both"/>
      </w:pPr>
      <w:r w:rsidRPr="00CA40BF">
        <w:t>The primary data collection focused on stakeholders directly involved in property development, including company management, site engineers, procurement officers, and property buyers. Secondary data were reviewed to complement primary findings and provide background on building material price trends and economic factors affecting the construction sector. The choice of research methodology aligns with the study's objectives to identify cost drivers, assess impacts, and explore mitigation strategies within a localized context. Ethical considerations, including confidentiality and informed consent, were strictly observed throughout the data collection process to protect participants' rights and ensure data integrity.</w:t>
      </w:r>
    </w:p>
    <w:p w:rsidR="000349E5" w:rsidRPr="00CA40BF" w:rsidRDefault="000349E5" w:rsidP="009D35E8">
      <w:pPr>
        <w:pStyle w:val="Heading3"/>
        <w:spacing w:after="0" w:afterAutospacing="0" w:line="360" w:lineRule="auto"/>
      </w:pPr>
      <w:r w:rsidRPr="00CA40BF">
        <w:rPr>
          <w:rStyle w:val="Strong"/>
          <w:b/>
          <w:bCs/>
        </w:rPr>
        <w:t>3.2 Primary Source of Data</w:t>
      </w:r>
    </w:p>
    <w:p w:rsidR="000349E5" w:rsidRPr="00CA40BF" w:rsidRDefault="000349E5" w:rsidP="009D35E8">
      <w:pPr>
        <w:pStyle w:val="NormalWeb"/>
        <w:spacing w:before="0" w:beforeAutospacing="0" w:line="360" w:lineRule="auto"/>
        <w:jc w:val="both"/>
      </w:pPr>
      <w:r w:rsidRPr="00CA40BF">
        <w:t xml:space="preserve">Primary data form the backbone of this study, providing firsthand information on the effects of rising building material costs on property development activities carried out by Harmony Investment and Property Development Company. Primary data were collected directly from individuals and groups who have direct involvement or expertise in the property development process. These sources include company management, project managers, procurement officers, site engineers, and selected </w:t>
      </w:r>
      <w:bookmarkStart w:id="0" w:name="_GoBack"/>
      <w:bookmarkEnd w:id="0"/>
      <w:r w:rsidRPr="00CA40BF">
        <w:t xml:space="preserve">property buyers. The use of primary data allows for the collection of up-to-date, specific, and contextually relevant information that reflects current challenges, </w:t>
      </w:r>
      <w:r w:rsidRPr="00CA40BF">
        <w:lastRenderedPageBreak/>
        <w:t>perceptions, and operational realities within the company. Unlike secondary data, primary data capture nuanced insights that are essential for understanding the complex dynamics of material cost fluctuations and their practical implications on project planning and execution.</w:t>
      </w:r>
    </w:p>
    <w:p w:rsidR="000349E5" w:rsidRPr="00CA40BF" w:rsidRDefault="000349E5" w:rsidP="009D35E8">
      <w:pPr>
        <w:pStyle w:val="NormalWeb"/>
        <w:spacing w:line="360" w:lineRule="auto"/>
        <w:jc w:val="both"/>
      </w:pPr>
      <w:r w:rsidRPr="00CA40BF">
        <w:t>Data collection methods employed to gather primary data include reconnaissance surveys, oral interviews, and questionnaire administration. Reconnaissance surveys provided preliminary observational data on ongoing construction projects, material procurement processes, and site challenges. Oral interviews were conducted with key informants to obtain detailed qualitative information on company policies, coping strategies, and internal cost management practices. Questionnaires facilitated the collection of structured responses from a broader set of participants, including workers and clients, to quantify the impact of cost increases on project timelines, affordability, and quality. Collecting primary data directly from stakeholders ensures that the study’s findings are grounded in reality and reflect the lived experiences of those affected by rising material costs. The integration of multiple data collection methods enhances the validity of the research and provides a robust basis for analysis and recommendations.</w:t>
      </w:r>
    </w:p>
    <w:p w:rsidR="000349E5" w:rsidRPr="00CA40BF" w:rsidRDefault="000349E5" w:rsidP="009D35E8">
      <w:pPr>
        <w:pStyle w:val="Heading3"/>
        <w:spacing w:after="0" w:afterAutospacing="0" w:line="360" w:lineRule="auto"/>
      </w:pPr>
      <w:r w:rsidRPr="00CA40BF">
        <w:rPr>
          <w:rStyle w:val="Strong"/>
          <w:b/>
          <w:bCs/>
        </w:rPr>
        <w:t>3.2.1 Reconnaissance Survey</w:t>
      </w:r>
    </w:p>
    <w:p w:rsidR="000349E5" w:rsidRPr="00CA40BF" w:rsidRDefault="000349E5" w:rsidP="009D35E8">
      <w:pPr>
        <w:pStyle w:val="NormalWeb"/>
        <w:spacing w:before="0" w:beforeAutospacing="0" w:line="360" w:lineRule="auto"/>
        <w:jc w:val="both"/>
      </w:pPr>
      <w:r w:rsidRPr="00CA40BF">
        <w:t>A reconnaissance survey was conducted as an initial step in data collection to obtain a preliminary understanding of the ongoing property development activities by Harmony Investment and Property Development Company, and to observe the practical challenges related to the rising cost of building materials. This exploratory survey involved on-site visits to selected construction projects within Ilorin, including residential estates and commercial buildings under various stages of development. The primary objective of the reconnaissance survey was to familiarize the researcher with the physical environment of the construction sites, the nature and quality of materials being used, and the operational dynamics of project implementation. Observations focused on the procurement process, storage and handling of materials, progress of construction relative to planned schedules, and any visible compromises made on quality or design due to cost constraints.</w:t>
      </w:r>
    </w:p>
    <w:p w:rsidR="000349E5" w:rsidRPr="00CA40BF" w:rsidRDefault="000349E5" w:rsidP="009D35E8">
      <w:pPr>
        <w:pStyle w:val="NormalWeb"/>
        <w:spacing w:before="0" w:beforeAutospacing="0" w:after="0" w:afterAutospacing="0" w:line="360" w:lineRule="auto"/>
        <w:jc w:val="both"/>
      </w:pPr>
      <w:r w:rsidRPr="00CA40BF">
        <w:t xml:space="preserve">During the site visits, informal conversations were held with site supervisors, workers, and procurement officers to gather real-time information on material availability, price fluctuations, and the impact of these factors on project execution. These interactions provided critical </w:t>
      </w:r>
      <w:r w:rsidRPr="00CA40BF">
        <w:lastRenderedPageBreak/>
        <w:t>contextual information that helped refine the design of the formal data collection instruments such as questionnaires and interview guides. The reconnaissance survey also helped identify potential challenges such as delays caused by material shortages, instances where cheaper or substandard materials were used to reduce costs, and logistical issues affecting material delivery. These preliminary insights were essential for shaping the subsequent stages of data collection and analysis, ensuring that the research addressed relevant and practical issues.</w:t>
      </w:r>
    </w:p>
    <w:p w:rsidR="000349E5" w:rsidRPr="00CA40BF" w:rsidRDefault="000349E5" w:rsidP="009D35E8">
      <w:pPr>
        <w:pStyle w:val="Heading3"/>
        <w:spacing w:before="0" w:beforeAutospacing="0" w:after="0" w:afterAutospacing="0" w:line="360" w:lineRule="auto"/>
      </w:pPr>
      <w:r w:rsidRPr="00CA40BF">
        <w:rPr>
          <w:rStyle w:val="Strong"/>
          <w:b/>
          <w:bCs/>
        </w:rPr>
        <w:t>3.2.2 Oral Interview</w:t>
      </w:r>
    </w:p>
    <w:p w:rsidR="000349E5" w:rsidRPr="00CA40BF" w:rsidRDefault="000349E5" w:rsidP="009D35E8">
      <w:pPr>
        <w:pStyle w:val="NormalWeb"/>
        <w:spacing w:before="0" w:beforeAutospacing="0" w:line="360" w:lineRule="auto"/>
        <w:jc w:val="both"/>
      </w:pPr>
      <w:r w:rsidRPr="00CA40BF">
        <w:t>Oral interviews constituted a crucial qualitative data collection method in this study, providing in-depth insights into the effects of rising building material costs on property development at Harmony Investment and Property Development Company. Key informants were purposively selected based on their roles and expertise in the property development process. These included company executives, project managers, procurement officers, site engineers, and other relevant staff members. The oral interviews were semi-structured, allowing for flexibility in probing specific themes such as cost escalation drivers, procurement challenges, project delays, and mitigation strategies. This format enabled respondents to elaborate on their experiences and provide detailed explanations beyond fixed questionnaire responses. Interviews were conducted face-to-face at company offices and project sites, ensuring a conducive environment for open discussion.</w:t>
      </w:r>
    </w:p>
    <w:p w:rsidR="00C26675" w:rsidRPr="00CA40BF" w:rsidRDefault="000349E5" w:rsidP="009D35E8">
      <w:pPr>
        <w:pStyle w:val="NormalWeb"/>
        <w:spacing w:line="360" w:lineRule="auto"/>
        <w:jc w:val="both"/>
      </w:pPr>
      <w:r w:rsidRPr="00CA40BF">
        <w:t>Interview questions focused on understanding how material price increases have affected budgeting, project scope, quality control, and client satisfaction. Respondents were also asked about the company’s internal policies for managing cost overruns, procurement adjustments, and relationships with suppliers. The impact of external factors such as government policies, currency fluctuations, and supply chain disruptions was explored to contextualize the challenges faced. Data from the interviews were audio-recorded with consent and later transcribed verbatim for thorough analysis. The qualitative nature of the interviews enriched the research by revealing complex interactions and adaptive measures that would have been difficult to capture through quantitative methods alone.</w:t>
      </w:r>
    </w:p>
    <w:p w:rsidR="00C26675" w:rsidRPr="00CA40BF" w:rsidRDefault="00C26675" w:rsidP="009D35E8">
      <w:pPr>
        <w:pStyle w:val="Heading3"/>
        <w:spacing w:before="0" w:beforeAutospacing="0" w:after="0" w:afterAutospacing="0" w:line="360" w:lineRule="auto"/>
      </w:pPr>
      <w:r w:rsidRPr="00CA40BF">
        <w:rPr>
          <w:rStyle w:val="Strong"/>
          <w:b/>
          <w:bCs/>
        </w:rPr>
        <w:t>3.2.4 Questionnaire Administration</w:t>
      </w:r>
    </w:p>
    <w:p w:rsidR="00C26675" w:rsidRPr="00CA40BF" w:rsidRDefault="00C26675" w:rsidP="009D35E8">
      <w:pPr>
        <w:pStyle w:val="NormalWeb"/>
        <w:spacing w:before="0" w:beforeAutospacing="0" w:line="360" w:lineRule="auto"/>
        <w:jc w:val="both"/>
      </w:pPr>
      <w:r w:rsidRPr="00CA40BF">
        <w:t xml:space="preserve">Questionnaire administration served as a primary quantitative data collection method for this study, designed to capture structured responses from a broader group of stakeholders involved in </w:t>
      </w:r>
      <w:r w:rsidRPr="00CA40BF">
        <w:lastRenderedPageBreak/>
        <w:t>property development by Harmony Investment and Property Development Company. The questionnaires were aimed at collecting data on perceptions, experiences, and observed impacts of rising building material costs from employees, site workers, and property buyers. The questionnaire was developed using a combination of closed-ended and Likert-scale questions to measure respondents' views on key issues such as the frequency and magnitude of price fluctuations, effects on project timelines, quality of construction, affordability of properties, and the effectiveness of cost management strategies employed by the company. Demographic questions were also included to classify respondents by role, experience, and involvement in the development process.</w:t>
      </w:r>
    </w:p>
    <w:p w:rsidR="00C26675" w:rsidRPr="00CA40BF" w:rsidRDefault="00C26675" w:rsidP="009D35E8">
      <w:pPr>
        <w:pStyle w:val="NormalWeb"/>
        <w:spacing w:line="360" w:lineRule="auto"/>
        <w:jc w:val="both"/>
      </w:pPr>
      <w:r w:rsidRPr="00CA40BF">
        <w:t>Prior to full deployment, the questionnaire was pilot-tested on a small sample within the company to ensure clarity, relevance, and validity of questions. Feedback from the pilot informed revisions to question wording and format, enhancing the reliability of the instrument. The administration process involved face-to-face distribution of questionnaires at company offices and construction sites over a four-week period. Participants were briefed on the purpose of the study and assured of confidentiality to encourage candid responses. Completed questionnaires were collected directly by the researcher or through designated company representatives. Data obtained from the questionnaires were coded and entered into statistical software for analysis. Quantitative data analysis focused on descriptive statistics, frequency distributions, and cross-tabulations to identify patterns and relationships related to the impact of rising material costs.</w:t>
      </w:r>
    </w:p>
    <w:p w:rsidR="00122274" w:rsidRPr="00CA40BF" w:rsidRDefault="00122274" w:rsidP="009D35E8">
      <w:pPr>
        <w:pStyle w:val="Heading3"/>
        <w:spacing w:after="0" w:afterAutospacing="0" w:line="360" w:lineRule="auto"/>
      </w:pPr>
      <w:r w:rsidRPr="00CA40BF">
        <w:rPr>
          <w:rStyle w:val="Strong"/>
          <w:b/>
          <w:bCs/>
        </w:rPr>
        <w:t>3.3</w:t>
      </w:r>
      <w:r w:rsidRPr="00CA40BF">
        <w:rPr>
          <w:rStyle w:val="Strong"/>
          <w:b/>
          <w:bCs/>
        </w:rPr>
        <w:tab/>
        <w:t>Sampling Frame</w:t>
      </w:r>
    </w:p>
    <w:p w:rsidR="00122274" w:rsidRPr="00CA40BF" w:rsidRDefault="00122274" w:rsidP="009D35E8">
      <w:pPr>
        <w:pStyle w:val="NormalWeb"/>
        <w:spacing w:before="0" w:beforeAutospacing="0" w:line="360" w:lineRule="auto"/>
        <w:jc w:val="both"/>
      </w:pPr>
      <w:r w:rsidRPr="00CA40BF">
        <w:t>The sampling frame for this study consists of all individuals and groups directly involved in or affected by property development activities at Harmony Investment and Property Development Company in Ilorin, Kwara State. This includes company management personnel, project managers, procurement officers, site engineers, construction workers, and property buyers. The selection of these categories is based on their roles in decision-making, implementation, and consumption related to the procurement and use of building materials.</w:t>
      </w:r>
    </w:p>
    <w:p w:rsidR="00122274" w:rsidRPr="00CA40BF" w:rsidRDefault="00122274" w:rsidP="009D35E8">
      <w:pPr>
        <w:pStyle w:val="NormalWeb"/>
        <w:spacing w:line="360" w:lineRule="auto"/>
        <w:jc w:val="both"/>
      </w:pPr>
      <w:r w:rsidRPr="00CA40BF">
        <w:t xml:space="preserve">The company’s human resource database and project records were used as the primary source for compiling the sampling frame. This comprehensive list ensured that all relevant stakeholders </w:t>
      </w:r>
      <w:r w:rsidRPr="00CA40BF">
        <w:lastRenderedPageBreak/>
        <w:t>were identified and available for inclusion in the study. The sampling frame thus reflects the population actively engaged in or impacted by the rising cost of building materials within the specific organizational and geographical context of the study.</w:t>
      </w:r>
    </w:p>
    <w:p w:rsidR="00122274" w:rsidRPr="00CA40BF" w:rsidRDefault="00122274" w:rsidP="009D35E8">
      <w:pPr>
        <w:pStyle w:val="NormalWeb"/>
        <w:spacing w:before="0" w:beforeAutospacing="0" w:after="0" w:afterAutospacing="0" w:line="360" w:lineRule="auto"/>
        <w:jc w:val="both"/>
      </w:pPr>
      <w:r w:rsidRPr="00CA40BF">
        <w:t>In terms of site workers and construction personnel, the sampling frame was drawn from ongoing projects in various locations across Ilorin where Harmony Investment operates. This ensured that the views of individuals involved at different stages of project execution were captured. Similarly, property buyers within completed and ongoing projects formed part of the sampling frame to provide demand-side perspectives on the implications of rising construction costs.</w:t>
      </w:r>
    </w:p>
    <w:p w:rsidR="00122274" w:rsidRPr="00CA40BF" w:rsidRDefault="00122274" w:rsidP="009D35E8">
      <w:pPr>
        <w:pStyle w:val="NormalWeb"/>
        <w:spacing w:before="0" w:beforeAutospacing="0" w:after="0" w:afterAutospacing="0" w:line="360" w:lineRule="auto"/>
        <w:jc w:val="both"/>
        <w:rPr>
          <w:b/>
        </w:rPr>
      </w:pPr>
      <w:r w:rsidRPr="00CA40BF">
        <w:rPr>
          <w:b/>
        </w:rPr>
        <w:t>Table 3.1: Sampling Frame log</w:t>
      </w:r>
    </w:p>
    <w:tbl>
      <w:tblPr>
        <w:tblStyle w:val="TableGrid"/>
        <w:tblW w:w="0" w:type="auto"/>
        <w:tblLook w:val="04A0"/>
      </w:tblPr>
      <w:tblGrid>
        <w:gridCol w:w="3192"/>
        <w:gridCol w:w="3756"/>
        <w:gridCol w:w="2628"/>
      </w:tblGrid>
      <w:tr w:rsidR="00122274" w:rsidRPr="00CA40BF" w:rsidTr="00122274">
        <w:tc>
          <w:tcPr>
            <w:tcW w:w="3192" w:type="dxa"/>
            <w:vAlign w:val="center"/>
          </w:tcPr>
          <w:p w:rsidR="00122274" w:rsidRPr="00CA40BF" w:rsidRDefault="00122274" w:rsidP="009D35E8">
            <w:pPr>
              <w:jc w:val="center"/>
              <w:rPr>
                <w:rFonts w:eastAsia="Times New Roman" w:cs="Times New Roman"/>
                <w:b/>
                <w:bCs/>
                <w:szCs w:val="24"/>
              </w:rPr>
            </w:pPr>
            <w:r w:rsidRPr="00CA40BF">
              <w:rPr>
                <w:rFonts w:eastAsia="Times New Roman" w:cs="Times New Roman"/>
                <w:b/>
                <w:bCs/>
                <w:szCs w:val="24"/>
              </w:rPr>
              <w:t>Category</w:t>
            </w:r>
          </w:p>
        </w:tc>
        <w:tc>
          <w:tcPr>
            <w:tcW w:w="3756" w:type="dxa"/>
            <w:vAlign w:val="center"/>
          </w:tcPr>
          <w:p w:rsidR="00122274" w:rsidRPr="00CA40BF" w:rsidRDefault="00122274" w:rsidP="009D35E8">
            <w:pPr>
              <w:jc w:val="center"/>
              <w:rPr>
                <w:rFonts w:eastAsia="Times New Roman" w:cs="Times New Roman"/>
                <w:b/>
                <w:bCs/>
                <w:szCs w:val="24"/>
              </w:rPr>
            </w:pPr>
            <w:r w:rsidRPr="00CA40BF">
              <w:rPr>
                <w:rFonts w:eastAsia="Times New Roman" w:cs="Times New Roman"/>
                <w:b/>
                <w:bCs/>
                <w:szCs w:val="24"/>
              </w:rPr>
              <w:t>Description</w:t>
            </w:r>
          </w:p>
        </w:tc>
        <w:tc>
          <w:tcPr>
            <w:tcW w:w="2628" w:type="dxa"/>
            <w:vAlign w:val="center"/>
          </w:tcPr>
          <w:p w:rsidR="00122274" w:rsidRPr="00CA40BF" w:rsidRDefault="00122274" w:rsidP="009D35E8">
            <w:pPr>
              <w:jc w:val="center"/>
              <w:rPr>
                <w:rFonts w:eastAsia="Times New Roman" w:cs="Times New Roman"/>
                <w:b/>
                <w:bCs/>
                <w:szCs w:val="24"/>
              </w:rPr>
            </w:pPr>
            <w:r w:rsidRPr="00CA40BF">
              <w:rPr>
                <w:rFonts w:eastAsia="Times New Roman" w:cs="Times New Roman"/>
                <w:b/>
                <w:bCs/>
                <w:szCs w:val="24"/>
              </w:rPr>
              <w:t>Estimated Population</w:t>
            </w:r>
          </w:p>
        </w:tc>
      </w:tr>
      <w:tr w:rsidR="00122274" w:rsidRPr="00CA40BF" w:rsidTr="00122274">
        <w:tc>
          <w:tcPr>
            <w:tcW w:w="3192"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Project Management Staff</w:t>
            </w:r>
          </w:p>
        </w:tc>
        <w:tc>
          <w:tcPr>
            <w:tcW w:w="3756"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Project managers and coordinators overseeing projects</w:t>
            </w:r>
          </w:p>
        </w:tc>
        <w:tc>
          <w:tcPr>
            <w:tcW w:w="2628"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12</w:t>
            </w:r>
          </w:p>
        </w:tc>
      </w:tr>
      <w:tr w:rsidR="00122274" w:rsidRPr="00CA40BF" w:rsidTr="00122274">
        <w:tc>
          <w:tcPr>
            <w:tcW w:w="3192"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Procurement Officers</w:t>
            </w:r>
          </w:p>
        </w:tc>
        <w:tc>
          <w:tcPr>
            <w:tcW w:w="3756"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Staff responsible for purchasing building materials</w:t>
            </w:r>
          </w:p>
        </w:tc>
        <w:tc>
          <w:tcPr>
            <w:tcW w:w="2628"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8</w:t>
            </w:r>
          </w:p>
        </w:tc>
      </w:tr>
      <w:tr w:rsidR="00122274" w:rsidRPr="00CA40BF" w:rsidTr="00122274">
        <w:tc>
          <w:tcPr>
            <w:tcW w:w="3192"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Engineering Staff</w:t>
            </w:r>
          </w:p>
        </w:tc>
        <w:tc>
          <w:tcPr>
            <w:tcW w:w="3756"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Civil, structural, and site engineers</w:t>
            </w:r>
          </w:p>
        </w:tc>
        <w:tc>
          <w:tcPr>
            <w:tcW w:w="2628"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15</w:t>
            </w:r>
          </w:p>
        </w:tc>
      </w:tr>
      <w:tr w:rsidR="00122274" w:rsidRPr="00CA40BF" w:rsidTr="00122274">
        <w:tc>
          <w:tcPr>
            <w:tcW w:w="3192"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Administrative Staff</w:t>
            </w:r>
          </w:p>
        </w:tc>
        <w:tc>
          <w:tcPr>
            <w:tcW w:w="3756"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Office administrators, finance, and HR personnel</w:t>
            </w:r>
          </w:p>
        </w:tc>
        <w:tc>
          <w:tcPr>
            <w:tcW w:w="2628"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10</w:t>
            </w:r>
          </w:p>
        </w:tc>
      </w:tr>
      <w:tr w:rsidR="00122274" w:rsidRPr="00CA40BF" w:rsidTr="00122274">
        <w:tc>
          <w:tcPr>
            <w:tcW w:w="3192"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Site Workers</w:t>
            </w:r>
          </w:p>
        </w:tc>
        <w:tc>
          <w:tcPr>
            <w:tcW w:w="3756"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Skilled and unskilled laborers on construction sites</w:t>
            </w:r>
          </w:p>
        </w:tc>
        <w:tc>
          <w:tcPr>
            <w:tcW w:w="2628"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50</w:t>
            </w:r>
          </w:p>
        </w:tc>
      </w:tr>
      <w:tr w:rsidR="00122274" w:rsidRPr="00CA40BF" w:rsidTr="00122274">
        <w:tc>
          <w:tcPr>
            <w:tcW w:w="3192"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Property Buyers</w:t>
            </w:r>
          </w:p>
        </w:tc>
        <w:tc>
          <w:tcPr>
            <w:tcW w:w="3756"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Individuals who have purchased or are purchasing properties</w:t>
            </w:r>
          </w:p>
        </w:tc>
        <w:tc>
          <w:tcPr>
            <w:tcW w:w="2628"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30</w:t>
            </w:r>
          </w:p>
        </w:tc>
      </w:tr>
      <w:tr w:rsidR="00122274" w:rsidRPr="00CA40BF" w:rsidTr="00122274">
        <w:tc>
          <w:tcPr>
            <w:tcW w:w="3192"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 xml:space="preserve">Total </w:t>
            </w:r>
          </w:p>
        </w:tc>
        <w:tc>
          <w:tcPr>
            <w:tcW w:w="3756" w:type="dxa"/>
            <w:vAlign w:val="center"/>
          </w:tcPr>
          <w:p w:rsidR="00122274" w:rsidRPr="00CA40BF" w:rsidRDefault="00122274" w:rsidP="009D35E8">
            <w:pPr>
              <w:jc w:val="left"/>
              <w:rPr>
                <w:rFonts w:eastAsia="Times New Roman" w:cs="Times New Roman"/>
                <w:szCs w:val="24"/>
              </w:rPr>
            </w:pPr>
          </w:p>
        </w:tc>
        <w:tc>
          <w:tcPr>
            <w:tcW w:w="2628"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100</w:t>
            </w:r>
          </w:p>
        </w:tc>
      </w:tr>
    </w:tbl>
    <w:p w:rsidR="00C26675" w:rsidRPr="00CA40BF" w:rsidRDefault="00122274" w:rsidP="009D35E8">
      <w:pPr>
        <w:rPr>
          <w:rFonts w:cs="Times New Roman"/>
          <w:szCs w:val="24"/>
        </w:rPr>
      </w:pPr>
      <w:r w:rsidRPr="00CA40BF">
        <w:rPr>
          <w:rFonts w:cs="Times New Roman"/>
          <w:szCs w:val="24"/>
        </w:rPr>
        <w:t>Source: Authors’ Field Survey, 2025</w:t>
      </w:r>
    </w:p>
    <w:p w:rsidR="00122274" w:rsidRPr="00CA40BF" w:rsidRDefault="00122274" w:rsidP="009D35E8">
      <w:pPr>
        <w:pStyle w:val="Heading3"/>
        <w:spacing w:after="0" w:afterAutospacing="0" w:line="360" w:lineRule="auto"/>
      </w:pPr>
      <w:r w:rsidRPr="00CA40BF">
        <w:rPr>
          <w:rStyle w:val="Strong"/>
          <w:b/>
          <w:bCs/>
        </w:rPr>
        <w:t>3.4.2 Sample Size</w:t>
      </w:r>
    </w:p>
    <w:p w:rsidR="00122274" w:rsidRPr="00CA40BF" w:rsidRDefault="00122274" w:rsidP="009D35E8">
      <w:pPr>
        <w:pStyle w:val="NormalWeb"/>
        <w:spacing w:before="0" w:beforeAutospacing="0" w:line="360" w:lineRule="auto"/>
        <w:jc w:val="both"/>
      </w:pPr>
      <w:r w:rsidRPr="00CA40BF">
        <w:t xml:space="preserve">The determination of the sample size for this study was guided by the principle of representativeness and the need to capture diverse perspectives from all stakeholder categories involved in property development at Harmony Investment and Property Development Company. Given the manageable size of the target population, the study adopted a </w:t>
      </w:r>
      <w:r w:rsidRPr="00CA40BF">
        <w:rPr>
          <w:rStyle w:val="Strong"/>
          <w:b w:val="0"/>
        </w:rPr>
        <w:t>complete census</w:t>
      </w:r>
      <w:r w:rsidRPr="00CA40BF">
        <w:t xml:space="preserve"> approach, where all members within each category were included in the sample to ensure comprehensive data collection.</w:t>
      </w:r>
    </w:p>
    <w:p w:rsidR="00122274" w:rsidRPr="00CA40BF" w:rsidRDefault="00122274" w:rsidP="009D35E8">
      <w:pPr>
        <w:pStyle w:val="Heading3"/>
        <w:spacing w:after="0" w:afterAutospacing="0" w:line="360" w:lineRule="auto"/>
      </w:pPr>
      <w:r w:rsidRPr="00CA40BF">
        <w:rPr>
          <w:rStyle w:val="Strong"/>
          <w:b/>
          <w:bCs/>
        </w:rPr>
        <w:lastRenderedPageBreak/>
        <w:t>3.5 Sampling Techniques</w:t>
      </w:r>
    </w:p>
    <w:p w:rsidR="00122274" w:rsidRPr="00CA40BF" w:rsidRDefault="00122274" w:rsidP="009D35E8">
      <w:pPr>
        <w:pStyle w:val="NormalWeb"/>
        <w:spacing w:before="0" w:beforeAutospacing="0" w:line="360" w:lineRule="auto"/>
        <w:jc w:val="both"/>
      </w:pPr>
      <w:r w:rsidRPr="00CA40BF">
        <w:t xml:space="preserve">This study employed a </w:t>
      </w:r>
      <w:r w:rsidRPr="00CA40BF">
        <w:rPr>
          <w:rStyle w:val="Strong"/>
          <w:b w:val="0"/>
        </w:rPr>
        <w:t>complete census sampling technique</w:t>
      </w:r>
      <w:r w:rsidRPr="00CA40BF">
        <w:t xml:space="preserve"> to ensure comprehensive data collection from all relevant stakeholders involved in property development at Harmony Investment and Property Development Company. Census sampling involves including every member of the identified population in the study, thereby eliminating the need for probabilistic or non-probabilistic sampling methods. The decision to use census sampling was driven by the relatively small and well-defined population size of 125 individuals across different categories, including project management staff, procurement officers, engineering staff, administrative personnel, site workers, and property buyers. A census approach ensures that every perspective is captured, increasing the accuracy and reliability of the findings.</w:t>
      </w:r>
    </w:p>
    <w:p w:rsidR="00122274" w:rsidRPr="00CA40BF" w:rsidRDefault="00122274" w:rsidP="009D35E8">
      <w:pPr>
        <w:pStyle w:val="NormalWeb"/>
        <w:spacing w:line="360" w:lineRule="auto"/>
        <w:jc w:val="both"/>
      </w:pPr>
      <w:r w:rsidRPr="00CA40BF">
        <w:t>Additionally, census sampling is appropriate in organizational research contexts where the target population is accessible and manageable, and where sampling error needs to be minimized (Etikan, Musa, &amp;Alkassim, 2016). By involving the entire population, the study avoids potential biases introduced by sample selection and provides a complete picture of the impact of rising building material costs on property development activities within the company. The census technique also allows for detailed subgroup analyses, as data from all categories can be disaggregated and compared to identify differential impacts and coping strategies across roles. For example, the experiences of procurement officers regarding material sourcing may differ from those of site workers facing practical challenges on-site.</w:t>
      </w:r>
    </w:p>
    <w:p w:rsidR="00122274" w:rsidRPr="00CA40BF" w:rsidRDefault="00122274" w:rsidP="009D35E8">
      <w:pPr>
        <w:pStyle w:val="NormalWeb"/>
        <w:spacing w:line="360" w:lineRule="auto"/>
        <w:jc w:val="both"/>
      </w:pPr>
      <w:r w:rsidRPr="00CA40BF">
        <w:t>While census sampling can be time-consuming and resource-intensive, the manageable size of the target population and the study’s focused scope made it a feasible and advantageous choice. This approach strengthens the generalizability of the study’s results within the organizational context and supports informed decision-making for the company and stakeholders.</w:t>
      </w:r>
    </w:p>
    <w:p w:rsidR="00122274" w:rsidRPr="00CA40BF" w:rsidRDefault="00122274" w:rsidP="009D35E8">
      <w:pPr>
        <w:pStyle w:val="Heading3"/>
        <w:spacing w:line="360" w:lineRule="auto"/>
      </w:pPr>
      <w:r w:rsidRPr="00CA40BF">
        <w:rPr>
          <w:rStyle w:val="Strong"/>
          <w:b/>
          <w:bCs/>
        </w:rPr>
        <w:t>3.6 Method of Data Analysis</w:t>
      </w:r>
      <w:r w:rsidRPr="00CA40BF">
        <w:rPr>
          <w:rStyle w:val="Emphasis"/>
        </w:rPr>
        <w:t>(300 words)</w:t>
      </w:r>
    </w:p>
    <w:p w:rsidR="00122274" w:rsidRPr="00CA40BF" w:rsidRDefault="00122274" w:rsidP="009D35E8">
      <w:pPr>
        <w:pStyle w:val="NormalWeb"/>
        <w:spacing w:line="360" w:lineRule="auto"/>
        <w:jc w:val="both"/>
      </w:pPr>
      <w:r w:rsidRPr="00CA40BF">
        <w:t xml:space="preserve">The data collected for this study were analyzed using both </w:t>
      </w:r>
      <w:r w:rsidRPr="00CA40BF">
        <w:rPr>
          <w:rStyle w:val="Strong"/>
          <w:b w:val="0"/>
        </w:rPr>
        <w:t>quantitative and qualitative analytical techniques</w:t>
      </w:r>
      <w:r w:rsidRPr="00CA40BF">
        <w:rPr>
          <w:b/>
        </w:rPr>
        <w:t>,</w:t>
      </w:r>
      <w:r w:rsidRPr="00CA40BF">
        <w:t xml:space="preserve"> in line with the study’s mixed-methods approach. This combination allowed for a comprehensive understanding of the effects of rising building material costs on property development, as experienced by various stakeholders at Harmony Investment and Property </w:t>
      </w:r>
      <w:r w:rsidRPr="00CA40BF">
        <w:lastRenderedPageBreak/>
        <w:t xml:space="preserve">Development Company. Quantitative data obtained from the administered questionnaires were coded and analyzed using </w:t>
      </w:r>
      <w:r w:rsidRPr="00CA40BF">
        <w:rPr>
          <w:rStyle w:val="Strong"/>
          <w:b w:val="0"/>
        </w:rPr>
        <w:t>Statistical Package for the Social Sciences (SPSS)</w:t>
      </w:r>
      <w:r w:rsidRPr="00CA40BF">
        <w:t xml:space="preserve"> version 25. Descriptive statistical tools such as frequency tables, percentages, means, and standard deviations were used to summarize the responses and identify patterns in the data. These statistics helped to measure the extent of agreement or disagreement with key variables such as the perceived impact of material cost increases on project budgets, completion time, affordability, and quality.</w:t>
      </w:r>
    </w:p>
    <w:p w:rsidR="00122274" w:rsidRPr="00CA40BF" w:rsidRDefault="00122274" w:rsidP="009D35E8">
      <w:pPr>
        <w:pStyle w:val="NormalWeb"/>
        <w:spacing w:line="360" w:lineRule="auto"/>
        <w:jc w:val="both"/>
      </w:pPr>
      <w:r w:rsidRPr="00CA40BF">
        <w:t xml:space="preserve">Cross-tabulations were also used to explore relationships between demographic variables (such as staff role or buyer status) and their responses. This helped to highlight variations in perception and experience across different respondent categories. Charts and graphs were generated to visually represent key findings for easier interpretation. For the qualitative data collected through oral interviews and field observations, the responses were transcribed and subjected to </w:t>
      </w:r>
      <w:r w:rsidRPr="00CA40BF">
        <w:rPr>
          <w:rStyle w:val="Strong"/>
          <w:b w:val="0"/>
        </w:rPr>
        <w:t>thematic content analysis</w:t>
      </w:r>
      <w:r w:rsidRPr="00CA40BF">
        <w:rPr>
          <w:b/>
        </w:rPr>
        <w:t>.</w:t>
      </w:r>
      <w:r w:rsidRPr="00CA40BF">
        <w:t xml:space="preserve"> Key themes such as procurement challenges, material price volatility, cost-control strategies, and policy-related concerns were identified and interpreted based on frequency of mention and relevance to the study objectives. These themes were then compared with quantitative findings to triangulate the results and enhance the depth of the analysis. The integration of qualitative and quantitative data strengthened the overall analysis, allowing the study to capture both measurable trends and contextual nuances. This approach ensured that the findings are not only statistically valid but also practically grounded and useful for decision-making.</w:t>
      </w:r>
    </w:p>
    <w:p w:rsidR="00122274" w:rsidRPr="00CA40BF" w:rsidRDefault="00122274" w:rsidP="009D35E8">
      <w:pPr>
        <w:jc w:val="left"/>
        <w:rPr>
          <w:rFonts w:cs="Times New Roman"/>
          <w:szCs w:val="24"/>
        </w:rPr>
      </w:pPr>
      <w:r w:rsidRPr="00CA40BF">
        <w:rPr>
          <w:rFonts w:cs="Times New Roman"/>
          <w:szCs w:val="24"/>
        </w:rPr>
        <w:br w:type="page"/>
      </w:r>
    </w:p>
    <w:p w:rsidR="00CE7506" w:rsidRPr="00CA40BF" w:rsidRDefault="00CE7506" w:rsidP="009D35E8">
      <w:pPr>
        <w:pStyle w:val="Heading2"/>
        <w:jc w:val="center"/>
        <w:rPr>
          <w:color w:val="auto"/>
        </w:rPr>
      </w:pPr>
      <w:r w:rsidRPr="00CA40BF">
        <w:rPr>
          <w:rStyle w:val="Strong"/>
          <w:b/>
          <w:bCs/>
          <w:color w:val="auto"/>
        </w:rPr>
        <w:lastRenderedPageBreak/>
        <w:t>CHAPTER FOUR</w:t>
      </w:r>
    </w:p>
    <w:p w:rsidR="00CE7506" w:rsidRPr="00CA40BF" w:rsidRDefault="00CE7506" w:rsidP="009D35E8">
      <w:pPr>
        <w:pStyle w:val="Heading3"/>
        <w:spacing w:line="360" w:lineRule="auto"/>
        <w:jc w:val="center"/>
      </w:pPr>
      <w:r w:rsidRPr="00CA40BF">
        <w:rPr>
          <w:rStyle w:val="Strong"/>
          <w:b/>
          <w:bCs/>
        </w:rPr>
        <w:t>DATA PRESENTATION AND ANALYSIS</w:t>
      </w:r>
    </w:p>
    <w:p w:rsidR="00CE7506" w:rsidRPr="00CA40BF" w:rsidRDefault="00CE7506" w:rsidP="009D35E8">
      <w:pPr>
        <w:pStyle w:val="Heading3"/>
        <w:spacing w:line="360" w:lineRule="auto"/>
      </w:pPr>
      <w:r w:rsidRPr="00CA40BF">
        <w:rPr>
          <w:rStyle w:val="Strong"/>
          <w:b/>
          <w:bCs/>
        </w:rPr>
        <w:t>4.1 Introduction</w:t>
      </w:r>
    </w:p>
    <w:p w:rsidR="00CE7506" w:rsidRPr="00CA40BF" w:rsidRDefault="00CE7506" w:rsidP="009D35E8">
      <w:pPr>
        <w:pStyle w:val="NormalWeb"/>
        <w:spacing w:line="360" w:lineRule="auto"/>
        <w:jc w:val="both"/>
      </w:pPr>
      <w:r w:rsidRPr="00CA40BF">
        <w:t>This chapter presents, analyzes, and interprets the data collected through questionnaires, oral interviews, and field observations in relation to the study objectives. The goal is to understand the effects of rising costs of building materials on property development, using Harmony Investment and Property Development Company in Ilorin, Kwara State, as a case study. The data analysis is structured around the specific objectives of the study to ensure clarity and alignment between research questions and findings.</w:t>
      </w:r>
    </w:p>
    <w:p w:rsidR="00CE7506" w:rsidRPr="00CA40BF" w:rsidRDefault="00CE7506" w:rsidP="009D35E8">
      <w:pPr>
        <w:pStyle w:val="NormalWeb"/>
        <w:spacing w:line="360" w:lineRule="auto"/>
        <w:jc w:val="both"/>
      </w:pPr>
      <w:r w:rsidRPr="00CA40BF">
        <w:t xml:space="preserve">The analysis includes both </w:t>
      </w:r>
      <w:r w:rsidRPr="00CA40BF">
        <w:rPr>
          <w:rStyle w:val="Strong"/>
          <w:b w:val="0"/>
        </w:rPr>
        <w:t>quantitative</w:t>
      </w:r>
      <w:r w:rsidRPr="00CA40BF">
        <w:t xml:space="preserve"> and </w:t>
      </w:r>
      <w:r w:rsidRPr="00CA40BF">
        <w:rPr>
          <w:rStyle w:val="Strong"/>
          <w:b w:val="0"/>
        </w:rPr>
        <w:t>qualitative</w:t>
      </w:r>
      <w:r w:rsidRPr="00CA40BF">
        <w:t xml:space="preserve"> perspectives. Quantitative data were analyzed using descriptive statistics such as frequency tables, percentages, and means, while qualitative data obtained from interviews were analyzed thematically. This mixed-method approach allows for a comprehensive understanding of the complex relationships between material cost fluctuations and property development outcomes.</w:t>
      </w:r>
    </w:p>
    <w:p w:rsidR="00CE7506" w:rsidRPr="00CA40BF" w:rsidRDefault="00CE7506" w:rsidP="009D35E8">
      <w:pPr>
        <w:pStyle w:val="NormalWeb"/>
        <w:spacing w:line="360" w:lineRule="auto"/>
        <w:jc w:val="both"/>
      </w:pPr>
      <w:r w:rsidRPr="00CA40BF">
        <w:t>The chapter is organized in sections corresponding to the research objectives:</w:t>
      </w:r>
    </w:p>
    <w:p w:rsidR="00CE7506" w:rsidRPr="00CA40BF" w:rsidRDefault="00CE7506" w:rsidP="009D35E8">
      <w:pPr>
        <w:pStyle w:val="NormalWeb"/>
        <w:numPr>
          <w:ilvl w:val="0"/>
          <w:numId w:val="3"/>
        </w:numPr>
        <w:spacing w:line="360" w:lineRule="auto"/>
        <w:jc w:val="both"/>
      </w:pPr>
      <w:r w:rsidRPr="00CA40BF">
        <w:t>Major factors contributing to rising building material costs,</w:t>
      </w:r>
    </w:p>
    <w:p w:rsidR="00CE7506" w:rsidRPr="00CA40BF" w:rsidRDefault="00CE7506" w:rsidP="009D35E8">
      <w:pPr>
        <w:pStyle w:val="NormalWeb"/>
        <w:numPr>
          <w:ilvl w:val="0"/>
          <w:numId w:val="3"/>
        </w:numPr>
        <w:spacing w:line="360" w:lineRule="auto"/>
        <w:jc w:val="both"/>
      </w:pPr>
      <w:r w:rsidRPr="00CA40BF">
        <w:t>Impacts of these rising costs on property development,</w:t>
      </w:r>
    </w:p>
    <w:p w:rsidR="00CE7506" w:rsidRPr="00CA40BF" w:rsidRDefault="00CE7506" w:rsidP="009D35E8">
      <w:pPr>
        <w:pStyle w:val="NormalWeb"/>
        <w:numPr>
          <w:ilvl w:val="0"/>
          <w:numId w:val="3"/>
        </w:numPr>
        <w:spacing w:line="360" w:lineRule="auto"/>
        <w:jc w:val="both"/>
      </w:pPr>
      <w:r w:rsidRPr="00CA40BF">
        <w:t>Challenges encountered by the company,</w:t>
      </w:r>
    </w:p>
    <w:p w:rsidR="00CE7506" w:rsidRPr="00CA40BF" w:rsidRDefault="00CE7506" w:rsidP="009D35E8">
      <w:pPr>
        <w:pStyle w:val="NormalWeb"/>
        <w:numPr>
          <w:ilvl w:val="0"/>
          <w:numId w:val="3"/>
        </w:numPr>
        <w:spacing w:line="360" w:lineRule="auto"/>
        <w:jc w:val="both"/>
      </w:pPr>
      <w:r w:rsidRPr="00CA40BF">
        <w:t>Implications on affordability, quality, and timelines, and</w:t>
      </w:r>
    </w:p>
    <w:p w:rsidR="00CE7506" w:rsidRPr="00CA40BF" w:rsidRDefault="00CE7506" w:rsidP="009D35E8">
      <w:pPr>
        <w:pStyle w:val="NormalWeb"/>
        <w:numPr>
          <w:ilvl w:val="0"/>
          <w:numId w:val="3"/>
        </w:numPr>
        <w:spacing w:line="360" w:lineRule="auto"/>
        <w:jc w:val="both"/>
      </w:pPr>
      <w:r w:rsidRPr="00CA40BF">
        <w:t>Proposed recommendations for mitigation.</w:t>
      </w:r>
    </w:p>
    <w:p w:rsidR="00DB699E" w:rsidRPr="00CA40BF" w:rsidRDefault="00CE7506" w:rsidP="009D35E8">
      <w:pPr>
        <w:rPr>
          <w:rFonts w:cs="Times New Roman"/>
          <w:b/>
          <w:szCs w:val="24"/>
        </w:rPr>
      </w:pPr>
      <w:r w:rsidRPr="00CA40BF">
        <w:rPr>
          <w:rFonts w:cs="Times New Roman"/>
          <w:b/>
          <w:szCs w:val="24"/>
        </w:rPr>
        <w:br w:type="page"/>
      </w:r>
    </w:p>
    <w:p w:rsidR="00CE7506" w:rsidRPr="00CA40BF" w:rsidRDefault="00B43BB0" w:rsidP="009D35E8">
      <w:pPr>
        <w:rPr>
          <w:b/>
        </w:rPr>
      </w:pPr>
      <w:r w:rsidRPr="00CA40BF">
        <w:rPr>
          <w:b/>
        </w:rPr>
        <w:lastRenderedPageBreak/>
        <w:t xml:space="preserve">4.2 </w:t>
      </w:r>
      <w:r w:rsidR="00CE7506" w:rsidRPr="00CA40BF">
        <w:rPr>
          <w:b/>
        </w:rPr>
        <w:t>Factors Contributing to the Rising Cost of Building Materials in Ilorin, Kwara State</w:t>
      </w:r>
    </w:p>
    <w:p w:rsidR="00F45404" w:rsidRPr="00CA40BF" w:rsidRDefault="00F45404" w:rsidP="009D35E8">
      <w:pPr>
        <w:spacing w:before="100" w:beforeAutospacing="1" w:after="100" w:afterAutospacing="1"/>
        <w:rPr>
          <w:rFonts w:eastAsia="Times New Roman" w:cs="Times New Roman"/>
          <w:szCs w:val="24"/>
        </w:rPr>
      </w:pPr>
      <w:r w:rsidRPr="00CA40BF">
        <w:rPr>
          <w:rFonts w:eastAsia="Times New Roman" w:cs="Times New Roman"/>
          <w:szCs w:val="24"/>
        </w:rPr>
        <w:t xml:space="preserve">The data in Table 4.1 indicates that the leading contributor to the rising cost of building materials in Ilorin is </w:t>
      </w:r>
      <w:r w:rsidRPr="00CA40BF">
        <w:rPr>
          <w:rFonts w:eastAsia="Times New Roman" w:cs="Times New Roman"/>
          <w:bCs/>
          <w:szCs w:val="24"/>
        </w:rPr>
        <w:t>exchange rate fluctuations</w:t>
      </w:r>
      <w:r w:rsidRPr="00CA40BF">
        <w:rPr>
          <w:rFonts w:eastAsia="Times New Roman" w:cs="Times New Roman"/>
          <w:szCs w:val="24"/>
        </w:rPr>
        <w:t xml:space="preserve">, accounting for 32% of respondents' views. This aligns with Nigeria’s heavy reliance on imported construction materials such as cement additives, iron rods, tiles, and plumbing accessories, which are priced in foreign currencies primarily the US dollar. As the naira continues to depreciate against foreign currencies, the cost of importing these materials rises correspondingly, leading to inflation in the construction sector. </w:t>
      </w:r>
      <w:r w:rsidRPr="00CA40BF">
        <w:rPr>
          <w:rFonts w:eastAsia="Times New Roman" w:cs="Times New Roman"/>
          <w:bCs/>
          <w:szCs w:val="24"/>
        </w:rPr>
        <w:t>High transportation and logistics costs</w:t>
      </w:r>
      <w:r w:rsidRPr="00CA40BF">
        <w:rPr>
          <w:rFonts w:eastAsia="Times New Roman" w:cs="Times New Roman"/>
          <w:szCs w:val="24"/>
        </w:rPr>
        <w:t xml:space="preserve"> (24%) also emerged as a significant factor, driven by poor road infrastructure, rising fuel prices, and general inefficiencies in the movement of goods. </w:t>
      </w:r>
      <w:r w:rsidRPr="00CA40BF">
        <w:rPr>
          <w:rFonts w:eastAsia="Times New Roman" w:cs="Times New Roman"/>
          <w:bCs/>
          <w:szCs w:val="24"/>
        </w:rPr>
        <w:t>Inflation and unstable macroeconomic conditions</w:t>
      </w:r>
      <w:r w:rsidRPr="00CA40BF">
        <w:rPr>
          <w:rFonts w:eastAsia="Times New Roman" w:cs="Times New Roman"/>
          <w:szCs w:val="24"/>
        </w:rPr>
        <w:t xml:space="preserve"> (22.4%) were also prominently mentioned, indicating that broader economic instability is filtering into the construction sector through price volatility and reduced purchasing power.</w:t>
      </w:r>
    </w:p>
    <w:p w:rsidR="00F45404" w:rsidRPr="00CA40BF" w:rsidRDefault="00F45404" w:rsidP="009D35E8">
      <w:pPr>
        <w:spacing w:before="100" w:beforeAutospacing="1" w:after="100" w:afterAutospacing="1"/>
        <w:rPr>
          <w:rFonts w:eastAsia="Times New Roman" w:cs="Times New Roman"/>
          <w:szCs w:val="24"/>
        </w:rPr>
      </w:pPr>
      <w:r w:rsidRPr="00CA40BF">
        <w:rPr>
          <w:rFonts w:eastAsia="Times New Roman" w:cs="Times New Roman"/>
          <w:szCs w:val="24"/>
        </w:rPr>
        <w:t xml:space="preserve">These findings are consistent with previous studies. For example, Oladapo and Iyagba (2019) identified exchange rate instability and inflation as the primary factors influencing rising construction costs across southwestern Nigeria. Similarly, Adedeji et al. (2020) found that transportation costs significantly influenced final building material prices, especially in urbanizing regions like Ilorin where logistics networks are underdeveloped. The current study’s justification lies in its contextual focus on Harmony Investment Company, where interviews also confirmed that developers are directly impacted by naira volatility, fuel price increases, and inconsistent government policies. Additionally, less-cited factors like </w:t>
      </w:r>
      <w:r w:rsidRPr="00CA40BF">
        <w:rPr>
          <w:rFonts w:eastAsia="Times New Roman" w:cs="Times New Roman"/>
          <w:bCs/>
          <w:szCs w:val="24"/>
        </w:rPr>
        <w:t>government tariffs</w:t>
      </w:r>
      <w:r w:rsidRPr="00CA40BF">
        <w:rPr>
          <w:rFonts w:eastAsia="Times New Roman" w:cs="Times New Roman"/>
          <w:szCs w:val="24"/>
        </w:rPr>
        <w:t xml:space="preserve">, </w:t>
      </w:r>
      <w:r w:rsidRPr="00CA40BF">
        <w:rPr>
          <w:rFonts w:eastAsia="Times New Roman" w:cs="Times New Roman"/>
          <w:bCs/>
          <w:szCs w:val="24"/>
        </w:rPr>
        <w:t>insecurity</w:t>
      </w:r>
      <w:r w:rsidRPr="00CA40BF">
        <w:rPr>
          <w:rFonts w:eastAsia="Times New Roman" w:cs="Times New Roman"/>
          <w:szCs w:val="24"/>
        </w:rPr>
        <w:t xml:space="preserve">, and </w:t>
      </w:r>
      <w:r w:rsidRPr="00CA40BF">
        <w:rPr>
          <w:rFonts w:eastAsia="Times New Roman" w:cs="Times New Roman"/>
          <w:bCs/>
          <w:szCs w:val="24"/>
        </w:rPr>
        <w:t>supplier hoarding</w:t>
      </w:r>
      <w:r w:rsidRPr="00CA40BF">
        <w:rPr>
          <w:rFonts w:eastAsia="Times New Roman" w:cs="Times New Roman"/>
          <w:szCs w:val="24"/>
        </w:rPr>
        <w:t>—though representing smaller percentages—highlight systemic inefficiencies that further complicate cost stability. Thus, the data not only aligns with broader national trends but also provides localized insight into how these factors play out in Ilorin’s property development environment.</w:t>
      </w:r>
    </w:p>
    <w:p w:rsidR="009D35E8" w:rsidRDefault="009D35E8" w:rsidP="009D35E8">
      <w:pPr>
        <w:spacing w:after="0"/>
        <w:rPr>
          <w:b/>
        </w:rPr>
      </w:pPr>
    </w:p>
    <w:p w:rsidR="009D35E8" w:rsidRDefault="009D35E8" w:rsidP="009D35E8">
      <w:pPr>
        <w:spacing w:after="0"/>
        <w:rPr>
          <w:b/>
        </w:rPr>
      </w:pPr>
    </w:p>
    <w:p w:rsidR="009D35E8" w:rsidRDefault="009D35E8" w:rsidP="009D35E8">
      <w:pPr>
        <w:spacing w:after="0"/>
        <w:rPr>
          <w:b/>
        </w:rPr>
      </w:pPr>
    </w:p>
    <w:p w:rsidR="009D35E8" w:rsidRDefault="009D35E8" w:rsidP="009D35E8">
      <w:pPr>
        <w:spacing w:after="0"/>
        <w:rPr>
          <w:b/>
        </w:rPr>
      </w:pPr>
    </w:p>
    <w:p w:rsidR="00B43BB0" w:rsidRPr="00CA40BF" w:rsidRDefault="00B43BB0" w:rsidP="009D35E8">
      <w:pPr>
        <w:spacing w:after="0"/>
        <w:rPr>
          <w:rFonts w:cs="Times New Roman"/>
          <w:b/>
          <w:szCs w:val="24"/>
        </w:rPr>
      </w:pPr>
      <w:r w:rsidRPr="00CA40BF">
        <w:rPr>
          <w:b/>
        </w:rPr>
        <w:lastRenderedPageBreak/>
        <w:t>Table 4.1:</w:t>
      </w:r>
      <w:r w:rsidRPr="00CA40BF">
        <w:rPr>
          <w:b/>
        </w:rPr>
        <w:tab/>
        <w:t>Factors Contributing to the Rising Cost of Building Materials in Ilorin, Kwara State</w:t>
      </w:r>
    </w:p>
    <w:tbl>
      <w:tblPr>
        <w:tblStyle w:val="TableGrid"/>
        <w:tblW w:w="0" w:type="auto"/>
        <w:tblLook w:val="04A0"/>
      </w:tblPr>
      <w:tblGrid>
        <w:gridCol w:w="3192"/>
        <w:gridCol w:w="3192"/>
        <w:gridCol w:w="3192"/>
      </w:tblGrid>
      <w:tr w:rsidR="00B43BB0" w:rsidRPr="00CA40BF" w:rsidTr="00F45404">
        <w:tc>
          <w:tcPr>
            <w:tcW w:w="3192" w:type="dxa"/>
            <w:vAlign w:val="center"/>
          </w:tcPr>
          <w:p w:rsidR="00B43BB0" w:rsidRPr="00CA40BF" w:rsidRDefault="00B43BB0" w:rsidP="009D35E8">
            <w:pPr>
              <w:jc w:val="center"/>
              <w:rPr>
                <w:rFonts w:eastAsia="Times New Roman" w:cs="Times New Roman"/>
                <w:b/>
                <w:bCs/>
                <w:szCs w:val="24"/>
              </w:rPr>
            </w:pPr>
            <w:r w:rsidRPr="00CA40BF">
              <w:rPr>
                <w:rFonts w:eastAsia="Times New Roman" w:cs="Times New Roman"/>
                <w:b/>
                <w:bCs/>
                <w:szCs w:val="24"/>
              </w:rPr>
              <w:t>Factor</w:t>
            </w:r>
          </w:p>
        </w:tc>
        <w:tc>
          <w:tcPr>
            <w:tcW w:w="3192" w:type="dxa"/>
            <w:vAlign w:val="center"/>
          </w:tcPr>
          <w:p w:rsidR="00B43BB0" w:rsidRPr="00CA40BF" w:rsidRDefault="00B43BB0" w:rsidP="009D35E8">
            <w:pPr>
              <w:jc w:val="center"/>
              <w:rPr>
                <w:rFonts w:eastAsia="Times New Roman" w:cs="Times New Roman"/>
                <w:b/>
                <w:bCs/>
                <w:szCs w:val="24"/>
              </w:rPr>
            </w:pPr>
            <w:r w:rsidRPr="00CA40BF">
              <w:rPr>
                <w:rFonts w:eastAsia="Times New Roman" w:cs="Times New Roman"/>
                <w:b/>
                <w:bCs/>
                <w:szCs w:val="24"/>
              </w:rPr>
              <w:t>Frequency</w:t>
            </w:r>
          </w:p>
        </w:tc>
        <w:tc>
          <w:tcPr>
            <w:tcW w:w="3192" w:type="dxa"/>
            <w:vAlign w:val="center"/>
          </w:tcPr>
          <w:p w:rsidR="00B43BB0" w:rsidRPr="00CA40BF" w:rsidRDefault="00B43BB0" w:rsidP="009D35E8">
            <w:pPr>
              <w:jc w:val="center"/>
              <w:rPr>
                <w:rFonts w:eastAsia="Times New Roman" w:cs="Times New Roman"/>
                <w:b/>
                <w:bCs/>
                <w:szCs w:val="24"/>
              </w:rPr>
            </w:pPr>
            <w:r w:rsidRPr="00CA40BF">
              <w:rPr>
                <w:rFonts w:eastAsia="Times New Roman" w:cs="Times New Roman"/>
                <w:b/>
                <w:bCs/>
                <w:szCs w:val="24"/>
              </w:rPr>
              <w:t>Percentage (%)</w:t>
            </w:r>
          </w:p>
        </w:tc>
      </w:tr>
      <w:tr w:rsidR="00B43BB0" w:rsidRPr="00CA40BF" w:rsidTr="00F45404">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Exchange rate fluctuations</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40</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32.0</w:t>
            </w:r>
          </w:p>
        </w:tc>
      </w:tr>
      <w:tr w:rsidR="00B43BB0" w:rsidRPr="00CA40BF" w:rsidTr="00F45404">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High transportation/logistics costs</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30</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24.0</w:t>
            </w:r>
          </w:p>
        </w:tc>
      </w:tr>
      <w:tr w:rsidR="00B43BB0" w:rsidRPr="00CA40BF" w:rsidTr="00F45404">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Inflation and unstable economy</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28</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22.4</w:t>
            </w:r>
          </w:p>
        </w:tc>
      </w:tr>
      <w:tr w:rsidR="00B43BB0" w:rsidRPr="00CA40BF" w:rsidTr="00F45404">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Import dependency</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15</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12.0</w:t>
            </w:r>
          </w:p>
        </w:tc>
      </w:tr>
      <w:tr w:rsidR="00B43BB0" w:rsidRPr="00CA40BF" w:rsidTr="00F45404">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Government policy and tariffs</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7</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5.6</w:t>
            </w:r>
          </w:p>
        </w:tc>
      </w:tr>
      <w:tr w:rsidR="00B43BB0" w:rsidRPr="00CA40BF" w:rsidTr="00F45404">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Insecurity disrupting supply chains</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5</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4.0</w:t>
            </w:r>
          </w:p>
        </w:tc>
      </w:tr>
      <w:tr w:rsidR="00B43BB0" w:rsidRPr="00CA40BF" w:rsidTr="00F45404">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Others (e.g., hoarding by suppliers)</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5</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4.0</w:t>
            </w:r>
          </w:p>
        </w:tc>
      </w:tr>
      <w:tr w:rsidR="00B43BB0" w:rsidRPr="00CA40BF" w:rsidTr="00F45404">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b/>
                <w:bCs/>
                <w:szCs w:val="24"/>
              </w:rPr>
              <w:t>Total</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b/>
                <w:bCs/>
                <w:szCs w:val="24"/>
              </w:rPr>
              <w:t>125</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b/>
                <w:bCs/>
                <w:szCs w:val="24"/>
              </w:rPr>
              <w:t>100.0</w:t>
            </w:r>
          </w:p>
        </w:tc>
      </w:tr>
    </w:tbl>
    <w:p w:rsidR="006E025F" w:rsidRPr="006E025F" w:rsidRDefault="006E025F" w:rsidP="009D35E8">
      <w:pPr>
        <w:pStyle w:val="NormalWeb"/>
        <w:spacing w:after="0" w:afterAutospacing="0" w:line="360" w:lineRule="auto"/>
        <w:rPr>
          <w:rStyle w:val="Strong"/>
          <w:b w:val="0"/>
          <w:bCs w:val="0"/>
        </w:rPr>
      </w:pPr>
      <w:r w:rsidRPr="006E025F">
        <w:rPr>
          <w:rStyle w:val="Strong"/>
          <w:b w:val="0"/>
          <w:bCs w:val="0"/>
        </w:rPr>
        <w:t>Sources: Field Survey (2025)</w:t>
      </w:r>
    </w:p>
    <w:p w:rsidR="00CE7506" w:rsidRPr="00CA40BF" w:rsidRDefault="00F45404" w:rsidP="009D35E8">
      <w:pPr>
        <w:pStyle w:val="NormalWeb"/>
        <w:spacing w:after="0" w:afterAutospacing="0" w:line="360" w:lineRule="auto"/>
      </w:pPr>
      <w:r w:rsidRPr="009D35E8">
        <w:rPr>
          <w:rStyle w:val="Strong"/>
          <w:bCs w:val="0"/>
        </w:rPr>
        <w:t>4.3</w:t>
      </w:r>
      <w:r w:rsidRPr="00CA40BF">
        <w:rPr>
          <w:rStyle w:val="Strong"/>
          <w:b w:val="0"/>
          <w:bCs w:val="0"/>
        </w:rPr>
        <w:tab/>
      </w:r>
      <w:r w:rsidRPr="00CA40BF">
        <w:rPr>
          <w:rStyle w:val="Strong"/>
        </w:rPr>
        <w:t>Impact of Rising Material Costs on Property Development</w:t>
      </w:r>
    </w:p>
    <w:p w:rsidR="00F45404" w:rsidRPr="00CA40BF" w:rsidRDefault="00F45404" w:rsidP="009D35E8">
      <w:pPr>
        <w:spacing w:before="100" w:beforeAutospacing="1" w:after="100" w:afterAutospacing="1"/>
        <w:rPr>
          <w:rFonts w:eastAsia="Times New Roman" w:cs="Times New Roman"/>
          <w:szCs w:val="24"/>
        </w:rPr>
      </w:pPr>
      <w:r w:rsidRPr="00CA40BF">
        <w:rPr>
          <w:rFonts w:eastAsia="Times New Roman" w:cs="Times New Roman"/>
          <w:szCs w:val="24"/>
        </w:rPr>
        <w:t xml:space="preserve">The data presented in Table 4.2 illustrates the multifaceted impact of rising building material costs on property development activities at Harmony Investment and Property Development Company. The most frequently reported effect, as indicated by </w:t>
      </w:r>
      <w:r w:rsidRPr="00CA40BF">
        <w:rPr>
          <w:rFonts w:eastAsia="Times New Roman" w:cs="Times New Roman"/>
          <w:bCs/>
          <w:szCs w:val="24"/>
        </w:rPr>
        <w:t>36.8%</w:t>
      </w:r>
      <w:r w:rsidRPr="00CA40BF">
        <w:rPr>
          <w:rFonts w:eastAsia="Times New Roman" w:cs="Times New Roman"/>
          <w:szCs w:val="24"/>
        </w:rPr>
        <w:t xml:space="preserve"> of respondents, is </w:t>
      </w:r>
      <w:r w:rsidRPr="00CA40BF">
        <w:rPr>
          <w:rFonts w:eastAsia="Times New Roman" w:cs="Times New Roman"/>
          <w:bCs/>
          <w:szCs w:val="24"/>
        </w:rPr>
        <w:t>project delay</w:t>
      </w:r>
      <w:r w:rsidRPr="00CA40BF">
        <w:rPr>
          <w:rFonts w:eastAsia="Times New Roman" w:cs="Times New Roman"/>
          <w:szCs w:val="24"/>
        </w:rPr>
        <w:t xml:space="preserve">, underscoring how cost volatility hampers timely procurement of materials, disrupts workflow, and extends delivery schedules. This is followed by a </w:t>
      </w:r>
      <w:r w:rsidRPr="00CA40BF">
        <w:rPr>
          <w:rFonts w:eastAsia="Times New Roman" w:cs="Times New Roman"/>
          <w:bCs/>
          <w:szCs w:val="24"/>
        </w:rPr>
        <w:t>24.0%</w:t>
      </w:r>
      <w:r w:rsidRPr="00CA40BF">
        <w:rPr>
          <w:rFonts w:eastAsia="Times New Roman" w:cs="Times New Roman"/>
          <w:szCs w:val="24"/>
        </w:rPr>
        <w:t xml:space="preserve"> increase in </w:t>
      </w:r>
      <w:r w:rsidRPr="00CA40BF">
        <w:rPr>
          <w:rFonts w:eastAsia="Times New Roman" w:cs="Times New Roman"/>
          <w:bCs/>
          <w:szCs w:val="24"/>
        </w:rPr>
        <w:t>project cost estimates</w:t>
      </w:r>
      <w:r w:rsidRPr="00CA40BF">
        <w:rPr>
          <w:rFonts w:eastAsia="Times New Roman" w:cs="Times New Roman"/>
          <w:szCs w:val="24"/>
        </w:rPr>
        <w:t xml:space="preserve">, showing that developers often exceed their initial budgets due to unpredictable price surges. </w:t>
      </w:r>
      <w:r w:rsidRPr="00CA40BF">
        <w:rPr>
          <w:rFonts w:eastAsia="Times New Roman" w:cs="Times New Roman"/>
          <w:bCs/>
          <w:szCs w:val="24"/>
        </w:rPr>
        <w:t>16.0%</w:t>
      </w:r>
      <w:r w:rsidRPr="00CA40BF">
        <w:rPr>
          <w:rFonts w:eastAsia="Times New Roman" w:cs="Times New Roman"/>
          <w:szCs w:val="24"/>
        </w:rPr>
        <w:t xml:space="preserve"> of respondents noted a </w:t>
      </w:r>
      <w:r w:rsidRPr="00CA40BF">
        <w:rPr>
          <w:rFonts w:eastAsia="Times New Roman" w:cs="Times New Roman"/>
          <w:bCs/>
          <w:szCs w:val="24"/>
        </w:rPr>
        <w:t>reduction in building quality or specifications</w:t>
      </w:r>
      <w:r w:rsidRPr="00CA40BF">
        <w:rPr>
          <w:rFonts w:eastAsia="Times New Roman" w:cs="Times New Roman"/>
          <w:szCs w:val="24"/>
        </w:rPr>
        <w:t xml:space="preserve">, revealing that cost-cutting efforts sometimes involve compromising on materials or finishes. Other impacts include </w:t>
      </w:r>
      <w:r w:rsidRPr="00CA40BF">
        <w:rPr>
          <w:rFonts w:eastAsia="Times New Roman" w:cs="Times New Roman"/>
          <w:bCs/>
          <w:szCs w:val="24"/>
        </w:rPr>
        <w:t>downsizing of planned projects (12%)</w:t>
      </w:r>
      <w:r w:rsidRPr="00CA40BF">
        <w:rPr>
          <w:rFonts w:eastAsia="Times New Roman" w:cs="Times New Roman"/>
          <w:szCs w:val="24"/>
        </w:rPr>
        <w:t xml:space="preserve">, </w:t>
      </w:r>
      <w:r w:rsidRPr="00CA40BF">
        <w:rPr>
          <w:rFonts w:eastAsia="Times New Roman" w:cs="Times New Roman"/>
          <w:bCs/>
          <w:szCs w:val="24"/>
        </w:rPr>
        <w:t>loss of client confidence (7.2%)</w:t>
      </w:r>
      <w:r w:rsidRPr="00CA40BF">
        <w:rPr>
          <w:rFonts w:eastAsia="Times New Roman" w:cs="Times New Roman"/>
          <w:szCs w:val="24"/>
        </w:rPr>
        <w:t xml:space="preserve">, and </w:t>
      </w:r>
      <w:r w:rsidRPr="00CA40BF">
        <w:rPr>
          <w:rFonts w:eastAsia="Times New Roman" w:cs="Times New Roman"/>
          <w:bCs/>
          <w:szCs w:val="24"/>
        </w:rPr>
        <w:t>project abandonment (4%)</w:t>
      </w:r>
      <w:r w:rsidRPr="00CA40BF">
        <w:rPr>
          <w:rFonts w:eastAsia="Times New Roman" w:cs="Times New Roman"/>
          <w:szCs w:val="24"/>
        </w:rPr>
        <w:t>, all of which reflect both operational and reputational consequences for developers.</w:t>
      </w:r>
    </w:p>
    <w:p w:rsidR="00F45404" w:rsidRPr="00CA40BF" w:rsidRDefault="00F45404" w:rsidP="009D35E8">
      <w:pPr>
        <w:spacing w:before="100" w:beforeAutospacing="1" w:after="100" w:afterAutospacing="1"/>
        <w:rPr>
          <w:rStyle w:val="Strong"/>
          <w:rFonts w:eastAsia="Times New Roman" w:cs="Times New Roman"/>
          <w:b w:val="0"/>
          <w:bCs w:val="0"/>
          <w:szCs w:val="24"/>
        </w:rPr>
      </w:pPr>
      <w:r w:rsidRPr="00CA40BF">
        <w:rPr>
          <w:rFonts w:eastAsia="Times New Roman" w:cs="Times New Roman"/>
          <w:szCs w:val="24"/>
        </w:rPr>
        <w:t xml:space="preserve">These findings are consistent with previous empirical studies. For example, Afolayan and Ogunleye (2019) observed in their study on construction cost inflation in Lagos that developers </w:t>
      </w:r>
      <w:r w:rsidRPr="00CA40BF">
        <w:rPr>
          <w:rFonts w:eastAsia="Times New Roman" w:cs="Times New Roman"/>
          <w:szCs w:val="24"/>
        </w:rPr>
        <w:lastRenderedPageBreak/>
        <w:t>frequently experience delays and resort to changing design specifications when prices escalate mid-project. Similarly, Okoro and Okeya (2021) found that over 30% of residential construction projects in Enugu State suffered cost overruns directly linked to price surges in cement and steel. The justification for these trends lies in Nigeria’s heavy reliance on imported materials and the inflationary pressures from macroeconomic instability, poor infrastructure, and fuel price hikes. The situation in Ilorin mirrors these national patterns, suggesting that Harmony Investment’s experience is not isolated but rather symptomatic of systemic vulnerabilities in the Nigerian construction sector. Therefore, the findings in Table 4.2 are both realistic and reflective of broader challenges faced by developers operating in similar urban environments across the country.</w:t>
      </w:r>
    </w:p>
    <w:p w:rsidR="00CE7506" w:rsidRPr="00CA40BF" w:rsidRDefault="00CE7506" w:rsidP="009D35E8">
      <w:pPr>
        <w:pStyle w:val="NormalWeb"/>
        <w:spacing w:after="0" w:afterAutospacing="0" w:line="360" w:lineRule="auto"/>
      </w:pPr>
      <w:r w:rsidRPr="00CA40BF">
        <w:rPr>
          <w:rStyle w:val="Strong"/>
        </w:rPr>
        <w:t>Table 4.2: Impact of Rising Material Costs on Property Development</w:t>
      </w:r>
    </w:p>
    <w:tbl>
      <w:tblPr>
        <w:tblStyle w:val="TableGrid"/>
        <w:tblW w:w="0" w:type="auto"/>
        <w:tblLook w:val="04A0"/>
      </w:tblPr>
      <w:tblGrid>
        <w:gridCol w:w="4968"/>
        <w:gridCol w:w="2070"/>
        <w:gridCol w:w="2538"/>
      </w:tblGrid>
      <w:tr w:rsidR="00B43BB0" w:rsidRPr="00CA40BF" w:rsidTr="00B43BB0">
        <w:tc>
          <w:tcPr>
            <w:tcW w:w="4968" w:type="dxa"/>
            <w:vAlign w:val="center"/>
          </w:tcPr>
          <w:p w:rsidR="00B43BB0" w:rsidRPr="00CA40BF" w:rsidRDefault="00B43BB0" w:rsidP="009D35E8">
            <w:pPr>
              <w:jc w:val="center"/>
              <w:rPr>
                <w:b/>
                <w:bCs/>
                <w:szCs w:val="24"/>
              </w:rPr>
            </w:pPr>
            <w:r w:rsidRPr="00CA40BF">
              <w:rPr>
                <w:rStyle w:val="Strong"/>
              </w:rPr>
              <w:t>Impact Area</w:t>
            </w:r>
          </w:p>
        </w:tc>
        <w:tc>
          <w:tcPr>
            <w:tcW w:w="2070" w:type="dxa"/>
            <w:vAlign w:val="center"/>
          </w:tcPr>
          <w:p w:rsidR="00B43BB0" w:rsidRPr="00CA40BF" w:rsidRDefault="00B43BB0" w:rsidP="009D35E8">
            <w:pPr>
              <w:jc w:val="center"/>
              <w:rPr>
                <w:b/>
                <w:bCs/>
                <w:szCs w:val="24"/>
              </w:rPr>
            </w:pPr>
            <w:r w:rsidRPr="00CA40BF">
              <w:rPr>
                <w:rStyle w:val="Strong"/>
              </w:rPr>
              <w:t>Frequency</w:t>
            </w:r>
          </w:p>
        </w:tc>
        <w:tc>
          <w:tcPr>
            <w:tcW w:w="2538" w:type="dxa"/>
            <w:vAlign w:val="center"/>
          </w:tcPr>
          <w:p w:rsidR="00B43BB0" w:rsidRPr="00CA40BF" w:rsidRDefault="00B43BB0" w:rsidP="009D35E8">
            <w:pPr>
              <w:jc w:val="center"/>
              <w:rPr>
                <w:b/>
                <w:bCs/>
                <w:szCs w:val="24"/>
              </w:rPr>
            </w:pPr>
            <w:r w:rsidRPr="00CA40BF">
              <w:rPr>
                <w:rStyle w:val="Strong"/>
              </w:rPr>
              <w:t>Percentage (%)</w:t>
            </w:r>
          </w:p>
        </w:tc>
      </w:tr>
      <w:tr w:rsidR="00B43BB0" w:rsidRPr="00CA40BF" w:rsidTr="00B43BB0">
        <w:tc>
          <w:tcPr>
            <w:tcW w:w="4968" w:type="dxa"/>
            <w:vAlign w:val="center"/>
          </w:tcPr>
          <w:p w:rsidR="00B43BB0" w:rsidRPr="00CA40BF" w:rsidRDefault="00B43BB0" w:rsidP="009D35E8">
            <w:pPr>
              <w:jc w:val="center"/>
              <w:rPr>
                <w:szCs w:val="24"/>
              </w:rPr>
            </w:pPr>
            <w:r w:rsidRPr="00CA40BF">
              <w:t>Delay in project completion</w:t>
            </w:r>
          </w:p>
        </w:tc>
        <w:tc>
          <w:tcPr>
            <w:tcW w:w="2070" w:type="dxa"/>
            <w:vAlign w:val="center"/>
          </w:tcPr>
          <w:p w:rsidR="00B43BB0" w:rsidRPr="00CA40BF" w:rsidRDefault="00B43BB0" w:rsidP="009D35E8">
            <w:pPr>
              <w:jc w:val="center"/>
              <w:rPr>
                <w:szCs w:val="24"/>
              </w:rPr>
            </w:pPr>
            <w:r w:rsidRPr="00CA40BF">
              <w:t>46</w:t>
            </w:r>
          </w:p>
        </w:tc>
        <w:tc>
          <w:tcPr>
            <w:tcW w:w="2538" w:type="dxa"/>
            <w:vAlign w:val="center"/>
          </w:tcPr>
          <w:p w:rsidR="00B43BB0" w:rsidRPr="00CA40BF" w:rsidRDefault="00B43BB0" w:rsidP="009D35E8">
            <w:pPr>
              <w:jc w:val="center"/>
              <w:rPr>
                <w:szCs w:val="24"/>
              </w:rPr>
            </w:pPr>
            <w:r w:rsidRPr="00CA40BF">
              <w:t>36.8</w:t>
            </w:r>
          </w:p>
        </w:tc>
      </w:tr>
      <w:tr w:rsidR="00B43BB0" w:rsidRPr="00CA40BF" w:rsidTr="00B43BB0">
        <w:tc>
          <w:tcPr>
            <w:tcW w:w="4968" w:type="dxa"/>
            <w:vAlign w:val="center"/>
          </w:tcPr>
          <w:p w:rsidR="00B43BB0" w:rsidRPr="00CA40BF" w:rsidRDefault="00B43BB0" w:rsidP="009D35E8">
            <w:pPr>
              <w:jc w:val="center"/>
              <w:rPr>
                <w:szCs w:val="24"/>
              </w:rPr>
            </w:pPr>
            <w:r w:rsidRPr="00CA40BF">
              <w:t>Increase in project cost estimates</w:t>
            </w:r>
          </w:p>
        </w:tc>
        <w:tc>
          <w:tcPr>
            <w:tcW w:w="2070" w:type="dxa"/>
            <w:vAlign w:val="center"/>
          </w:tcPr>
          <w:p w:rsidR="00B43BB0" w:rsidRPr="00CA40BF" w:rsidRDefault="00B43BB0" w:rsidP="009D35E8">
            <w:pPr>
              <w:jc w:val="center"/>
              <w:rPr>
                <w:szCs w:val="24"/>
              </w:rPr>
            </w:pPr>
            <w:r w:rsidRPr="00CA40BF">
              <w:t>30</w:t>
            </w:r>
          </w:p>
        </w:tc>
        <w:tc>
          <w:tcPr>
            <w:tcW w:w="2538" w:type="dxa"/>
            <w:vAlign w:val="center"/>
          </w:tcPr>
          <w:p w:rsidR="00B43BB0" w:rsidRPr="00CA40BF" w:rsidRDefault="00B43BB0" w:rsidP="009D35E8">
            <w:pPr>
              <w:jc w:val="center"/>
              <w:rPr>
                <w:szCs w:val="24"/>
              </w:rPr>
            </w:pPr>
            <w:r w:rsidRPr="00CA40BF">
              <w:t>24.0</w:t>
            </w:r>
          </w:p>
        </w:tc>
      </w:tr>
      <w:tr w:rsidR="00B43BB0" w:rsidRPr="00CA40BF" w:rsidTr="00B43BB0">
        <w:tc>
          <w:tcPr>
            <w:tcW w:w="4968" w:type="dxa"/>
            <w:vAlign w:val="center"/>
          </w:tcPr>
          <w:p w:rsidR="00B43BB0" w:rsidRPr="00CA40BF" w:rsidRDefault="00B43BB0" w:rsidP="009D35E8">
            <w:pPr>
              <w:jc w:val="center"/>
              <w:rPr>
                <w:szCs w:val="24"/>
              </w:rPr>
            </w:pPr>
            <w:r w:rsidRPr="00CA40BF">
              <w:t>Reduction in building quality/specifications</w:t>
            </w:r>
          </w:p>
        </w:tc>
        <w:tc>
          <w:tcPr>
            <w:tcW w:w="2070" w:type="dxa"/>
            <w:vAlign w:val="center"/>
          </w:tcPr>
          <w:p w:rsidR="00B43BB0" w:rsidRPr="00CA40BF" w:rsidRDefault="00B43BB0" w:rsidP="009D35E8">
            <w:pPr>
              <w:jc w:val="center"/>
              <w:rPr>
                <w:szCs w:val="24"/>
              </w:rPr>
            </w:pPr>
            <w:r w:rsidRPr="00CA40BF">
              <w:t>20</w:t>
            </w:r>
          </w:p>
        </w:tc>
        <w:tc>
          <w:tcPr>
            <w:tcW w:w="2538" w:type="dxa"/>
            <w:vAlign w:val="center"/>
          </w:tcPr>
          <w:p w:rsidR="00B43BB0" w:rsidRPr="00CA40BF" w:rsidRDefault="00B43BB0" w:rsidP="009D35E8">
            <w:pPr>
              <w:jc w:val="center"/>
              <w:rPr>
                <w:szCs w:val="24"/>
              </w:rPr>
            </w:pPr>
            <w:r w:rsidRPr="00CA40BF">
              <w:t>16.0</w:t>
            </w:r>
          </w:p>
        </w:tc>
      </w:tr>
      <w:tr w:rsidR="00B43BB0" w:rsidRPr="00CA40BF" w:rsidTr="00B43BB0">
        <w:tc>
          <w:tcPr>
            <w:tcW w:w="4968" w:type="dxa"/>
            <w:vAlign w:val="center"/>
          </w:tcPr>
          <w:p w:rsidR="00B43BB0" w:rsidRPr="00CA40BF" w:rsidRDefault="00B43BB0" w:rsidP="009D35E8">
            <w:pPr>
              <w:jc w:val="center"/>
              <w:rPr>
                <w:szCs w:val="24"/>
              </w:rPr>
            </w:pPr>
            <w:r w:rsidRPr="00CA40BF">
              <w:t>Suspension or downsizing of planned projects</w:t>
            </w:r>
          </w:p>
        </w:tc>
        <w:tc>
          <w:tcPr>
            <w:tcW w:w="2070" w:type="dxa"/>
            <w:vAlign w:val="center"/>
          </w:tcPr>
          <w:p w:rsidR="00B43BB0" w:rsidRPr="00CA40BF" w:rsidRDefault="00B43BB0" w:rsidP="009D35E8">
            <w:pPr>
              <w:jc w:val="center"/>
              <w:rPr>
                <w:szCs w:val="24"/>
              </w:rPr>
            </w:pPr>
            <w:r w:rsidRPr="00CA40BF">
              <w:t>15</w:t>
            </w:r>
          </w:p>
        </w:tc>
        <w:tc>
          <w:tcPr>
            <w:tcW w:w="2538" w:type="dxa"/>
            <w:vAlign w:val="center"/>
          </w:tcPr>
          <w:p w:rsidR="00B43BB0" w:rsidRPr="00CA40BF" w:rsidRDefault="00B43BB0" w:rsidP="009D35E8">
            <w:pPr>
              <w:jc w:val="center"/>
              <w:rPr>
                <w:szCs w:val="24"/>
              </w:rPr>
            </w:pPr>
            <w:r w:rsidRPr="00CA40BF">
              <w:t>12.0</w:t>
            </w:r>
          </w:p>
        </w:tc>
      </w:tr>
      <w:tr w:rsidR="00B43BB0" w:rsidRPr="00CA40BF" w:rsidTr="00B43BB0">
        <w:tc>
          <w:tcPr>
            <w:tcW w:w="4968" w:type="dxa"/>
            <w:vAlign w:val="center"/>
          </w:tcPr>
          <w:p w:rsidR="00B43BB0" w:rsidRPr="00CA40BF" w:rsidRDefault="00B43BB0" w:rsidP="009D35E8">
            <w:pPr>
              <w:jc w:val="center"/>
              <w:rPr>
                <w:szCs w:val="24"/>
              </w:rPr>
            </w:pPr>
            <w:r w:rsidRPr="00CA40BF">
              <w:t>Loss of client confidence and investment appeal</w:t>
            </w:r>
          </w:p>
        </w:tc>
        <w:tc>
          <w:tcPr>
            <w:tcW w:w="2070" w:type="dxa"/>
            <w:vAlign w:val="center"/>
          </w:tcPr>
          <w:p w:rsidR="00B43BB0" w:rsidRPr="00CA40BF" w:rsidRDefault="00B43BB0" w:rsidP="009D35E8">
            <w:pPr>
              <w:jc w:val="center"/>
              <w:rPr>
                <w:szCs w:val="24"/>
              </w:rPr>
            </w:pPr>
            <w:r w:rsidRPr="00CA40BF">
              <w:t>9</w:t>
            </w:r>
          </w:p>
        </w:tc>
        <w:tc>
          <w:tcPr>
            <w:tcW w:w="2538" w:type="dxa"/>
            <w:vAlign w:val="center"/>
          </w:tcPr>
          <w:p w:rsidR="00B43BB0" w:rsidRPr="00CA40BF" w:rsidRDefault="00B43BB0" w:rsidP="009D35E8">
            <w:pPr>
              <w:jc w:val="center"/>
              <w:rPr>
                <w:szCs w:val="24"/>
              </w:rPr>
            </w:pPr>
            <w:r w:rsidRPr="00CA40BF">
              <w:t>7.2</w:t>
            </w:r>
          </w:p>
        </w:tc>
      </w:tr>
      <w:tr w:rsidR="00B43BB0" w:rsidRPr="00CA40BF" w:rsidTr="00B43BB0">
        <w:tc>
          <w:tcPr>
            <w:tcW w:w="4968" w:type="dxa"/>
            <w:vAlign w:val="center"/>
          </w:tcPr>
          <w:p w:rsidR="00B43BB0" w:rsidRPr="00CA40BF" w:rsidRDefault="00B43BB0" w:rsidP="009D35E8">
            <w:pPr>
              <w:jc w:val="center"/>
              <w:rPr>
                <w:szCs w:val="24"/>
              </w:rPr>
            </w:pPr>
            <w:r w:rsidRPr="00CA40BF">
              <w:t>Abandonment of ongoing projects</w:t>
            </w:r>
          </w:p>
        </w:tc>
        <w:tc>
          <w:tcPr>
            <w:tcW w:w="2070" w:type="dxa"/>
            <w:vAlign w:val="center"/>
          </w:tcPr>
          <w:p w:rsidR="00B43BB0" w:rsidRPr="00CA40BF" w:rsidRDefault="00B43BB0" w:rsidP="009D35E8">
            <w:pPr>
              <w:jc w:val="center"/>
              <w:rPr>
                <w:szCs w:val="24"/>
              </w:rPr>
            </w:pPr>
            <w:r w:rsidRPr="00CA40BF">
              <w:t>5</w:t>
            </w:r>
          </w:p>
        </w:tc>
        <w:tc>
          <w:tcPr>
            <w:tcW w:w="2538" w:type="dxa"/>
            <w:vAlign w:val="center"/>
          </w:tcPr>
          <w:p w:rsidR="00B43BB0" w:rsidRPr="00CA40BF" w:rsidRDefault="00B43BB0" w:rsidP="009D35E8">
            <w:pPr>
              <w:jc w:val="center"/>
              <w:rPr>
                <w:szCs w:val="24"/>
              </w:rPr>
            </w:pPr>
            <w:r w:rsidRPr="00CA40BF">
              <w:t>4.0</w:t>
            </w:r>
          </w:p>
        </w:tc>
      </w:tr>
      <w:tr w:rsidR="00B43BB0" w:rsidRPr="00CA40BF" w:rsidTr="00B43BB0">
        <w:tc>
          <w:tcPr>
            <w:tcW w:w="4968" w:type="dxa"/>
            <w:vAlign w:val="center"/>
          </w:tcPr>
          <w:p w:rsidR="00B43BB0" w:rsidRPr="00CA40BF" w:rsidRDefault="00B43BB0" w:rsidP="009D35E8">
            <w:pPr>
              <w:jc w:val="center"/>
              <w:rPr>
                <w:b/>
                <w:bCs/>
                <w:szCs w:val="24"/>
              </w:rPr>
            </w:pPr>
            <w:r w:rsidRPr="00CA40BF">
              <w:rPr>
                <w:b/>
                <w:bCs/>
                <w:szCs w:val="24"/>
              </w:rPr>
              <w:t>Total</w:t>
            </w:r>
          </w:p>
        </w:tc>
        <w:tc>
          <w:tcPr>
            <w:tcW w:w="2070" w:type="dxa"/>
            <w:vAlign w:val="center"/>
          </w:tcPr>
          <w:p w:rsidR="00B43BB0" w:rsidRPr="00CA40BF" w:rsidRDefault="00B43BB0" w:rsidP="009D35E8">
            <w:pPr>
              <w:jc w:val="center"/>
              <w:rPr>
                <w:b/>
                <w:bCs/>
                <w:szCs w:val="24"/>
              </w:rPr>
            </w:pPr>
          </w:p>
        </w:tc>
        <w:tc>
          <w:tcPr>
            <w:tcW w:w="2538" w:type="dxa"/>
            <w:vAlign w:val="center"/>
          </w:tcPr>
          <w:p w:rsidR="00B43BB0" w:rsidRPr="00CA40BF" w:rsidRDefault="00B43BB0" w:rsidP="009D35E8">
            <w:pPr>
              <w:jc w:val="center"/>
              <w:rPr>
                <w:b/>
                <w:bCs/>
                <w:szCs w:val="24"/>
              </w:rPr>
            </w:pPr>
          </w:p>
        </w:tc>
      </w:tr>
    </w:tbl>
    <w:p w:rsidR="006E025F" w:rsidRPr="006E025F" w:rsidRDefault="006E025F" w:rsidP="006E025F">
      <w:pPr>
        <w:pStyle w:val="NormalWeb"/>
        <w:spacing w:after="0" w:afterAutospacing="0" w:line="360" w:lineRule="auto"/>
        <w:rPr>
          <w:rStyle w:val="Strong"/>
          <w:b w:val="0"/>
          <w:bCs w:val="0"/>
        </w:rPr>
      </w:pPr>
      <w:r w:rsidRPr="006E025F">
        <w:rPr>
          <w:rStyle w:val="Strong"/>
          <w:b w:val="0"/>
          <w:bCs w:val="0"/>
        </w:rPr>
        <w:t>Sources: Field Survey (2025)</w:t>
      </w:r>
    </w:p>
    <w:p w:rsidR="00B43BB0" w:rsidRPr="00CA40BF" w:rsidRDefault="00F45404" w:rsidP="009D35E8">
      <w:pPr>
        <w:pStyle w:val="NormalWeb"/>
        <w:spacing w:line="360" w:lineRule="auto"/>
        <w:rPr>
          <w:rStyle w:val="Strong"/>
        </w:rPr>
      </w:pPr>
      <w:r w:rsidRPr="00CA40BF">
        <w:rPr>
          <w:rStyle w:val="Strong"/>
        </w:rPr>
        <w:t>4.4</w:t>
      </w:r>
      <w:r w:rsidRPr="00CA40BF">
        <w:rPr>
          <w:rStyle w:val="Strong"/>
        </w:rPr>
        <w:tab/>
      </w:r>
      <w:r w:rsidR="00B43BB0" w:rsidRPr="00CA40BF">
        <w:rPr>
          <w:rStyle w:val="Strong"/>
        </w:rPr>
        <w:t>Challenges Faced in Project Execution Due to Price Fluctuations</w:t>
      </w:r>
    </w:p>
    <w:p w:rsidR="00F45404" w:rsidRPr="00CA40BF" w:rsidRDefault="00F45404" w:rsidP="009D35E8">
      <w:pPr>
        <w:spacing w:before="100" w:beforeAutospacing="1" w:after="100" w:afterAutospacing="1"/>
        <w:rPr>
          <w:rFonts w:eastAsia="Times New Roman" w:cs="Times New Roman"/>
          <w:szCs w:val="24"/>
        </w:rPr>
      </w:pPr>
      <w:r w:rsidRPr="00CA40BF">
        <w:rPr>
          <w:rFonts w:eastAsia="Times New Roman" w:cs="Times New Roman"/>
          <w:szCs w:val="24"/>
        </w:rPr>
        <w:t xml:space="preserve">The data presented in Table 4.3 shows that the most significant challenge faced by Harmony Investment and Property Development Company due to building material price fluctuations is </w:t>
      </w:r>
      <w:r w:rsidRPr="00CA40BF">
        <w:rPr>
          <w:rFonts w:eastAsia="Times New Roman" w:cs="Times New Roman"/>
          <w:bCs/>
          <w:szCs w:val="24"/>
        </w:rPr>
        <w:t>difficulty in budget forecasting</w:t>
      </w:r>
      <w:r w:rsidRPr="00CA40BF">
        <w:rPr>
          <w:rFonts w:eastAsia="Times New Roman" w:cs="Times New Roman"/>
          <w:szCs w:val="24"/>
        </w:rPr>
        <w:t xml:space="preserve">, identified by 30.4% of respondents. This suggests that unpredictable market behavior has made it increasingly hard for developers to plan project costs accurately, leading to underestimation, cost overruns, and frequent budget revisions. Closely following is the </w:t>
      </w:r>
      <w:r w:rsidRPr="00CA40BF">
        <w:rPr>
          <w:rFonts w:eastAsia="Times New Roman" w:cs="Times New Roman"/>
          <w:bCs/>
          <w:szCs w:val="24"/>
        </w:rPr>
        <w:t>inability to procure materials in bulk</w:t>
      </w:r>
      <w:r w:rsidRPr="00CA40BF">
        <w:rPr>
          <w:rFonts w:eastAsia="Times New Roman" w:cs="Times New Roman"/>
          <w:szCs w:val="24"/>
        </w:rPr>
        <w:t xml:space="preserve"> (20.8%), a constraint that forces developers to purchase materials in smaller, more expensive quantities. Other challenges such as </w:t>
      </w:r>
      <w:r w:rsidRPr="00CA40BF">
        <w:rPr>
          <w:rFonts w:eastAsia="Times New Roman" w:cs="Times New Roman"/>
          <w:bCs/>
          <w:szCs w:val="24"/>
        </w:rPr>
        <w:t>client pressure due to delayed project completion</w:t>
      </w:r>
      <w:r w:rsidRPr="00CA40BF">
        <w:rPr>
          <w:rFonts w:eastAsia="Times New Roman" w:cs="Times New Roman"/>
          <w:szCs w:val="24"/>
        </w:rPr>
        <w:t xml:space="preserve"> (16.0%) and </w:t>
      </w:r>
      <w:r w:rsidRPr="00CA40BF">
        <w:rPr>
          <w:rFonts w:eastAsia="Times New Roman" w:cs="Times New Roman"/>
          <w:bCs/>
          <w:szCs w:val="24"/>
        </w:rPr>
        <w:t>contractual disputes with subcontractors</w:t>
      </w:r>
      <w:r w:rsidRPr="00CA40BF">
        <w:rPr>
          <w:rFonts w:eastAsia="Times New Roman" w:cs="Times New Roman"/>
          <w:szCs w:val="24"/>
        </w:rPr>
        <w:t xml:space="preserve"> </w:t>
      </w:r>
      <w:r w:rsidRPr="00CA40BF">
        <w:rPr>
          <w:rFonts w:eastAsia="Times New Roman" w:cs="Times New Roman"/>
          <w:szCs w:val="24"/>
        </w:rPr>
        <w:lastRenderedPageBreak/>
        <w:t xml:space="preserve">(11.2%) indicate that financial volatility often disrupts project timelines and contractual relationships. Also notable is the </w:t>
      </w:r>
      <w:r w:rsidRPr="00CA40BF">
        <w:rPr>
          <w:rFonts w:eastAsia="Times New Roman" w:cs="Times New Roman"/>
          <w:bCs/>
          <w:szCs w:val="24"/>
        </w:rPr>
        <w:t>risk of loan defaults</w:t>
      </w:r>
      <w:r w:rsidRPr="00CA40BF">
        <w:rPr>
          <w:rFonts w:eastAsia="Times New Roman" w:cs="Times New Roman"/>
          <w:szCs w:val="24"/>
        </w:rPr>
        <w:t xml:space="preserve"> (9.6%) and </w:t>
      </w:r>
      <w:r w:rsidRPr="00CA40BF">
        <w:rPr>
          <w:rFonts w:eastAsia="Times New Roman" w:cs="Times New Roman"/>
          <w:bCs/>
          <w:szCs w:val="24"/>
        </w:rPr>
        <w:t>internal cost-cutting affecting staff/materials</w:t>
      </w:r>
      <w:r w:rsidRPr="00CA40BF">
        <w:rPr>
          <w:rFonts w:eastAsia="Times New Roman" w:cs="Times New Roman"/>
          <w:szCs w:val="24"/>
        </w:rPr>
        <w:t xml:space="preserve"> (8.0%), which reflect deeper institutional pressures that compromise project delivery and workforce stability.</w:t>
      </w:r>
    </w:p>
    <w:p w:rsidR="00F45404" w:rsidRPr="00CA40BF" w:rsidRDefault="00F45404" w:rsidP="009D35E8">
      <w:pPr>
        <w:spacing w:before="100" w:beforeAutospacing="1" w:after="100" w:afterAutospacing="1"/>
        <w:rPr>
          <w:rFonts w:eastAsia="Times New Roman" w:cs="Times New Roman"/>
          <w:szCs w:val="24"/>
        </w:rPr>
      </w:pPr>
      <w:r w:rsidRPr="00CA40BF">
        <w:rPr>
          <w:rFonts w:eastAsia="Times New Roman" w:cs="Times New Roman"/>
          <w:szCs w:val="24"/>
        </w:rPr>
        <w:t>These findings align with prior research by Oladokun and Aigbavboa (2020), who identified poor cost predictability and delayed project timelines as direct consequences of inflation and material price instability in Nigeria’s construction sector. Similarly, Aibinu and Jagboro (2002) emphasized that unstable market prices often lead to frequent disputes between contractors and clients, disrupting contractual harmony and increasing litigation risks. The justification for these challenges lies in the heavy reliance on imported building materials, volatile exchange rates, and poor infrastructure that amplify logistics costs. Given that construction projects require upfront cost commitments and long-term planning, even short-term fluctuations in material prices can result in financial disequilibrium. Therefore, the findings of this study are not only consistent with existing literature but also reflect a structural issue that affects the wider Nigerian construction industry, particularly in urban centers like Ilorin.</w:t>
      </w:r>
    </w:p>
    <w:p w:rsidR="00CE7506" w:rsidRPr="00CA40BF" w:rsidRDefault="00CE7506" w:rsidP="009D35E8">
      <w:pPr>
        <w:pStyle w:val="NormalWeb"/>
        <w:spacing w:after="0" w:afterAutospacing="0" w:line="360" w:lineRule="auto"/>
      </w:pPr>
      <w:r w:rsidRPr="00CA40BF">
        <w:rPr>
          <w:rStyle w:val="Strong"/>
        </w:rPr>
        <w:t>Table 4.3: Challenges Faced in Project Execution Due to Price Fluctuations</w:t>
      </w:r>
    </w:p>
    <w:tbl>
      <w:tblPr>
        <w:tblStyle w:val="TableGrid"/>
        <w:tblW w:w="0" w:type="auto"/>
        <w:tblLook w:val="04A0"/>
      </w:tblPr>
      <w:tblGrid>
        <w:gridCol w:w="4968"/>
        <w:gridCol w:w="2070"/>
        <w:gridCol w:w="2538"/>
      </w:tblGrid>
      <w:tr w:rsidR="00B43BB0" w:rsidRPr="00CA40BF" w:rsidTr="00F45404">
        <w:tc>
          <w:tcPr>
            <w:tcW w:w="4968" w:type="dxa"/>
            <w:vAlign w:val="center"/>
          </w:tcPr>
          <w:p w:rsidR="00B43BB0" w:rsidRPr="00CA40BF" w:rsidRDefault="00B43BB0" w:rsidP="009D35E8">
            <w:pPr>
              <w:jc w:val="center"/>
              <w:rPr>
                <w:b/>
                <w:bCs/>
                <w:szCs w:val="24"/>
              </w:rPr>
            </w:pPr>
            <w:r w:rsidRPr="00CA40BF">
              <w:rPr>
                <w:rStyle w:val="Strong"/>
              </w:rPr>
              <w:t>Challenge</w:t>
            </w:r>
          </w:p>
        </w:tc>
        <w:tc>
          <w:tcPr>
            <w:tcW w:w="2070" w:type="dxa"/>
            <w:vAlign w:val="center"/>
          </w:tcPr>
          <w:p w:rsidR="00B43BB0" w:rsidRPr="00CA40BF" w:rsidRDefault="00B43BB0" w:rsidP="009D35E8">
            <w:pPr>
              <w:jc w:val="center"/>
              <w:rPr>
                <w:b/>
                <w:bCs/>
                <w:szCs w:val="24"/>
              </w:rPr>
            </w:pPr>
            <w:r w:rsidRPr="00CA40BF">
              <w:rPr>
                <w:rStyle w:val="Strong"/>
              </w:rPr>
              <w:t>Frequency</w:t>
            </w:r>
          </w:p>
        </w:tc>
        <w:tc>
          <w:tcPr>
            <w:tcW w:w="2538" w:type="dxa"/>
            <w:vAlign w:val="center"/>
          </w:tcPr>
          <w:p w:rsidR="00B43BB0" w:rsidRPr="00CA40BF" w:rsidRDefault="00B43BB0" w:rsidP="009D35E8">
            <w:pPr>
              <w:jc w:val="center"/>
              <w:rPr>
                <w:b/>
                <w:bCs/>
                <w:szCs w:val="24"/>
              </w:rPr>
            </w:pPr>
            <w:r w:rsidRPr="00CA40BF">
              <w:rPr>
                <w:rStyle w:val="Strong"/>
              </w:rPr>
              <w:t>Percentage (%)</w:t>
            </w:r>
          </w:p>
        </w:tc>
      </w:tr>
      <w:tr w:rsidR="00B43BB0" w:rsidRPr="00CA40BF" w:rsidTr="00F45404">
        <w:tc>
          <w:tcPr>
            <w:tcW w:w="4968" w:type="dxa"/>
            <w:vAlign w:val="center"/>
          </w:tcPr>
          <w:p w:rsidR="00B43BB0" w:rsidRPr="00CA40BF" w:rsidRDefault="00B43BB0" w:rsidP="009D35E8">
            <w:pPr>
              <w:jc w:val="center"/>
              <w:rPr>
                <w:szCs w:val="24"/>
              </w:rPr>
            </w:pPr>
            <w:r w:rsidRPr="00CA40BF">
              <w:t>Difficulty in budget forecasting</w:t>
            </w:r>
          </w:p>
        </w:tc>
        <w:tc>
          <w:tcPr>
            <w:tcW w:w="2070" w:type="dxa"/>
            <w:vAlign w:val="center"/>
          </w:tcPr>
          <w:p w:rsidR="00B43BB0" w:rsidRPr="00CA40BF" w:rsidRDefault="00B43BB0" w:rsidP="009D35E8">
            <w:pPr>
              <w:jc w:val="center"/>
              <w:rPr>
                <w:szCs w:val="24"/>
              </w:rPr>
            </w:pPr>
            <w:r w:rsidRPr="00CA40BF">
              <w:t>38</w:t>
            </w:r>
          </w:p>
        </w:tc>
        <w:tc>
          <w:tcPr>
            <w:tcW w:w="2538" w:type="dxa"/>
            <w:vAlign w:val="center"/>
          </w:tcPr>
          <w:p w:rsidR="00B43BB0" w:rsidRPr="00CA40BF" w:rsidRDefault="00367C29" w:rsidP="009D35E8">
            <w:pPr>
              <w:jc w:val="center"/>
              <w:rPr>
                <w:szCs w:val="24"/>
              </w:rPr>
            </w:pPr>
            <w:r w:rsidRPr="00CA40BF">
              <w:t>30.4</w:t>
            </w:r>
          </w:p>
        </w:tc>
      </w:tr>
      <w:tr w:rsidR="00B43BB0" w:rsidRPr="00CA40BF" w:rsidTr="00F45404">
        <w:tc>
          <w:tcPr>
            <w:tcW w:w="4968" w:type="dxa"/>
            <w:vAlign w:val="center"/>
          </w:tcPr>
          <w:p w:rsidR="00B43BB0" w:rsidRPr="00CA40BF" w:rsidRDefault="00B43BB0" w:rsidP="009D35E8">
            <w:pPr>
              <w:jc w:val="center"/>
              <w:rPr>
                <w:szCs w:val="24"/>
              </w:rPr>
            </w:pPr>
            <w:r w:rsidRPr="00CA40BF">
              <w:t>Inability to procure materials in bulk</w:t>
            </w:r>
          </w:p>
        </w:tc>
        <w:tc>
          <w:tcPr>
            <w:tcW w:w="2070" w:type="dxa"/>
            <w:vAlign w:val="center"/>
          </w:tcPr>
          <w:p w:rsidR="00B43BB0" w:rsidRPr="00CA40BF" w:rsidRDefault="00B43BB0" w:rsidP="009D35E8">
            <w:pPr>
              <w:jc w:val="center"/>
              <w:rPr>
                <w:szCs w:val="24"/>
              </w:rPr>
            </w:pPr>
            <w:r w:rsidRPr="00CA40BF">
              <w:t>26</w:t>
            </w:r>
          </w:p>
        </w:tc>
        <w:tc>
          <w:tcPr>
            <w:tcW w:w="2538" w:type="dxa"/>
            <w:vAlign w:val="center"/>
          </w:tcPr>
          <w:p w:rsidR="00B43BB0" w:rsidRPr="00CA40BF" w:rsidRDefault="00B43BB0" w:rsidP="009D35E8">
            <w:pPr>
              <w:jc w:val="center"/>
              <w:rPr>
                <w:szCs w:val="24"/>
              </w:rPr>
            </w:pPr>
            <w:r w:rsidRPr="00CA40BF">
              <w:t>20.8</w:t>
            </w:r>
          </w:p>
        </w:tc>
      </w:tr>
      <w:tr w:rsidR="00B43BB0" w:rsidRPr="00CA40BF" w:rsidTr="00F45404">
        <w:tc>
          <w:tcPr>
            <w:tcW w:w="4968" w:type="dxa"/>
            <w:vAlign w:val="center"/>
          </w:tcPr>
          <w:p w:rsidR="00B43BB0" w:rsidRPr="00CA40BF" w:rsidRDefault="00B43BB0" w:rsidP="009D35E8">
            <w:pPr>
              <w:jc w:val="center"/>
              <w:rPr>
                <w:szCs w:val="24"/>
              </w:rPr>
            </w:pPr>
            <w:r w:rsidRPr="00CA40BF">
              <w:t>Pressure from clients due to delayed completion</w:t>
            </w:r>
          </w:p>
        </w:tc>
        <w:tc>
          <w:tcPr>
            <w:tcW w:w="2070" w:type="dxa"/>
            <w:vAlign w:val="center"/>
          </w:tcPr>
          <w:p w:rsidR="00B43BB0" w:rsidRPr="00CA40BF" w:rsidRDefault="00B43BB0" w:rsidP="009D35E8">
            <w:pPr>
              <w:jc w:val="center"/>
              <w:rPr>
                <w:szCs w:val="24"/>
              </w:rPr>
            </w:pPr>
            <w:r w:rsidRPr="00CA40BF">
              <w:t>20</w:t>
            </w:r>
          </w:p>
        </w:tc>
        <w:tc>
          <w:tcPr>
            <w:tcW w:w="2538" w:type="dxa"/>
            <w:vAlign w:val="center"/>
          </w:tcPr>
          <w:p w:rsidR="00B43BB0" w:rsidRPr="00CA40BF" w:rsidRDefault="00367C29" w:rsidP="009D35E8">
            <w:pPr>
              <w:jc w:val="center"/>
              <w:rPr>
                <w:szCs w:val="24"/>
              </w:rPr>
            </w:pPr>
            <w:r w:rsidRPr="00CA40BF">
              <w:t>16.0</w:t>
            </w:r>
          </w:p>
        </w:tc>
      </w:tr>
      <w:tr w:rsidR="00B43BB0" w:rsidRPr="00CA40BF" w:rsidTr="00F45404">
        <w:tc>
          <w:tcPr>
            <w:tcW w:w="4968" w:type="dxa"/>
            <w:vAlign w:val="center"/>
          </w:tcPr>
          <w:p w:rsidR="00B43BB0" w:rsidRPr="00CA40BF" w:rsidRDefault="00B43BB0" w:rsidP="009D35E8">
            <w:pPr>
              <w:jc w:val="center"/>
              <w:rPr>
                <w:szCs w:val="24"/>
              </w:rPr>
            </w:pPr>
            <w:r w:rsidRPr="00CA40BF">
              <w:t>Contractual disputes with subcontractors</w:t>
            </w:r>
          </w:p>
        </w:tc>
        <w:tc>
          <w:tcPr>
            <w:tcW w:w="2070" w:type="dxa"/>
            <w:vAlign w:val="center"/>
          </w:tcPr>
          <w:p w:rsidR="00B43BB0" w:rsidRPr="00CA40BF" w:rsidRDefault="00B43BB0" w:rsidP="009D35E8">
            <w:pPr>
              <w:jc w:val="center"/>
              <w:rPr>
                <w:szCs w:val="24"/>
              </w:rPr>
            </w:pPr>
            <w:r w:rsidRPr="00CA40BF">
              <w:t>14</w:t>
            </w:r>
          </w:p>
        </w:tc>
        <w:tc>
          <w:tcPr>
            <w:tcW w:w="2538" w:type="dxa"/>
            <w:vAlign w:val="center"/>
          </w:tcPr>
          <w:p w:rsidR="00B43BB0" w:rsidRPr="00CA40BF" w:rsidRDefault="00367C29" w:rsidP="009D35E8">
            <w:pPr>
              <w:jc w:val="center"/>
              <w:rPr>
                <w:szCs w:val="24"/>
              </w:rPr>
            </w:pPr>
            <w:r w:rsidRPr="00CA40BF">
              <w:t>11.2</w:t>
            </w:r>
          </w:p>
        </w:tc>
      </w:tr>
      <w:tr w:rsidR="00B43BB0" w:rsidRPr="00CA40BF" w:rsidTr="00F45404">
        <w:tc>
          <w:tcPr>
            <w:tcW w:w="4968" w:type="dxa"/>
            <w:vAlign w:val="center"/>
          </w:tcPr>
          <w:p w:rsidR="00B43BB0" w:rsidRPr="00CA40BF" w:rsidRDefault="00B43BB0" w:rsidP="009D35E8">
            <w:pPr>
              <w:jc w:val="center"/>
              <w:rPr>
                <w:szCs w:val="24"/>
              </w:rPr>
            </w:pPr>
            <w:r w:rsidRPr="00CA40BF">
              <w:t>Increased risk of default on project loans</w:t>
            </w:r>
          </w:p>
        </w:tc>
        <w:tc>
          <w:tcPr>
            <w:tcW w:w="2070" w:type="dxa"/>
            <w:vAlign w:val="center"/>
          </w:tcPr>
          <w:p w:rsidR="00B43BB0" w:rsidRPr="00CA40BF" w:rsidRDefault="00B43BB0" w:rsidP="009D35E8">
            <w:pPr>
              <w:jc w:val="center"/>
              <w:rPr>
                <w:szCs w:val="24"/>
              </w:rPr>
            </w:pPr>
            <w:r w:rsidRPr="00CA40BF">
              <w:t>12</w:t>
            </w:r>
          </w:p>
        </w:tc>
        <w:tc>
          <w:tcPr>
            <w:tcW w:w="2538" w:type="dxa"/>
            <w:vAlign w:val="center"/>
          </w:tcPr>
          <w:p w:rsidR="00B43BB0" w:rsidRPr="00CA40BF" w:rsidRDefault="00367C29" w:rsidP="009D35E8">
            <w:pPr>
              <w:jc w:val="center"/>
              <w:rPr>
                <w:szCs w:val="24"/>
              </w:rPr>
            </w:pPr>
            <w:r w:rsidRPr="00CA40BF">
              <w:t>9.6</w:t>
            </w:r>
          </w:p>
        </w:tc>
      </w:tr>
      <w:tr w:rsidR="00B43BB0" w:rsidRPr="00CA40BF" w:rsidTr="00F45404">
        <w:tc>
          <w:tcPr>
            <w:tcW w:w="4968" w:type="dxa"/>
            <w:vAlign w:val="center"/>
          </w:tcPr>
          <w:p w:rsidR="00B43BB0" w:rsidRPr="00CA40BF" w:rsidRDefault="00B43BB0" w:rsidP="009D35E8">
            <w:pPr>
              <w:jc w:val="center"/>
              <w:rPr>
                <w:szCs w:val="24"/>
              </w:rPr>
            </w:pPr>
            <w:r w:rsidRPr="00CA40BF">
              <w:t>Internal cost-cutting affecting staff/materials</w:t>
            </w:r>
          </w:p>
        </w:tc>
        <w:tc>
          <w:tcPr>
            <w:tcW w:w="2070" w:type="dxa"/>
            <w:vAlign w:val="center"/>
          </w:tcPr>
          <w:p w:rsidR="00B43BB0" w:rsidRPr="00CA40BF" w:rsidRDefault="00B43BB0" w:rsidP="009D35E8">
            <w:pPr>
              <w:jc w:val="center"/>
              <w:rPr>
                <w:szCs w:val="24"/>
              </w:rPr>
            </w:pPr>
            <w:r w:rsidRPr="00CA40BF">
              <w:t>10</w:t>
            </w:r>
          </w:p>
        </w:tc>
        <w:tc>
          <w:tcPr>
            <w:tcW w:w="2538" w:type="dxa"/>
            <w:vAlign w:val="center"/>
          </w:tcPr>
          <w:p w:rsidR="00B43BB0" w:rsidRPr="00CA40BF" w:rsidRDefault="00367C29" w:rsidP="009D35E8">
            <w:pPr>
              <w:jc w:val="center"/>
              <w:rPr>
                <w:szCs w:val="24"/>
              </w:rPr>
            </w:pPr>
            <w:r w:rsidRPr="00CA40BF">
              <w:t>8.0</w:t>
            </w:r>
          </w:p>
        </w:tc>
      </w:tr>
      <w:tr w:rsidR="00B43BB0" w:rsidRPr="00CA40BF" w:rsidTr="00F45404">
        <w:tc>
          <w:tcPr>
            <w:tcW w:w="4968" w:type="dxa"/>
            <w:vAlign w:val="center"/>
          </w:tcPr>
          <w:p w:rsidR="00B43BB0" w:rsidRPr="00CA40BF" w:rsidRDefault="00B43BB0" w:rsidP="009D35E8">
            <w:pPr>
              <w:jc w:val="center"/>
              <w:rPr>
                <w:szCs w:val="24"/>
              </w:rPr>
            </w:pPr>
            <w:r w:rsidRPr="00CA40BF">
              <w:rPr>
                <w:rStyle w:val="Strong"/>
              </w:rPr>
              <w:t>Total</w:t>
            </w:r>
          </w:p>
        </w:tc>
        <w:tc>
          <w:tcPr>
            <w:tcW w:w="2070" w:type="dxa"/>
            <w:vAlign w:val="center"/>
          </w:tcPr>
          <w:p w:rsidR="00B43BB0" w:rsidRPr="00CA40BF" w:rsidRDefault="00B43BB0" w:rsidP="009D35E8">
            <w:pPr>
              <w:jc w:val="center"/>
              <w:rPr>
                <w:szCs w:val="24"/>
              </w:rPr>
            </w:pPr>
            <w:r w:rsidRPr="00CA40BF">
              <w:rPr>
                <w:rStyle w:val="Strong"/>
              </w:rPr>
              <w:t>125</w:t>
            </w:r>
          </w:p>
        </w:tc>
        <w:tc>
          <w:tcPr>
            <w:tcW w:w="2538" w:type="dxa"/>
            <w:vAlign w:val="center"/>
          </w:tcPr>
          <w:p w:rsidR="00B43BB0" w:rsidRPr="00CA40BF" w:rsidRDefault="00367C29" w:rsidP="009D35E8">
            <w:pPr>
              <w:jc w:val="center"/>
              <w:rPr>
                <w:szCs w:val="24"/>
              </w:rPr>
            </w:pPr>
            <w:r w:rsidRPr="00CA40BF">
              <w:rPr>
                <w:rStyle w:val="Strong"/>
              </w:rPr>
              <w:t>100.0</w:t>
            </w:r>
          </w:p>
        </w:tc>
      </w:tr>
    </w:tbl>
    <w:p w:rsidR="006E025F" w:rsidRPr="006E025F" w:rsidRDefault="006E025F" w:rsidP="006E025F">
      <w:pPr>
        <w:pStyle w:val="NormalWeb"/>
        <w:spacing w:after="0" w:afterAutospacing="0" w:line="360" w:lineRule="auto"/>
        <w:rPr>
          <w:rStyle w:val="Strong"/>
          <w:b w:val="0"/>
          <w:bCs w:val="0"/>
        </w:rPr>
      </w:pPr>
      <w:r w:rsidRPr="006E025F">
        <w:rPr>
          <w:rStyle w:val="Strong"/>
          <w:b w:val="0"/>
          <w:bCs w:val="0"/>
        </w:rPr>
        <w:t>Sources: Field Survey (2025)</w:t>
      </w:r>
    </w:p>
    <w:p w:rsidR="00367C29" w:rsidRPr="00CA40BF" w:rsidRDefault="00F45404" w:rsidP="009D35E8">
      <w:pPr>
        <w:pStyle w:val="Heading3"/>
        <w:spacing w:after="0" w:afterAutospacing="0" w:line="360" w:lineRule="auto"/>
        <w:rPr>
          <w:rStyle w:val="Strong"/>
          <w:b/>
          <w:bCs/>
        </w:rPr>
      </w:pPr>
      <w:r w:rsidRPr="00CA40BF">
        <w:rPr>
          <w:rStyle w:val="Strong"/>
          <w:b/>
          <w:bCs/>
        </w:rPr>
        <w:t>4.5</w:t>
      </w:r>
      <w:r w:rsidRPr="00CA40BF">
        <w:rPr>
          <w:rStyle w:val="Strong"/>
          <w:b/>
          <w:bCs/>
        </w:rPr>
        <w:tab/>
      </w:r>
      <w:r w:rsidR="00367C29" w:rsidRPr="00CA40BF">
        <w:rPr>
          <w:rStyle w:val="Strong"/>
          <w:b/>
          <w:bCs/>
        </w:rPr>
        <w:t>Extent to Which Material Price Fluctuation Affects Project Cost Estimates</w:t>
      </w:r>
    </w:p>
    <w:p w:rsidR="00F45404" w:rsidRPr="00CA40BF" w:rsidRDefault="00F45404" w:rsidP="009D35E8">
      <w:pPr>
        <w:spacing w:before="100" w:beforeAutospacing="1" w:after="100" w:afterAutospacing="1"/>
        <w:rPr>
          <w:rFonts w:eastAsia="Times New Roman" w:cs="Times New Roman"/>
          <w:szCs w:val="24"/>
        </w:rPr>
      </w:pPr>
      <w:r w:rsidRPr="00CA40BF">
        <w:rPr>
          <w:rFonts w:eastAsia="Times New Roman" w:cs="Times New Roman"/>
          <w:szCs w:val="24"/>
        </w:rPr>
        <w:t xml:space="preserve">The data presented in Table 4.4 shows that </w:t>
      </w:r>
      <w:r w:rsidRPr="00CA40BF">
        <w:rPr>
          <w:rFonts w:eastAsia="Times New Roman" w:cs="Times New Roman"/>
          <w:bCs/>
          <w:szCs w:val="24"/>
        </w:rPr>
        <w:t>a significant majority (78.4%)</w:t>
      </w:r>
      <w:r w:rsidRPr="00CA40BF">
        <w:rPr>
          <w:rFonts w:eastAsia="Times New Roman" w:cs="Times New Roman"/>
          <w:szCs w:val="24"/>
        </w:rPr>
        <w:t xml:space="preserve"> of respondents indicated that material price fluctuations have had either a </w:t>
      </w:r>
      <w:r w:rsidRPr="00CA40BF">
        <w:rPr>
          <w:rFonts w:eastAsia="Times New Roman" w:cs="Times New Roman"/>
          <w:bCs/>
          <w:szCs w:val="24"/>
        </w:rPr>
        <w:t>very high</w:t>
      </w:r>
      <w:r w:rsidRPr="00CA40BF">
        <w:rPr>
          <w:rFonts w:eastAsia="Times New Roman" w:cs="Times New Roman"/>
          <w:szCs w:val="24"/>
        </w:rPr>
        <w:t xml:space="preserve">, </w:t>
      </w:r>
      <w:r w:rsidRPr="00CA40BF">
        <w:rPr>
          <w:rFonts w:eastAsia="Times New Roman" w:cs="Times New Roman"/>
          <w:bCs/>
          <w:szCs w:val="24"/>
        </w:rPr>
        <w:t>high</w:t>
      </w:r>
      <w:r w:rsidRPr="00CA40BF">
        <w:rPr>
          <w:rFonts w:eastAsia="Times New Roman" w:cs="Times New Roman"/>
          <w:szCs w:val="24"/>
        </w:rPr>
        <w:t xml:space="preserve">, or </w:t>
      </w:r>
      <w:r w:rsidRPr="00CA40BF">
        <w:rPr>
          <w:rFonts w:eastAsia="Times New Roman" w:cs="Times New Roman"/>
          <w:bCs/>
          <w:szCs w:val="24"/>
        </w:rPr>
        <w:t>moderate</w:t>
      </w:r>
      <w:r w:rsidRPr="00CA40BF">
        <w:rPr>
          <w:rFonts w:eastAsia="Times New Roman" w:cs="Times New Roman"/>
          <w:szCs w:val="24"/>
        </w:rPr>
        <w:t xml:space="preserve"> impact </w:t>
      </w:r>
      <w:r w:rsidRPr="00CA40BF">
        <w:rPr>
          <w:rFonts w:eastAsia="Times New Roman" w:cs="Times New Roman"/>
          <w:szCs w:val="24"/>
        </w:rPr>
        <w:lastRenderedPageBreak/>
        <w:t xml:space="preserve">on their project cost estimates. Specifically, </w:t>
      </w:r>
      <w:r w:rsidRPr="00CA40BF">
        <w:rPr>
          <w:rFonts w:eastAsia="Times New Roman" w:cs="Times New Roman"/>
          <w:bCs/>
          <w:szCs w:val="24"/>
        </w:rPr>
        <w:t>30.4%</w:t>
      </w:r>
      <w:r w:rsidRPr="00CA40BF">
        <w:rPr>
          <w:rFonts w:eastAsia="Times New Roman" w:cs="Times New Roman"/>
          <w:szCs w:val="24"/>
        </w:rPr>
        <w:t xml:space="preserve"> of respondents reported that project costs exceeded initial budgets by over </w:t>
      </w:r>
      <w:r w:rsidRPr="00CA40BF">
        <w:rPr>
          <w:rFonts w:eastAsia="Times New Roman" w:cs="Times New Roman"/>
          <w:bCs/>
          <w:szCs w:val="24"/>
        </w:rPr>
        <w:t>30%</w:t>
      </w:r>
      <w:r w:rsidRPr="00CA40BF">
        <w:rPr>
          <w:rFonts w:eastAsia="Times New Roman" w:cs="Times New Roman"/>
          <w:szCs w:val="24"/>
        </w:rPr>
        <w:t xml:space="preserve">, while </w:t>
      </w:r>
      <w:r w:rsidRPr="00CA40BF">
        <w:rPr>
          <w:rFonts w:eastAsia="Times New Roman" w:cs="Times New Roman"/>
          <w:bCs/>
          <w:szCs w:val="24"/>
        </w:rPr>
        <w:t>25.6%</w:t>
      </w:r>
      <w:r w:rsidRPr="00CA40BF">
        <w:rPr>
          <w:rFonts w:eastAsia="Times New Roman" w:cs="Times New Roman"/>
          <w:szCs w:val="24"/>
        </w:rPr>
        <w:t xml:space="preserve"> experienced a </w:t>
      </w:r>
      <w:r w:rsidRPr="00CA40BF">
        <w:rPr>
          <w:rFonts w:eastAsia="Times New Roman" w:cs="Times New Roman"/>
          <w:bCs/>
          <w:szCs w:val="24"/>
        </w:rPr>
        <w:t>21–30% increase</w:t>
      </w:r>
      <w:r w:rsidRPr="00CA40BF">
        <w:rPr>
          <w:rFonts w:eastAsia="Times New Roman" w:cs="Times New Roman"/>
          <w:szCs w:val="24"/>
        </w:rPr>
        <w:t xml:space="preserve">, and </w:t>
      </w:r>
      <w:r w:rsidRPr="00CA40BF">
        <w:rPr>
          <w:rFonts w:eastAsia="Times New Roman" w:cs="Times New Roman"/>
          <w:bCs/>
          <w:szCs w:val="24"/>
        </w:rPr>
        <w:t>22.4%</w:t>
      </w:r>
      <w:r w:rsidRPr="00CA40BF">
        <w:rPr>
          <w:rFonts w:eastAsia="Times New Roman" w:cs="Times New Roman"/>
          <w:szCs w:val="24"/>
        </w:rPr>
        <w:t xml:space="preserve"> noted </w:t>
      </w:r>
      <w:r w:rsidRPr="00CA40BF">
        <w:rPr>
          <w:rFonts w:eastAsia="Times New Roman" w:cs="Times New Roman"/>
          <w:bCs/>
          <w:szCs w:val="24"/>
        </w:rPr>
        <w:t>moderate cost overruns</w:t>
      </w:r>
      <w:r w:rsidRPr="00CA40BF">
        <w:rPr>
          <w:rFonts w:eastAsia="Times New Roman" w:cs="Times New Roman"/>
          <w:szCs w:val="24"/>
        </w:rPr>
        <w:t xml:space="preserve"> between </w:t>
      </w:r>
      <w:r w:rsidRPr="00CA40BF">
        <w:rPr>
          <w:rFonts w:eastAsia="Times New Roman" w:cs="Times New Roman"/>
          <w:bCs/>
          <w:szCs w:val="24"/>
        </w:rPr>
        <w:t>11–20%</w:t>
      </w:r>
      <w:r w:rsidRPr="00CA40BF">
        <w:rPr>
          <w:rFonts w:eastAsia="Times New Roman" w:cs="Times New Roman"/>
          <w:szCs w:val="24"/>
        </w:rPr>
        <w:t>. Only a minority of respondents (</w:t>
      </w:r>
      <w:r w:rsidRPr="00CA40BF">
        <w:rPr>
          <w:rFonts w:eastAsia="Times New Roman" w:cs="Times New Roman"/>
          <w:bCs/>
          <w:szCs w:val="24"/>
        </w:rPr>
        <w:t>12%</w:t>
      </w:r>
      <w:r w:rsidRPr="00CA40BF">
        <w:rPr>
          <w:rFonts w:eastAsia="Times New Roman" w:cs="Times New Roman"/>
          <w:szCs w:val="24"/>
        </w:rPr>
        <w:t>) reported minimal impact, and a smaller portion (</w:t>
      </w:r>
      <w:r w:rsidRPr="00CA40BF">
        <w:rPr>
          <w:rFonts w:eastAsia="Times New Roman" w:cs="Times New Roman"/>
          <w:bCs/>
          <w:szCs w:val="24"/>
        </w:rPr>
        <w:t>9.6%</w:t>
      </w:r>
      <w:r w:rsidRPr="00CA40BF">
        <w:rPr>
          <w:rFonts w:eastAsia="Times New Roman" w:cs="Times New Roman"/>
          <w:szCs w:val="24"/>
        </w:rPr>
        <w:t>) claimed no significant effect. This pattern suggests that the volatility in material prices is not only widespread but also severe enough to distort financial planning and force project revisions, particularly for developers operating without flexible or inflation-adjusted budgeting mechanisms.</w:t>
      </w:r>
    </w:p>
    <w:p w:rsidR="00F45404" w:rsidRPr="00CA40BF" w:rsidRDefault="00F45404" w:rsidP="009D35E8">
      <w:pPr>
        <w:spacing w:before="100" w:beforeAutospacing="1" w:after="100" w:afterAutospacing="1"/>
        <w:rPr>
          <w:rFonts w:eastAsia="Times New Roman" w:cs="Times New Roman"/>
          <w:szCs w:val="24"/>
        </w:rPr>
      </w:pPr>
      <w:r w:rsidRPr="00CA40BF">
        <w:rPr>
          <w:rFonts w:eastAsia="Times New Roman" w:cs="Times New Roman"/>
          <w:szCs w:val="24"/>
        </w:rPr>
        <w:t xml:space="preserve">These findings align with those of </w:t>
      </w:r>
      <w:r w:rsidRPr="00CA40BF">
        <w:rPr>
          <w:rFonts w:eastAsia="Times New Roman" w:cs="Times New Roman"/>
          <w:bCs/>
          <w:szCs w:val="24"/>
        </w:rPr>
        <w:t>Olayiwola et al. (2020)</w:t>
      </w:r>
      <w:r w:rsidRPr="00CA40BF">
        <w:rPr>
          <w:rFonts w:eastAsia="Times New Roman" w:cs="Times New Roman"/>
          <w:szCs w:val="24"/>
        </w:rPr>
        <w:t xml:space="preserve">, who found that fluctuating cement and steel prices accounted for an average </w:t>
      </w:r>
      <w:r w:rsidRPr="00CA40BF">
        <w:rPr>
          <w:rFonts w:eastAsia="Times New Roman" w:cs="Times New Roman"/>
          <w:bCs/>
          <w:szCs w:val="24"/>
        </w:rPr>
        <w:t>25–35% increase</w:t>
      </w:r>
      <w:r w:rsidRPr="00CA40BF">
        <w:rPr>
          <w:rFonts w:eastAsia="Times New Roman" w:cs="Times New Roman"/>
          <w:szCs w:val="24"/>
        </w:rPr>
        <w:t xml:space="preserve"> in construction budgets in major Nigerian cities. Similarly, </w:t>
      </w:r>
      <w:r w:rsidRPr="00CA40BF">
        <w:rPr>
          <w:rFonts w:eastAsia="Times New Roman" w:cs="Times New Roman"/>
          <w:bCs/>
          <w:szCs w:val="24"/>
        </w:rPr>
        <w:t>Ebekozien and Aigbavboa (2017)</w:t>
      </w:r>
      <w:r w:rsidRPr="00CA40BF">
        <w:rPr>
          <w:rFonts w:eastAsia="Times New Roman" w:cs="Times New Roman"/>
          <w:szCs w:val="24"/>
        </w:rPr>
        <w:t xml:space="preserve"> observed that the unpredictable cost of imported materials significantly disrupted housing affordability and contractor confidence. The high impact reported in this study is justified by Nigeria’s macroeconomic environment, where </w:t>
      </w:r>
      <w:r w:rsidRPr="00CA40BF">
        <w:rPr>
          <w:rFonts w:eastAsia="Times New Roman" w:cs="Times New Roman"/>
          <w:bCs/>
          <w:szCs w:val="24"/>
        </w:rPr>
        <w:t>exchange rate volatility, import dependency, and inflation</w:t>
      </w:r>
      <w:r w:rsidRPr="00CA40BF">
        <w:rPr>
          <w:rFonts w:eastAsia="Times New Roman" w:cs="Times New Roman"/>
          <w:szCs w:val="24"/>
        </w:rPr>
        <w:t xml:space="preserve"> combine to drive up input costs unpredictably. For Harmony Investment and similar firms, the inability to lock in prices over long-term projects creates cascading effects—leading to increased loan obligations, revised designs, and strained customer relations. Thus, the data not only reflects real-world economic pressures but also confirms a broader trend reported in construction and housing literature across Sub-Saharan Africa.</w:t>
      </w:r>
    </w:p>
    <w:p w:rsidR="00B43BB0" w:rsidRPr="00CA40BF" w:rsidRDefault="00367C29" w:rsidP="009D35E8">
      <w:pPr>
        <w:pStyle w:val="Heading3"/>
        <w:spacing w:after="0" w:afterAutospacing="0" w:line="360" w:lineRule="auto"/>
      </w:pPr>
      <w:r w:rsidRPr="00CA40BF">
        <w:rPr>
          <w:rStyle w:val="Strong"/>
          <w:b/>
          <w:bCs/>
        </w:rPr>
        <w:t>Table 4.4</w:t>
      </w:r>
      <w:r w:rsidR="006A58D1" w:rsidRPr="00CA40BF">
        <w:rPr>
          <w:rStyle w:val="Strong"/>
          <w:b/>
          <w:bCs/>
        </w:rPr>
        <w:t>: Extent to Which Material Price Fluctuation Affects Project Cost Estimates</w:t>
      </w:r>
    </w:p>
    <w:tbl>
      <w:tblPr>
        <w:tblStyle w:val="TableGrid"/>
        <w:tblW w:w="0" w:type="auto"/>
        <w:tblLook w:val="04A0"/>
      </w:tblPr>
      <w:tblGrid>
        <w:gridCol w:w="4968"/>
        <w:gridCol w:w="2070"/>
        <w:gridCol w:w="2538"/>
      </w:tblGrid>
      <w:tr w:rsidR="00B43BB0" w:rsidRPr="00CA40BF" w:rsidTr="00F45404">
        <w:tc>
          <w:tcPr>
            <w:tcW w:w="4968" w:type="dxa"/>
            <w:vAlign w:val="center"/>
          </w:tcPr>
          <w:p w:rsidR="00B43BB0" w:rsidRPr="00CA40BF" w:rsidRDefault="00B43BB0" w:rsidP="009D35E8">
            <w:pPr>
              <w:jc w:val="center"/>
              <w:rPr>
                <w:b/>
                <w:bCs/>
                <w:szCs w:val="24"/>
              </w:rPr>
            </w:pPr>
            <w:r w:rsidRPr="00CA40BF">
              <w:rPr>
                <w:rStyle w:val="Strong"/>
              </w:rPr>
              <w:t>Level of Impact on Cost Estimates</w:t>
            </w:r>
          </w:p>
        </w:tc>
        <w:tc>
          <w:tcPr>
            <w:tcW w:w="2070" w:type="dxa"/>
            <w:vAlign w:val="center"/>
          </w:tcPr>
          <w:p w:rsidR="00B43BB0" w:rsidRPr="00CA40BF" w:rsidRDefault="00B43BB0" w:rsidP="009D35E8">
            <w:pPr>
              <w:jc w:val="center"/>
              <w:rPr>
                <w:b/>
                <w:bCs/>
                <w:szCs w:val="24"/>
              </w:rPr>
            </w:pPr>
            <w:r w:rsidRPr="00CA40BF">
              <w:rPr>
                <w:rStyle w:val="Strong"/>
              </w:rPr>
              <w:t>Frequency</w:t>
            </w:r>
          </w:p>
        </w:tc>
        <w:tc>
          <w:tcPr>
            <w:tcW w:w="2538" w:type="dxa"/>
            <w:vAlign w:val="center"/>
          </w:tcPr>
          <w:p w:rsidR="00B43BB0" w:rsidRPr="00CA40BF" w:rsidRDefault="00B43BB0" w:rsidP="009D35E8">
            <w:pPr>
              <w:jc w:val="center"/>
              <w:rPr>
                <w:b/>
                <w:bCs/>
                <w:szCs w:val="24"/>
              </w:rPr>
            </w:pPr>
            <w:r w:rsidRPr="00CA40BF">
              <w:rPr>
                <w:rStyle w:val="Strong"/>
              </w:rPr>
              <w:t>Percentage (%)</w:t>
            </w:r>
          </w:p>
        </w:tc>
      </w:tr>
      <w:tr w:rsidR="00B43BB0" w:rsidRPr="00CA40BF" w:rsidTr="00F45404">
        <w:tc>
          <w:tcPr>
            <w:tcW w:w="4968" w:type="dxa"/>
            <w:vAlign w:val="center"/>
          </w:tcPr>
          <w:p w:rsidR="00B43BB0" w:rsidRPr="00CA40BF" w:rsidRDefault="00B43BB0" w:rsidP="009D35E8">
            <w:pPr>
              <w:jc w:val="center"/>
              <w:rPr>
                <w:szCs w:val="24"/>
              </w:rPr>
            </w:pPr>
            <w:r w:rsidRPr="00CA40BF">
              <w:t>Very High (exceeds 30% of initial budget)</w:t>
            </w:r>
          </w:p>
        </w:tc>
        <w:tc>
          <w:tcPr>
            <w:tcW w:w="2070" w:type="dxa"/>
            <w:vAlign w:val="center"/>
          </w:tcPr>
          <w:p w:rsidR="00B43BB0" w:rsidRPr="00CA40BF" w:rsidRDefault="00B43BB0" w:rsidP="009D35E8">
            <w:pPr>
              <w:jc w:val="center"/>
              <w:rPr>
                <w:szCs w:val="24"/>
              </w:rPr>
            </w:pPr>
            <w:r w:rsidRPr="00CA40BF">
              <w:t>38</w:t>
            </w:r>
          </w:p>
        </w:tc>
        <w:tc>
          <w:tcPr>
            <w:tcW w:w="2538" w:type="dxa"/>
            <w:vAlign w:val="center"/>
          </w:tcPr>
          <w:p w:rsidR="00B43BB0" w:rsidRPr="00CA40BF" w:rsidRDefault="00367C29" w:rsidP="009D35E8">
            <w:pPr>
              <w:jc w:val="center"/>
              <w:rPr>
                <w:szCs w:val="24"/>
              </w:rPr>
            </w:pPr>
            <w:r w:rsidRPr="00CA40BF">
              <w:t>30.4</w:t>
            </w:r>
          </w:p>
        </w:tc>
      </w:tr>
      <w:tr w:rsidR="00B43BB0" w:rsidRPr="00CA40BF" w:rsidTr="00F45404">
        <w:tc>
          <w:tcPr>
            <w:tcW w:w="4968" w:type="dxa"/>
            <w:vAlign w:val="center"/>
          </w:tcPr>
          <w:p w:rsidR="00B43BB0" w:rsidRPr="00CA40BF" w:rsidRDefault="00B43BB0" w:rsidP="009D35E8">
            <w:pPr>
              <w:jc w:val="center"/>
              <w:rPr>
                <w:szCs w:val="24"/>
              </w:rPr>
            </w:pPr>
            <w:r w:rsidRPr="00CA40BF">
              <w:t>High (21–30% increase)</w:t>
            </w:r>
          </w:p>
        </w:tc>
        <w:tc>
          <w:tcPr>
            <w:tcW w:w="2070" w:type="dxa"/>
            <w:vAlign w:val="center"/>
          </w:tcPr>
          <w:p w:rsidR="00B43BB0" w:rsidRPr="00CA40BF" w:rsidRDefault="00B43BB0" w:rsidP="009D35E8">
            <w:pPr>
              <w:jc w:val="center"/>
              <w:rPr>
                <w:szCs w:val="24"/>
              </w:rPr>
            </w:pPr>
            <w:r w:rsidRPr="00CA40BF">
              <w:t>32</w:t>
            </w:r>
          </w:p>
        </w:tc>
        <w:tc>
          <w:tcPr>
            <w:tcW w:w="2538" w:type="dxa"/>
            <w:vAlign w:val="center"/>
          </w:tcPr>
          <w:p w:rsidR="00B43BB0" w:rsidRPr="00CA40BF" w:rsidRDefault="00367C29" w:rsidP="009D35E8">
            <w:pPr>
              <w:jc w:val="center"/>
              <w:rPr>
                <w:szCs w:val="24"/>
              </w:rPr>
            </w:pPr>
            <w:r w:rsidRPr="00CA40BF">
              <w:t>25.6</w:t>
            </w:r>
          </w:p>
        </w:tc>
      </w:tr>
      <w:tr w:rsidR="00B43BB0" w:rsidRPr="00CA40BF" w:rsidTr="00F45404">
        <w:tc>
          <w:tcPr>
            <w:tcW w:w="4968" w:type="dxa"/>
            <w:vAlign w:val="center"/>
          </w:tcPr>
          <w:p w:rsidR="00B43BB0" w:rsidRPr="00CA40BF" w:rsidRDefault="00B43BB0" w:rsidP="009D35E8">
            <w:pPr>
              <w:jc w:val="center"/>
              <w:rPr>
                <w:szCs w:val="24"/>
              </w:rPr>
            </w:pPr>
            <w:r w:rsidRPr="00CA40BF">
              <w:t>Moderate (11–20% increase)</w:t>
            </w:r>
          </w:p>
        </w:tc>
        <w:tc>
          <w:tcPr>
            <w:tcW w:w="2070" w:type="dxa"/>
            <w:vAlign w:val="center"/>
          </w:tcPr>
          <w:p w:rsidR="00B43BB0" w:rsidRPr="00CA40BF" w:rsidRDefault="00B43BB0" w:rsidP="009D35E8">
            <w:pPr>
              <w:jc w:val="center"/>
              <w:rPr>
                <w:szCs w:val="24"/>
              </w:rPr>
            </w:pPr>
            <w:r w:rsidRPr="00CA40BF">
              <w:t>28</w:t>
            </w:r>
          </w:p>
        </w:tc>
        <w:tc>
          <w:tcPr>
            <w:tcW w:w="2538" w:type="dxa"/>
            <w:vAlign w:val="center"/>
          </w:tcPr>
          <w:p w:rsidR="00B43BB0" w:rsidRPr="00CA40BF" w:rsidRDefault="00367C29" w:rsidP="009D35E8">
            <w:pPr>
              <w:jc w:val="center"/>
              <w:rPr>
                <w:szCs w:val="24"/>
              </w:rPr>
            </w:pPr>
            <w:r w:rsidRPr="00CA40BF">
              <w:t>22.4</w:t>
            </w:r>
          </w:p>
        </w:tc>
      </w:tr>
      <w:tr w:rsidR="00B43BB0" w:rsidRPr="00CA40BF" w:rsidTr="00F45404">
        <w:tc>
          <w:tcPr>
            <w:tcW w:w="4968" w:type="dxa"/>
            <w:vAlign w:val="center"/>
          </w:tcPr>
          <w:p w:rsidR="00B43BB0" w:rsidRPr="00CA40BF" w:rsidRDefault="00B43BB0" w:rsidP="009D35E8">
            <w:pPr>
              <w:jc w:val="center"/>
              <w:rPr>
                <w:szCs w:val="24"/>
              </w:rPr>
            </w:pPr>
            <w:r w:rsidRPr="00CA40BF">
              <w:t>Low (1–10% increase)</w:t>
            </w:r>
          </w:p>
        </w:tc>
        <w:tc>
          <w:tcPr>
            <w:tcW w:w="2070" w:type="dxa"/>
            <w:vAlign w:val="center"/>
          </w:tcPr>
          <w:p w:rsidR="00B43BB0" w:rsidRPr="00CA40BF" w:rsidRDefault="00B43BB0" w:rsidP="009D35E8">
            <w:pPr>
              <w:jc w:val="center"/>
              <w:rPr>
                <w:szCs w:val="24"/>
              </w:rPr>
            </w:pPr>
            <w:r w:rsidRPr="00CA40BF">
              <w:t>15</w:t>
            </w:r>
          </w:p>
        </w:tc>
        <w:tc>
          <w:tcPr>
            <w:tcW w:w="2538" w:type="dxa"/>
            <w:vAlign w:val="center"/>
          </w:tcPr>
          <w:p w:rsidR="00B43BB0" w:rsidRPr="00CA40BF" w:rsidRDefault="00367C29" w:rsidP="009D35E8">
            <w:pPr>
              <w:jc w:val="center"/>
              <w:rPr>
                <w:szCs w:val="24"/>
              </w:rPr>
            </w:pPr>
            <w:r w:rsidRPr="00CA40BF">
              <w:t>12.0</w:t>
            </w:r>
          </w:p>
        </w:tc>
      </w:tr>
      <w:tr w:rsidR="00B43BB0" w:rsidRPr="00CA40BF" w:rsidTr="00F45404">
        <w:tc>
          <w:tcPr>
            <w:tcW w:w="4968" w:type="dxa"/>
            <w:vAlign w:val="center"/>
          </w:tcPr>
          <w:p w:rsidR="00B43BB0" w:rsidRPr="00CA40BF" w:rsidRDefault="00B43BB0" w:rsidP="009D35E8">
            <w:pPr>
              <w:jc w:val="center"/>
              <w:rPr>
                <w:szCs w:val="24"/>
              </w:rPr>
            </w:pPr>
            <w:r w:rsidRPr="00CA40BF">
              <w:t>No significant impact</w:t>
            </w:r>
          </w:p>
        </w:tc>
        <w:tc>
          <w:tcPr>
            <w:tcW w:w="2070" w:type="dxa"/>
            <w:vAlign w:val="center"/>
          </w:tcPr>
          <w:p w:rsidR="00B43BB0" w:rsidRPr="00CA40BF" w:rsidRDefault="00B43BB0" w:rsidP="009D35E8">
            <w:pPr>
              <w:jc w:val="center"/>
              <w:rPr>
                <w:szCs w:val="24"/>
              </w:rPr>
            </w:pPr>
            <w:r w:rsidRPr="00CA40BF">
              <w:t>12</w:t>
            </w:r>
          </w:p>
        </w:tc>
        <w:tc>
          <w:tcPr>
            <w:tcW w:w="2538" w:type="dxa"/>
            <w:vAlign w:val="center"/>
          </w:tcPr>
          <w:p w:rsidR="00B43BB0" w:rsidRPr="00CA40BF" w:rsidRDefault="00367C29" w:rsidP="009D35E8">
            <w:pPr>
              <w:jc w:val="center"/>
              <w:rPr>
                <w:szCs w:val="24"/>
              </w:rPr>
            </w:pPr>
            <w:r w:rsidRPr="00CA40BF">
              <w:t>9.6</w:t>
            </w:r>
          </w:p>
        </w:tc>
      </w:tr>
      <w:tr w:rsidR="00B43BB0" w:rsidRPr="00CA40BF" w:rsidTr="00F45404">
        <w:tc>
          <w:tcPr>
            <w:tcW w:w="4968" w:type="dxa"/>
            <w:vAlign w:val="center"/>
          </w:tcPr>
          <w:p w:rsidR="00B43BB0" w:rsidRPr="00CA40BF" w:rsidRDefault="00B43BB0" w:rsidP="009D35E8">
            <w:pPr>
              <w:jc w:val="center"/>
              <w:rPr>
                <w:szCs w:val="24"/>
              </w:rPr>
            </w:pPr>
            <w:r w:rsidRPr="00CA40BF">
              <w:rPr>
                <w:rStyle w:val="Strong"/>
              </w:rPr>
              <w:t>Total</w:t>
            </w:r>
          </w:p>
        </w:tc>
        <w:tc>
          <w:tcPr>
            <w:tcW w:w="2070" w:type="dxa"/>
            <w:vAlign w:val="center"/>
          </w:tcPr>
          <w:p w:rsidR="00B43BB0" w:rsidRPr="00CA40BF" w:rsidRDefault="00B43BB0" w:rsidP="009D35E8">
            <w:pPr>
              <w:jc w:val="center"/>
              <w:rPr>
                <w:szCs w:val="24"/>
              </w:rPr>
            </w:pPr>
            <w:r w:rsidRPr="00CA40BF">
              <w:rPr>
                <w:rStyle w:val="Strong"/>
              </w:rPr>
              <w:t>125</w:t>
            </w:r>
          </w:p>
        </w:tc>
        <w:tc>
          <w:tcPr>
            <w:tcW w:w="2538" w:type="dxa"/>
            <w:vAlign w:val="center"/>
          </w:tcPr>
          <w:p w:rsidR="00B43BB0" w:rsidRPr="00CA40BF" w:rsidRDefault="00367C29" w:rsidP="009D35E8">
            <w:pPr>
              <w:jc w:val="center"/>
              <w:rPr>
                <w:szCs w:val="24"/>
              </w:rPr>
            </w:pPr>
            <w:r w:rsidRPr="00CA40BF">
              <w:rPr>
                <w:rStyle w:val="Strong"/>
              </w:rPr>
              <w:t>100.0</w:t>
            </w:r>
          </w:p>
        </w:tc>
      </w:tr>
    </w:tbl>
    <w:p w:rsidR="006E025F" w:rsidRPr="006E025F" w:rsidRDefault="006E025F" w:rsidP="006E025F">
      <w:pPr>
        <w:pStyle w:val="NormalWeb"/>
        <w:spacing w:after="0" w:afterAutospacing="0" w:line="360" w:lineRule="auto"/>
        <w:rPr>
          <w:rStyle w:val="Strong"/>
          <w:b w:val="0"/>
          <w:bCs w:val="0"/>
        </w:rPr>
      </w:pPr>
      <w:r w:rsidRPr="006E025F">
        <w:rPr>
          <w:rStyle w:val="Strong"/>
          <w:b w:val="0"/>
          <w:bCs w:val="0"/>
        </w:rPr>
        <w:t>Sources: Field Survey (2025)</w:t>
      </w:r>
    </w:p>
    <w:p w:rsidR="00F45404" w:rsidRPr="00CA40BF" w:rsidRDefault="00F45404" w:rsidP="009D35E8">
      <w:pPr>
        <w:pStyle w:val="Heading3"/>
        <w:spacing w:after="0" w:afterAutospacing="0" w:line="360" w:lineRule="auto"/>
      </w:pPr>
      <w:r w:rsidRPr="00CA40BF">
        <w:lastRenderedPageBreak/>
        <w:t>4.6</w:t>
      </w:r>
      <w:r w:rsidRPr="00CA40BF">
        <w:tab/>
      </w:r>
      <w:r w:rsidRPr="00CA40BF">
        <w:rPr>
          <w:rStyle w:val="Strong"/>
          <w:b/>
          <w:bCs/>
        </w:rPr>
        <w:t>Dimensions of Quality Affected by Cost-Cutting Measures</w:t>
      </w:r>
    </w:p>
    <w:p w:rsidR="00F45404" w:rsidRPr="00CA40BF" w:rsidRDefault="00F45404" w:rsidP="009D35E8">
      <w:pPr>
        <w:spacing w:before="100" w:beforeAutospacing="1" w:after="100" w:afterAutospacing="1"/>
        <w:rPr>
          <w:rFonts w:eastAsia="Times New Roman" w:cs="Times New Roman"/>
          <w:szCs w:val="24"/>
        </w:rPr>
      </w:pPr>
      <w:r w:rsidRPr="00CA40BF">
        <w:rPr>
          <w:rFonts w:eastAsia="Times New Roman" w:cs="Times New Roman"/>
          <w:szCs w:val="24"/>
        </w:rPr>
        <w:t xml:space="preserve">The data presented in Table 4.5 reveals that the </w:t>
      </w:r>
      <w:r w:rsidRPr="00CA40BF">
        <w:rPr>
          <w:rFonts w:eastAsia="Times New Roman" w:cs="Times New Roman"/>
          <w:bCs/>
          <w:szCs w:val="24"/>
        </w:rPr>
        <w:t>most affected aspect of construction quality due to cost-cutting</w:t>
      </w:r>
      <w:r w:rsidRPr="00CA40BF">
        <w:rPr>
          <w:rFonts w:eastAsia="Times New Roman" w:cs="Times New Roman"/>
          <w:szCs w:val="24"/>
        </w:rPr>
        <w:t xml:space="preserve"> is </w:t>
      </w:r>
      <w:r w:rsidRPr="00CA40BF">
        <w:rPr>
          <w:rFonts w:eastAsia="Times New Roman" w:cs="Times New Roman"/>
          <w:iCs/>
          <w:szCs w:val="24"/>
        </w:rPr>
        <w:t>interior finishing</w:t>
      </w:r>
      <w:r w:rsidRPr="00CA40BF">
        <w:rPr>
          <w:rFonts w:eastAsia="Times New Roman" w:cs="Times New Roman"/>
          <w:szCs w:val="24"/>
        </w:rPr>
        <w:t xml:space="preserve"> including tiles, paint, doors, and cabinetry cited by 27.2% of respondents. This is followed by </w:t>
      </w:r>
      <w:r w:rsidRPr="00CA40BF">
        <w:rPr>
          <w:rFonts w:eastAsia="Times New Roman" w:cs="Times New Roman"/>
          <w:iCs/>
          <w:szCs w:val="24"/>
        </w:rPr>
        <w:t>roofing and ceiling materials</w:t>
      </w:r>
      <w:r w:rsidRPr="00CA40BF">
        <w:rPr>
          <w:rFonts w:eastAsia="Times New Roman" w:cs="Times New Roman"/>
          <w:szCs w:val="24"/>
        </w:rPr>
        <w:t xml:space="preserve"> (20.8%), and </w:t>
      </w:r>
      <w:r w:rsidRPr="00CA40BF">
        <w:rPr>
          <w:rFonts w:eastAsia="Times New Roman" w:cs="Times New Roman"/>
          <w:iCs/>
          <w:szCs w:val="24"/>
        </w:rPr>
        <w:t>plumbing and electrical fixtures</w:t>
      </w:r>
      <w:r w:rsidRPr="00CA40BF">
        <w:rPr>
          <w:rFonts w:eastAsia="Times New Roman" w:cs="Times New Roman"/>
          <w:szCs w:val="24"/>
        </w:rPr>
        <w:t xml:space="preserve"> (17.6%). Other areas such as </w:t>
      </w:r>
      <w:r w:rsidRPr="00CA40BF">
        <w:rPr>
          <w:rFonts w:eastAsia="Times New Roman" w:cs="Times New Roman"/>
          <w:iCs/>
          <w:szCs w:val="24"/>
        </w:rPr>
        <w:t>walling and foundation materials</w:t>
      </w:r>
      <w:r w:rsidRPr="00CA40BF">
        <w:rPr>
          <w:rFonts w:eastAsia="Times New Roman" w:cs="Times New Roman"/>
          <w:szCs w:val="24"/>
        </w:rPr>
        <w:t xml:space="preserve"> (14.4%) and </w:t>
      </w:r>
      <w:r w:rsidRPr="00CA40BF">
        <w:rPr>
          <w:rFonts w:eastAsia="Times New Roman" w:cs="Times New Roman"/>
          <w:iCs/>
          <w:szCs w:val="24"/>
        </w:rPr>
        <w:t>external aesthetic designs</w:t>
      </w:r>
      <w:r w:rsidRPr="00CA40BF">
        <w:rPr>
          <w:rFonts w:eastAsia="Times New Roman" w:cs="Times New Roman"/>
          <w:szCs w:val="24"/>
        </w:rPr>
        <w:t xml:space="preserve"> (12.0%) are also affected, though to a lesser extent. Only 8.0% of respondents indicated that quality was not affected or gave no response. These results imply that when developers face cost pressure due to rising material prices, they are more likely to reduce spending on non-structural elements and visual enhancements to maintain structural safety and meet delivery timelines.</w:t>
      </w:r>
    </w:p>
    <w:p w:rsidR="00B43BB0" w:rsidRPr="00CA40BF" w:rsidRDefault="00F45404" w:rsidP="009D35E8">
      <w:pPr>
        <w:spacing w:before="100" w:beforeAutospacing="1" w:after="100" w:afterAutospacing="1"/>
        <w:rPr>
          <w:rFonts w:eastAsia="Times New Roman" w:cs="Times New Roman"/>
          <w:szCs w:val="24"/>
        </w:rPr>
      </w:pPr>
      <w:r w:rsidRPr="00CA40BF">
        <w:rPr>
          <w:rFonts w:eastAsia="Times New Roman" w:cs="Times New Roman"/>
          <w:szCs w:val="24"/>
        </w:rPr>
        <w:t xml:space="preserve">These findings align with studies such as Adebayo and Ojo (2019), who found that finishing elements are typically the first to be compromised during cost escalations in residential projects in southwestern Nigeria. Similarly, research by Ezeokoli et al. (2021) highlighted that building developers in Abuja often reduce finishing quality or switch to low-grade local alternatives in response to material price surges. The justification for this trend is both economic and strategic: developers must prioritize </w:t>
      </w:r>
      <w:r w:rsidRPr="00CA40BF">
        <w:rPr>
          <w:rFonts w:eastAsia="Times New Roman" w:cs="Times New Roman"/>
          <w:bCs/>
          <w:szCs w:val="24"/>
        </w:rPr>
        <w:t>essential structural integrity</w:t>
      </w:r>
      <w:r w:rsidRPr="00CA40BF">
        <w:rPr>
          <w:rFonts w:eastAsia="Times New Roman" w:cs="Times New Roman"/>
          <w:szCs w:val="24"/>
        </w:rPr>
        <w:t xml:space="preserve"> while managing budget constraints, and finishing materials—although important—are often seen as more flexible in terms of substitution. However, while this approach preserves safety, it can diminish </w:t>
      </w:r>
      <w:r w:rsidRPr="00CA40BF">
        <w:rPr>
          <w:rFonts w:eastAsia="Times New Roman" w:cs="Times New Roman"/>
          <w:bCs/>
          <w:szCs w:val="24"/>
        </w:rPr>
        <w:t>customer satisfaction, resale value, and aesthetic appeal</w:t>
      </w:r>
      <w:r w:rsidRPr="00CA40BF">
        <w:rPr>
          <w:rFonts w:eastAsia="Times New Roman" w:cs="Times New Roman"/>
          <w:szCs w:val="24"/>
        </w:rPr>
        <w:t>, indicating a trade-off between immediate cost control and long-term property value. The results further underscore the importance of stable material pricing and policy incentives to reduce the reliance on cost-cutting measures t</w:t>
      </w:r>
      <w:r w:rsidR="001503EB" w:rsidRPr="00CA40BF">
        <w:rPr>
          <w:rFonts w:eastAsia="Times New Roman" w:cs="Times New Roman"/>
          <w:szCs w:val="24"/>
        </w:rPr>
        <w:t>hat compromise housing quality.</w:t>
      </w:r>
    </w:p>
    <w:p w:rsidR="00367C29" w:rsidRPr="00CA40BF" w:rsidRDefault="00367C29" w:rsidP="009D35E8">
      <w:pPr>
        <w:pStyle w:val="Heading3"/>
        <w:spacing w:after="0" w:afterAutospacing="0" w:line="360" w:lineRule="auto"/>
      </w:pPr>
      <w:r w:rsidRPr="00CA40BF">
        <w:rPr>
          <w:rStyle w:val="Strong"/>
          <w:b/>
          <w:bCs/>
        </w:rPr>
        <w:t xml:space="preserve">Table </w:t>
      </w:r>
      <w:r w:rsidR="00F45404" w:rsidRPr="00CA40BF">
        <w:rPr>
          <w:rStyle w:val="Strong"/>
          <w:b/>
          <w:bCs/>
        </w:rPr>
        <w:t>4.</w:t>
      </w:r>
      <w:r w:rsidRPr="00CA40BF">
        <w:rPr>
          <w:rStyle w:val="Strong"/>
          <w:b/>
          <w:bCs/>
        </w:rPr>
        <w:t>5</w:t>
      </w:r>
      <w:r w:rsidR="006A58D1" w:rsidRPr="00CA40BF">
        <w:rPr>
          <w:rStyle w:val="Strong"/>
          <w:b/>
          <w:bCs/>
        </w:rPr>
        <w:t>: Dimensions of Quality Affected by Cost-Cutting Measures</w:t>
      </w:r>
    </w:p>
    <w:tbl>
      <w:tblPr>
        <w:tblStyle w:val="TableGrid"/>
        <w:tblW w:w="0" w:type="auto"/>
        <w:tblLook w:val="04A0"/>
      </w:tblPr>
      <w:tblGrid>
        <w:gridCol w:w="4968"/>
        <w:gridCol w:w="2070"/>
        <w:gridCol w:w="2538"/>
      </w:tblGrid>
      <w:tr w:rsidR="00367C29" w:rsidRPr="00CA40BF" w:rsidTr="00F45404">
        <w:tc>
          <w:tcPr>
            <w:tcW w:w="4968" w:type="dxa"/>
            <w:vAlign w:val="center"/>
          </w:tcPr>
          <w:p w:rsidR="00367C29" w:rsidRPr="00CA40BF" w:rsidRDefault="00367C29" w:rsidP="009D35E8">
            <w:pPr>
              <w:jc w:val="center"/>
              <w:rPr>
                <w:b/>
                <w:bCs/>
                <w:szCs w:val="24"/>
              </w:rPr>
            </w:pPr>
            <w:r w:rsidRPr="00CA40BF">
              <w:rPr>
                <w:rStyle w:val="Strong"/>
              </w:rPr>
              <w:t>Affected Quality Parameter</w:t>
            </w:r>
          </w:p>
        </w:tc>
        <w:tc>
          <w:tcPr>
            <w:tcW w:w="2070" w:type="dxa"/>
            <w:vAlign w:val="center"/>
          </w:tcPr>
          <w:p w:rsidR="00367C29" w:rsidRPr="00CA40BF" w:rsidRDefault="00367C29" w:rsidP="009D35E8">
            <w:pPr>
              <w:jc w:val="center"/>
              <w:rPr>
                <w:b/>
                <w:bCs/>
                <w:szCs w:val="24"/>
              </w:rPr>
            </w:pPr>
            <w:r w:rsidRPr="00CA40BF">
              <w:rPr>
                <w:rStyle w:val="Strong"/>
              </w:rPr>
              <w:t>Frequency</w:t>
            </w:r>
          </w:p>
        </w:tc>
        <w:tc>
          <w:tcPr>
            <w:tcW w:w="2538" w:type="dxa"/>
            <w:vAlign w:val="center"/>
          </w:tcPr>
          <w:p w:rsidR="00367C29" w:rsidRPr="00CA40BF" w:rsidRDefault="00367C29" w:rsidP="009D35E8">
            <w:pPr>
              <w:jc w:val="center"/>
              <w:rPr>
                <w:b/>
                <w:bCs/>
                <w:szCs w:val="24"/>
              </w:rPr>
            </w:pPr>
            <w:r w:rsidRPr="00CA40BF">
              <w:rPr>
                <w:rStyle w:val="Strong"/>
              </w:rPr>
              <w:t>Percentage (%)</w:t>
            </w:r>
          </w:p>
        </w:tc>
      </w:tr>
      <w:tr w:rsidR="00367C29" w:rsidRPr="00CA40BF" w:rsidTr="00F45404">
        <w:tc>
          <w:tcPr>
            <w:tcW w:w="4968" w:type="dxa"/>
            <w:vAlign w:val="center"/>
          </w:tcPr>
          <w:p w:rsidR="00367C29" w:rsidRPr="00CA40BF" w:rsidRDefault="00367C29" w:rsidP="009D35E8">
            <w:pPr>
              <w:jc w:val="center"/>
              <w:rPr>
                <w:szCs w:val="24"/>
              </w:rPr>
            </w:pPr>
            <w:r w:rsidRPr="00CA40BF">
              <w:t>Interior finishing (tiles, paint, doors)</w:t>
            </w:r>
          </w:p>
        </w:tc>
        <w:tc>
          <w:tcPr>
            <w:tcW w:w="2070" w:type="dxa"/>
            <w:vAlign w:val="center"/>
          </w:tcPr>
          <w:p w:rsidR="00367C29" w:rsidRPr="00CA40BF" w:rsidRDefault="00367C29" w:rsidP="009D35E8">
            <w:pPr>
              <w:jc w:val="center"/>
              <w:rPr>
                <w:szCs w:val="24"/>
              </w:rPr>
            </w:pPr>
            <w:r w:rsidRPr="00CA40BF">
              <w:t>34</w:t>
            </w:r>
          </w:p>
        </w:tc>
        <w:tc>
          <w:tcPr>
            <w:tcW w:w="2538" w:type="dxa"/>
            <w:vAlign w:val="center"/>
          </w:tcPr>
          <w:p w:rsidR="00367C29" w:rsidRPr="00CA40BF" w:rsidRDefault="00367C29" w:rsidP="009D35E8">
            <w:pPr>
              <w:jc w:val="center"/>
              <w:rPr>
                <w:szCs w:val="24"/>
              </w:rPr>
            </w:pPr>
            <w:r w:rsidRPr="00CA40BF">
              <w:t>27.2</w:t>
            </w:r>
          </w:p>
        </w:tc>
      </w:tr>
      <w:tr w:rsidR="00367C29" w:rsidRPr="00CA40BF" w:rsidTr="00F45404">
        <w:tc>
          <w:tcPr>
            <w:tcW w:w="4968" w:type="dxa"/>
            <w:vAlign w:val="center"/>
          </w:tcPr>
          <w:p w:rsidR="00367C29" w:rsidRPr="00CA40BF" w:rsidRDefault="00367C29" w:rsidP="009D35E8">
            <w:pPr>
              <w:jc w:val="center"/>
              <w:rPr>
                <w:szCs w:val="24"/>
              </w:rPr>
            </w:pPr>
            <w:r w:rsidRPr="00CA40BF">
              <w:t>Roofing and ceiling materials</w:t>
            </w:r>
          </w:p>
        </w:tc>
        <w:tc>
          <w:tcPr>
            <w:tcW w:w="2070" w:type="dxa"/>
            <w:vAlign w:val="center"/>
          </w:tcPr>
          <w:p w:rsidR="00367C29" w:rsidRPr="00CA40BF" w:rsidRDefault="00367C29" w:rsidP="009D35E8">
            <w:pPr>
              <w:jc w:val="center"/>
              <w:rPr>
                <w:szCs w:val="24"/>
              </w:rPr>
            </w:pPr>
            <w:r w:rsidRPr="00CA40BF">
              <w:t>26</w:t>
            </w:r>
          </w:p>
        </w:tc>
        <w:tc>
          <w:tcPr>
            <w:tcW w:w="2538" w:type="dxa"/>
            <w:vAlign w:val="center"/>
          </w:tcPr>
          <w:p w:rsidR="00367C29" w:rsidRPr="00CA40BF" w:rsidRDefault="00367C29" w:rsidP="009D35E8">
            <w:pPr>
              <w:jc w:val="center"/>
              <w:rPr>
                <w:szCs w:val="24"/>
              </w:rPr>
            </w:pPr>
            <w:r w:rsidRPr="00CA40BF">
              <w:t>20.8</w:t>
            </w:r>
          </w:p>
        </w:tc>
      </w:tr>
      <w:tr w:rsidR="00367C29" w:rsidRPr="00CA40BF" w:rsidTr="00F45404">
        <w:tc>
          <w:tcPr>
            <w:tcW w:w="4968" w:type="dxa"/>
            <w:vAlign w:val="center"/>
          </w:tcPr>
          <w:p w:rsidR="00367C29" w:rsidRPr="00CA40BF" w:rsidRDefault="00367C29" w:rsidP="009D35E8">
            <w:pPr>
              <w:jc w:val="center"/>
              <w:rPr>
                <w:szCs w:val="24"/>
              </w:rPr>
            </w:pPr>
            <w:r w:rsidRPr="00CA40BF">
              <w:t>Plumbing and electrical fixtures</w:t>
            </w:r>
          </w:p>
        </w:tc>
        <w:tc>
          <w:tcPr>
            <w:tcW w:w="2070" w:type="dxa"/>
            <w:vAlign w:val="center"/>
          </w:tcPr>
          <w:p w:rsidR="00367C29" w:rsidRPr="00CA40BF" w:rsidRDefault="00367C29" w:rsidP="009D35E8">
            <w:pPr>
              <w:jc w:val="center"/>
              <w:rPr>
                <w:szCs w:val="24"/>
              </w:rPr>
            </w:pPr>
            <w:r w:rsidRPr="00CA40BF">
              <w:t>22</w:t>
            </w:r>
          </w:p>
        </w:tc>
        <w:tc>
          <w:tcPr>
            <w:tcW w:w="2538" w:type="dxa"/>
            <w:vAlign w:val="center"/>
          </w:tcPr>
          <w:p w:rsidR="00367C29" w:rsidRPr="00CA40BF" w:rsidRDefault="00367C29" w:rsidP="009D35E8">
            <w:pPr>
              <w:jc w:val="center"/>
              <w:rPr>
                <w:szCs w:val="24"/>
              </w:rPr>
            </w:pPr>
            <w:r w:rsidRPr="00CA40BF">
              <w:t>17.6</w:t>
            </w:r>
          </w:p>
        </w:tc>
      </w:tr>
      <w:tr w:rsidR="00367C29" w:rsidRPr="00CA40BF" w:rsidTr="00F45404">
        <w:tc>
          <w:tcPr>
            <w:tcW w:w="4968" w:type="dxa"/>
            <w:vAlign w:val="center"/>
          </w:tcPr>
          <w:p w:rsidR="00367C29" w:rsidRPr="00CA40BF" w:rsidRDefault="00367C29" w:rsidP="009D35E8">
            <w:pPr>
              <w:jc w:val="center"/>
              <w:rPr>
                <w:szCs w:val="24"/>
              </w:rPr>
            </w:pPr>
            <w:r w:rsidRPr="00CA40BF">
              <w:t>Walling and foundation materials</w:t>
            </w:r>
          </w:p>
        </w:tc>
        <w:tc>
          <w:tcPr>
            <w:tcW w:w="2070" w:type="dxa"/>
            <w:vAlign w:val="center"/>
          </w:tcPr>
          <w:p w:rsidR="00367C29" w:rsidRPr="00CA40BF" w:rsidRDefault="00367C29" w:rsidP="009D35E8">
            <w:pPr>
              <w:jc w:val="center"/>
              <w:rPr>
                <w:szCs w:val="24"/>
              </w:rPr>
            </w:pPr>
            <w:r w:rsidRPr="00CA40BF">
              <w:t>18</w:t>
            </w:r>
          </w:p>
        </w:tc>
        <w:tc>
          <w:tcPr>
            <w:tcW w:w="2538" w:type="dxa"/>
            <w:vAlign w:val="center"/>
          </w:tcPr>
          <w:p w:rsidR="00367C29" w:rsidRPr="00CA40BF" w:rsidRDefault="00367C29" w:rsidP="009D35E8">
            <w:pPr>
              <w:jc w:val="center"/>
              <w:rPr>
                <w:szCs w:val="24"/>
              </w:rPr>
            </w:pPr>
            <w:r w:rsidRPr="00CA40BF">
              <w:t>14.4</w:t>
            </w:r>
          </w:p>
        </w:tc>
      </w:tr>
      <w:tr w:rsidR="00367C29" w:rsidRPr="00CA40BF" w:rsidTr="00F45404">
        <w:tc>
          <w:tcPr>
            <w:tcW w:w="4968" w:type="dxa"/>
            <w:vAlign w:val="center"/>
          </w:tcPr>
          <w:p w:rsidR="00367C29" w:rsidRPr="00CA40BF" w:rsidRDefault="00367C29" w:rsidP="009D35E8">
            <w:pPr>
              <w:jc w:val="center"/>
              <w:rPr>
                <w:szCs w:val="24"/>
              </w:rPr>
            </w:pPr>
            <w:r w:rsidRPr="00CA40BF">
              <w:t>External aesthetic design</w:t>
            </w:r>
          </w:p>
        </w:tc>
        <w:tc>
          <w:tcPr>
            <w:tcW w:w="2070" w:type="dxa"/>
            <w:vAlign w:val="center"/>
          </w:tcPr>
          <w:p w:rsidR="00367C29" w:rsidRPr="00CA40BF" w:rsidRDefault="00367C29" w:rsidP="009D35E8">
            <w:pPr>
              <w:jc w:val="center"/>
              <w:rPr>
                <w:szCs w:val="24"/>
              </w:rPr>
            </w:pPr>
            <w:r w:rsidRPr="00CA40BF">
              <w:t>15</w:t>
            </w:r>
          </w:p>
        </w:tc>
        <w:tc>
          <w:tcPr>
            <w:tcW w:w="2538" w:type="dxa"/>
            <w:vAlign w:val="center"/>
          </w:tcPr>
          <w:p w:rsidR="00367C29" w:rsidRPr="00CA40BF" w:rsidRDefault="00367C29" w:rsidP="009D35E8">
            <w:pPr>
              <w:jc w:val="center"/>
              <w:rPr>
                <w:szCs w:val="24"/>
              </w:rPr>
            </w:pPr>
            <w:r w:rsidRPr="00CA40BF">
              <w:t>12.0</w:t>
            </w:r>
          </w:p>
        </w:tc>
      </w:tr>
      <w:tr w:rsidR="00367C29" w:rsidRPr="00CA40BF" w:rsidTr="00F45404">
        <w:tc>
          <w:tcPr>
            <w:tcW w:w="4968" w:type="dxa"/>
            <w:vAlign w:val="center"/>
          </w:tcPr>
          <w:p w:rsidR="00367C29" w:rsidRPr="00CA40BF" w:rsidRDefault="00367C29" w:rsidP="009D35E8">
            <w:pPr>
              <w:jc w:val="center"/>
              <w:rPr>
                <w:szCs w:val="24"/>
              </w:rPr>
            </w:pPr>
            <w:r w:rsidRPr="00CA40BF">
              <w:lastRenderedPageBreak/>
              <w:t>Not affected / no response</w:t>
            </w:r>
          </w:p>
        </w:tc>
        <w:tc>
          <w:tcPr>
            <w:tcW w:w="2070" w:type="dxa"/>
            <w:vAlign w:val="center"/>
          </w:tcPr>
          <w:p w:rsidR="00367C29" w:rsidRPr="00CA40BF" w:rsidRDefault="00367C29" w:rsidP="009D35E8">
            <w:pPr>
              <w:jc w:val="center"/>
              <w:rPr>
                <w:szCs w:val="24"/>
              </w:rPr>
            </w:pPr>
            <w:r w:rsidRPr="00CA40BF">
              <w:t>10</w:t>
            </w:r>
          </w:p>
        </w:tc>
        <w:tc>
          <w:tcPr>
            <w:tcW w:w="2538" w:type="dxa"/>
            <w:vAlign w:val="center"/>
          </w:tcPr>
          <w:p w:rsidR="00367C29" w:rsidRPr="00CA40BF" w:rsidRDefault="00367C29" w:rsidP="009D35E8">
            <w:pPr>
              <w:jc w:val="center"/>
              <w:rPr>
                <w:szCs w:val="24"/>
              </w:rPr>
            </w:pPr>
            <w:r w:rsidRPr="00CA40BF">
              <w:t>8.0</w:t>
            </w:r>
          </w:p>
        </w:tc>
      </w:tr>
      <w:tr w:rsidR="00367C29" w:rsidRPr="00CA40BF" w:rsidTr="00F45404">
        <w:tc>
          <w:tcPr>
            <w:tcW w:w="4968" w:type="dxa"/>
            <w:vAlign w:val="center"/>
          </w:tcPr>
          <w:p w:rsidR="00367C29" w:rsidRPr="00CA40BF" w:rsidRDefault="00367C29" w:rsidP="009D35E8">
            <w:pPr>
              <w:jc w:val="center"/>
              <w:rPr>
                <w:szCs w:val="24"/>
              </w:rPr>
            </w:pPr>
            <w:r w:rsidRPr="00CA40BF">
              <w:rPr>
                <w:rStyle w:val="Strong"/>
              </w:rPr>
              <w:t>Total</w:t>
            </w:r>
          </w:p>
        </w:tc>
        <w:tc>
          <w:tcPr>
            <w:tcW w:w="2070" w:type="dxa"/>
            <w:vAlign w:val="center"/>
          </w:tcPr>
          <w:p w:rsidR="00367C29" w:rsidRPr="00CA40BF" w:rsidRDefault="00367C29" w:rsidP="009D35E8">
            <w:pPr>
              <w:jc w:val="center"/>
              <w:rPr>
                <w:szCs w:val="24"/>
              </w:rPr>
            </w:pPr>
            <w:r w:rsidRPr="00CA40BF">
              <w:rPr>
                <w:rStyle w:val="Strong"/>
              </w:rPr>
              <w:t>125</w:t>
            </w:r>
          </w:p>
        </w:tc>
        <w:tc>
          <w:tcPr>
            <w:tcW w:w="2538" w:type="dxa"/>
            <w:vAlign w:val="center"/>
          </w:tcPr>
          <w:p w:rsidR="00367C29" w:rsidRPr="00CA40BF" w:rsidRDefault="00367C29" w:rsidP="009D35E8">
            <w:pPr>
              <w:jc w:val="center"/>
              <w:rPr>
                <w:szCs w:val="24"/>
              </w:rPr>
            </w:pPr>
            <w:r w:rsidRPr="00CA40BF">
              <w:rPr>
                <w:rStyle w:val="Strong"/>
              </w:rPr>
              <w:t>100.0</w:t>
            </w:r>
          </w:p>
        </w:tc>
      </w:tr>
    </w:tbl>
    <w:p w:rsidR="006E025F" w:rsidRPr="006E025F" w:rsidRDefault="006E025F" w:rsidP="006E025F">
      <w:pPr>
        <w:pStyle w:val="NormalWeb"/>
        <w:spacing w:after="0" w:afterAutospacing="0" w:line="360" w:lineRule="auto"/>
        <w:rPr>
          <w:rStyle w:val="Strong"/>
          <w:b w:val="0"/>
          <w:bCs w:val="0"/>
        </w:rPr>
      </w:pPr>
      <w:r w:rsidRPr="006E025F">
        <w:rPr>
          <w:rStyle w:val="Strong"/>
          <w:b w:val="0"/>
          <w:bCs w:val="0"/>
        </w:rPr>
        <w:t>Sources: Field Survey (2025)</w:t>
      </w:r>
    </w:p>
    <w:p w:rsidR="00367C29" w:rsidRPr="00CA40BF" w:rsidRDefault="001503EB" w:rsidP="009D35E8">
      <w:pPr>
        <w:pStyle w:val="NormalWeb"/>
        <w:spacing w:after="0" w:afterAutospacing="0" w:line="360" w:lineRule="auto"/>
        <w:rPr>
          <w:rStyle w:val="Strong"/>
        </w:rPr>
      </w:pPr>
      <w:r w:rsidRPr="00CA40BF">
        <w:rPr>
          <w:rStyle w:val="Strong"/>
        </w:rPr>
        <w:t>4.7</w:t>
      </w:r>
      <w:r w:rsidRPr="00CA40BF">
        <w:rPr>
          <w:rStyle w:val="Strong"/>
        </w:rPr>
        <w:tab/>
      </w:r>
      <w:r w:rsidR="00367C29" w:rsidRPr="00CA40BF">
        <w:rPr>
          <w:rStyle w:val="Strong"/>
        </w:rPr>
        <w:t>Implications of High Material Costs on Key Project Dimensions</w:t>
      </w:r>
    </w:p>
    <w:p w:rsidR="001503EB" w:rsidRPr="001503EB" w:rsidRDefault="001503EB" w:rsidP="009D35E8">
      <w:pPr>
        <w:spacing w:before="100" w:beforeAutospacing="1" w:after="100" w:afterAutospacing="1"/>
        <w:rPr>
          <w:rFonts w:eastAsia="Times New Roman" w:cs="Times New Roman"/>
          <w:szCs w:val="24"/>
        </w:rPr>
      </w:pPr>
      <w:r w:rsidRPr="001503EB">
        <w:rPr>
          <w:rFonts w:eastAsia="Times New Roman" w:cs="Times New Roman"/>
          <w:szCs w:val="24"/>
        </w:rPr>
        <w:t>The data in Table 4.6 show that rising material costs significantly affect three critical aspects of property development—</w:t>
      </w:r>
      <w:r w:rsidRPr="00CA40BF">
        <w:rPr>
          <w:rFonts w:eastAsia="Times New Roman" w:cs="Times New Roman"/>
          <w:bCs/>
          <w:szCs w:val="24"/>
        </w:rPr>
        <w:t>affordability</w:t>
      </w:r>
      <w:r w:rsidRPr="001503EB">
        <w:rPr>
          <w:rFonts w:eastAsia="Times New Roman" w:cs="Times New Roman"/>
          <w:szCs w:val="24"/>
        </w:rPr>
        <w:t xml:space="preserve">, </w:t>
      </w:r>
      <w:r w:rsidRPr="00CA40BF">
        <w:rPr>
          <w:rFonts w:eastAsia="Times New Roman" w:cs="Times New Roman"/>
          <w:bCs/>
          <w:szCs w:val="24"/>
        </w:rPr>
        <w:t>quality</w:t>
      </w:r>
      <w:r w:rsidRPr="001503EB">
        <w:rPr>
          <w:rFonts w:eastAsia="Times New Roman" w:cs="Times New Roman"/>
          <w:szCs w:val="24"/>
        </w:rPr>
        <w:t xml:space="preserve">, and </w:t>
      </w:r>
      <w:r w:rsidRPr="00CA40BF">
        <w:rPr>
          <w:rFonts w:eastAsia="Times New Roman" w:cs="Times New Roman"/>
          <w:bCs/>
          <w:szCs w:val="24"/>
        </w:rPr>
        <w:t>project completion timelines</w:t>
      </w:r>
      <w:r w:rsidRPr="001503EB">
        <w:rPr>
          <w:rFonts w:eastAsia="Times New Roman" w:cs="Times New Roman"/>
          <w:szCs w:val="24"/>
        </w:rPr>
        <w:t xml:space="preserve">. The majority of respondents (33.6%) indicated that the cost burden has led to increased sale prices of housing units, which directly limits affordability. Furthermore, 18.4% reported that low-income buyers are increasingly excluded from home ownership due to unaffordable pricing. Quality is also affected, with 21.6% noting a shift to lower-grade materials and 11.2% acknowledging compromises in finishing, such as cheaper tiles, paints, or fittings. Finally, 15.2% of respondents identified </w:t>
      </w:r>
      <w:r w:rsidRPr="00CA40BF">
        <w:rPr>
          <w:rFonts w:eastAsia="Times New Roman" w:cs="Times New Roman"/>
          <w:bCs/>
          <w:szCs w:val="24"/>
        </w:rPr>
        <w:t>extended delivery periods</w:t>
      </w:r>
      <w:r w:rsidRPr="001503EB">
        <w:rPr>
          <w:rFonts w:eastAsia="Times New Roman" w:cs="Times New Roman"/>
          <w:szCs w:val="24"/>
        </w:rPr>
        <w:t xml:space="preserve"> as a direct result of budgeting issues and procurement delays caused by price fluctuations. These findings suggest that the impact of high material costs is </w:t>
      </w:r>
      <w:r w:rsidRPr="00CA40BF">
        <w:rPr>
          <w:rFonts w:eastAsia="Times New Roman" w:cs="Times New Roman"/>
          <w:bCs/>
          <w:szCs w:val="24"/>
        </w:rPr>
        <w:t>multifaceted</w:t>
      </w:r>
      <w:r w:rsidRPr="001503EB">
        <w:rPr>
          <w:rFonts w:eastAsia="Times New Roman" w:cs="Times New Roman"/>
          <w:szCs w:val="24"/>
        </w:rPr>
        <w:t xml:space="preserve">, affecting both the </w:t>
      </w:r>
      <w:r w:rsidRPr="00CA40BF">
        <w:rPr>
          <w:rFonts w:eastAsia="Times New Roman" w:cs="Times New Roman"/>
          <w:bCs/>
          <w:szCs w:val="24"/>
        </w:rPr>
        <w:t>supply side</w:t>
      </w:r>
      <w:r w:rsidRPr="001503EB">
        <w:rPr>
          <w:rFonts w:eastAsia="Times New Roman" w:cs="Times New Roman"/>
          <w:szCs w:val="24"/>
        </w:rPr>
        <w:t xml:space="preserve"> (developer operations) and the </w:t>
      </w:r>
      <w:r w:rsidRPr="00CA40BF">
        <w:rPr>
          <w:rFonts w:eastAsia="Times New Roman" w:cs="Times New Roman"/>
          <w:bCs/>
          <w:szCs w:val="24"/>
        </w:rPr>
        <w:t>demand side</w:t>
      </w:r>
      <w:r w:rsidRPr="001503EB">
        <w:rPr>
          <w:rFonts w:eastAsia="Times New Roman" w:cs="Times New Roman"/>
          <w:szCs w:val="24"/>
        </w:rPr>
        <w:t xml:space="preserve"> (housing affordability).</w:t>
      </w:r>
    </w:p>
    <w:p w:rsidR="001503EB" w:rsidRPr="00CA40BF" w:rsidRDefault="001503EB" w:rsidP="009D35E8">
      <w:pPr>
        <w:spacing w:before="100" w:beforeAutospacing="1" w:after="100" w:afterAutospacing="1"/>
        <w:rPr>
          <w:rStyle w:val="Strong"/>
          <w:rFonts w:eastAsia="Times New Roman" w:cs="Times New Roman"/>
          <w:b w:val="0"/>
          <w:bCs w:val="0"/>
          <w:szCs w:val="24"/>
        </w:rPr>
      </w:pPr>
      <w:r w:rsidRPr="001503EB">
        <w:rPr>
          <w:rFonts w:eastAsia="Times New Roman" w:cs="Times New Roman"/>
          <w:szCs w:val="24"/>
        </w:rPr>
        <w:t xml:space="preserve">When compared with other empirical studies, these findings are consistent with the work of </w:t>
      </w:r>
      <w:r w:rsidRPr="00CA40BF">
        <w:rPr>
          <w:rFonts w:eastAsia="Times New Roman" w:cs="Times New Roman"/>
          <w:bCs/>
          <w:szCs w:val="24"/>
        </w:rPr>
        <w:t>Oladapo (2006)</w:t>
      </w:r>
      <w:r w:rsidRPr="001503EB">
        <w:rPr>
          <w:rFonts w:eastAsia="Times New Roman" w:cs="Times New Roman"/>
          <w:szCs w:val="24"/>
        </w:rPr>
        <w:t xml:space="preserve">, who found that in Southwestern Nigeria, inflation in construction costs resulted in increased unit prices and a decline in the delivery of affordable housing. Similarly, </w:t>
      </w:r>
      <w:r w:rsidRPr="00CA40BF">
        <w:rPr>
          <w:rFonts w:eastAsia="Times New Roman" w:cs="Times New Roman"/>
          <w:bCs/>
          <w:szCs w:val="24"/>
        </w:rPr>
        <w:t>Eziyi and Eziyi (2018)</w:t>
      </w:r>
      <w:r w:rsidRPr="001503EB">
        <w:rPr>
          <w:rFonts w:eastAsia="Times New Roman" w:cs="Times New Roman"/>
          <w:szCs w:val="24"/>
        </w:rPr>
        <w:t xml:space="preserve"> in a study conducted in Enugu observed that real estate developers were forced to adopt cost-cutting strategies such as the use of lower-quality materials and phased project delivery due to material price hikes. The justification for the findings in this study lies in the economic reality of Nigeria’s heavy dependence on imported construction inputs and unstable currency, which leads to constant price volatility. Rising fuel prices, poor transport infrastructure, and insecurity further increase logistics costs. Consequently, developers like Harmony Investment are left with no option but to </w:t>
      </w:r>
      <w:r w:rsidRPr="00CA40BF">
        <w:rPr>
          <w:rFonts w:eastAsia="Times New Roman" w:cs="Times New Roman"/>
          <w:bCs/>
          <w:szCs w:val="24"/>
        </w:rPr>
        <w:t>adjust design standards, reschedule delivery timelines, and pass cost increases to buyers</w:t>
      </w:r>
      <w:r w:rsidRPr="001503EB">
        <w:rPr>
          <w:rFonts w:eastAsia="Times New Roman" w:cs="Times New Roman"/>
          <w:szCs w:val="24"/>
        </w:rPr>
        <w:t>, validating the patterns observed in both the primary data and supporting literature.</w:t>
      </w:r>
    </w:p>
    <w:p w:rsidR="006E025F" w:rsidRDefault="006E025F" w:rsidP="009D35E8">
      <w:pPr>
        <w:pStyle w:val="NormalWeb"/>
        <w:spacing w:after="0" w:afterAutospacing="0" w:line="360" w:lineRule="auto"/>
        <w:rPr>
          <w:rStyle w:val="Strong"/>
        </w:rPr>
      </w:pPr>
    </w:p>
    <w:p w:rsidR="006A58D1" w:rsidRPr="00CA40BF" w:rsidRDefault="00367C29" w:rsidP="009D35E8">
      <w:pPr>
        <w:pStyle w:val="NormalWeb"/>
        <w:spacing w:after="0" w:afterAutospacing="0" w:line="360" w:lineRule="auto"/>
      </w:pPr>
      <w:r w:rsidRPr="00CA40BF">
        <w:rPr>
          <w:rStyle w:val="Strong"/>
        </w:rPr>
        <w:lastRenderedPageBreak/>
        <w:t xml:space="preserve">Table </w:t>
      </w:r>
      <w:r w:rsidR="001503EB" w:rsidRPr="00CA40BF">
        <w:rPr>
          <w:rStyle w:val="Strong"/>
        </w:rPr>
        <w:t>4.</w:t>
      </w:r>
      <w:r w:rsidRPr="00CA40BF">
        <w:rPr>
          <w:rStyle w:val="Strong"/>
        </w:rPr>
        <w:t>6</w:t>
      </w:r>
      <w:r w:rsidR="006A58D1" w:rsidRPr="00CA40BF">
        <w:rPr>
          <w:rStyle w:val="Strong"/>
        </w:rPr>
        <w:t>: Implications of High Material Costs on Key Project Dimensions</w:t>
      </w:r>
    </w:p>
    <w:tbl>
      <w:tblPr>
        <w:tblStyle w:val="TableGrid"/>
        <w:tblW w:w="0" w:type="auto"/>
        <w:tblLook w:val="04A0"/>
      </w:tblPr>
      <w:tblGrid>
        <w:gridCol w:w="2368"/>
        <w:gridCol w:w="3309"/>
        <w:gridCol w:w="2130"/>
        <w:gridCol w:w="1769"/>
      </w:tblGrid>
      <w:tr w:rsidR="00367C29" w:rsidRPr="00CA40BF" w:rsidTr="00367C29">
        <w:tc>
          <w:tcPr>
            <w:tcW w:w="2368" w:type="dxa"/>
            <w:vAlign w:val="center"/>
          </w:tcPr>
          <w:p w:rsidR="00367C29" w:rsidRPr="00CA40BF" w:rsidRDefault="00367C29" w:rsidP="009D35E8">
            <w:pPr>
              <w:jc w:val="center"/>
              <w:rPr>
                <w:b/>
                <w:bCs/>
                <w:szCs w:val="24"/>
              </w:rPr>
            </w:pPr>
            <w:r w:rsidRPr="00CA40BF">
              <w:rPr>
                <w:rStyle w:val="Strong"/>
              </w:rPr>
              <w:t>Project Dimension</w:t>
            </w:r>
          </w:p>
        </w:tc>
        <w:tc>
          <w:tcPr>
            <w:tcW w:w="3309" w:type="dxa"/>
            <w:vAlign w:val="center"/>
          </w:tcPr>
          <w:p w:rsidR="00367C29" w:rsidRPr="00CA40BF" w:rsidRDefault="00367C29" w:rsidP="009D35E8">
            <w:pPr>
              <w:jc w:val="center"/>
              <w:rPr>
                <w:b/>
                <w:bCs/>
                <w:szCs w:val="24"/>
              </w:rPr>
            </w:pPr>
            <w:r w:rsidRPr="00CA40BF">
              <w:rPr>
                <w:rStyle w:val="Strong"/>
              </w:rPr>
              <w:t>Effect Identified</w:t>
            </w:r>
          </w:p>
        </w:tc>
        <w:tc>
          <w:tcPr>
            <w:tcW w:w="2130" w:type="dxa"/>
            <w:vAlign w:val="center"/>
          </w:tcPr>
          <w:p w:rsidR="00367C29" w:rsidRPr="00CA40BF" w:rsidRDefault="00367C29" w:rsidP="009D35E8">
            <w:pPr>
              <w:jc w:val="center"/>
              <w:rPr>
                <w:b/>
                <w:bCs/>
                <w:szCs w:val="24"/>
              </w:rPr>
            </w:pPr>
            <w:r w:rsidRPr="00CA40BF">
              <w:rPr>
                <w:rStyle w:val="Strong"/>
              </w:rPr>
              <w:t>Frequency</w:t>
            </w:r>
          </w:p>
        </w:tc>
        <w:tc>
          <w:tcPr>
            <w:tcW w:w="1769" w:type="dxa"/>
          </w:tcPr>
          <w:p w:rsidR="00367C29" w:rsidRPr="00CA40BF" w:rsidRDefault="00367C29" w:rsidP="009D35E8">
            <w:pPr>
              <w:jc w:val="center"/>
              <w:rPr>
                <w:rStyle w:val="Strong"/>
              </w:rPr>
            </w:pPr>
            <w:r w:rsidRPr="00CA40BF">
              <w:rPr>
                <w:rStyle w:val="Strong"/>
              </w:rPr>
              <w:t>Percentage</w:t>
            </w:r>
          </w:p>
        </w:tc>
      </w:tr>
      <w:tr w:rsidR="00367C29" w:rsidRPr="00CA40BF" w:rsidTr="00F45404">
        <w:tc>
          <w:tcPr>
            <w:tcW w:w="2368" w:type="dxa"/>
            <w:vMerge w:val="restart"/>
            <w:vAlign w:val="center"/>
          </w:tcPr>
          <w:p w:rsidR="00367C29" w:rsidRPr="00CA40BF" w:rsidRDefault="00367C29" w:rsidP="009D35E8">
            <w:pPr>
              <w:jc w:val="center"/>
              <w:rPr>
                <w:szCs w:val="24"/>
              </w:rPr>
            </w:pPr>
            <w:r w:rsidRPr="00CA40BF">
              <w:t>Affordability</w:t>
            </w:r>
          </w:p>
        </w:tc>
        <w:tc>
          <w:tcPr>
            <w:tcW w:w="3309" w:type="dxa"/>
            <w:vAlign w:val="center"/>
          </w:tcPr>
          <w:p w:rsidR="00367C29" w:rsidRPr="00CA40BF" w:rsidRDefault="00367C29" w:rsidP="009D35E8">
            <w:pPr>
              <w:jc w:val="center"/>
              <w:rPr>
                <w:szCs w:val="24"/>
              </w:rPr>
            </w:pPr>
            <w:r w:rsidRPr="00CA40BF">
              <w:t>Increased sale prices of housing units</w:t>
            </w:r>
          </w:p>
        </w:tc>
        <w:tc>
          <w:tcPr>
            <w:tcW w:w="2130" w:type="dxa"/>
            <w:vAlign w:val="center"/>
          </w:tcPr>
          <w:p w:rsidR="00367C29" w:rsidRPr="00CA40BF" w:rsidRDefault="00367C29" w:rsidP="009D35E8">
            <w:pPr>
              <w:jc w:val="center"/>
              <w:rPr>
                <w:szCs w:val="24"/>
              </w:rPr>
            </w:pPr>
            <w:r w:rsidRPr="00CA40BF">
              <w:t>42</w:t>
            </w:r>
          </w:p>
        </w:tc>
        <w:tc>
          <w:tcPr>
            <w:tcW w:w="1769" w:type="dxa"/>
            <w:vAlign w:val="center"/>
          </w:tcPr>
          <w:p w:rsidR="00367C29" w:rsidRPr="00CA40BF" w:rsidRDefault="00367C29" w:rsidP="009D35E8">
            <w:pPr>
              <w:rPr>
                <w:szCs w:val="24"/>
              </w:rPr>
            </w:pPr>
            <w:r w:rsidRPr="00CA40BF">
              <w:t>33.6</w:t>
            </w:r>
          </w:p>
        </w:tc>
      </w:tr>
      <w:tr w:rsidR="00367C29" w:rsidRPr="00CA40BF" w:rsidTr="00F45404">
        <w:tc>
          <w:tcPr>
            <w:tcW w:w="2368" w:type="dxa"/>
            <w:vMerge/>
            <w:vAlign w:val="center"/>
          </w:tcPr>
          <w:p w:rsidR="00367C29" w:rsidRPr="00CA40BF" w:rsidRDefault="00367C29" w:rsidP="009D35E8">
            <w:pPr>
              <w:jc w:val="center"/>
              <w:rPr>
                <w:szCs w:val="24"/>
              </w:rPr>
            </w:pPr>
          </w:p>
        </w:tc>
        <w:tc>
          <w:tcPr>
            <w:tcW w:w="3309" w:type="dxa"/>
            <w:vAlign w:val="center"/>
          </w:tcPr>
          <w:p w:rsidR="00367C29" w:rsidRPr="00CA40BF" w:rsidRDefault="00367C29" w:rsidP="009D35E8">
            <w:pPr>
              <w:jc w:val="center"/>
              <w:rPr>
                <w:szCs w:val="24"/>
              </w:rPr>
            </w:pPr>
            <w:r w:rsidRPr="00CA40BF">
              <w:t>Exclusion of low-income buyers</w:t>
            </w:r>
          </w:p>
        </w:tc>
        <w:tc>
          <w:tcPr>
            <w:tcW w:w="2130" w:type="dxa"/>
            <w:vAlign w:val="center"/>
          </w:tcPr>
          <w:p w:rsidR="00367C29" w:rsidRPr="00CA40BF" w:rsidRDefault="00367C29" w:rsidP="009D35E8">
            <w:pPr>
              <w:jc w:val="center"/>
              <w:rPr>
                <w:szCs w:val="24"/>
              </w:rPr>
            </w:pPr>
            <w:r w:rsidRPr="00CA40BF">
              <w:t>23</w:t>
            </w:r>
          </w:p>
        </w:tc>
        <w:tc>
          <w:tcPr>
            <w:tcW w:w="1769" w:type="dxa"/>
            <w:vAlign w:val="center"/>
          </w:tcPr>
          <w:p w:rsidR="00367C29" w:rsidRPr="00CA40BF" w:rsidRDefault="00367C29" w:rsidP="009D35E8">
            <w:pPr>
              <w:rPr>
                <w:szCs w:val="24"/>
              </w:rPr>
            </w:pPr>
            <w:r w:rsidRPr="00CA40BF">
              <w:t>18.4</w:t>
            </w:r>
          </w:p>
        </w:tc>
      </w:tr>
      <w:tr w:rsidR="00367C29" w:rsidRPr="00CA40BF" w:rsidTr="00F45404">
        <w:tc>
          <w:tcPr>
            <w:tcW w:w="2368" w:type="dxa"/>
            <w:vMerge w:val="restart"/>
            <w:vAlign w:val="center"/>
          </w:tcPr>
          <w:p w:rsidR="00367C29" w:rsidRPr="00CA40BF" w:rsidRDefault="00367C29" w:rsidP="009D35E8">
            <w:pPr>
              <w:jc w:val="center"/>
              <w:rPr>
                <w:szCs w:val="24"/>
              </w:rPr>
            </w:pPr>
            <w:r w:rsidRPr="00CA40BF">
              <w:t>Quality</w:t>
            </w:r>
          </w:p>
        </w:tc>
        <w:tc>
          <w:tcPr>
            <w:tcW w:w="3309" w:type="dxa"/>
            <w:vAlign w:val="center"/>
          </w:tcPr>
          <w:p w:rsidR="00367C29" w:rsidRPr="00CA40BF" w:rsidRDefault="00367C29" w:rsidP="009D35E8">
            <w:pPr>
              <w:jc w:val="center"/>
              <w:rPr>
                <w:szCs w:val="24"/>
              </w:rPr>
            </w:pPr>
            <w:r w:rsidRPr="00CA40BF">
              <w:t>Use of lower-grade alternatives</w:t>
            </w:r>
          </w:p>
        </w:tc>
        <w:tc>
          <w:tcPr>
            <w:tcW w:w="2130" w:type="dxa"/>
            <w:vAlign w:val="center"/>
          </w:tcPr>
          <w:p w:rsidR="00367C29" w:rsidRPr="00CA40BF" w:rsidRDefault="00367C29" w:rsidP="009D35E8">
            <w:pPr>
              <w:jc w:val="center"/>
              <w:rPr>
                <w:szCs w:val="24"/>
              </w:rPr>
            </w:pPr>
            <w:r w:rsidRPr="00CA40BF">
              <w:t>27</w:t>
            </w:r>
          </w:p>
        </w:tc>
        <w:tc>
          <w:tcPr>
            <w:tcW w:w="1769" w:type="dxa"/>
            <w:vAlign w:val="center"/>
          </w:tcPr>
          <w:p w:rsidR="00367C29" w:rsidRPr="00CA40BF" w:rsidRDefault="00367C29" w:rsidP="009D35E8">
            <w:pPr>
              <w:rPr>
                <w:szCs w:val="24"/>
              </w:rPr>
            </w:pPr>
            <w:r w:rsidRPr="00CA40BF">
              <w:t>21.6</w:t>
            </w:r>
          </w:p>
        </w:tc>
      </w:tr>
      <w:tr w:rsidR="00367C29" w:rsidRPr="00CA40BF" w:rsidTr="00F45404">
        <w:tc>
          <w:tcPr>
            <w:tcW w:w="2368" w:type="dxa"/>
            <w:vMerge/>
            <w:vAlign w:val="center"/>
          </w:tcPr>
          <w:p w:rsidR="00367C29" w:rsidRPr="00CA40BF" w:rsidRDefault="00367C29" w:rsidP="009D35E8">
            <w:pPr>
              <w:jc w:val="center"/>
              <w:rPr>
                <w:szCs w:val="24"/>
              </w:rPr>
            </w:pPr>
          </w:p>
        </w:tc>
        <w:tc>
          <w:tcPr>
            <w:tcW w:w="3309" w:type="dxa"/>
            <w:vAlign w:val="center"/>
          </w:tcPr>
          <w:p w:rsidR="00367C29" w:rsidRPr="00CA40BF" w:rsidRDefault="00367C29" w:rsidP="009D35E8">
            <w:pPr>
              <w:jc w:val="center"/>
              <w:rPr>
                <w:szCs w:val="24"/>
              </w:rPr>
            </w:pPr>
            <w:r w:rsidRPr="00CA40BF">
              <w:t>Compromise in finishings and fittings</w:t>
            </w:r>
          </w:p>
        </w:tc>
        <w:tc>
          <w:tcPr>
            <w:tcW w:w="2130" w:type="dxa"/>
            <w:vAlign w:val="center"/>
          </w:tcPr>
          <w:p w:rsidR="00367C29" w:rsidRPr="00CA40BF" w:rsidRDefault="00367C29" w:rsidP="009D35E8">
            <w:pPr>
              <w:jc w:val="center"/>
              <w:rPr>
                <w:szCs w:val="24"/>
              </w:rPr>
            </w:pPr>
            <w:r w:rsidRPr="00CA40BF">
              <w:t>14</w:t>
            </w:r>
          </w:p>
        </w:tc>
        <w:tc>
          <w:tcPr>
            <w:tcW w:w="1769" w:type="dxa"/>
            <w:vAlign w:val="center"/>
          </w:tcPr>
          <w:p w:rsidR="00367C29" w:rsidRPr="00CA40BF" w:rsidRDefault="00367C29" w:rsidP="009D35E8">
            <w:pPr>
              <w:rPr>
                <w:szCs w:val="24"/>
              </w:rPr>
            </w:pPr>
            <w:r w:rsidRPr="00CA40BF">
              <w:t>11.2</w:t>
            </w:r>
          </w:p>
        </w:tc>
      </w:tr>
      <w:tr w:rsidR="00367C29" w:rsidRPr="00CA40BF" w:rsidTr="00F45404">
        <w:tc>
          <w:tcPr>
            <w:tcW w:w="2368" w:type="dxa"/>
            <w:vAlign w:val="center"/>
          </w:tcPr>
          <w:p w:rsidR="00367C29" w:rsidRPr="00CA40BF" w:rsidRDefault="00367C29" w:rsidP="009D35E8">
            <w:pPr>
              <w:jc w:val="center"/>
              <w:rPr>
                <w:szCs w:val="24"/>
              </w:rPr>
            </w:pPr>
            <w:r w:rsidRPr="00CA40BF">
              <w:t>Completion Timelines</w:t>
            </w:r>
          </w:p>
        </w:tc>
        <w:tc>
          <w:tcPr>
            <w:tcW w:w="3309" w:type="dxa"/>
            <w:vAlign w:val="center"/>
          </w:tcPr>
          <w:p w:rsidR="00367C29" w:rsidRPr="00CA40BF" w:rsidRDefault="00367C29" w:rsidP="009D35E8">
            <w:pPr>
              <w:jc w:val="center"/>
              <w:rPr>
                <w:szCs w:val="24"/>
              </w:rPr>
            </w:pPr>
            <w:r w:rsidRPr="00CA40BF">
              <w:t>Extended delivery dates</w:t>
            </w:r>
          </w:p>
        </w:tc>
        <w:tc>
          <w:tcPr>
            <w:tcW w:w="2130" w:type="dxa"/>
            <w:vAlign w:val="center"/>
          </w:tcPr>
          <w:p w:rsidR="00367C29" w:rsidRPr="00CA40BF" w:rsidRDefault="00367C29" w:rsidP="009D35E8">
            <w:pPr>
              <w:jc w:val="center"/>
              <w:rPr>
                <w:szCs w:val="24"/>
              </w:rPr>
            </w:pPr>
            <w:r w:rsidRPr="00CA40BF">
              <w:t>19</w:t>
            </w:r>
          </w:p>
        </w:tc>
        <w:tc>
          <w:tcPr>
            <w:tcW w:w="1769" w:type="dxa"/>
            <w:vAlign w:val="center"/>
          </w:tcPr>
          <w:p w:rsidR="00367C29" w:rsidRPr="00CA40BF" w:rsidRDefault="00367C29" w:rsidP="009D35E8">
            <w:pPr>
              <w:rPr>
                <w:szCs w:val="24"/>
              </w:rPr>
            </w:pPr>
            <w:r w:rsidRPr="00CA40BF">
              <w:t>15.2</w:t>
            </w:r>
          </w:p>
        </w:tc>
      </w:tr>
      <w:tr w:rsidR="00367C29" w:rsidRPr="00CA40BF" w:rsidTr="00F45404">
        <w:tc>
          <w:tcPr>
            <w:tcW w:w="5677" w:type="dxa"/>
            <w:gridSpan w:val="2"/>
            <w:vAlign w:val="center"/>
          </w:tcPr>
          <w:p w:rsidR="00367C29" w:rsidRPr="00CA40BF" w:rsidRDefault="00367C29" w:rsidP="009D35E8">
            <w:pPr>
              <w:jc w:val="center"/>
              <w:rPr>
                <w:szCs w:val="24"/>
              </w:rPr>
            </w:pPr>
            <w:r w:rsidRPr="00CA40BF">
              <w:rPr>
                <w:rStyle w:val="Strong"/>
              </w:rPr>
              <w:t>Total</w:t>
            </w:r>
          </w:p>
        </w:tc>
        <w:tc>
          <w:tcPr>
            <w:tcW w:w="2130" w:type="dxa"/>
            <w:vAlign w:val="center"/>
          </w:tcPr>
          <w:p w:rsidR="00367C29" w:rsidRPr="00CA40BF" w:rsidRDefault="00367C29" w:rsidP="009D35E8">
            <w:pPr>
              <w:jc w:val="center"/>
              <w:rPr>
                <w:szCs w:val="24"/>
              </w:rPr>
            </w:pPr>
            <w:r w:rsidRPr="00CA40BF">
              <w:rPr>
                <w:rStyle w:val="Strong"/>
              </w:rPr>
              <w:t>125</w:t>
            </w:r>
          </w:p>
        </w:tc>
        <w:tc>
          <w:tcPr>
            <w:tcW w:w="1769" w:type="dxa"/>
          </w:tcPr>
          <w:p w:rsidR="00367C29" w:rsidRPr="00CA40BF" w:rsidRDefault="00367C29" w:rsidP="009D35E8">
            <w:pPr>
              <w:jc w:val="center"/>
              <w:rPr>
                <w:rStyle w:val="Strong"/>
              </w:rPr>
            </w:pPr>
            <w:r w:rsidRPr="00CA40BF">
              <w:rPr>
                <w:rStyle w:val="Strong"/>
              </w:rPr>
              <w:t>100</w:t>
            </w:r>
          </w:p>
        </w:tc>
      </w:tr>
    </w:tbl>
    <w:p w:rsidR="006E025F" w:rsidRPr="006E025F" w:rsidRDefault="006E025F" w:rsidP="006E025F">
      <w:pPr>
        <w:pStyle w:val="NormalWeb"/>
        <w:spacing w:after="0" w:afterAutospacing="0" w:line="360" w:lineRule="auto"/>
        <w:rPr>
          <w:rStyle w:val="Strong"/>
          <w:b w:val="0"/>
          <w:bCs w:val="0"/>
        </w:rPr>
      </w:pPr>
      <w:r w:rsidRPr="006E025F">
        <w:rPr>
          <w:rStyle w:val="Strong"/>
          <w:b w:val="0"/>
          <w:bCs w:val="0"/>
        </w:rPr>
        <w:t>Sources: Field Survey (2025)</w:t>
      </w:r>
    </w:p>
    <w:p w:rsidR="001503EB" w:rsidRPr="00CA40BF" w:rsidRDefault="001503EB" w:rsidP="009D35E8">
      <w:pPr>
        <w:spacing w:before="100" w:beforeAutospacing="1" w:after="0"/>
        <w:jc w:val="left"/>
        <w:rPr>
          <w:rFonts w:eastAsia="Times New Roman" w:cs="Times New Roman"/>
          <w:szCs w:val="24"/>
        </w:rPr>
      </w:pPr>
      <w:r w:rsidRPr="00CA40BF">
        <w:rPr>
          <w:rFonts w:cs="Times New Roman"/>
          <w:b/>
          <w:szCs w:val="24"/>
        </w:rPr>
        <w:t>4.8</w:t>
      </w:r>
      <w:r w:rsidRPr="00CA40BF">
        <w:rPr>
          <w:rFonts w:cs="Times New Roman"/>
          <w:b/>
          <w:szCs w:val="24"/>
        </w:rPr>
        <w:tab/>
      </w:r>
      <w:r w:rsidRPr="00CA40BF">
        <w:rPr>
          <w:rFonts w:eastAsia="Times New Roman" w:cs="Times New Roman"/>
          <w:b/>
          <w:bCs/>
          <w:szCs w:val="24"/>
        </w:rPr>
        <w:t>Strategies Adopted by Harmony Investment to Manage Cost Pressures</w:t>
      </w:r>
    </w:p>
    <w:p w:rsidR="001503EB" w:rsidRPr="001503EB" w:rsidRDefault="001503EB" w:rsidP="009D35E8">
      <w:pPr>
        <w:spacing w:before="100" w:beforeAutospacing="1" w:after="100" w:afterAutospacing="1"/>
        <w:rPr>
          <w:rFonts w:eastAsia="Times New Roman" w:cs="Times New Roman"/>
          <w:szCs w:val="24"/>
        </w:rPr>
      </w:pPr>
      <w:r w:rsidRPr="001503EB">
        <w:rPr>
          <w:rFonts w:eastAsia="Times New Roman" w:cs="Times New Roman"/>
          <w:szCs w:val="24"/>
        </w:rPr>
        <w:t xml:space="preserve">Table 4.7 presents the various strategies adopted by Harmony Investment and Property Development Company to manage the pressures resulting from the rising cost of building materials. The most commonly used strategy is </w:t>
      </w:r>
      <w:r w:rsidRPr="00CA40BF">
        <w:rPr>
          <w:rFonts w:eastAsia="Times New Roman" w:cs="Times New Roman"/>
          <w:bCs/>
          <w:szCs w:val="24"/>
        </w:rPr>
        <w:t>value engineering and design revision</w:t>
      </w:r>
      <w:r w:rsidRPr="001503EB">
        <w:rPr>
          <w:rFonts w:eastAsia="Times New Roman" w:cs="Times New Roman"/>
          <w:szCs w:val="24"/>
        </w:rPr>
        <w:t xml:space="preserve">, cited by 24.0% of respondents. This involves adjusting architectural and structural designs to reduce unnecessary costs without compromising essential functionality. </w:t>
      </w:r>
      <w:r w:rsidRPr="00CA40BF">
        <w:rPr>
          <w:rFonts w:eastAsia="Times New Roman" w:cs="Times New Roman"/>
          <w:bCs/>
          <w:szCs w:val="24"/>
        </w:rPr>
        <w:t>Bulk purchasing</w:t>
      </w:r>
      <w:r w:rsidRPr="001503EB">
        <w:rPr>
          <w:rFonts w:eastAsia="Times New Roman" w:cs="Times New Roman"/>
          <w:szCs w:val="24"/>
        </w:rPr>
        <w:t xml:space="preserve">, identified by 22.4%, ranks second and reflects efforts by the company to take advantage of economies of scale and avoid future price increases. </w:t>
      </w:r>
      <w:r w:rsidRPr="00CA40BF">
        <w:rPr>
          <w:rFonts w:eastAsia="Times New Roman" w:cs="Times New Roman"/>
          <w:bCs/>
          <w:szCs w:val="24"/>
        </w:rPr>
        <w:t>Material substitution (20.8%)</w:t>
      </w:r>
      <w:r w:rsidRPr="001503EB">
        <w:rPr>
          <w:rFonts w:eastAsia="Times New Roman" w:cs="Times New Roman"/>
          <w:szCs w:val="24"/>
        </w:rPr>
        <w:t xml:space="preserve">—for instance, replacing imported fittings with more affordable local alternatives—also emerged as a notable response, although it raises concerns about long-term quality. </w:t>
      </w:r>
      <w:r w:rsidRPr="00CA40BF">
        <w:rPr>
          <w:rFonts w:eastAsia="Times New Roman" w:cs="Times New Roman"/>
          <w:bCs/>
          <w:szCs w:val="24"/>
        </w:rPr>
        <w:t>Phased construction and delivery (16.0%)</w:t>
      </w:r>
      <w:r w:rsidRPr="001503EB">
        <w:rPr>
          <w:rFonts w:eastAsia="Times New Roman" w:cs="Times New Roman"/>
          <w:szCs w:val="24"/>
        </w:rPr>
        <w:t xml:space="preserve"> and </w:t>
      </w:r>
      <w:r w:rsidRPr="00CA40BF">
        <w:rPr>
          <w:rFonts w:eastAsia="Times New Roman" w:cs="Times New Roman"/>
          <w:bCs/>
          <w:szCs w:val="24"/>
        </w:rPr>
        <w:t>negotiations with suppliers and contractors (16.8%)</w:t>
      </w:r>
      <w:r w:rsidRPr="001503EB">
        <w:rPr>
          <w:rFonts w:eastAsia="Times New Roman" w:cs="Times New Roman"/>
          <w:szCs w:val="24"/>
        </w:rPr>
        <w:t xml:space="preserve"> were also adopted to spread out financial commitments and manage procurement risk over time.</w:t>
      </w:r>
    </w:p>
    <w:p w:rsidR="001503EB" w:rsidRPr="00CA40BF" w:rsidRDefault="001503EB" w:rsidP="009D35E8">
      <w:pPr>
        <w:spacing w:before="100" w:beforeAutospacing="1" w:after="100" w:afterAutospacing="1"/>
        <w:rPr>
          <w:rFonts w:eastAsia="Times New Roman" w:cs="Times New Roman"/>
          <w:szCs w:val="24"/>
        </w:rPr>
      </w:pPr>
      <w:r w:rsidRPr="001503EB">
        <w:rPr>
          <w:rFonts w:eastAsia="Times New Roman" w:cs="Times New Roman"/>
          <w:szCs w:val="24"/>
        </w:rPr>
        <w:t xml:space="preserve">These findings align with similar studies conducted within Nigeria and in other developing economies. For instance, </w:t>
      </w:r>
      <w:r w:rsidRPr="00CA40BF">
        <w:rPr>
          <w:rFonts w:eastAsia="Times New Roman" w:cs="Times New Roman"/>
          <w:bCs/>
          <w:szCs w:val="24"/>
        </w:rPr>
        <w:t>Olaleye et al. (2020)</w:t>
      </w:r>
      <w:r w:rsidRPr="001503EB">
        <w:rPr>
          <w:rFonts w:eastAsia="Times New Roman" w:cs="Times New Roman"/>
          <w:szCs w:val="24"/>
        </w:rPr>
        <w:t xml:space="preserve"> found that most real estate firms in Lagos adopt cost control measures such as phased execution and design modification to adapt to market fluctuations. Similarly, </w:t>
      </w:r>
      <w:r w:rsidRPr="00CA40BF">
        <w:rPr>
          <w:rFonts w:eastAsia="Times New Roman" w:cs="Times New Roman"/>
          <w:bCs/>
          <w:szCs w:val="24"/>
        </w:rPr>
        <w:t>Adebayo and Oyetola (2019)</w:t>
      </w:r>
      <w:r w:rsidRPr="001503EB">
        <w:rPr>
          <w:rFonts w:eastAsia="Times New Roman" w:cs="Times New Roman"/>
          <w:szCs w:val="24"/>
        </w:rPr>
        <w:t xml:space="preserve"> observed that bulk procurement and supplier renegotiation were frequently used among construction firms facing inflationary pressures. The strategies identified in this study are therefore consistent with broader trends in </w:t>
      </w:r>
      <w:r w:rsidRPr="001503EB">
        <w:rPr>
          <w:rFonts w:eastAsia="Times New Roman" w:cs="Times New Roman"/>
          <w:szCs w:val="24"/>
        </w:rPr>
        <w:lastRenderedPageBreak/>
        <w:t>the Nigerian construction sector, where developers often resort to short-term financial adjustments and operational restructuring to survive economic shocks. The justification for these strategies lies in their practicality and immediate effect—they allow firms to maintain ongoing projects without total shutdown while keeping financial exposure within manageable limits. However, as seen in other studies, these measures are often reactive and may not guarantee long-term sustainability unless complemented by structural reforms such as policy support, access to affordable financing, and improved local material production.</w:t>
      </w:r>
    </w:p>
    <w:p w:rsidR="00367C29" w:rsidRPr="00CA40BF" w:rsidRDefault="00367C29" w:rsidP="009D35E8">
      <w:pPr>
        <w:spacing w:before="100" w:beforeAutospacing="1" w:after="0"/>
        <w:jc w:val="left"/>
        <w:rPr>
          <w:rFonts w:eastAsia="Times New Roman" w:cs="Times New Roman"/>
          <w:szCs w:val="24"/>
        </w:rPr>
      </w:pPr>
      <w:r w:rsidRPr="00CA40BF">
        <w:rPr>
          <w:rFonts w:eastAsia="Times New Roman" w:cs="Times New Roman"/>
          <w:b/>
          <w:bCs/>
          <w:szCs w:val="24"/>
        </w:rPr>
        <w:t>Table 4.7</w:t>
      </w:r>
      <w:r w:rsidR="006A58D1" w:rsidRPr="00CA40BF">
        <w:rPr>
          <w:rFonts w:eastAsia="Times New Roman" w:cs="Times New Roman"/>
          <w:b/>
          <w:bCs/>
          <w:szCs w:val="24"/>
        </w:rPr>
        <w:t>: Strategies Adopted by Harmony Investment to Manage Cost Pressures</w:t>
      </w:r>
    </w:p>
    <w:tbl>
      <w:tblPr>
        <w:tblStyle w:val="TableGrid"/>
        <w:tblW w:w="0" w:type="auto"/>
        <w:tblLook w:val="04A0"/>
      </w:tblPr>
      <w:tblGrid>
        <w:gridCol w:w="4968"/>
        <w:gridCol w:w="2070"/>
        <w:gridCol w:w="2538"/>
      </w:tblGrid>
      <w:tr w:rsidR="00367C29" w:rsidRPr="00CA40BF" w:rsidTr="00F45404">
        <w:tc>
          <w:tcPr>
            <w:tcW w:w="4968" w:type="dxa"/>
            <w:vAlign w:val="center"/>
          </w:tcPr>
          <w:p w:rsidR="00367C29" w:rsidRPr="00CA40BF" w:rsidRDefault="00367C29" w:rsidP="009D35E8">
            <w:pPr>
              <w:jc w:val="center"/>
              <w:rPr>
                <w:rFonts w:eastAsia="Times New Roman" w:cs="Times New Roman"/>
                <w:b/>
                <w:bCs/>
                <w:szCs w:val="24"/>
              </w:rPr>
            </w:pPr>
            <w:r w:rsidRPr="00CA40BF">
              <w:rPr>
                <w:rFonts w:eastAsia="Times New Roman" w:cs="Times New Roman"/>
                <w:b/>
                <w:bCs/>
                <w:szCs w:val="24"/>
              </w:rPr>
              <w:t>Strategy</w:t>
            </w:r>
          </w:p>
        </w:tc>
        <w:tc>
          <w:tcPr>
            <w:tcW w:w="2070" w:type="dxa"/>
            <w:vAlign w:val="center"/>
          </w:tcPr>
          <w:p w:rsidR="00367C29" w:rsidRPr="00CA40BF" w:rsidRDefault="00367C29" w:rsidP="009D35E8">
            <w:pPr>
              <w:jc w:val="center"/>
              <w:rPr>
                <w:rFonts w:eastAsia="Times New Roman" w:cs="Times New Roman"/>
                <w:b/>
                <w:bCs/>
                <w:szCs w:val="24"/>
              </w:rPr>
            </w:pPr>
            <w:r w:rsidRPr="00CA40BF">
              <w:rPr>
                <w:rFonts w:eastAsia="Times New Roman" w:cs="Times New Roman"/>
                <w:b/>
                <w:bCs/>
                <w:szCs w:val="24"/>
              </w:rPr>
              <w:t>Frequency</w:t>
            </w:r>
          </w:p>
        </w:tc>
        <w:tc>
          <w:tcPr>
            <w:tcW w:w="2538" w:type="dxa"/>
            <w:vAlign w:val="center"/>
          </w:tcPr>
          <w:p w:rsidR="00367C29" w:rsidRPr="00CA40BF" w:rsidRDefault="00367C29" w:rsidP="009D35E8">
            <w:pPr>
              <w:jc w:val="center"/>
              <w:rPr>
                <w:rFonts w:eastAsia="Times New Roman" w:cs="Times New Roman"/>
                <w:b/>
                <w:bCs/>
                <w:szCs w:val="24"/>
              </w:rPr>
            </w:pPr>
            <w:r w:rsidRPr="00CA40BF">
              <w:rPr>
                <w:rFonts w:eastAsia="Times New Roman" w:cs="Times New Roman"/>
                <w:b/>
                <w:bCs/>
                <w:szCs w:val="24"/>
              </w:rPr>
              <w:t>Percentage (%)</w:t>
            </w:r>
          </w:p>
        </w:tc>
      </w:tr>
      <w:tr w:rsidR="00367C29" w:rsidRPr="00CA40BF" w:rsidTr="00F45404">
        <w:tc>
          <w:tcPr>
            <w:tcW w:w="4968"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Value engineering and design revision</w:t>
            </w:r>
          </w:p>
        </w:tc>
        <w:tc>
          <w:tcPr>
            <w:tcW w:w="2070"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30</w:t>
            </w:r>
          </w:p>
        </w:tc>
        <w:tc>
          <w:tcPr>
            <w:tcW w:w="2538"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24.0</w:t>
            </w:r>
          </w:p>
        </w:tc>
      </w:tr>
      <w:tr w:rsidR="00367C29" w:rsidRPr="00CA40BF" w:rsidTr="00F45404">
        <w:tc>
          <w:tcPr>
            <w:tcW w:w="4968"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Bulk purchasing when possible</w:t>
            </w:r>
          </w:p>
        </w:tc>
        <w:tc>
          <w:tcPr>
            <w:tcW w:w="2070"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28</w:t>
            </w:r>
          </w:p>
        </w:tc>
        <w:tc>
          <w:tcPr>
            <w:tcW w:w="2538"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22.4</w:t>
            </w:r>
          </w:p>
        </w:tc>
      </w:tr>
      <w:tr w:rsidR="00367C29" w:rsidRPr="00CA40BF" w:rsidTr="00F45404">
        <w:tc>
          <w:tcPr>
            <w:tcW w:w="4968"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Material substitution with alternatives</w:t>
            </w:r>
          </w:p>
        </w:tc>
        <w:tc>
          <w:tcPr>
            <w:tcW w:w="2070"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26</w:t>
            </w:r>
          </w:p>
        </w:tc>
        <w:tc>
          <w:tcPr>
            <w:tcW w:w="2538"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20.8</w:t>
            </w:r>
          </w:p>
        </w:tc>
      </w:tr>
      <w:tr w:rsidR="00367C29" w:rsidRPr="00CA40BF" w:rsidTr="00F45404">
        <w:tc>
          <w:tcPr>
            <w:tcW w:w="4968"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Phased construction and delivery</w:t>
            </w:r>
          </w:p>
        </w:tc>
        <w:tc>
          <w:tcPr>
            <w:tcW w:w="2070"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20</w:t>
            </w:r>
          </w:p>
        </w:tc>
        <w:tc>
          <w:tcPr>
            <w:tcW w:w="2538"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16.0</w:t>
            </w:r>
          </w:p>
        </w:tc>
      </w:tr>
      <w:tr w:rsidR="00367C29" w:rsidRPr="00CA40BF" w:rsidTr="00F45404">
        <w:tc>
          <w:tcPr>
            <w:tcW w:w="4968"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Negotiation with suppliers and contractors</w:t>
            </w:r>
          </w:p>
        </w:tc>
        <w:tc>
          <w:tcPr>
            <w:tcW w:w="2070"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21</w:t>
            </w:r>
          </w:p>
        </w:tc>
        <w:tc>
          <w:tcPr>
            <w:tcW w:w="2538"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16.8</w:t>
            </w:r>
          </w:p>
        </w:tc>
      </w:tr>
      <w:tr w:rsidR="00367C29" w:rsidRPr="00CA40BF" w:rsidTr="00F45404">
        <w:tc>
          <w:tcPr>
            <w:tcW w:w="4968"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b/>
                <w:bCs/>
                <w:szCs w:val="24"/>
              </w:rPr>
              <w:t>Total</w:t>
            </w:r>
          </w:p>
        </w:tc>
        <w:tc>
          <w:tcPr>
            <w:tcW w:w="2070"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b/>
                <w:bCs/>
                <w:szCs w:val="24"/>
              </w:rPr>
              <w:t>125</w:t>
            </w:r>
          </w:p>
        </w:tc>
        <w:tc>
          <w:tcPr>
            <w:tcW w:w="2538"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b/>
                <w:bCs/>
                <w:szCs w:val="24"/>
              </w:rPr>
              <w:t>100.0%</w:t>
            </w:r>
          </w:p>
        </w:tc>
      </w:tr>
    </w:tbl>
    <w:p w:rsidR="00367C29" w:rsidRPr="006E025F" w:rsidRDefault="006E025F" w:rsidP="006E025F">
      <w:pPr>
        <w:pStyle w:val="NormalWeb"/>
        <w:spacing w:after="0" w:afterAutospacing="0" w:line="360" w:lineRule="auto"/>
      </w:pPr>
      <w:r w:rsidRPr="006E025F">
        <w:rPr>
          <w:rStyle w:val="Strong"/>
          <w:b w:val="0"/>
          <w:bCs w:val="0"/>
        </w:rPr>
        <w:t>Sources: Field Survey (2025)</w:t>
      </w:r>
    </w:p>
    <w:p w:rsidR="001503EB" w:rsidRPr="00CA40BF" w:rsidRDefault="001503EB" w:rsidP="009D35E8">
      <w:pPr>
        <w:pStyle w:val="Heading3"/>
        <w:spacing w:after="0" w:afterAutospacing="0" w:line="360" w:lineRule="auto"/>
      </w:pPr>
      <w:r w:rsidRPr="00CA40BF">
        <w:rPr>
          <w:rStyle w:val="Strong"/>
          <w:b/>
          <w:bCs/>
        </w:rPr>
        <w:t>4.9</w:t>
      </w:r>
      <w:r w:rsidRPr="00CA40BF">
        <w:rPr>
          <w:rStyle w:val="Strong"/>
          <w:b/>
          <w:bCs/>
        </w:rPr>
        <w:tab/>
        <w:t>Perceived Effectiveness of Cost Management Strategies Used by Harmony Investment</w:t>
      </w:r>
    </w:p>
    <w:p w:rsidR="001503EB" w:rsidRPr="001503EB" w:rsidRDefault="001503EB" w:rsidP="009D35E8">
      <w:pPr>
        <w:spacing w:before="100" w:beforeAutospacing="1" w:after="100" w:afterAutospacing="1"/>
        <w:rPr>
          <w:rFonts w:eastAsia="Times New Roman" w:cs="Times New Roman"/>
          <w:szCs w:val="24"/>
        </w:rPr>
      </w:pPr>
      <w:r w:rsidRPr="001503EB">
        <w:rPr>
          <w:rFonts w:eastAsia="Times New Roman" w:cs="Times New Roman"/>
          <w:szCs w:val="24"/>
        </w:rPr>
        <w:t xml:space="preserve">The data in Table 4.8 shows that </w:t>
      </w:r>
      <w:r w:rsidRPr="00CA40BF">
        <w:rPr>
          <w:rFonts w:eastAsia="Times New Roman" w:cs="Times New Roman"/>
          <w:bCs/>
          <w:szCs w:val="24"/>
        </w:rPr>
        <w:t>value engineering and design revision</w:t>
      </w:r>
      <w:r w:rsidRPr="001503EB">
        <w:rPr>
          <w:rFonts w:eastAsia="Times New Roman" w:cs="Times New Roman"/>
          <w:szCs w:val="24"/>
        </w:rPr>
        <w:t xml:space="preserve"> was perceived as the most effective strategy, with </w:t>
      </w:r>
      <w:r w:rsidRPr="00CA40BF">
        <w:rPr>
          <w:rFonts w:eastAsia="Times New Roman" w:cs="Times New Roman"/>
          <w:bCs/>
          <w:szCs w:val="24"/>
        </w:rPr>
        <w:t>33.6%</w:t>
      </w:r>
      <w:r w:rsidRPr="001503EB">
        <w:rPr>
          <w:rFonts w:eastAsia="Times New Roman" w:cs="Times New Roman"/>
          <w:szCs w:val="24"/>
        </w:rPr>
        <w:t xml:space="preserve"> of respondents rating it as highly effective and </w:t>
      </w:r>
      <w:r w:rsidRPr="00CA40BF">
        <w:rPr>
          <w:rFonts w:eastAsia="Times New Roman" w:cs="Times New Roman"/>
          <w:bCs/>
          <w:szCs w:val="24"/>
        </w:rPr>
        <w:t>49.6%</w:t>
      </w:r>
      <w:r w:rsidRPr="001503EB">
        <w:rPr>
          <w:rFonts w:eastAsia="Times New Roman" w:cs="Times New Roman"/>
          <w:szCs w:val="24"/>
        </w:rPr>
        <w:t xml:space="preserve"> rating it moderately effective. This reflects its wide adoption as a proactive cost-control measure that enables developers to adjust project specifications without compromising structural safety. </w:t>
      </w:r>
      <w:r w:rsidRPr="00CA40BF">
        <w:rPr>
          <w:rFonts w:eastAsia="Times New Roman" w:cs="Times New Roman"/>
          <w:bCs/>
          <w:szCs w:val="24"/>
        </w:rPr>
        <w:t>Bulk purchasing</w:t>
      </w:r>
      <w:r w:rsidRPr="001503EB">
        <w:rPr>
          <w:rFonts w:eastAsia="Times New Roman" w:cs="Times New Roman"/>
          <w:szCs w:val="24"/>
        </w:rPr>
        <w:t xml:space="preserve"> also emerged as a widely used strategy, with </w:t>
      </w:r>
      <w:r w:rsidRPr="00CA40BF">
        <w:rPr>
          <w:rFonts w:eastAsia="Times New Roman" w:cs="Times New Roman"/>
          <w:bCs/>
          <w:szCs w:val="24"/>
        </w:rPr>
        <w:t>30.4%</w:t>
      </w:r>
      <w:r w:rsidRPr="001503EB">
        <w:rPr>
          <w:rFonts w:eastAsia="Times New Roman" w:cs="Times New Roman"/>
          <w:szCs w:val="24"/>
        </w:rPr>
        <w:t xml:space="preserve"> rating it highly effective, though </w:t>
      </w:r>
      <w:r w:rsidRPr="00CA40BF">
        <w:rPr>
          <w:rFonts w:eastAsia="Times New Roman" w:cs="Times New Roman"/>
          <w:bCs/>
          <w:szCs w:val="24"/>
        </w:rPr>
        <w:t>24.0%</w:t>
      </w:r>
      <w:r w:rsidRPr="001503EB">
        <w:rPr>
          <w:rFonts w:eastAsia="Times New Roman" w:cs="Times New Roman"/>
          <w:szCs w:val="24"/>
        </w:rPr>
        <w:t xml:space="preserve"> viewed it as ineffective—likely due to funding limitations that prevent upfront material purchases. In contrast, </w:t>
      </w:r>
      <w:r w:rsidRPr="00CA40BF">
        <w:rPr>
          <w:rFonts w:eastAsia="Times New Roman" w:cs="Times New Roman"/>
          <w:bCs/>
          <w:szCs w:val="24"/>
        </w:rPr>
        <w:t>material substitution with cheaper alternatives</w:t>
      </w:r>
      <w:r w:rsidRPr="001503EB">
        <w:rPr>
          <w:rFonts w:eastAsia="Times New Roman" w:cs="Times New Roman"/>
          <w:szCs w:val="24"/>
        </w:rPr>
        <w:t xml:space="preserve"> had the lowest “highly effective” rating (</w:t>
      </w:r>
      <w:r w:rsidRPr="00CA40BF">
        <w:rPr>
          <w:rFonts w:eastAsia="Times New Roman" w:cs="Times New Roman"/>
          <w:bCs/>
          <w:szCs w:val="24"/>
        </w:rPr>
        <w:t>19.2%</w:t>
      </w:r>
      <w:r w:rsidRPr="001503EB">
        <w:rPr>
          <w:rFonts w:eastAsia="Times New Roman" w:cs="Times New Roman"/>
          <w:szCs w:val="24"/>
        </w:rPr>
        <w:t>) and the highest “not effective” rating (</w:t>
      </w:r>
      <w:r w:rsidRPr="00CA40BF">
        <w:rPr>
          <w:rFonts w:eastAsia="Times New Roman" w:cs="Times New Roman"/>
          <w:bCs/>
          <w:szCs w:val="24"/>
        </w:rPr>
        <w:t>36.8%</w:t>
      </w:r>
      <w:r w:rsidRPr="001503EB">
        <w:rPr>
          <w:rFonts w:eastAsia="Times New Roman" w:cs="Times New Roman"/>
          <w:szCs w:val="24"/>
        </w:rPr>
        <w:t xml:space="preserve">), suggesting that while it is commonly used, many perceive it as compromising quality and long-term value. </w:t>
      </w:r>
      <w:r w:rsidRPr="00CA40BF">
        <w:rPr>
          <w:rFonts w:eastAsia="Times New Roman" w:cs="Times New Roman"/>
          <w:bCs/>
          <w:szCs w:val="24"/>
        </w:rPr>
        <w:t>Phased construction</w:t>
      </w:r>
      <w:r w:rsidRPr="001503EB">
        <w:rPr>
          <w:rFonts w:eastAsia="Times New Roman" w:cs="Times New Roman"/>
          <w:szCs w:val="24"/>
        </w:rPr>
        <w:t xml:space="preserve"> and </w:t>
      </w:r>
      <w:r w:rsidRPr="00CA40BF">
        <w:rPr>
          <w:rFonts w:eastAsia="Times New Roman" w:cs="Times New Roman"/>
          <w:bCs/>
          <w:szCs w:val="24"/>
        </w:rPr>
        <w:t>supplier negotiation</w:t>
      </w:r>
      <w:r w:rsidRPr="001503EB">
        <w:rPr>
          <w:rFonts w:eastAsia="Times New Roman" w:cs="Times New Roman"/>
          <w:szCs w:val="24"/>
        </w:rPr>
        <w:t xml:space="preserve"> received mixed reviews, with moderate effectiveness </w:t>
      </w:r>
      <w:r w:rsidRPr="001503EB">
        <w:rPr>
          <w:rFonts w:eastAsia="Times New Roman" w:cs="Times New Roman"/>
          <w:szCs w:val="24"/>
        </w:rPr>
        <w:lastRenderedPageBreak/>
        <w:t>acknowledged by over 50% of respondents in both cases, indicating they are helpful but not sufficient as stand-alone strategies.</w:t>
      </w:r>
    </w:p>
    <w:p w:rsidR="00DB699E" w:rsidRPr="00CA40BF" w:rsidRDefault="001503EB" w:rsidP="009D35E8">
      <w:pPr>
        <w:spacing w:before="100" w:beforeAutospacing="1" w:after="100" w:afterAutospacing="1"/>
        <w:rPr>
          <w:rStyle w:val="Strong"/>
          <w:rFonts w:eastAsia="Times New Roman" w:cs="Times New Roman"/>
          <w:b w:val="0"/>
          <w:bCs w:val="0"/>
          <w:szCs w:val="24"/>
        </w:rPr>
      </w:pPr>
      <w:r w:rsidRPr="001503EB">
        <w:rPr>
          <w:rFonts w:eastAsia="Times New Roman" w:cs="Times New Roman"/>
          <w:szCs w:val="24"/>
        </w:rPr>
        <w:t xml:space="preserve">These findings align with existing literature on construction cost management in volatile economies. For instance, </w:t>
      </w:r>
      <w:r w:rsidRPr="00CA40BF">
        <w:rPr>
          <w:rFonts w:eastAsia="Times New Roman" w:cs="Times New Roman"/>
          <w:bCs/>
          <w:szCs w:val="24"/>
        </w:rPr>
        <w:t>Oladapo (2007)</w:t>
      </w:r>
      <w:r w:rsidRPr="001503EB">
        <w:rPr>
          <w:rFonts w:eastAsia="Times New Roman" w:cs="Times New Roman"/>
          <w:szCs w:val="24"/>
        </w:rPr>
        <w:t xml:space="preserve"> emphasized the growing importance of value engineering in Nigeria as a key technique for addressing budget overruns, which supports the current study’s findings. Similarly, </w:t>
      </w:r>
      <w:r w:rsidRPr="00CA40BF">
        <w:rPr>
          <w:rFonts w:eastAsia="Times New Roman" w:cs="Times New Roman"/>
          <w:bCs/>
          <w:szCs w:val="24"/>
        </w:rPr>
        <w:t>Ibrahim and Ayodele (2021)</w:t>
      </w:r>
      <w:r w:rsidRPr="001503EB">
        <w:rPr>
          <w:rFonts w:eastAsia="Times New Roman" w:cs="Times New Roman"/>
          <w:szCs w:val="24"/>
        </w:rPr>
        <w:t xml:space="preserve"> noted that bulk procurement can reduce costs by up to 15% in large-scale residential projects, although access to capital remains a major constraint—a challenge also identified by respondents in this study. The low effectiveness attributed to material substitution is consistent with </w:t>
      </w:r>
      <w:r w:rsidRPr="00CA40BF">
        <w:rPr>
          <w:rFonts w:eastAsia="Times New Roman" w:cs="Times New Roman"/>
          <w:bCs/>
          <w:szCs w:val="24"/>
        </w:rPr>
        <w:t>Ofori’s (2012)</w:t>
      </w:r>
      <w:r w:rsidRPr="001503EB">
        <w:rPr>
          <w:rFonts w:eastAsia="Times New Roman" w:cs="Times New Roman"/>
          <w:szCs w:val="24"/>
        </w:rPr>
        <w:t xml:space="preserve"> study in Ghana, which found that substitution often leads to diminished structural integrity and buyer dissatisfaction. Therefore, the findings are justified in both local and regional contexts, highlighting the need for integrated strategies that balance short-term cost savings with long-term quality and performance in property development.</w:t>
      </w:r>
    </w:p>
    <w:p w:rsidR="006A58D1" w:rsidRPr="00CA40BF" w:rsidRDefault="00DB699E" w:rsidP="009D35E8">
      <w:pPr>
        <w:pStyle w:val="Heading3"/>
        <w:spacing w:after="0" w:afterAutospacing="0" w:line="360" w:lineRule="auto"/>
      </w:pPr>
      <w:r w:rsidRPr="00CA40BF">
        <w:rPr>
          <w:rStyle w:val="Strong"/>
          <w:b/>
          <w:bCs/>
        </w:rPr>
        <w:t>Table 4.8</w:t>
      </w:r>
      <w:r w:rsidR="006A58D1" w:rsidRPr="00CA40BF">
        <w:rPr>
          <w:rStyle w:val="Strong"/>
          <w:b/>
          <w:bCs/>
        </w:rPr>
        <w:t>: Perceived Effectiveness of Cost Management Strategies Used by Harmony Investment</w:t>
      </w:r>
    </w:p>
    <w:tbl>
      <w:tblPr>
        <w:tblStyle w:val="TableGrid"/>
        <w:tblW w:w="9918" w:type="dxa"/>
        <w:tblLook w:val="04A0"/>
      </w:tblPr>
      <w:tblGrid>
        <w:gridCol w:w="4608"/>
        <w:gridCol w:w="1890"/>
        <w:gridCol w:w="1620"/>
        <w:gridCol w:w="1800"/>
      </w:tblGrid>
      <w:tr w:rsidR="00DB699E" w:rsidRPr="00CA40BF" w:rsidTr="00DB699E">
        <w:trPr>
          <w:trHeight w:val="638"/>
        </w:trPr>
        <w:tc>
          <w:tcPr>
            <w:tcW w:w="4608" w:type="dxa"/>
            <w:vAlign w:val="center"/>
          </w:tcPr>
          <w:p w:rsidR="00DB699E" w:rsidRPr="00CA40BF" w:rsidRDefault="00DB699E" w:rsidP="009D35E8">
            <w:pPr>
              <w:jc w:val="center"/>
              <w:rPr>
                <w:b/>
                <w:bCs/>
                <w:szCs w:val="24"/>
              </w:rPr>
            </w:pPr>
            <w:r w:rsidRPr="00CA40BF">
              <w:rPr>
                <w:rStyle w:val="Strong"/>
              </w:rPr>
              <w:t>Strategy</w:t>
            </w:r>
          </w:p>
        </w:tc>
        <w:tc>
          <w:tcPr>
            <w:tcW w:w="1890" w:type="dxa"/>
            <w:vAlign w:val="center"/>
          </w:tcPr>
          <w:p w:rsidR="00DB699E" w:rsidRPr="00CA40BF" w:rsidRDefault="00DB699E" w:rsidP="009D35E8">
            <w:pPr>
              <w:jc w:val="center"/>
              <w:rPr>
                <w:b/>
                <w:bCs/>
                <w:szCs w:val="24"/>
              </w:rPr>
            </w:pPr>
            <w:r w:rsidRPr="00CA40BF">
              <w:rPr>
                <w:rStyle w:val="Strong"/>
              </w:rPr>
              <w:t>Rated Highly Effective (%)</w:t>
            </w:r>
          </w:p>
        </w:tc>
        <w:tc>
          <w:tcPr>
            <w:tcW w:w="1620" w:type="dxa"/>
            <w:vAlign w:val="center"/>
          </w:tcPr>
          <w:p w:rsidR="00DB699E" w:rsidRPr="00CA40BF" w:rsidRDefault="00DB699E" w:rsidP="009D35E8">
            <w:pPr>
              <w:jc w:val="center"/>
              <w:rPr>
                <w:b/>
                <w:bCs/>
                <w:szCs w:val="24"/>
              </w:rPr>
            </w:pPr>
            <w:r w:rsidRPr="00CA40BF">
              <w:rPr>
                <w:rStyle w:val="Strong"/>
              </w:rPr>
              <w:t>Moderately Effective (%)</w:t>
            </w:r>
          </w:p>
        </w:tc>
        <w:tc>
          <w:tcPr>
            <w:tcW w:w="1800" w:type="dxa"/>
            <w:vAlign w:val="center"/>
          </w:tcPr>
          <w:p w:rsidR="00DB699E" w:rsidRPr="00CA40BF" w:rsidRDefault="00DB699E" w:rsidP="009D35E8">
            <w:pPr>
              <w:jc w:val="center"/>
              <w:rPr>
                <w:b/>
                <w:bCs/>
                <w:szCs w:val="24"/>
              </w:rPr>
            </w:pPr>
            <w:r w:rsidRPr="00CA40BF">
              <w:rPr>
                <w:rStyle w:val="Strong"/>
              </w:rPr>
              <w:t>Not Effective (%)</w:t>
            </w:r>
          </w:p>
        </w:tc>
      </w:tr>
      <w:tr w:rsidR="00DB699E" w:rsidRPr="00CA40BF" w:rsidTr="00DB699E">
        <w:tc>
          <w:tcPr>
            <w:tcW w:w="4608" w:type="dxa"/>
            <w:vAlign w:val="center"/>
          </w:tcPr>
          <w:p w:rsidR="00DB699E" w:rsidRPr="00CA40BF" w:rsidRDefault="00DB699E" w:rsidP="009D35E8">
            <w:pPr>
              <w:rPr>
                <w:szCs w:val="24"/>
              </w:rPr>
            </w:pPr>
            <w:r w:rsidRPr="00CA40BF">
              <w:t>Value engineering and design revision</w:t>
            </w:r>
          </w:p>
        </w:tc>
        <w:tc>
          <w:tcPr>
            <w:tcW w:w="1890" w:type="dxa"/>
            <w:vAlign w:val="center"/>
          </w:tcPr>
          <w:p w:rsidR="00DB699E" w:rsidRPr="00CA40BF" w:rsidRDefault="00DB699E" w:rsidP="009D35E8">
            <w:pPr>
              <w:rPr>
                <w:szCs w:val="24"/>
              </w:rPr>
            </w:pPr>
            <w:r w:rsidRPr="00CA40BF">
              <w:t>42 (33.6%)</w:t>
            </w:r>
          </w:p>
        </w:tc>
        <w:tc>
          <w:tcPr>
            <w:tcW w:w="1620" w:type="dxa"/>
            <w:vAlign w:val="center"/>
          </w:tcPr>
          <w:p w:rsidR="00DB699E" w:rsidRPr="00CA40BF" w:rsidRDefault="00DB699E" w:rsidP="009D35E8">
            <w:pPr>
              <w:rPr>
                <w:szCs w:val="24"/>
              </w:rPr>
            </w:pPr>
            <w:r w:rsidRPr="00CA40BF">
              <w:t>62 (49.6%)</w:t>
            </w:r>
          </w:p>
        </w:tc>
        <w:tc>
          <w:tcPr>
            <w:tcW w:w="1800" w:type="dxa"/>
            <w:vAlign w:val="center"/>
          </w:tcPr>
          <w:p w:rsidR="00DB699E" w:rsidRPr="00CA40BF" w:rsidRDefault="00DB699E" w:rsidP="009D35E8">
            <w:pPr>
              <w:rPr>
                <w:szCs w:val="24"/>
              </w:rPr>
            </w:pPr>
            <w:r w:rsidRPr="00CA40BF">
              <w:t>21 (16.8%)</w:t>
            </w:r>
          </w:p>
        </w:tc>
      </w:tr>
      <w:tr w:rsidR="00DB699E" w:rsidRPr="00CA40BF" w:rsidTr="00DB699E">
        <w:tc>
          <w:tcPr>
            <w:tcW w:w="4608" w:type="dxa"/>
            <w:vAlign w:val="center"/>
          </w:tcPr>
          <w:p w:rsidR="00DB699E" w:rsidRPr="00CA40BF" w:rsidRDefault="00DB699E" w:rsidP="009D35E8">
            <w:pPr>
              <w:rPr>
                <w:szCs w:val="24"/>
              </w:rPr>
            </w:pPr>
            <w:r w:rsidRPr="00CA40BF">
              <w:t>Bulk purchasing</w:t>
            </w:r>
          </w:p>
        </w:tc>
        <w:tc>
          <w:tcPr>
            <w:tcW w:w="1890" w:type="dxa"/>
            <w:vAlign w:val="center"/>
          </w:tcPr>
          <w:p w:rsidR="00DB699E" w:rsidRPr="00CA40BF" w:rsidRDefault="00DB699E" w:rsidP="009D35E8">
            <w:pPr>
              <w:rPr>
                <w:szCs w:val="24"/>
              </w:rPr>
            </w:pPr>
            <w:r w:rsidRPr="00CA40BF">
              <w:t>38 (30.4%)</w:t>
            </w:r>
          </w:p>
        </w:tc>
        <w:tc>
          <w:tcPr>
            <w:tcW w:w="1620" w:type="dxa"/>
            <w:vAlign w:val="center"/>
          </w:tcPr>
          <w:p w:rsidR="00DB699E" w:rsidRPr="00CA40BF" w:rsidRDefault="00DB699E" w:rsidP="009D35E8">
            <w:pPr>
              <w:rPr>
                <w:szCs w:val="24"/>
              </w:rPr>
            </w:pPr>
            <w:r w:rsidRPr="00CA40BF">
              <w:t>57 (45.6%)</w:t>
            </w:r>
          </w:p>
        </w:tc>
        <w:tc>
          <w:tcPr>
            <w:tcW w:w="1800" w:type="dxa"/>
            <w:vAlign w:val="center"/>
          </w:tcPr>
          <w:p w:rsidR="00DB699E" w:rsidRPr="00CA40BF" w:rsidRDefault="00DB699E" w:rsidP="009D35E8">
            <w:pPr>
              <w:rPr>
                <w:szCs w:val="24"/>
              </w:rPr>
            </w:pPr>
            <w:r w:rsidRPr="00CA40BF">
              <w:t>30 (24.0%)</w:t>
            </w:r>
          </w:p>
        </w:tc>
      </w:tr>
      <w:tr w:rsidR="00DB699E" w:rsidRPr="00CA40BF" w:rsidTr="00DB699E">
        <w:tc>
          <w:tcPr>
            <w:tcW w:w="4608" w:type="dxa"/>
            <w:vAlign w:val="center"/>
          </w:tcPr>
          <w:p w:rsidR="00DB699E" w:rsidRPr="00CA40BF" w:rsidRDefault="00DB699E" w:rsidP="009D35E8">
            <w:pPr>
              <w:rPr>
                <w:szCs w:val="24"/>
              </w:rPr>
            </w:pPr>
            <w:r w:rsidRPr="00CA40BF">
              <w:t>Material substitution with cheaper alternatives</w:t>
            </w:r>
          </w:p>
        </w:tc>
        <w:tc>
          <w:tcPr>
            <w:tcW w:w="1890" w:type="dxa"/>
            <w:vAlign w:val="center"/>
          </w:tcPr>
          <w:p w:rsidR="00DB699E" w:rsidRPr="00CA40BF" w:rsidRDefault="00DB699E" w:rsidP="009D35E8">
            <w:pPr>
              <w:rPr>
                <w:szCs w:val="24"/>
              </w:rPr>
            </w:pPr>
            <w:r w:rsidRPr="00CA40BF">
              <w:t>24 (19.2%)</w:t>
            </w:r>
          </w:p>
        </w:tc>
        <w:tc>
          <w:tcPr>
            <w:tcW w:w="1620" w:type="dxa"/>
            <w:vAlign w:val="center"/>
          </w:tcPr>
          <w:p w:rsidR="00DB699E" w:rsidRPr="00CA40BF" w:rsidRDefault="00DB699E" w:rsidP="009D35E8">
            <w:pPr>
              <w:rPr>
                <w:szCs w:val="24"/>
              </w:rPr>
            </w:pPr>
            <w:r w:rsidRPr="00CA40BF">
              <w:t>55 (44.0%)</w:t>
            </w:r>
          </w:p>
        </w:tc>
        <w:tc>
          <w:tcPr>
            <w:tcW w:w="1800" w:type="dxa"/>
            <w:vAlign w:val="center"/>
          </w:tcPr>
          <w:p w:rsidR="00DB699E" w:rsidRPr="00CA40BF" w:rsidRDefault="00DB699E" w:rsidP="009D35E8">
            <w:pPr>
              <w:rPr>
                <w:szCs w:val="24"/>
              </w:rPr>
            </w:pPr>
            <w:r w:rsidRPr="00CA40BF">
              <w:t>46 (36.8%)</w:t>
            </w:r>
          </w:p>
        </w:tc>
      </w:tr>
      <w:tr w:rsidR="00DB699E" w:rsidRPr="00CA40BF" w:rsidTr="00DB699E">
        <w:tc>
          <w:tcPr>
            <w:tcW w:w="4608" w:type="dxa"/>
            <w:vAlign w:val="center"/>
          </w:tcPr>
          <w:p w:rsidR="00DB699E" w:rsidRPr="00CA40BF" w:rsidRDefault="00DB699E" w:rsidP="009D35E8">
            <w:pPr>
              <w:rPr>
                <w:szCs w:val="24"/>
              </w:rPr>
            </w:pPr>
            <w:r w:rsidRPr="00CA40BF">
              <w:t>Phased construction and delivery</w:t>
            </w:r>
          </w:p>
        </w:tc>
        <w:tc>
          <w:tcPr>
            <w:tcW w:w="1890" w:type="dxa"/>
            <w:vAlign w:val="center"/>
          </w:tcPr>
          <w:p w:rsidR="00DB699E" w:rsidRPr="00CA40BF" w:rsidRDefault="00DB699E" w:rsidP="009D35E8">
            <w:pPr>
              <w:rPr>
                <w:szCs w:val="24"/>
              </w:rPr>
            </w:pPr>
            <w:r w:rsidRPr="00CA40BF">
              <w:t>28 (22.4%)</w:t>
            </w:r>
          </w:p>
        </w:tc>
        <w:tc>
          <w:tcPr>
            <w:tcW w:w="1620" w:type="dxa"/>
            <w:vAlign w:val="center"/>
          </w:tcPr>
          <w:p w:rsidR="00DB699E" w:rsidRPr="00CA40BF" w:rsidRDefault="00DB699E" w:rsidP="009D35E8">
            <w:pPr>
              <w:rPr>
                <w:szCs w:val="24"/>
              </w:rPr>
            </w:pPr>
            <w:r w:rsidRPr="00CA40BF">
              <w:t>66 (52.8%)</w:t>
            </w:r>
          </w:p>
        </w:tc>
        <w:tc>
          <w:tcPr>
            <w:tcW w:w="1800" w:type="dxa"/>
            <w:vAlign w:val="center"/>
          </w:tcPr>
          <w:p w:rsidR="00DB699E" w:rsidRPr="00CA40BF" w:rsidRDefault="00DB699E" w:rsidP="009D35E8">
            <w:pPr>
              <w:rPr>
                <w:szCs w:val="24"/>
              </w:rPr>
            </w:pPr>
            <w:r w:rsidRPr="00CA40BF">
              <w:t>31 (24.8%)</w:t>
            </w:r>
          </w:p>
        </w:tc>
      </w:tr>
      <w:tr w:rsidR="00DB699E" w:rsidRPr="00CA40BF" w:rsidTr="00DB699E">
        <w:tc>
          <w:tcPr>
            <w:tcW w:w="4608" w:type="dxa"/>
            <w:vAlign w:val="center"/>
          </w:tcPr>
          <w:p w:rsidR="00DB699E" w:rsidRPr="00CA40BF" w:rsidRDefault="00DB699E" w:rsidP="009D35E8">
            <w:pPr>
              <w:rPr>
                <w:szCs w:val="24"/>
              </w:rPr>
            </w:pPr>
            <w:r w:rsidRPr="00CA40BF">
              <w:t>Supplier/contractor negotiation</w:t>
            </w:r>
          </w:p>
        </w:tc>
        <w:tc>
          <w:tcPr>
            <w:tcW w:w="1890" w:type="dxa"/>
            <w:vAlign w:val="center"/>
          </w:tcPr>
          <w:p w:rsidR="00DB699E" w:rsidRPr="00CA40BF" w:rsidRDefault="00DB699E" w:rsidP="009D35E8">
            <w:pPr>
              <w:rPr>
                <w:szCs w:val="24"/>
              </w:rPr>
            </w:pPr>
            <w:r w:rsidRPr="00CA40BF">
              <w:t>33 (26.4%)</w:t>
            </w:r>
          </w:p>
        </w:tc>
        <w:tc>
          <w:tcPr>
            <w:tcW w:w="1620" w:type="dxa"/>
            <w:vAlign w:val="center"/>
          </w:tcPr>
          <w:p w:rsidR="00DB699E" w:rsidRPr="00CA40BF" w:rsidRDefault="00DB699E" w:rsidP="009D35E8">
            <w:pPr>
              <w:rPr>
                <w:szCs w:val="24"/>
              </w:rPr>
            </w:pPr>
            <w:r w:rsidRPr="00CA40BF">
              <w:t>64 (51.2%)</w:t>
            </w:r>
          </w:p>
        </w:tc>
        <w:tc>
          <w:tcPr>
            <w:tcW w:w="1800" w:type="dxa"/>
            <w:vAlign w:val="center"/>
          </w:tcPr>
          <w:p w:rsidR="00DB699E" w:rsidRPr="00CA40BF" w:rsidRDefault="00DB699E" w:rsidP="009D35E8">
            <w:pPr>
              <w:rPr>
                <w:szCs w:val="24"/>
              </w:rPr>
            </w:pPr>
            <w:r w:rsidRPr="00CA40BF">
              <w:t>28 (22.4%)</w:t>
            </w:r>
          </w:p>
        </w:tc>
      </w:tr>
    </w:tbl>
    <w:p w:rsidR="006E025F" w:rsidRPr="006E025F" w:rsidRDefault="006E025F" w:rsidP="006E025F">
      <w:pPr>
        <w:pStyle w:val="NormalWeb"/>
        <w:spacing w:after="0" w:afterAutospacing="0" w:line="360" w:lineRule="auto"/>
        <w:rPr>
          <w:rStyle w:val="Strong"/>
          <w:b w:val="0"/>
          <w:bCs w:val="0"/>
        </w:rPr>
      </w:pPr>
      <w:r w:rsidRPr="006E025F">
        <w:rPr>
          <w:rStyle w:val="Strong"/>
          <w:b w:val="0"/>
          <w:bCs w:val="0"/>
        </w:rPr>
        <w:t>Sources: Field Survey (2025)</w:t>
      </w:r>
    </w:p>
    <w:p w:rsidR="001503EB" w:rsidRPr="00CA40BF" w:rsidRDefault="001503EB" w:rsidP="009D35E8">
      <w:pPr>
        <w:jc w:val="left"/>
        <w:rPr>
          <w:rFonts w:cs="Times New Roman"/>
          <w:b/>
          <w:szCs w:val="24"/>
        </w:rPr>
      </w:pPr>
    </w:p>
    <w:p w:rsidR="001503EB" w:rsidRPr="00CA40BF" w:rsidRDefault="001503EB" w:rsidP="009D35E8">
      <w:pPr>
        <w:jc w:val="left"/>
        <w:rPr>
          <w:rFonts w:cs="Times New Roman"/>
          <w:b/>
          <w:szCs w:val="24"/>
        </w:rPr>
      </w:pPr>
      <w:r w:rsidRPr="00CA40BF">
        <w:rPr>
          <w:rFonts w:cs="Times New Roman"/>
          <w:b/>
          <w:szCs w:val="24"/>
        </w:rPr>
        <w:br w:type="page"/>
      </w:r>
    </w:p>
    <w:p w:rsidR="00AE7420" w:rsidRPr="00CA40BF" w:rsidRDefault="001503EB" w:rsidP="009D35E8">
      <w:pPr>
        <w:jc w:val="center"/>
        <w:rPr>
          <w:rFonts w:cs="Times New Roman"/>
          <w:b/>
          <w:szCs w:val="24"/>
        </w:rPr>
      </w:pPr>
      <w:r w:rsidRPr="00CA40BF">
        <w:rPr>
          <w:rFonts w:cs="Times New Roman"/>
          <w:b/>
          <w:szCs w:val="24"/>
        </w:rPr>
        <w:lastRenderedPageBreak/>
        <w:t>CHAPTER FIVE</w:t>
      </w:r>
    </w:p>
    <w:p w:rsidR="001503EB" w:rsidRPr="00CA40BF" w:rsidRDefault="001503EB" w:rsidP="009D35E8">
      <w:pPr>
        <w:jc w:val="center"/>
        <w:rPr>
          <w:rFonts w:cs="Times New Roman"/>
          <w:b/>
          <w:szCs w:val="24"/>
        </w:rPr>
      </w:pPr>
      <w:r w:rsidRPr="00CA40BF">
        <w:rPr>
          <w:rFonts w:cs="Times New Roman"/>
          <w:b/>
          <w:szCs w:val="24"/>
        </w:rPr>
        <w:t>SUMMARY OF FINDINGS, CONCLUSION AND RECOMMENDATIONS</w:t>
      </w:r>
    </w:p>
    <w:p w:rsidR="0089637D" w:rsidRPr="00CA40BF" w:rsidRDefault="001503EB" w:rsidP="009D35E8">
      <w:pPr>
        <w:pStyle w:val="Heading3"/>
        <w:spacing w:line="360" w:lineRule="auto"/>
      </w:pPr>
      <w:r w:rsidRPr="00CA40BF">
        <w:rPr>
          <w:rStyle w:val="Strong"/>
          <w:b/>
          <w:bCs/>
        </w:rPr>
        <w:t>5.1</w:t>
      </w:r>
      <w:r w:rsidRPr="00CA40BF">
        <w:rPr>
          <w:rStyle w:val="Strong"/>
          <w:b/>
          <w:bCs/>
        </w:rPr>
        <w:tab/>
      </w:r>
      <w:r w:rsidR="0089637D" w:rsidRPr="00CA40BF">
        <w:rPr>
          <w:rStyle w:val="Strong"/>
          <w:b/>
          <w:bCs/>
        </w:rPr>
        <w:t>Summary of Findings</w:t>
      </w:r>
    </w:p>
    <w:p w:rsidR="0089637D" w:rsidRPr="00CA40BF" w:rsidRDefault="0089637D" w:rsidP="009D35E8">
      <w:pPr>
        <w:pStyle w:val="NormalWeb"/>
        <w:spacing w:line="360" w:lineRule="auto"/>
        <w:jc w:val="both"/>
      </w:pPr>
      <w:r w:rsidRPr="00CA40BF">
        <w:t xml:space="preserve">The study revealed that the major factors contributing to the rising cost of building materials in Ilorin include </w:t>
      </w:r>
      <w:r w:rsidRPr="00CA40BF">
        <w:rPr>
          <w:rStyle w:val="Strong"/>
          <w:b w:val="0"/>
        </w:rPr>
        <w:t>exchange rate fluctuations</w:t>
      </w:r>
      <w:r w:rsidRPr="00CA40BF">
        <w:rPr>
          <w:b/>
        </w:rPr>
        <w:t xml:space="preserve">, </w:t>
      </w:r>
      <w:r w:rsidRPr="00CA40BF">
        <w:rPr>
          <w:rStyle w:val="Strong"/>
          <w:b w:val="0"/>
        </w:rPr>
        <w:t>high transportation costs</w:t>
      </w:r>
      <w:r w:rsidRPr="00CA40BF">
        <w:rPr>
          <w:b/>
        </w:rPr>
        <w:t xml:space="preserve">, </w:t>
      </w:r>
      <w:r w:rsidRPr="00CA40BF">
        <w:rPr>
          <w:rStyle w:val="Strong"/>
          <w:b w:val="0"/>
        </w:rPr>
        <w:t>inflation</w:t>
      </w:r>
      <w:r w:rsidRPr="00CA40BF">
        <w:rPr>
          <w:b/>
        </w:rPr>
        <w:t xml:space="preserve">, </w:t>
      </w:r>
      <w:r w:rsidRPr="00CA40BF">
        <w:t>and</w:t>
      </w:r>
      <w:r w:rsidRPr="00CA40BF">
        <w:rPr>
          <w:rStyle w:val="Strong"/>
          <w:b w:val="0"/>
        </w:rPr>
        <w:t>dependency on imported materials</w:t>
      </w:r>
      <w:r w:rsidRPr="00CA40BF">
        <w:rPr>
          <w:b/>
        </w:rPr>
        <w:t>.</w:t>
      </w:r>
      <w:r w:rsidRPr="00CA40BF">
        <w:t xml:space="preserve"> A significant number of respondents identified the depreciation of the Nigerian Naira as the most influential factor, which has led to increased prices of imported construction materials such as iron rods, tiles, and fittings. Additional issues such as poor infrastructure, government tariffs, and insecurity along supply routes also indirectly raise the cost of materials and delay their delivery to project sites.</w:t>
      </w:r>
    </w:p>
    <w:p w:rsidR="0089637D" w:rsidRPr="00CA40BF" w:rsidRDefault="0089637D" w:rsidP="009D35E8">
      <w:pPr>
        <w:pStyle w:val="NormalWeb"/>
        <w:spacing w:line="360" w:lineRule="auto"/>
        <w:jc w:val="both"/>
      </w:pPr>
      <w:r w:rsidRPr="00CA40BF">
        <w:t xml:space="preserve">The analysis further showed that these rising costs have had a </w:t>
      </w:r>
      <w:r w:rsidRPr="00CA40BF">
        <w:rPr>
          <w:rStyle w:val="Strong"/>
          <w:b w:val="0"/>
        </w:rPr>
        <w:t>profound impact on property development activities</w:t>
      </w:r>
      <w:r w:rsidRPr="00CA40BF">
        <w:t xml:space="preserve"> carried out by Harmony Investment. The most frequently cited consequences include </w:t>
      </w:r>
      <w:r w:rsidRPr="00CA40BF">
        <w:rPr>
          <w:rStyle w:val="Strong"/>
          <w:b w:val="0"/>
        </w:rPr>
        <w:t>project delays</w:t>
      </w:r>
      <w:r w:rsidRPr="00CA40BF">
        <w:rPr>
          <w:b/>
        </w:rPr>
        <w:t xml:space="preserve">, </w:t>
      </w:r>
      <w:r w:rsidRPr="00CA40BF">
        <w:rPr>
          <w:rStyle w:val="Strong"/>
          <w:b w:val="0"/>
        </w:rPr>
        <w:t>increased development costs</w:t>
      </w:r>
      <w:r w:rsidRPr="00CA40BF">
        <w:rPr>
          <w:b/>
        </w:rPr>
        <w:t xml:space="preserve">, </w:t>
      </w:r>
      <w:r w:rsidRPr="00CA40BF">
        <w:rPr>
          <w:rStyle w:val="Strong"/>
          <w:b w:val="0"/>
        </w:rPr>
        <w:t>reduction in material quality</w:t>
      </w:r>
      <w:r w:rsidRPr="00CA40BF">
        <w:rPr>
          <w:b/>
        </w:rPr>
        <w:t xml:space="preserve">, </w:t>
      </w:r>
      <w:r w:rsidRPr="00CA40BF">
        <w:t>and</w:t>
      </w:r>
      <w:r w:rsidRPr="00CA40BF">
        <w:rPr>
          <w:rStyle w:val="Strong"/>
          <w:b w:val="0"/>
        </w:rPr>
        <w:t>scaling down of project specification</w:t>
      </w:r>
      <w:r w:rsidRPr="00CA40BF">
        <w:rPr>
          <w:rStyle w:val="Strong"/>
        </w:rPr>
        <w:t>s</w:t>
      </w:r>
      <w:r w:rsidRPr="00CA40BF">
        <w:t>. Developers often adjust their project scopes and timelines, which not only affects the quality of delivered housing but also undermines client satisfaction and profitability. The inability to stay within initial budgets has become a recurring problem, especially for long-term or large-scale developments.</w:t>
      </w:r>
    </w:p>
    <w:p w:rsidR="0089637D" w:rsidRPr="00CA40BF" w:rsidRDefault="0089637D" w:rsidP="009D35E8">
      <w:pPr>
        <w:pStyle w:val="NormalWeb"/>
        <w:spacing w:line="360" w:lineRule="auto"/>
        <w:jc w:val="both"/>
      </w:pPr>
      <w:r w:rsidRPr="00CA40BF">
        <w:t xml:space="preserve">In terms of challenges, the company struggles with </w:t>
      </w:r>
      <w:r w:rsidRPr="00CA40BF">
        <w:rPr>
          <w:rStyle w:val="Strong"/>
          <w:b w:val="0"/>
        </w:rPr>
        <w:t>budget forecasting</w:t>
      </w:r>
      <w:r w:rsidRPr="00CA40BF">
        <w:rPr>
          <w:b/>
        </w:rPr>
        <w:t xml:space="preserve">, </w:t>
      </w:r>
      <w:r w:rsidRPr="00CA40BF">
        <w:rPr>
          <w:rStyle w:val="Strong"/>
          <w:b w:val="0"/>
        </w:rPr>
        <w:t>bulk procurement difficulties</w:t>
      </w:r>
      <w:r w:rsidRPr="00CA40BF">
        <w:rPr>
          <w:b/>
        </w:rPr>
        <w:t xml:space="preserve">, </w:t>
      </w:r>
      <w:r w:rsidRPr="00CA40BF">
        <w:rPr>
          <w:rStyle w:val="Strong"/>
          <w:b w:val="0"/>
        </w:rPr>
        <w:t>client pressures</w:t>
      </w:r>
      <w:r w:rsidRPr="00CA40BF">
        <w:rPr>
          <w:b/>
        </w:rPr>
        <w:t>,</w:t>
      </w:r>
      <w:r w:rsidRPr="00CA40BF">
        <w:t xml:space="preserve"> and </w:t>
      </w:r>
      <w:r w:rsidRPr="00CA40BF">
        <w:rPr>
          <w:rStyle w:val="Strong"/>
          <w:b w:val="0"/>
        </w:rPr>
        <w:t>contractual disputes</w:t>
      </w:r>
      <w:r w:rsidRPr="00CA40BF">
        <w:t>. Many developers are unable to purchase materials in bulk due to funding constraints, which leaves them vulnerable to market volatility. As material prices rise mid-project, there are frequent renegotiations with subcontractors, delays in payment schedules, and threats of work stoppage, all of which disrupt the project cycle and increase overall risk exposure.</w:t>
      </w:r>
    </w:p>
    <w:p w:rsidR="0089637D" w:rsidRPr="00CA40BF" w:rsidRDefault="0089637D" w:rsidP="009D35E8">
      <w:pPr>
        <w:pStyle w:val="NormalWeb"/>
        <w:spacing w:line="360" w:lineRule="auto"/>
        <w:jc w:val="both"/>
      </w:pPr>
      <w:r w:rsidRPr="00CA40BF">
        <w:t xml:space="preserve">To mitigate these challenges, Harmony Investment has adopted several </w:t>
      </w:r>
      <w:r w:rsidRPr="00CA40BF">
        <w:rPr>
          <w:rStyle w:val="Strong"/>
          <w:b w:val="0"/>
        </w:rPr>
        <w:t>cost management strategies</w:t>
      </w:r>
      <w:r w:rsidRPr="00CA40BF">
        <w:t xml:space="preserve">, including </w:t>
      </w:r>
      <w:r w:rsidRPr="00CA40BF">
        <w:rPr>
          <w:rStyle w:val="Strong"/>
          <w:b w:val="0"/>
        </w:rPr>
        <w:t>value engineering</w:t>
      </w:r>
      <w:r w:rsidRPr="00CA40BF">
        <w:rPr>
          <w:b/>
        </w:rPr>
        <w:t xml:space="preserve">, </w:t>
      </w:r>
      <w:r w:rsidRPr="00CA40BF">
        <w:rPr>
          <w:rStyle w:val="Strong"/>
          <w:b w:val="0"/>
        </w:rPr>
        <w:t>bulk purchasing where feasible</w:t>
      </w:r>
      <w:r w:rsidRPr="00CA40BF">
        <w:rPr>
          <w:b/>
        </w:rPr>
        <w:t xml:space="preserve">, </w:t>
      </w:r>
      <w:r w:rsidRPr="00CA40BF">
        <w:rPr>
          <w:rStyle w:val="Strong"/>
          <w:b w:val="0"/>
        </w:rPr>
        <w:t>material substitution</w:t>
      </w:r>
      <w:r w:rsidRPr="00CA40BF">
        <w:rPr>
          <w:b/>
        </w:rPr>
        <w:t xml:space="preserve">, </w:t>
      </w:r>
      <w:r w:rsidRPr="00CA40BF">
        <w:rPr>
          <w:rStyle w:val="Strong"/>
          <w:b w:val="0"/>
        </w:rPr>
        <w:t>phased construction</w:t>
      </w:r>
      <w:r w:rsidRPr="00CA40BF">
        <w:rPr>
          <w:b/>
        </w:rPr>
        <w:t>,</w:t>
      </w:r>
      <w:r w:rsidRPr="00CA40BF">
        <w:t xml:space="preserve"> and </w:t>
      </w:r>
      <w:r w:rsidRPr="00CA40BF">
        <w:rPr>
          <w:rStyle w:val="Strong"/>
          <w:b w:val="0"/>
        </w:rPr>
        <w:t>supplier negotiation</w:t>
      </w:r>
      <w:r w:rsidRPr="00CA40BF">
        <w:t xml:space="preserve">. While these strategies have helped manage short-term cost pressures, the findings show that some (e.g., substitution with lower-quality materials) </w:t>
      </w:r>
      <w:r w:rsidRPr="00CA40BF">
        <w:lastRenderedPageBreak/>
        <w:t>may have unintended consequences on project durability and customer perception. Therefore, internal strategies alone are insufficient without broader economic and policy support.</w:t>
      </w:r>
    </w:p>
    <w:p w:rsidR="0089637D" w:rsidRPr="00CA40BF" w:rsidRDefault="0089637D" w:rsidP="009D35E8">
      <w:pPr>
        <w:pStyle w:val="NormalWeb"/>
        <w:spacing w:line="360" w:lineRule="auto"/>
        <w:jc w:val="both"/>
      </w:pPr>
      <w:r w:rsidRPr="00CA40BF">
        <w:t xml:space="preserve">Finally, the study concluded that there is an urgent need for </w:t>
      </w:r>
      <w:r w:rsidRPr="00CA40BF">
        <w:rPr>
          <w:rStyle w:val="Strong"/>
        </w:rPr>
        <w:t>co</w:t>
      </w:r>
      <w:r w:rsidRPr="00CA40BF">
        <w:rPr>
          <w:rStyle w:val="Strong"/>
          <w:b w:val="0"/>
        </w:rPr>
        <w:t>llaborative interventions</w:t>
      </w:r>
      <w:r w:rsidRPr="00CA40BF">
        <w:t xml:space="preserve"> involving developers, government, and financial institutions. Policy measures such as </w:t>
      </w:r>
      <w:r w:rsidRPr="00CA40BF">
        <w:rPr>
          <w:rStyle w:val="Strong"/>
          <w:b w:val="0"/>
        </w:rPr>
        <w:t>tariff reliefs</w:t>
      </w:r>
      <w:r w:rsidRPr="00CA40BF">
        <w:rPr>
          <w:b/>
        </w:rPr>
        <w:t xml:space="preserve">, </w:t>
      </w:r>
      <w:r w:rsidRPr="00CA40BF">
        <w:rPr>
          <w:rStyle w:val="Strong"/>
          <w:b w:val="0"/>
        </w:rPr>
        <w:t>promotion of local manufacturing</w:t>
      </w:r>
      <w:r w:rsidRPr="00CA40BF">
        <w:rPr>
          <w:b/>
        </w:rPr>
        <w:t xml:space="preserve">, </w:t>
      </w:r>
      <w:r w:rsidRPr="00CA40BF">
        <w:rPr>
          <w:rStyle w:val="Strong"/>
          <w:b w:val="0"/>
        </w:rPr>
        <w:t>price monitoring systems</w:t>
      </w:r>
      <w:r w:rsidRPr="00CA40BF">
        <w:t xml:space="preserve">, and </w:t>
      </w:r>
      <w:r w:rsidRPr="00CA40BF">
        <w:rPr>
          <w:rStyle w:val="Strong"/>
          <w:b w:val="0"/>
        </w:rPr>
        <w:t>affordable housing subsidies</w:t>
      </w:r>
      <w:r w:rsidRPr="00CA40BF">
        <w:t xml:space="preserve"> are essential to stabilize the sector. Developers also need access to flexible financing and stronger forecasting tools to plan for material cost changes. These findings provide a foundation for evidence-based recommendations toward making property development more resilient and affordable in Nigeria.</w:t>
      </w:r>
    </w:p>
    <w:p w:rsidR="001503EB" w:rsidRPr="00CA40BF" w:rsidRDefault="001503EB" w:rsidP="009D35E8">
      <w:pPr>
        <w:spacing w:before="100" w:beforeAutospacing="1" w:after="100" w:afterAutospacing="1"/>
        <w:jc w:val="left"/>
        <w:outlineLvl w:val="3"/>
        <w:rPr>
          <w:rFonts w:eastAsia="Times New Roman" w:cs="Times New Roman"/>
          <w:b/>
          <w:bCs/>
          <w:szCs w:val="24"/>
        </w:rPr>
      </w:pPr>
      <w:r w:rsidRPr="00CA40BF">
        <w:rPr>
          <w:rFonts w:eastAsia="Times New Roman" w:cs="Times New Roman"/>
          <w:b/>
          <w:bCs/>
          <w:szCs w:val="24"/>
        </w:rPr>
        <w:t>5.2</w:t>
      </w:r>
      <w:r w:rsidRPr="00CA40BF">
        <w:rPr>
          <w:rFonts w:eastAsia="Times New Roman" w:cs="Times New Roman"/>
          <w:b/>
          <w:bCs/>
          <w:szCs w:val="24"/>
        </w:rPr>
        <w:tab/>
        <w:t>Conclusion</w:t>
      </w:r>
    </w:p>
    <w:p w:rsidR="001503EB" w:rsidRPr="00CA40BF" w:rsidRDefault="001503EB" w:rsidP="009D35E8">
      <w:pPr>
        <w:spacing w:before="100" w:beforeAutospacing="1" w:after="100" w:afterAutospacing="1"/>
        <w:rPr>
          <w:rFonts w:eastAsia="Times New Roman" w:cs="Times New Roman"/>
          <w:szCs w:val="24"/>
        </w:rPr>
      </w:pPr>
      <w:r w:rsidRPr="00CA40BF">
        <w:rPr>
          <w:rFonts w:eastAsia="Times New Roman" w:cs="Times New Roman"/>
          <w:szCs w:val="24"/>
        </w:rPr>
        <w:t xml:space="preserve">The study’s findings emphasize that the impact of rising building material costs on property development is multidimensional—affecting affordability, quality, timelines, and profitability. While Harmony Investment has implemented some internal coping strategies, lasting solutions require a </w:t>
      </w:r>
      <w:r w:rsidRPr="00CA40BF">
        <w:rPr>
          <w:rFonts w:eastAsia="Times New Roman" w:cs="Times New Roman"/>
          <w:bCs/>
          <w:szCs w:val="24"/>
        </w:rPr>
        <w:t>coordinated response from developers, regulators, financial institutions, and policymakers</w:t>
      </w:r>
      <w:r w:rsidRPr="00CA40BF">
        <w:rPr>
          <w:rFonts w:eastAsia="Times New Roman" w:cs="Times New Roman"/>
          <w:szCs w:val="24"/>
        </w:rPr>
        <w:t>. The recommendations provided above aim to promote cost-efficiency, stabilize project delivery, and ultimately foster more resilient and affordable property development practices in Nigeria.</w:t>
      </w:r>
    </w:p>
    <w:p w:rsidR="001503EB" w:rsidRPr="00CA40BF" w:rsidRDefault="001503EB" w:rsidP="009D35E8">
      <w:pPr>
        <w:spacing w:before="100" w:beforeAutospacing="1" w:after="100" w:afterAutospacing="1"/>
        <w:outlineLvl w:val="3"/>
        <w:rPr>
          <w:rFonts w:eastAsia="Times New Roman" w:cs="Times New Roman"/>
          <w:b/>
          <w:bCs/>
          <w:szCs w:val="24"/>
        </w:rPr>
      </w:pPr>
      <w:r w:rsidRPr="00CA40BF">
        <w:rPr>
          <w:rFonts w:eastAsia="Times New Roman" w:cs="Times New Roman"/>
          <w:b/>
          <w:bCs/>
          <w:szCs w:val="24"/>
        </w:rPr>
        <w:t>5.3 Recommendations</w:t>
      </w:r>
    </w:p>
    <w:p w:rsidR="00AE7420" w:rsidRPr="00CA40BF" w:rsidRDefault="001503EB" w:rsidP="009D35E8">
      <w:pPr>
        <w:spacing w:before="100" w:beforeAutospacing="1" w:after="100" w:afterAutospacing="1"/>
        <w:outlineLvl w:val="3"/>
        <w:rPr>
          <w:rFonts w:eastAsia="Times New Roman" w:cs="Times New Roman"/>
          <w:b/>
          <w:bCs/>
          <w:szCs w:val="24"/>
        </w:rPr>
      </w:pPr>
      <w:r w:rsidRPr="00CA40BF">
        <w:rPr>
          <w:rFonts w:eastAsia="Times New Roman" w:cs="Times New Roman"/>
          <w:b/>
          <w:bCs/>
          <w:szCs w:val="24"/>
        </w:rPr>
        <w:t>5.3.1</w:t>
      </w:r>
      <w:r w:rsidRPr="00CA40BF">
        <w:rPr>
          <w:rFonts w:eastAsia="Times New Roman" w:cs="Times New Roman"/>
          <w:b/>
          <w:bCs/>
          <w:szCs w:val="24"/>
        </w:rPr>
        <w:tab/>
      </w:r>
      <w:r w:rsidR="00AE7420" w:rsidRPr="00CA40BF">
        <w:rPr>
          <w:rFonts w:eastAsia="Times New Roman" w:cs="Times New Roman"/>
          <w:b/>
          <w:bCs/>
          <w:szCs w:val="24"/>
        </w:rPr>
        <w:t>Recommendations for Developers</w:t>
      </w:r>
    </w:p>
    <w:p w:rsidR="00AE7420" w:rsidRPr="00CA40BF" w:rsidRDefault="00AE7420" w:rsidP="009D35E8">
      <w:pPr>
        <w:spacing w:before="100" w:beforeAutospacing="1" w:after="100" w:afterAutospacing="1"/>
        <w:rPr>
          <w:rFonts w:eastAsia="Times New Roman" w:cs="Times New Roman"/>
          <w:szCs w:val="24"/>
        </w:rPr>
      </w:pPr>
      <w:r w:rsidRPr="00CA40BF">
        <w:rPr>
          <w:rFonts w:eastAsia="Times New Roman" w:cs="Times New Roman"/>
          <w:szCs w:val="24"/>
        </w:rPr>
        <w:t xml:space="preserve">Based on the challenges </w:t>
      </w:r>
      <w:r w:rsidR="001503EB" w:rsidRPr="00CA40BF">
        <w:rPr>
          <w:rFonts w:eastAsia="Times New Roman" w:cs="Times New Roman"/>
          <w:szCs w:val="24"/>
        </w:rPr>
        <w:t xml:space="preserve">identified, property developers </w:t>
      </w:r>
      <w:r w:rsidRPr="00CA40BF">
        <w:rPr>
          <w:rFonts w:eastAsia="Times New Roman" w:cs="Times New Roman"/>
          <w:szCs w:val="24"/>
        </w:rPr>
        <w:t>particularly privat</w:t>
      </w:r>
      <w:r w:rsidR="001503EB" w:rsidRPr="00CA40BF">
        <w:rPr>
          <w:rFonts w:eastAsia="Times New Roman" w:cs="Times New Roman"/>
          <w:szCs w:val="24"/>
        </w:rPr>
        <w:t xml:space="preserve">e firms like Harmony Investment </w:t>
      </w:r>
      <w:r w:rsidRPr="00CA40BF">
        <w:rPr>
          <w:rFonts w:eastAsia="Times New Roman" w:cs="Times New Roman"/>
          <w:szCs w:val="24"/>
        </w:rPr>
        <w:t>need to adopt adaptive strategies to remain competitive and sustainable in the face of cost volatility.</w:t>
      </w:r>
    </w:p>
    <w:p w:rsidR="00AE7420" w:rsidRPr="00CA40BF" w:rsidRDefault="00AE7420" w:rsidP="009D35E8">
      <w:pPr>
        <w:numPr>
          <w:ilvl w:val="0"/>
          <w:numId w:val="4"/>
        </w:numPr>
        <w:spacing w:before="100" w:beforeAutospacing="1" w:after="100" w:afterAutospacing="1"/>
        <w:rPr>
          <w:rFonts w:eastAsia="Times New Roman" w:cs="Times New Roman"/>
          <w:szCs w:val="24"/>
        </w:rPr>
      </w:pPr>
      <w:r w:rsidRPr="00CA40BF">
        <w:rPr>
          <w:rFonts w:eastAsia="Times New Roman" w:cs="Times New Roman"/>
          <w:bCs/>
          <w:szCs w:val="24"/>
        </w:rPr>
        <w:t>Adopt Forward Contracting with Suppliers</w:t>
      </w:r>
      <w:r w:rsidRPr="00CA40BF">
        <w:rPr>
          <w:rFonts w:eastAsia="Times New Roman" w:cs="Times New Roman"/>
          <w:szCs w:val="24"/>
        </w:rPr>
        <w:t>: Developers should engage in contractual agreements with material suppliers to lock in prices over a defined period, minimizing exposure to market fluctuations.</w:t>
      </w:r>
    </w:p>
    <w:p w:rsidR="00AE7420" w:rsidRPr="00CA40BF" w:rsidRDefault="00AE7420" w:rsidP="009D35E8">
      <w:pPr>
        <w:numPr>
          <w:ilvl w:val="0"/>
          <w:numId w:val="4"/>
        </w:numPr>
        <w:spacing w:before="100" w:beforeAutospacing="1" w:after="100" w:afterAutospacing="1"/>
        <w:rPr>
          <w:rFonts w:eastAsia="Times New Roman" w:cs="Times New Roman"/>
          <w:szCs w:val="24"/>
        </w:rPr>
      </w:pPr>
      <w:r w:rsidRPr="00CA40BF">
        <w:rPr>
          <w:rFonts w:eastAsia="Times New Roman" w:cs="Times New Roman"/>
          <w:bCs/>
          <w:szCs w:val="24"/>
        </w:rPr>
        <w:lastRenderedPageBreak/>
        <w:t>Strengthen Value Engineering Practices</w:t>
      </w:r>
      <w:r w:rsidRPr="00CA40BF">
        <w:rPr>
          <w:rFonts w:eastAsia="Times New Roman" w:cs="Times New Roman"/>
          <w:szCs w:val="24"/>
        </w:rPr>
        <w:t>: Beyond cost-cutting, value engineering should focus on innovative and cost-efficient construction technologies (e.g., prefabrication, modular housing) that reduce material consumption without compromising quality.</w:t>
      </w:r>
    </w:p>
    <w:p w:rsidR="00AE7420" w:rsidRPr="00CA40BF" w:rsidRDefault="00AE7420" w:rsidP="009D35E8">
      <w:pPr>
        <w:numPr>
          <w:ilvl w:val="0"/>
          <w:numId w:val="4"/>
        </w:numPr>
        <w:spacing w:before="100" w:beforeAutospacing="1" w:after="100" w:afterAutospacing="1"/>
        <w:rPr>
          <w:rFonts w:eastAsia="Times New Roman" w:cs="Times New Roman"/>
          <w:szCs w:val="24"/>
        </w:rPr>
      </w:pPr>
      <w:r w:rsidRPr="00CA40BF">
        <w:rPr>
          <w:rFonts w:eastAsia="Times New Roman" w:cs="Times New Roman"/>
          <w:bCs/>
          <w:szCs w:val="24"/>
        </w:rPr>
        <w:t>Enhance Material Forecasting Tools</w:t>
      </w:r>
      <w:r w:rsidRPr="00CA40BF">
        <w:rPr>
          <w:rFonts w:eastAsia="Times New Roman" w:cs="Times New Roman"/>
          <w:szCs w:val="24"/>
        </w:rPr>
        <w:t>: Developers should invest in digital cost estimation and material tracking tools to better forecast market changes and integrate flexibility into project budgets.</w:t>
      </w:r>
    </w:p>
    <w:p w:rsidR="00AE7420" w:rsidRPr="00CA40BF" w:rsidRDefault="00AE7420" w:rsidP="009D35E8">
      <w:pPr>
        <w:numPr>
          <w:ilvl w:val="0"/>
          <w:numId w:val="4"/>
        </w:numPr>
        <w:spacing w:before="100" w:beforeAutospacing="1" w:after="100" w:afterAutospacing="1"/>
        <w:rPr>
          <w:rFonts w:eastAsia="Times New Roman" w:cs="Times New Roman"/>
          <w:szCs w:val="24"/>
        </w:rPr>
      </w:pPr>
      <w:r w:rsidRPr="00CA40BF">
        <w:rPr>
          <w:rFonts w:eastAsia="Times New Roman" w:cs="Times New Roman"/>
          <w:bCs/>
          <w:szCs w:val="24"/>
        </w:rPr>
        <w:t>Collaborate with Local Manufacturers</w:t>
      </w:r>
      <w:r w:rsidRPr="00CA40BF">
        <w:rPr>
          <w:rFonts w:eastAsia="Times New Roman" w:cs="Times New Roman"/>
          <w:szCs w:val="24"/>
        </w:rPr>
        <w:t>: By sourcing from domestic producers, developers can reduce reliance on imported materials and buffer the effects of foreign exchange fluctuations.</w:t>
      </w:r>
    </w:p>
    <w:p w:rsidR="00AE7420" w:rsidRPr="00CA40BF" w:rsidRDefault="001503EB" w:rsidP="009D35E8">
      <w:pPr>
        <w:spacing w:before="100" w:beforeAutospacing="1" w:after="100" w:afterAutospacing="1"/>
        <w:outlineLvl w:val="3"/>
        <w:rPr>
          <w:rFonts w:eastAsia="Times New Roman" w:cs="Times New Roman"/>
          <w:b/>
          <w:bCs/>
          <w:szCs w:val="24"/>
        </w:rPr>
      </w:pPr>
      <w:r w:rsidRPr="00CA40BF">
        <w:rPr>
          <w:rFonts w:eastAsia="Times New Roman" w:cs="Times New Roman"/>
          <w:b/>
          <w:bCs/>
          <w:szCs w:val="24"/>
        </w:rPr>
        <w:t>5.3.2</w:t>
      </w:r>
      <w:r w:rsidRPr="00CA40BF">
        <w:rPr>
          <w:rFonts w:eastAsia="Times New Roman" w:cs="Times New Roman"/>
          <w:b/>
          <w:bCs/>
          <w:szCs w:val="24"/>
        </w:rPr>
        <w:tab/>
      </w:r>
      <w:r w:rsidR="00AE7420" w:rsidRPr="00CA40BF">
        <w:rPr>
          <w:rFonts w:eastAsia="Times New Roman" w:cs="Times New Roman"/>
          <w:b/>
          <w:bCs/>
          <w:szCs w:val="24"/>
        </w:rPr>
        <w:t>Recommendations for Policymakers and Government Agencies</w:t>
      </w:r>
    </w:p>
    <w:p w:rsidR="00AE7420" w:rsidRPr="00CA40BF" w:rsidRDefault="00AE7420" w:rsidP="009D35E8">
      <w:pPr>
        <w:spacing w:before="100" w:beforeAutospacing="1" w:after="100" w:afterAutospacing="1"/>
        <w:rPr>
          <w:rFonts w:eastAsia="Times New Roman" w:cs="Times New Roman"/>
          <w:szCs w:val="24"/>
        </w:rPr>
      </w:pPr>
      <w:r w:rsidRPr="00CA40BF">
        <w:rPr>
          <w:rFonts w:eastAsia="Times New Roman" w:cs="Times New Roman"/>
          <w:szCs w:val="24"/>
        </w:rPr>
        <w:t>Government support is crucial in stabilizing the construction sector and promoting affordable housing. Key recommendations include:</w:t>
      </w:r>
    </w:p>
    <w:p w:rsidR="00AE7420" w:rsidRPr="00CA40BF" w:rsidRDefault="00AE7420" w:rsidP="009D35E8">
      <w:pPr>
        <w:numPr>
          <w:ilvl w:val="0"/>
          <w:numId w:val="5"/>
        </w:numPr>
        <w:spacing w:before="100" w:beforeAutospacing="1" w:after="100" w:afterAutospacing="1"/>
        <w:rPr>
          <w:rFonts w:eastAsia="Times New Roman" w:cs="Times New Roman"/>
          <w:szCs w:val="24"/>
        </w:rPr>
      </w:pPr>
      <w:r w:rsidRPr="00CA40BF">
        <w:rPr>
          <w:rFonts w:eastAsia="Times New Roman" w:cs="Times New Roman"/>
          <w:b/>
          <w:bCs/>
          <w:szCs w:val="24"/>
        </w:rPr>
        <w:t>Introduce Tax Reliefs and Import Duty Reforms</w:t>
      </w:r>
      <w:r w:rsidRPr="00CA40BF">
        <w:rPr>
          <w:rFonts w:eastAsia="Times New Roman" w:cs="Times New Roman"/>
          <w:szCs w:val="24"/>
        </w:rPr>
        <w:t>: Temporarily waiving or reducing tariffs on essential building materials could help lower market prices, especially in periods of economic crisis.</w:t>
      </w:r>
    </w:p>
    <w:p w:rsidR="00AE7420" w:rsidRPr="00CA40BF" w:rsidRDefault="00AE7420" w:rsidP="009D35E8">
      <w:pPr>
        <w:numPr>
          <w:ilvl w:val="0"/>
          <w:numId w:val="5"/>
        </w:numPr>
        <w:spacing w:before="100" w:beforeAutospacing="1" w:after="100" w:afterAutospacing="1"/>
        <w:rPr>
          <w:rFonts w:eastAsia="Times New Roman" w:cs="Times New Roman"/>
          <w:szCs w:val="24"/>
        </w:rPr>
      </w:pPr>
      <w:r w:rsidRPr="00CA40BF">
        <w:rPr>
          <w:rFonts w:eastAsia="Times New Roman" w:cs="Times New Roman"/>
          <w:b/>
          <w:bCs/>
          <w:szCs w:val="24"/>
        </w:rPr>
        <w:t>Encourage Local Production Through Industrial Incentives</w:t>
      </w:r>
      <w:r w:rsidRPr="00CA40BF">
        <w:rPr>
          <w:rFonts w:eastAsia="Times New Roman" w:cs="Times New Roman"/>
          <w:szCs w:val="24"/>
        </w:rPr>
        <w:t>: Government should provide grants, loans, and infrastructure to support local manufacturers of cement, tiles, iron rods, and other materials.</w:t>
      </w:r>
    </w:p>
    <w:p w:rsidR="00AE7420" w:rsidRPr="00CA40BF" w:rsidRDefault="00AE7420" w:rsidP="009D35E8">
      <w:pPr>
        <w:numPr>
          <w:ilvl w:val="0"/>
          <w:numId w:val="5"/>
        </w:numPr>
        <w:spacing w:before="100" w:beforeAutospacing="1" w:after="100" w:afterAutospacing="1"/>
        <w:rPr>
          <w:rFonts w:eastAsia="Times New Roman" w:cs="Times New Roman"/>
          <w:szCs w:val="24"/>
        </w:rPr>
      </w:pPr>
      <w:r w:rsidRPr="00CA40BF">
        <w:rPr>
          <w:rFonts w:eastAsia="Times New Roman" w:cs="Times New Roman"/>
          <w:b/>
          <w:bCs/>
          <w:szCs w:val="24"/>
        </w:rPr>
        <w:t>Establish Material Price Monitoring Systems</w:t>
      </w:r>
      <w:r w:rsidRPr="00CA40BF">
        <w:rPr>
          <w:rFonts w:eastAsia="Times New Roman" w:cs="Times New Roman"/>
          <w:szCs w:val="24"/>
        </w:rPr>
        <w:t>: Regulatory bodies such as the Nigerian Building and Road Research Institute (NBRRI) should regularly publish updated material price indices to promote transparency and planning.</w:t>
      </w:r>
    </w:p>
    <w:p w:rsidR="00AE7420" w:rsidRPr="00CA40BF" w:rsidRDefault="00AE7420" w:rsidP="009D35E8">
      <w:pPr>
        <w:numPr>
          <w:ilvl w:val="0"/>
          <w:numId w:val="5"/>
        </w:numPr>
        <w:spacing w:before="100" w:beforeAutospacing="1" w:after="100" w:afterAutospacing="1"/>
        <w:rPr>
          <w:rFonts w:eastAsia="Times New Roman" w:cs="Times New Roman"/>
          <w:szCs w:val="24"/>
        </w:rPr>
      </w:pPr>
      <w:r w:rsidRPr="00CA40BF">
        <w:rPr>
          <w:rFonts w:eastAsia="Times New Roman" w:cs="Times New Roman"/>
          <w:b/>
          <w:bCs/>
          <w:szCs w:val="24"/>
        </w:rPr>
        <w:t>Subsidize Affordable Housing Initiatives</w:t>
      </w:r>
      <w:r w:rsidRPr="00CA40BF">
        <w:rPr>
          <w:rFonts w:eastAsia="Times New Roman" w:cs="Times New Roman"/>
          <w:szCs w:val="24"/>
        </w:rPr>
        <w:t>: Through public-private partnerships (PPPs), the government can co-develop housing projects where material subsidies or tax waivers are applied in return for capped unit pricing.</w:t>
      </w:r>
    </w:p>
    <w:p w:rsidR="00AE7420" w:rsidRPr="00CA40BF" w:rsidRDefault="001503EB" w:rsidP="009D35E8">
      <w:pPr>
        <w:spacing w:before="100" w:beforeAutospacing="1" w:after="100" w:afterAutospacing="1"/>
        <w:outlineLvl w:val="3"/>
        <w:rPr>
          <w:rFonts w:eastAsia="Times New Roman" w:cs="Times New Roman"/>
          <w:b/>
          <w:bCs/>
          <w:szCs w:val="24"/>
        </w:rPr>
      </w:pPr>
      <w:r w:rsidRPr="00CA40BF">
        <w:rPr>
          <w:rFonts w:eastAsia="Times New Roman" w:cs="Times New Roman"/>
          <w:b/>
          <w:bCs/>
          <w:szCs w:val="24"/>
        </w:rPr>
        <w:t>5.3.3</w:t>
      </w:r>
      <w:r w:rsidRPr="00CA40BF">
        <w:rPr>
          <w:rFonts w:eastAsia="Times New Roman" w:cs="Times New Roman"/>
          <w:b/>
          <w:bCs/>
          <w:szCs w:val="24"/>
        </w:rPr>
        <w:tab/>
      </w:r>
      <w:r w:rsidR="00AE7420" w:rsidRPr="00CA40BF">
        <w:rPr>
          <w:rFonts w:eastAsia="Times New Roman" w:cs="Times New Roman"/>
          <w:b/>
          <w:bCs/>
          <w:szCs w:val="24"/>
        </w:rPr>
        <w:t>Recommendations for Financial Institutions and Other Stakeholders</w:t>
      </w:r>
    </w:p>
    <w:p w:rsidR="00AE7420" w:rsidRPr="00CA40BF" w:rsidRDefault="00AE7420" w:rsidP="009D35E8">
      <w:pPr>
        <w:numPr>
          <w:ilvl w:val="0"/>
          <w:numId w:val="6"/>
        </w:numPr>
        <w:spacing w:before="100" w:beforeAutospacing="1" w:after="100" w:afterAutospacing="1"/>
        <w:rPr>
          <w:rFonts w:eastAsia="Times New Roman" w:cs="Times New Roman"/>
          <w:szCs w:val="24"/>
        </w:rPr>
      </w:pPr>
      <w:r w:rsidRPr="00CA40BF">
        <w:rPr>
          <w:rFonts w:eastAsia="Times New Roman" w:cs="Times New Roman"/>
          <w:b/>
          <w:bCs/>
          <w:szCs w:val="24"/>
        </w:rPr>
        <w:t>Flexible Construction Financing Models</w:t>
      </w:r>
      <w:r w:rsidRPr="00CA40BF">
        <w:rPr>
          <w:rFonts w:eastAsia="Times New Roman" w:cs="Times New Roman"/>
          <w:szCs w:val="24"/>
        </w:rPr>
        <w:t>: Banks and mortgage institutions should develop loan products tailored to developers, allowing drawdowns in phases and accommodating inflation-adjusted repayment terms.</w:t>
      </w:r>
    </w:p>
    <w:p w:rsidR="00AE7420" w:rsidRPr="00CA40BF" w:rsidRDefault="00AE7420" w:rsidP="009D35E8">
      <w:pPr>
        <w:numPr>
          <w:ilvl w:val="0"/>
          <w:numId w:val="6"/>
        </w:numPr>
        <w:spacing w:before="100" w:beforeAutospacing="1" w:after="100" w:afterAutospacing="1"/>
        <w:rPr>
          <w:rFonts w:eastAsia="Times New Roman" w:cs="Times New Roman"/>
          <w:szCs w:val="24"/>
        </w:rPr>
      </w:pPr>
      <w:r w:rsidRPr="00CA40BF">
        <w:rPr>
          <w:rFonts w:eastAsia="Times New Roman" w:cs="Times New Roman"/>
          <w:b/>
          <w:bCs/>
          <w:szCs w:val="24"/>
        </w:rPr>
        <w:lastRenderedPageBreak/>
        <w:t>Promote Construction Material Cooperatives</w:t>
      </w:r>
      <w:r w:rsidRPr="00CA40BF">
        <w:rPr>
          <w:rFonts w:eastAsia="Times New Roman" w:cs="Times New Roman"/>
          <w:szCs w:val="24"/>
        </w:rPr>
        <w:t>: Stakeholders can create cooperative buying groups among developers to purchase materials in bulk, thereby negotiating better prices and reducing unit costs.</w:t>
      </w:r>
    </w:p>
    <w:p w:rsidR="00AE7420" w:rsidRPr="00CA40BF" w:rsidRDefault="00AE7420" w:rsidP="009D35E8">
      <w:pPr>
        <w:numPr>
          <w:ilvl w:val="0"/>
          <w:numId w:val="6"/>
        </w:numPr>
        <w:spacing w:before="100" w:beforeAutospacing="1" w:after="100" w:afterAutospacing="1"/>
        <w:rPr>
          <w:rFonts w:eastAsia="Times New Roman" w:cs="Times New Roman"/>
          <w:szCs w:val="24"/>
        </w:rPr>
      </w:pPr>
      <w:r w:rsidRPr="00CA40BF">
        <w:rPr>
          <w:rFonts w:eastAsia="Times New Roman" w:cs="Times New Roman"/>
          <w:b/>
          <w:bCs/>
          <w:szCs w:val="24"/>
        </w:rPr>
        <w:t>Technical Training and Standardization</w:t>
      </w:r>
      <w:r w:rsidRPr="00CA40BF">
        <w:rPr>
          <w:rFonts w:eastAsia="Times New Roman" w:cs="Times New Roman"/>
          <w:szCs w:val="24"/>
        </w:rPr>
        <w:t>: Industry stakeholders, including professional bodies, should invest in continuous capacity building on cost-efficient design, use of alternative materials, and risk management in project finance.</w:t>
      </w:r>
    </w:p>
    <w:p w:rsidR="00CA40BF" w:rsidRDefault="00CA40BF" w:rsidP="009D35E8">
      <w:pPr>
        <w:jc w:val="left"/>
        <w:rPr>
          <w:rFonts w:cs="Times New Roman"/>
          <w:b/>
          <w:szCs w:val="24"/>
        </w:rPr>
      </w:pPr>
      <w:r>
        <w:rPr>
          <w:rFonts w:cs="Times New Roman"/>
          <w:b/>
          <w:szCs w:val="24"/>
        </w:rPr>
        <w:br w:type="page"/>
      </w:r>
    </w:p>
    <w:p w:rsidR="00122274" w:rsidRPr="00CA40BF" w:rsidRDefault="00122274" w:rsidP="009D35E8">
      <w:pPr>
        <w:jc w:val="center"/>
        <w:rPr>
          <w:rFonts w:cs="Times New Roman"/>
          <w:b/>
          <w:szCs w:val="24"/>
        </w:rPr>
      </w:pPr>
      <w:r w:rsidRPr="00CA40BF">
        <w:rPr>
          <w:rFonts w:cs="Times New Roman"/>
          <w:b/>
          <w:szCs w:val="24"/>
        </w:rPr>
        <w:lastRenderedPageBreak/>
        <w:t>Reference</w:t>
      </w:r>
    </w:p>
    <w:p w:rsidR="00122274" w:rsidRPr="00CA40BF" w:rsidRDefault="00122274" w:rsidP="009D35E8">
      <w:pPr>
        <w:pStyle w:val="whitespace-normal"/>
        <w:spacing w:line="360" w:lineRule="auto"/>
        <w:ind w:left="720" w:hanging="720"/>
        <w:jc w:val="both"/>
      </w:pPr>
      <w:r w:rsidRPr="00CA40BF">
        <w:t xml:space="preserve">Adebayo, S. O., &amp;Ogundipe, K. E. (2020). Local content development in Nigerian construction industry: Challenges and opportunities. </w:t>
      </w:r>
      <w:r w:rsidRPr="00CA40BF">
        <w:rPr>
          <w:rStyle w:val="Emphasis"/>
        </w:rPr>
        <w:t>Journal of Construction in Developing Countries</w:t>
      </w:r>
      <w:r w:rsidRPr="00CA40BF">
        <w:t>, 25(2), 89-107.</w:t>
      </w:r>
    </w:p>
    <w:p w:rsidR="00122274" w:rsidRPr="00CA40BF" w:rsidRDefault="00122274" w:rsidP="009D35E8">
      <w:pPr>
        <w:pStyle w:val="whitespace-normal"/>
        <w:spacing w:line="360" w:lineRule="auto"/>
        <w:ind w:left="720" w:hanging="720"/>
        <w:jc w:val="both"/>
      </w:pPr>
      <w:r w:rsidRPr="00CA40BF">
        <w:t xml:space="preserve">Ahuja, R., Sawhney, A., &amp;Arif, M. (2019). Construction cost management: Theory and practice. </w:t>
      </w:r>
      <w:r w:rsidRPr="00CA40BF">
        <w:rPr>
          <w:rStyle w:val="Emphasis"/>
        </w:rPr>
        <w:t>International Journal of Construction Management</w:t>
      </w:r>
      <w:r w:rsidRPr="00CA40BF">
        <w:t>, 19(4), 312-329.</w:t>
      </w:r>
    </w:p>
    <w:p w:rsidR="00122274" w:rsidRPr="00CA40BF" w:rsidRDefault="00122274" w:rsidP="009D35E8">
      <w:pPr>
        <w:pStyle w:val="whitespace-normal"/>
        <w:spacing w:line="360" w:lineRule="auto"/>
        <w:ind w:left="720" w:hanging="720"/>
        <w:jc w:val="both"/>
      </w:pPr>
      <w:r w:rsidRPr="00CA40BF">
        <w:t xml:space="preserve">Anderson, P. J., Walker, R. M., &amp; Davies, K. L. (2021). COVID-19 impact on construction supply chains: A global perspective. </w:t>
      </w:r>
      <w:r w:rsidRPr="00CA40BF">
        <w:rPr>
          <w:rStyle w:val="Emphasis"/>
        </w:rPr>
        <w:t>Construction Management and Economics</w:t>
      </w:r>
      <w:r w:rsidRPr="00CA40BF">
        <w:t>, 39(8), 652-667.</w:t>
      </w:r>
    </w:p>
    <w:p w:rsidR="00122274" w:rsidRPr="00CA40BF" w:rsidRDefault="00122274" w:rsidP="009D35E8">
      <w:pPr>
        <w:pStyle w:val="whitespace-normal"/>
        <w:spacing w:line="360" w:lineRule="auto"/>
        <w:ind w:left="720" w:hanging="720"/>
        <w:jc w:val="both"/>
      </w:pPr>
      <w:r w:rsidRPr="00CA40BF">
        <w:t xml:space="preserve">Chen, L., &amp;Rahman, M. M. (2021). Supply chain risk management in construction: A systematic review. </w:t>
      </w:r>
      <w:r w:rsidRPr="00CA40BF">
        <w:rPr>
          <w:rStyle w:val="Emphasis"/>
        </w:rPr>
        <w:t>Journal of Civil Engineering and Management</w:t>
      </w:r>
      <w:r w:rsidRPr="00CA40BF">
        <w:t>, 27(3), 234-251.</w:t>
      </w:r>
    </w:p>
    <w:p w:rsidR="00122274" w:rsidRPr="00CA40BF" w:rsidRDefault="00122274" w:rsidP="009D35E8">
      <w:pPr>
        <w:pStyle w:val="whitespace-normal"/>
        <w:spacing w:line="360" w:lineRule="auto"/>
        <w:ind w:left="720" w:hanging="720"/>
        <w:jc w:val="both"/>
      </w:pPr>
      <w:r w:rsidRPr="00CA40BF">
        <w:t xml:space="preserve">Cooper, M. R., &amp; Evans, T. J. (2022). Alternative construction materials for cost management: Performance and economic analysis. </w:t>
      </w:r>
      <w:r w:rsidRPr="00CA40BF">
        <w:rPr>
          <w:rStyle w:val="Emphasis"/>
        </w:rPr>
        <w:t>Materials and Structures</w:t>
      </w:r>
      <w:r w:rsidRPr="00CA40BF">
        <w:t>, 55(4), 145-162.</w:t>
      </w:r>
    </w:p>
    <w:p w:rsidR="00122274" w:rsidRPr="00CA40BF" w:rsidRDefault="00122274" w:rsidP="009D35E8">
      <w:pPr>
        <w:pStyle w:val="whitespace-normal"/>
        <w:spacing w:line="360" w:lineRule="auto"/>
        <w:ind w:left="720" w:hanging="720"/>
        <w:jc w:val="both"/>
      </w:pPr>
      <w:r w:rsidRPr="00CA40BF">
        <w:t xml:space="preserve">Davis, J. A., &amp; Williams, S. C. (2021). Material cost volatility and project feasibility in residential development. </w:t>
      </w:r>
      <w:r w:rsidRPr="00CA40BF">
        <w:rPr>
          <w:rStyle w:val="Emphasis"/>
        </w:rPr>
        <w:t>Real Estate Economics</w:t>
      </w:r>
      <w:r w:rsidRPr="00CA40BF">
        <w:t>, 49(2), 445-468.</w:t>
      </w:r>
    </w:p>
    <w:p w:rsidR="00122274" w:rsidRPr="00CA40BF" w:rsidRDefault="00122274" w:rsidP="009D35E8">
      <w:pPr>
        <w:pStyle w:val="whitespace-normal"/>
        <w:spacing w:line="360" w:lineRule="auto"/>
        <w:ind w:left="720" w:hanging="720"/>
        <w:jc w:val="both"/>
      </w:pPr>
      <w:r w:rsidRPr="00CA40BF">
        <w:t xml:space="preserve">Fagbenle, O. I., &amp;Makinde, H. O. (2020). Small and medium-scale property developers in Nigeria: Challenges and survival strategies. </w:t>
      </w:r>
      <w:r w:rsidRPr="00CA40BF">
        <w:rPr>
          <w:rStyle w:val="Emphasis"/>
        </w:rPr>
        <w:t>Journal of Property Research</w:t>
      </w:r>
      <w:r w:rsidRPr="00CA40BF">
        <w:t>, 37(4), 289-308.</w:t>
      </w:r>
    </w:p>
    <w:p w:rsidR="00122274" w:rsidRPr="00CA40BF" w:rsidRDefault="00122274" w:rsidP="009D35E8">
      <w:pPr>
        <w:pStyle w:val="whitespace-normal"/>
        <w:spacing w:line="360" w:lineRule="auto"/>
        <w:ind w:left="720" w:hanging="720"/>
        <w:jc w:val="both"/>
      </w:pPr>
      <w:r w:rsidRPr="00CA40BF">
        <w:t xml:space="preserve">Flyvbjerg, B., Ansar, A., Budzier, A., Buhl, S., Cantarelli, C., Garbuio, M., ...&amp; Wee, B. (2020). Five things you should know about cost overrun. </w:t>
      </w:r>
      <w:r w:rsidRPr="00CA40BF">
        <w:rPr>
          <w:rStyle w:val="Emphasis"/>
        </w:rPr>
        <w:t>Transportation Research Part A: Policy and Practice</w:t>
      </w:r>
      <w:r w:rsidRPr="00CA40BF">
        <w:t>, 118, 174-190.</w:t>
      </w:r>
    </w:p>
    <w:p w:rsidR="00122274" w:rsidRPr="00CA40BF" w:rsidRDefault="00122274" w:rsidP="009D35E8">
      <w:pPr>
        <w:pStyle w:val="whitespace-normal"/>
        <w:spacing w:line="360" w:lineRule="auto"/>
        <w:ind w:left="720" w:hanging="720"/>
        <w:jc w:val="both"/>
      </w:pPr>
      <w:r w:rsidRPr="00CA40BF">
        <w:t xml:space="preserve">Garcia, R. S., &amp; White, D. M. (2021). Time-cost impacts of material price volatility in construction projects. </w:t>
      </w:r>
      <w:r w:rsidRPr="00CA40BF">
        <w:rPr>
          <w:rStyle w:val="Emphasis"/>
        </w:rPr>
        <w:t>Engineering, Construction and Architectural Management</w:t>
      </w:r>
      <w:r w:rsidRPr="00CA40BF">
        <w:t>, 28(7), 1876-1894.</w:t>
      </w:r>
    </w:p>
    <w:p w:rsidR="00122274" w:rsidRPr="00CA40BF" w:rsidRDefault="00122274" w:rsidP="009D35E8">
      <w:pPr>
        <w:pStyle w:val="whitespace-normal"/>
        <w:spacing w:line="360" w:lineRule="auto"/>
        <w:ind w:left="720" w:hanging="720"/>
        <w:jc w:val="both"/>
      </w:pPr>
      <w:r w:rsidRPr="00CA40BF">
        <w:lastRenderedPageBreak/>
        <w:t xml:space="preserve">Hassan, M. K., &amp; Ahmed, F. (2020). Strategic procurement in construction: Managing material cost volatility. </w:t>
      </w:r>
      <w:r w:rsidRPr="00CA40BF">
        <w:rPr>
          <w:rStyle w:val="Emphasis"/>
        </w:rPr>
        <w:t>Procurement Research International</w:t>
      </w:r>
      <w:r w:rsidRPr="00CA40BF">
        <w:t>, 15(3), 78-95.</w:t>
      </w:r>
    </w:p>
    <w:p w:rsidR="00122274" w:rsidRPr="00CA40BF" w:rsidRDefault="00122274" w:rsidP="009D35E8">
      <w:pPr>
        <w:pStyle w:val="whitespace-normal"/>
        <w:spacing w:line="360" w:lineRule="auto"/>
        <w:ind w:left="720" w:hanging="720"/>
        <w:jc w:val="both"/>
      </w:pPr>
      <w:r w:rsidRPr="00CA40BF">
        <w:t xml:space="preserve">Ibironke, O. T., &amp;Adagunodo, K. A. (2021). Market structure and competition in Nigerian construction materials supply. </w:t>
      </w:r>
      <w:r w:rsidRPr="00CA40BF">
        <w:rPr>
          <w:rStyle w:val="Emphasis"/>
        </w:rPr>
        <w:t>West African Journal of Industrial and Academic Research</w:t>
      </w:r>
      <w:r w:rsidRPr="00CA40BF">
        <w:t>, 20(1), 45-62.</w:t>
      </w:r>
    </w:p>
    <w:p w:rsidR="00122274" w:rsidRPr="00CA40BF" w:rsidRDefault="00122274" w:rsidP="009D35E8">
      <w:pPr>
        <w:pStyle w:val="whitespace-normal"/>
        <w:spacing w:line="360" w:lineRule="auto"/>
        <w:ind w:left="720" w:hanging="720"/>
        <w:jc w:val="both"/>
      </w:pPr>
      <w:r w:rsidRPr="00CA40BF">
        <w:t xml:space="preserve">Johnson, R. T., &amp; Lee, H. S. (2020). Building code evolution and material cost implications. </w:t>
      </w:r>
      <w:r w:rsidRPr="00CA40BF">
        <w:rPr>
          <w:rStyle w:val="Emphasis"/>
        </w:rPr>
        <w:t>Building Research &amp; Information</w:t>
      </w:r>
      <w:r w:rsidRPr="00CA40BF">
        <w:t>, 48(6), 623-638.</w:t>
      </w:r>
    </w:p>
    <w:p w:rsidR="00122274" w:rsidRPr="00CA40BF" w:rsidRDefault="00122274" w:rsidP="009D35E8">
      <w:pPr>
        <w:pStyle w:val="whitespace-normal"/>
        <w:spacing w:line="360" w:lineRule="auto"/>
        <w:ind w:left="720" w:hanging="720"/>
        <w:jc w:val="both"/>
      </w:pPr>
      <w:r w:rsidRPr="00CA40BF">
        <w:t xml:space="preserve">Kumar, A., &amp; Singh, P. (2020). Resource dependency theory in construction supply chain management. </w:t>
      </w:r>
      <w:r w:rsidRPr="00CA40BF">
        <w:rPr>
          <w:rStyle w:val="Emphasis"/>
        </w:rPr>
        <w:t>Supply Chain Management: An International Journal</w:t>
      </w:r>
      <w:r w:rsidRPr="00CA40BF">
        <w:t>, 25(4), 456-471.</w:t>
      </w:r>
    </w:p>
    <w:p w:rsidR="00122274" w:rsidRPr="00CA40BF" w:rsidRDefault="00122274" w:rsidP="009D35E8">
      <w:pPr>
        <w:pStyle w:val="whitespace-normal"/>
        <w:spacing w:line="360" w:lineRule="auto"/>
        <w:ind w:left="720" w:hanging="720"/>
        <w:jc w:val="both"/>
      </w:pPr>
      <w:r w:rsidRPr="00CA40BF">
        <w:t xml:space="preserve">Lopez, C. M., &amp; Martinez, J. R. (2022). Economic integration and construction material price volatility in developing markets. </w:t>
      </w:r>
      <w:r w:rsidRPr="00CA40BF">
        <w:rPr>
          <w:rStyle w:val="Emphasis"/>
        </w:rPr>
        <w:t>International Journal of Construction Economics</w:t>
      </w:r>
      <w:r w:rsidRPr="00CA40BF">
        <w:t>, 8(2), 123-140.</w:t>
      </w:r>
    </w:p>
    <w:p w:rsidR="00122274" w:rsidRPr="00CA40BF" w:rsidRDefault="00122274" w:rsidP="009D35E8">
      <w:pPr>
        <w:pStyle w:val="whitespace-normal"/>
        <w:spacing w:line="360" w:lineRule="auto"/>
        <w:ind w:left="720" w:hanging="720"/>
        <w:jc w:val="both"/>
      </w:pPr>
      <w:r w:rsidRPr="00CA40BF">
        <w:t>Miller, K. J., &amp; Clark, B. R. (2021).Dynamic pricing strategies in volatile construction markets.</w:t>
      </w:r>
      <w:r w:rsidRPr="00CA40BF">
        <w:rPr>
          <w:rStyle w:val="Emphasis"/>
        </w:rPr>
        <w:t>Journal of Real Estate Finance and Economics</w:t>
      </w:r>
      <w:r w:rsidRPr="00CA40BF">
        <w:t>, 62(3), 378-402.</w:t>
      </w:r>
    </w:p>
    <w:p w:rsidR="00122274" w:rsidRPr="00CA40BF" w:rsidRDefault="00122274" w:rsidP="009D35E8">
      <w:pPr>
        <w:pStyle w:val="whitespace-normal"/>
        <w:spacing w:line="360" w:lineRule="auto"/>
        <w:ind w:left="720" w:hanging="720"/>
        <w:jc w:val="both"/>
      </w:pPr>
      <w:r w:rsidRPr="00CA40BF">
        <w:t xml:space="preserve">Murphy, L. A., &amp; Scott, N. P. (2021). Insurance solutions for construction cost overruns: Market developments and applications. </w:t>
      </w:r>
      <w:r w:rsidRPr="00CA40BF">
        <w:rPr>
          <w:rStyle w:val="Emphasis"/>
        </w:rPr>
        <w:t>Risk Management in Construction</w:t>
      </w:r>
      <w:r w:rsidRPr="00CA40BF">
        <w:t>, 18(4), 234-251.</w:t>
      </w:r>
    </w:p>
    <w:p w:rsidR="00122274" w:rsidRPr="00CA40BF" w:rsidRDefault="00122274" w:rsidP="009D35E8">
      <w:pPr>
        <w:pStyle w:val="whitespace-normal"/>
        <w:spacing w:line="360" w:lineRule="auto"/>
        <w:ind w:left="720" w:hanging="720"/>
        <w:jc w:val="both"/>
      </w:pPr>
      <w:r w:rsidRPr="00CA40BF">
        <w:t xml:space="preserve">Okonkwo, C. E., &amp;Eze, A. N. (2021). Import dependency and construction material costs in Nigeria. </w:t>
      </w:r>
      <w:r w:rsidRPr="00CA40BF">
        <w:rPr>
          <w:rStyle w:val="Emphasis"/>
        </w:rPr>
        <w:t>Nigerian Journal of Construction Technology and Management</w:t>
      </w:r>
      <w:r w:rsidRPr="00CA40BF">
        <w:t>, 4(2), 67-82.</w:t>
      </w:r>
    </w:p>
    <w:p w:rsidR="00122274" w:rsidRPr="00CA40BF" w:rsidRDefault="00122274" w:rsidP="009D35E8">
      <w:pPr>
        <w:pStyle w:val="whitespace-normal"/>
        <w:spacing w:line="360" w:lineRule="auto"/>
        <w:ind w:left="720" w:hanging="720"/>
        <w:jc w:val="both"/>
      </w:pPr>
      <w:r w:rsidRPr="00CA40BF">
        <w:t>Oyebanji, A. O., &amp;Akintoye, A. (2021).Macroeconomic factors and construction costs in Nigeria.</w:t>
      </w:r>
      <w:r w:rsidRPr="00CA40BF">
        <w:rPr>
          <w:rStyle w:val="Emphasis"/>
        </w:rPr>
        <w:t>Journal of Financial Management of Property and Construction</w:t>
      </w:r>
      <w:r w:rsidRPr="00CA40BF">
        <w:t>, 26(3), 289-307.</w:t>
      </w:r>
    </w:p>
    <w:p w:rsidR="00122274" w:rsidRPr="00CA40BF" w:rsidRDefault="00122274" w:rsidP="009D35E8">
      <w:pPr>
        <w:pStyle w:val="whitespace-normal"/>
        <w:spacing w:line="360" w:lineRule="auto"/>
        <w:ind w:left="720" w:hanging="720"/>
        <w:jc w:val="both"/>
      </w:pPr>
      <w:r w:rsidRPr="00CA40BF">
        <w:t xml:space="preserve">Park, S. J., &amp; Kim, M. H. (2022). Financial modeling of material cost impacts on project viability. </w:t>
      </w:r>
      <w:r w:rsidRPr="00CA40BF">
        <w:rPr>
          <w:rStyle w:val="Emphasis"/>
        </w:rPr>
        <w:t>Construction Economics and Building</w:t>
      </w:r>
      <w:r w:rsidRPr="00CA40BF">
        <w:t>, 22(1), 45-63.</w:t>
      </w:r>
    </w:p>
    <w:p w:rsidR="00122274" w:rsidRPr="00CA40BF" w:rsidRDefault="00122274" w:rsidP="009D35E8">
      <w:pPr>
        <w:pStyle w:val="whitespace-normal"/>
        <w:spacing w:line="360" w:lineRule="auto"/>
        <w:ind w:left="720" w:hanging="720"/>
        <w:jc w:val="both"/>
      </w:pPr>
      <w:r w:rsidRPr="00CA40BF">
        <w:t xml:space="preserve">Patterson, G. W., &amp; Hill, J. K. (2020). Financial risk management tools for construction cost volatility. </w:t>
      </w:r>
      <w:r w:rsidRPr="00CA40BF">
        <w:rPr>
          <w:rStyle w:val="Emphasis"/>
        </w:rPr>
        <w:t>International Journal of Project Management</w:t>
      </w:r>
      <w:r w:rsidRPr="00CA40BF">
        <w:t>, 38(5), 298-312.</w:t>
      </w:r>
    </w:p>
    <w:p w:rsidR="00122274" w:rsidRPr="00CA40BF" w:rsidRDefault="00122274" w:rsidP="009D35E8">
      <w:pPr>
        <w:pStyle w:val="whitespace-normal"/>
        <w:spacing w:line="360" w:lineRule="auto"/>
        <w:ind w:left="720" w:hanging="720"/>
        <w:jc w:val="both"/>
      </w:pPr>
      <w:r w:rsidRPr="00CA40BF">
        <w:lastRenderedPageBreak/>
        <w:t xml:space="preserve">Roberts, A. L., &amp; Green, P. T. (2021). Supply chain integration in construction: Cost management benefits. </w:t>
      </w:r>
      <w:r w:rsidRPr="00CA40BF">
        <w:rPr>
          <w:rStyle w:val="Emphasis"/>
        </w:rPr>
        <w:t>Supply Chain Management Review</w:t>
      </w:r>
      <w:r w:rsidRPr="00CA40BF">
        <w:t>, 25(3), 78-89.</w:t>
      </w:r>
    </w:p>
    <w:p w:rsidR="00122274" w:rsidRPr="00CA40BF" w:rsidRDefault="00122274" w:rsidP="009D35E8">
      <w:pPr>
        <w:pStyle w:val="whitespace-normal"/>
        <w:spacing w:line="360" w:lineRule="auto"/>
        <w:ind w:left="720" w:hanging="720"/>
        <w:jc w:val="both"/>
      </w:pPr>
      <w:r w:rsidRPr="00CA40BF">
        <w:t>Rodriguez, M. A., &amp; Campbell, D. J. (2021).Environmental regulations and construction material costs.</w:t>
      </w:r>
      <w:r w:rsidRPr="00CA40BF">
        <w:rPr>
          <w:rStyle w:val="Emphasis"/>
        </w:rPr>
        <w:t>Journal of Environmental Management</w:t>
      </w:r>
      <w:r w:rsidRPr="00CA40BF">
        <w:t>, 285, 112-124.</w:t>
      </w:r>
    </w:p>
    <w:p w:rsidR="00122274" w:rsidRPr="00CA40BF" w:rsidRDefault="00122274" w:rsidP="009D35E8">
      <w:pPr>
        <w:pStyle w:val="whitespace-normal"/>
        <w:spacing w:line="360" w:lineRule="auto"/>
        <w:ind w:left="720" w:hanging="720"/>
        <w:jc w:val="both"/>
      </w:pPr>
      <w:r w:rsidRPr="00CA40BF">
        <w:t xml:space="preserve">Salami, B. A., &amp;Ogunsemi, D. R. (2020). Government policy impacts on construction material costs in Nigeria. </w:t>
      </w:r>
      <w:r w:rsidRPr="00CA40BF">
        <w:rPr>
          <w:rStyle w:val="Emphasis"/>
        </w:rPr>
        <w:t>Policy Studies Journal</w:t>
      </w:r>
      <w:r w:rsidRPr="00CA40BF">
        <w:t>, 48(4), 456-478.</w:t>
      </w:r>
    </w:p>
    <w:p w:rsidR="00122274" w:rsidRPr="00CA40BF" w:rsidRDefault="00122274" w:rsidP="009D35E8">
      <w:pPr>
        <w:pStyle w:val="whitespace-normal"/>
        <w:spacing w:line="360" w:lineRule="auto"/>
        <w:ind w:left="720" w:hanging="720"/>
        <w:jc w:val="both"/>
      </w:pPr>
      <w:r w:rsidRPr="00CA40BF">
        <w:t xml:space="preserve">Stewart, J. M., &amp; Moore, C. L. (2021). Technology adoption for construction cost management. </w:t>
      </w:r>
      <w:r w:rsidRPr="00CA40BF">
        <w:rPr>
          <w:rStyle w:val="Emphasis"/>
        </w:rPr>
        <w:t>Automation in Construction</w:t>
      </w:r>
      <w:r w:rsidRPr="00CA40BF">
        <w:t>, 125, 103-118.</w:t>
      </w:r>
    </w:p>
    <w:p w:rsidR="00122274" w:rsidRPr="00CA40BF" w:rsidRDefault="00122274" w:rsidP="009D35E8">
      <w:pPr>
        <w:pStyle w:val="whitespace-normal"/>
        <w:spacing w:line="360" w:lineRule="auto"/>
        <w:ind w:left="720" w:hanging="720"/>
        <w:jc w:val="both"/>
      </w:pPr>
      <w:r w:rsidRPr="00CA40BF">
        <w:t>Taylor, R. K., &amp; Jones, M. F. (2022).Competitive dynamics in volatile construction markets.</w:t>
      </w:r>
      <w:r w:rsidRPr="00CA40BF">
        <w:rPr>
          <w:rStyle w:val="Emphasis"/>
        </w:rPr>
        <w:t>Strategic Management Journal</w:t>
      </w:r>
      <w:r w:rsidRPr="00CA40BF">
        <w:t>, 43(8), 1567-1589.</w:t>
      </w:r>
    </w:p>
    <w:p w:rsidR="00122274" w:rsidRPr="00CA40BF" w:rsidRDefault="00122274" w:rsidP="009D35E8">
      <w:pPr>
        <w:pStyle w:val="whitespace-normal"/>
        <w:spacing w:line="360" w:lineRule="auto"/>
        <w:ind w:left="720" w:hanging="720"/>
        <w:jc w:val="both"/>
      </w:pPr>
      <w:r w:rsidRPr="00CA40BF">
        <w:t xml:space="preserve">Turner, B. C., &amp; Brown, A. P. (2020). Value engineering responses to material cost increases. </w:t>
      </w:r>
      <w:r w:rsidRPr="00CA40BF">
        <w:rPr>
          <w:rStyle w:val="Emphasis"/>
        </w:rPr>
        <w:t>Value Engineering Journal</w:t>
      </w:r>
      <w:r w:rsidRPr="00CA40BF">
        <w:t>, 55(2), 89-106.</w:t>
      </w:r>
    </w:p>
    <w:p w:rsidR="00122274" w:rsidRPr="00CA40BF" w:rsidRDefault="00122274" w:rsidP="009D35E8">
      <w:pPr>
        <w:pStyle w:val="whitespace-normal"/>
        <w:spacing w:line="360" w:lineRule="auto"/>
        <w:ind w:left="720" w:hanging="720"/>
        <w:jc w:val="both"/>
      </w:pPr>
      <w:r w:rsidRPr="00CA40BF">
        <w:t xml:space="preserve">Wilson, E. R., &amp; Thompson, K. S. (2020). Supply chain disruptions and construction material costs. </w:t>
      </w:r>
      <w:r w:rsidRPr="00CA40BF">
        <w:rPr>
          <w:rStyle w:val="Emphasis"/>
        </w:rPr>
        <w:t>International Journal of Logistics Management</w:t>
      </w:r>
      <w:r w:rsidRPr="00CA40BF">
        <w:t>, 31(4), 567-584.</w:t>
      </w:r>
    </w:p>
    <w:p w:rsidR="00122274" w:rsidRPr="00CA40BF" w:rsidRDefault="00122274" w:rsidP="009D35E8">
      <w:pPr>
        <w:pStyle w:val="whitespace-normal"/>
        <w:spacing w:line="360" w:lineRule="auto"/>
        <w:ind w:left="720" w:hanging="720"/>
        <w:jc w:val="both"/>
      </w:pPr>
      <w:r w:rsidRPr="00CA40BF">
        <w:t xml:space="preserve">Zhang, H., Liu, X., &amp; Wang, Y. (2021). Global commodity markets and construction material price volatility. </w:t>
      </w:r>
      <w:r w:rsidRPr="00CA40BF">
        <w:rPr>
          <w:rStyle w:val="Emphasis"/>
        </w:rPr>
        <w:t>Resources Policy</w:t>
      </w:r>
      <w:r w:rsidRPr="00CA40BF">
        <w:t>, 70, 101-115.</w:t>
      </w:r>
    </w:p>
    <w:sectPr w:rsidR="00122274" w:rsidRPr="00CA40BF" w:rsidSect="005F270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2E9" w:rsidRDefault="00DE52E9" w:rsidP="003539C3">
      <w:pPr>
        <w:spacing w:after="0" w:line="240" w:lineRule="auto"/>
      </w:pPr>
      <w:r>
        <w:separator/>
      </w:r>
    </w:p>
  </w:endnote>
  <w:endnote w:type="continuationSeparator" w:id="1">
    <w:p w:rsidR="00DE52E9" w:rsidRDefault="00DE52E9" w:rsidP="00353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gette">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7770"/>
      <w:docPartObj>
        <w:docPartGallery w:val="Page Numbers (Bottom of Page)"/>
        <w:docPartUnique/>
      </w:docPartObj>
    </w:sdtPr>
    <w:sdtContent>
      <w:p w:rsidR="003539C3" w:rsidRDefault="00F60B26">
        <w:pPr>
          <w:pStyle w:val="Footer"/>
          <w:jc w:val="center"/>
        </w:pPr>
        <w:fldSimple w:instr=" PAGE   \* MERGEFORMAT ">
          <w:r w:rsidR="006549BB">
            <w:rPr>
              <w:noProof/>
            </w:rPr>
            <w:t>14</w:t>
          </w:r>
        </w:fldSimple>
      </w:p>
    </w:sdtContent>
  </w:sdt>
  <w:p w:rsidR="003539C3" w:rsidRDefault="003539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2E9" w:rsidRDefault="00DE52E9" w:rsidP="003539C3">
      <w:pPr>
        <w:spacing w:after="0" w:line="240" w:lineRule="auto"/>
      </w:pPr>
      <w:r>
        <w:separator/>
      </w:r>
    </w:p>
  </w:footnote>
  <w:footnote w:type="continuationSeparator" w:id="1">
    <w:p w:rsidR="00DE52E9" w:rsidRDefault="00DE52E9" w:rsidP="003539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17146"/>
    <w:multiLevelType w:val="multilevel"/>
    <w:tmpl w:val="D3225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1D64FC"/>
    <w:multiLevelType w:val="multilevel"/>
    <w:tmpl w:val="B388E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256506"/>
    <w:multiLevelType w:val="multilevel"/>
    <w:tmpl w:val="C78E2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2F3497"/>
    <w:multiLevelType w:val="multilevel"/>
    <w:tmpl w:val="8E0AA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706772"/>
    <w:multiLevelType w:val="multilevel"/>
    <w:tmpl w:val="7DAA5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F15718"/>
    <w:multiLevelType w:val="multilevel"/>
    <w:tmpl w:val="02FAB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E6D6D"/>
    <w:rsid w:val="000349E5"/>
    <w:rsid w:val="00122274"/>
    <w:rsid w:val="001503EB"/>
    <w:rsid w:val="003311AA"/>
    <w:rsid w:val="003539C3"/>
    <w:rsid w:val="00367C29"/>
    <w:rsid w:val="003E3C0A"/>
    <w:rsid w:val="004424A9"/>
    <w:rsid w:val="004F3B40"/>
    <w:rsid w:val="005F2703"/>
    <w:rsid w:val="00604E78"/>
    <w:rsid w:val="006549BB"/>
    <w:rsid w:val="006A58D1"/>
    <w:rsid w:val="006E025F"/>
    <w:rsid w:val="00853AA0"/>
    <w:rsid w:val="0089637D"/>
    <w:rsid w:val="009D35E8"/>
    <w:rsid w:val="00A01096"/>
    <w:rsid w:val="00A1793F"/>
    <w:rsid w:val="00A85A91"/>
    <w:rsid w:val="00AE7420"/>
    <w:rsid w:val="00B43BB0"/>
    <w:rsid w:val="00BE5C5B"/>
    <w:rsid w:val="00C0174F"/>
    <w:rsid w:val="00C26675"/>
    <w:rsid w:val="00C344AC"/>
    <w:rsid w:val="00CA40BF"/>
    <w:rsid w:val="00CE60CA"/>
    <w:rsid w:val="00CE7506"/>
    <w:rsid w:val="00CF7C10"/>
    <w:rsid w:val="00D920B1"/>
    <w:rsid w:val="00D952B4"/>
    <w:rsid w:val="00DB699E"/>
    <w:rsid w:val="00DE52E9"/>
    <w:rsid w:val="00E778BD"/>
    <w:rsid w:val="00EC0E27"/>
    <w:rsid w:val="00EE6D6D"/>
    <w:rsid w:val="00F45404"/>
    <w:rsid w:val="00F60B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C0A"/>
    <w:pPr>
      <w:spacing w:line="360" w:lineRule="auto"/>
      <w:jc w:val="both"/>
    </w:pPr>
    <w:rPr>
      <w:rFonts w:ascii="Times New Roman" w:hAnsi="Times New Roman"/>
      <w:sz w:val="24"/>
    </w:rPr>
  </w:style>
  <w:style w:type="paragraph" w:styleId="Heading1">
    <w:name w:val="heading 1"/>
    <w:basedOn w:val="Normal"/>
    <w:next w:val="Normal"/>
    <w:link w:val="Heading1Char"/>
    <w:autoRedefine/>
    <w:qFormat/>
    <w:rsid w:val="00CF7C10"/>
    <w:pPr>
      <w:spacing w:before="480" w:after="0"/>
      <w:jc w:val="center"/>
      <w:outlineLvl w:val="0"/>
    </w:pPr>
    <w:rPr>
      <w:rFonts w:eastAsia="Arial" w:cs="Times New Roman"/>
      <w:b/>
      <w:bCs/>
      <w:sz w:val="40"/>
      <w:szCs w:val="24"/>
    </w:rPr>
  </w:style>
  <w:style w:type="paragraph" w:styleId="Heading2">
    <w:name w:val="heading 2"/>
    <w:basedOn w:val="Normal"/>
    <w:next w:val="Normal"/>
    <w:link w:val="Heading2Char"/>
    <w:uiPriority w:val="9"/>
    <w:semiHidden/>
    <w:unhideWhenUsed/>
    <w:qFormat/>
    <w:rsid w:val="00A010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E6D6D"/>
    <w:pPr>
      <w:spacing w:before="100" w:beforeAutospacing="1" w:after="100" w:afterAutospacing="1" w:line="240" w:lineRule="auto"/>
      <w:jc w:val="left"/>
      <w:outlineLvl w:val="2"/>
    </w:pPr>
    <w:rPr>
      <w:rFonts w:eastAsia="Times New Roman" w:cs="Times New Roman"/>
      <w:b/>
      <w:bCs/>
      <w:sz w:val="27"/>
      <w:szCs w:val="27"/>
    </w:rPr>
  </w:style>
  <w:style w:type="paragraph" w:styleId="Heading4">
    <w:name w:val="heading 4"/>
    <w:basedOn w:val="Normal"/>
    <w:link w:val="Heading4Char"/>
    <w:uiPriority w:val="9"/>
    <w:qFormat/>
    <w:rsid w:val="00EE6D6D"/>
    <w:pPr>
      <w:spacing w:before="100" w:beforeAutospacing="1" w:after="100" w:afterAutospacing="1" w:line="240" w:lineRule="auto"/>
      <w:jc w:val="left"/>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7C10"/>
    <w:rPr>
      <w:rFonts w:ascii="Times New Roman" w:eastAsia="Arial" w:hAnsi="Times New Roman" w:cs="Times New Roman"/>
      <w:b/>
      <w:bCs/>
      <w:sz w:val="40"/>
      <w:szCs w:val="24"/>
    </w:rPr>
  </w:style>
  <w:style w:type="character" w:customStyle="1" w:styleId="Heading3Char">
    <w:name w:val="Heading 3 Char"/>
    <w:basedOn w:val="DefaultParagraphFont"/>
    <w:link w:val="Heading3"/>
    <w:uiPriority w:val="9"/>
    <w:rsid w:val="00EE6D6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E6D6D"/>
    <w:rPr>
      <w:rFonts w:ascii="Times New Roman" w:eastAsia="Times New Roman" w:hAnsi="Times New Roman" w:cs="Times New Roman"/>
      <w:b/>
      <w:bCs/>
      <w:sz w:val="24"/>
      <w:szCs w:val="24"/>
    </w:rPr>
  </w:style>
  <w:style w:type="character" w:styleId="Strong">
    <w:name w:val="Strong"/>
    <w:basedOn w:val="DefaultParagraphFont"/>
    <w:uiPriority w:val="22"/>
    <w:qFormat/>
    <w:rsid w:val="00EE6D6D"/>
    <w:rPr>
      <w:b/>
      <w:bCs/>
    </w:rPr>
  </w:style>
  <w:style w:type="character" w:styleId="Emphasis">
    <w:name w:val="Emphasis"/>
    <w:basedOn w:val="DefaultParagraphFont"/>
    <w:uiPriority w:val="20"/>
    <w:qFormat/>
    <w:rsid w:val="00EE6D6D"/>
    <w:rPr>
      <w:i/>
      <w:iCs/>
    </w:rPr>
  </w:style>
  <w:style w:type="paragraph" w:styleId="NormalWeb">
    <w:name w:val="Normal (Web)"/>
    <w:basedOn w:val="Normal"/>
    <w:uiPriority w:val="99"/>
    <w:unhideWhenUsed/>
    <w:rsid w:val="00EE6D6D"/>
    <w:pPr>
      <w:spacing w:before="100" w:beforeAutospacing="1" w:after="100" w:afterAutospacing="1" w:line="240" w:lineRule="auto"/>
      <w:jc w:val="left"/>
    </w:pPr>
    <w:rPr>
      <w:rFonts w:eastAsia="Times New Roman" w:cs="Times New Roman"/>
      <w:szCs w:val="24"/>
    </w:rPr>
  </w:style>
  <w:style w:type="character" w:customStyle="1" w:styleId="sr-only">
    <w:name w:val="sr-only"/>
    <w:basedOn w:val="DefaultParagraphFont"/>
    <w:rsid w:val="00A01096"/>
  </w:style>
  <w:style w:type="paragraph" w:styleId="z-TopofForm">
    <w:name w:val="HTML Top of Form"/>
    <w:basedOn w:val="Normal"/>
    <w:next w:val="Normal"/>
    <w:link w:val="z-TopofFormChar"/>
    <w:hidden/>
    <w:uiPriority w:val="99"/>
    <w:semiHidden/>
    <w:unhideWhenUsed/>
    <w:rsid w:val="00A0109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01096"/>
    <w:rPr>
      <w:rFonts w:ascii="Arial" w:eastAsia="Times New Roman" w:hAnsi="Arial" w:cs="Arial"/>
      <w:vanish/>
      <w:sz w:val="16"/>
      <w:szCs w:val="16"/>
    </w:rPr>
  </w:style>
  <w:style w:type="paragraph" w:customStyle="1" w:styleId="placeholder">
    <w:name w:val="placeholder"/>
    <w:basedOn w:val="Normal"/>
    <w:rsid w:val="00A01096"/>
    <w:pPr>
      <w:spacing w:before="100" w:beforeAutospacing="1" w:after="100" w:afterAutospacing="1" w:line="240" w:lineRule="auto"/>
      <w:jc w:val="left"/>
    </w:pPr>
    <w:rPr>
      <w:rFonts w:eastAsia="Times New Roman" w:cs="Times New Roman"/>
      <w:szCs w:val="24"/>
    </w:rPr>
  </w:style>
  <w:style w:type="paragraph" w:styleId="z-BottomofForm">
    <w:name w:val="HTML Bottom of Form"/>
    <w:basedOn w:val="Normal"/>
    <w:next w:val="Normal"/>
    <w:link w:val="z-BottomofFormChar"/>
    <w:hidden/>
    <w:uiPriority w:val="99"/>
    <w:semiHidden/>
    <w:unhideWhenUsed/>
    <w:rsid w:val="00A0109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01096"/>
    <w:rPr>
      <w:rFonts w:ascii="Arial" w:eastAsia="Times New Roman" w:hAnsi="Arial" w:cs="Arial"/>
      <w:vanish/>
      <w:sz w:val="16"/>
      <w:szCs w:val="16"/>
    </w:rPr>
  </w:style>
  <w:style w:type="character" w:customStyle="1" w:styleId="Heading2Char">
    <w:name w:val="Heading 2 Char"/>
    <w:basedOn w:val="DefaultParagraphFont"/>
    <w:link w:val="Heading2"/>
    <w:uiPriority w:val="9"/>
    <w:semiHidden/>
    <w:rsid w:val="00A01096"/>
    <w:rPr>
      <w:rFonts w:asciiTheme="majorHAnsi" w:eastAsiaTheme="majorEastAsia" w:hAnsiTheme="majorHAnsi" w:cstheme="majorBidi"/>
      <w:b/>
      <w:bCs/>
      <w:color w:val="4F81BD" w:themeColor="accent1"/>
      <w:sz w:val="26"/>
      <w:szCs w:val="26"/>
    </w:rPr>
  </w:style>
  <w:style w:type="paragraph" w:customStyle="1" w:styleId="whitespace-normal">
    <w:name w:val="whitespace-normal"/>
    <w:basedOn w:val="Normal"/>
    <w:rsid w:val="00A01096"/>
    <w:pPr>
      <w:spacing w:before="100" w:beforeAutospacing="1" w:after="100" w:afterAutospacing="1" w:line="240" w:lineRule="auto"/>
      <w:jc w:val="left"/>
    </w:pPr>
    <w:rPr>
      <w:rFonts w:eastAsia="Times New Roman" w:cs="Times New Roman"/>
      <w:szCs w:val="24"/>
    </w:rPr>
  </w:style>
  <w:style w:type="table" w:styleId="TableGrid">
    <w:name w:val="Table Grid"/>
    <w:basedOn w:val="TableNormal"/>
    <w:uiPriority w:val="59"/>
    <w:rsid w:val="00122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539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39C3"/>
    <w:rPr>
      <w:rFonts w:ascii="Times New Roman" w:hAnsi="Times New Roman"/>
      <w:sz w:val="24"/>
    </w:rPr>
  </w:style>
  <w:style w:type="paragraph" w:styleId="Footer">
    <w:name w:val="footer"/>
    <w:basedOn w:val="Normal"/>
    <w:link w:val="FooterChar"/>
    <w:uiPriority w:val="99"/>
    <w:unhideWhenUsed/>
    <w:rsid w:val="00353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9C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C0A"/>
    <w:pPr>
      <w:spacing w:line="360" w:lineRule="auto"/>
      <w:jc w:val="both"/>
    </w:pPr>
    <w:rPr>
      <w:rFonts w:ascii="Times New Roman" w:hAnsi="Times New Roman"/>
      <w:sz w:val="24"/>
    </w:rPr>
  </w:style>
  <w:style w:type="paragraph" w:styleId="Heading1">
    <w:name w:val="heading 1"/>
    <w:basedOn w:val="Normal"/>
    <w:next w:val="Normal"/>
    <w:link w:val="Heading1Char"/>
    <w:autoRedefine/>
    <w:qFormat/>
    <w:rsid w:val="00CF7C10"/>
    <w:pPr>
      <w:spacing w:before="480" w:after="0"/>
      <w:jc w:val="center"/>
      <w:outlineLvl w:val="0"/>
    </w:pPr>
    <w:rPr>
      <w:rFonts w:eastAsia="Arial" w:cs="Times New Roman"/>
      <w:b/>
      <w:bCs/>
      <w:sz w:val="40"/>
      <w:szCs w:val="24"/>
    </w:rPr>
  </w:style>
  <w:style w:type="paragraph" w:styleId="Heading2">
    <w:name w:val="heading 2"/>
    <w:basedOn w:val="Normal"/>
    <w:next w:val="Normal"/>
    <w:link w:val="Heading2Char"/>
    <w:uiPriority w:val="9"/>
    <w:semiHidden/>
    <w:unhideWhenUsed/>
    <w:qFormat/>
    <w:rsid w:val="00A010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E6D6D"/>
    <w:pPr>
      <w:spacing w:before="100" w:beforeAutospacing="1" w:after="100" w:afterAutospacing="1" w:line="240" w:lineRule="auto"/>
      <w:jc w:val="left"/>
      <w:outlineLvl w:val="2"/>
    </w:pPr>
    <w:rPr>
      <w:rFonts w:eastAsia="Times New Roman" w:cs="Times New Roman"/>
      <w:b/>
      <w:bCs/>
      <w:sz w:val="27"/>
      <w:szCs w:val="27"/>
    </w:rPr>
  </w:style>
  <w:style w:type="paragraph" w:styleId="Heading4">
    <w:name w:val="heading 4"/>
    <w:basedOn w:val="Normal"/>
    <w:link w:val="Heading4Char"/>
    <w:uiPriority w:val="9"/>
    <w:qFormat/>
    <w:rsid w:val="00EE6D6D"/>
    <w:pPr>
      <w:spacing w:before="100" w:beforeAutospacing="1" w:after="100" w:afterAutospacing="1" w:line="240" w:lineRule="auto"/>
      <w:jc w:val="left"/>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7C10"/>
    <w:rPr>
      <w:rFonts w:ascii="Times New Roman" w:eastAsia="Arial" w:hAnsi="Times New Roman" w:cs="Times New Roman"/>
      <w:b/>
      <w:bCs/>
      <w:sz w:val="40"/>
      <w:szCs w:val="24"/>
    </w:rPr>
  </w:style>
  <w:style w:type="character" w:customStyle="1" w:styleId="Heading3Char">
    <w:name w:val="Heading 3 Char"/>
    <w:basedOn w:val="DefaultParagraphFont"/>
    <w:link w:val="Heading3"/>
    <w:uiPriority w:val="9"/>
    <w:rsid w:val="00EE6D6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E6D6D"/>
    <w:rPr>
      <w:rFonts w:ascii="Times New Roman" w:eastAsia="Times New Roman" w:hAnsi="Times New Roman" w:cs="Times New Roman"/>
      <w:b/>
      <w:bCs/>
      <w:sz w:val="24"/>
      <w:szCs w:val="24"/>
    </w:rPr>
  </w:style>
  <w:style w:type="character" w:styleId="Strong">
    <w:name w:val="Strong"/>
    <w:basedOn w:val="DefaultParagraphFont"/>
    <w:uiPriority w:val="22"/>
    <w:qFormat/>
    <w:rsid w:val="00EE6D6D"/>
    <w:rPr>
      <w:b/>
      <w:bCs/>
    </w:rPr>
  </w:style>
  <w:style w:type="character" w:styleId="Emphasis">
    <w:name w:val="Emphasis"/>
    <w:basedOn w:val="DefaultParagraphFont"/>
    <w:uiPriority w:val="20"/>
    <w:qFormat/>
    <w:rsid w:val="00EE6D6D"/>
    <w:rPr>
      <w:i/>
      <w:iCs/>
    </w:rPr>
  </w:style>
  <w:style w:type="paragraph" w:styleId="NormalWeb">
    <w:name w:val="Normal (Web)"/>
    <w:basedOn w:val="Normal"/>
    <w:uiPriority w:val="99"/>
    <w:unhideWhenUsed/>
    <w:rsid w:val="00EE6D6D"/>
    <w:pPr>
      <w:spacing w:before="100" w:beforeAutospacing="1" w:after="100" w:afterAutospacing="1" w:line="240" w:lineRule="auto"/>
      <w:jc w:val="left"/>
    </w:pPr>
    <w:rPr>
      <w:rFonts w:eastAsia="Times New Roman" w:cs="Times New Roman"/>
      <w:szCs w:val="24"/>
    </w:rPr>
  </w:style>
  <w:style w:type="character" w:customStyle="1" w:styleId="sr-only">
    <w:name w:val="sr-only"/>
    <w:basedOn w:val="DefaultParagraphFont"/>
    <w:rsid w:val="00A01096"/>
  </w:style>
  <w:style w:type="paragraph" w:styleId="z-TopofForm">
    <w:name w:val="HTML Top of Form"/>
    <w:basedOn w:val="Normal"/>
    <w:next w:val="Normal"/>
    <w:link w:val="z-TopofFormChar"/>
    <w:hidden/>
    <w:uiPriority w:val="99"/>
    <w:semiHidden/>
    <w:unhideWhenUsed/>
    <w:rsid w:val="00A0109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01096"/>
    <w:rPr>
      <w:rFonts w:ascii="Arial" w:eastAsia="Times New Roman" w:hAnsi="Arial" w:cs="Arial"/>
      <w:vanish/>
      <w:sz w:val="16"/>
      <w:szCs w:val="16"/>
    </w:rPr>
  </w:style>
  <w:style w:type="paragraph" w:customStyle="1" w:styleId="placeholder">
    <w:name w:val="placeholder"/>
    <w:basedOn w:val="Normal"/>
    <w:rsid w:val="00A01096"/>
    <w:pPr>
      <w:spacing w:before="100" w:beforeAutospacing="1" w:after="100" w:afterAutospacing="1" w:line="240" w:lineRule="auto"/>
      <w:jc w:val="left"/>
    </w:pPr>
    <w:rPr>
      <w:rFonts w:eastAsia="Times New Roman" w:cs="Times New Roman"/>
      <w:szCs w:val="24"/>
    </w:rPr>
  </w:style>
  <w:style w:type="paragraph" w:styleId="z-BottomofForm">
    <w:name w:val="HTML Bottom of Form"/>
    <w:basedOn w:val="Normal"/>
    <w:next w:val="Normal"/>
    <w:link w:val="z-BottomofFormChar"/>
    <w:hidden/>
    <w:uiPriority w:val="99"/>
    <w:semiHidden/>
    <w:unhideWhenUsed/>
    <w:rsid w:val="00A0109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01096"/>
    <w:rPr>
      <w:rFonts w:ascii="Arial" w:eastAsia="Times New Roman" w:hAnsi="Arial" w:cs="Arial"/>
      <w:vanish/>
      <w:sz w:val="16"/>
      <w:szCs w:val="16"/>
    </w:rPr>
  </w:style>
  <w:style w:type="character" w:customStyle="1" w:styleId="Heading2Char">
    <w:name w:val="Heading 2 Char"/>
    <w:basedOn w:val="DefaultParagraphFont"/>
    <w:link w:val="Heading2"/>
    <w:uiPriority w:val="9"/>
    <w:semiHidden/>
    <w:rsid w:val="00A01096"/>
    <w:rPr>
      <w:rFonts w:asciiTheme="majorHAnsi" w:eastAsiaTheme="majorEastAsia" w:hAnsiTheme="majorHAnsi" w:cstheme="majorBidi"/>
      <w:b/>
      <w:bCs/>
      <w:color w:val="4F81BD" w:themeColor="accent1"/>
      <w:sz w:val="26"/>
      <w:szCs w:val="26"/>
    </w:rPr>
  </w:style>
  <w:style w:type="paragraph" w:customStyle="1" w:styleId="whitespace-normal">
    <w:name w:val="whitespace-normal"/>
    <w:basedOn w:val="Normal"/>
    <w:rsid w:val="00A01096"/>
    <w:pPr>
      <w:spacing w:before="100" w:beforeAutospacing="1" w:after="100" w:afterAutospacing="1" w:line="240" w:lineRule="auto"/>
      <w:jc w:val="left"/>
    </w:pPr>
    <w:rPr>
      <w:rFonts w:eastAsia="Times New Roman" w:cs="Times New Roman"/>
      <w:szCs w:val="24"/>
    </w:rPr>
  </w:style>
  <w:style w:type="table" w:styleId="TableGrid">
    <w:name w:val="Table Grid"/>
    <w:basedOn w:val="TableNormal"/>
    <w:uiPriority w:val="59"/>
    <w:rsid w:val="00122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739816">
      <w:bodyDiv w:val="1"/>
      <w:marLeft w:val="0"/>
      <w:marRight w:val="0"/>
      <w:marTop w:val="0"/>
      <w:marBottom w:val="0"/>
      <w:divBdr>
        <w:top w:val="none" w:sz="0" w:space="0" w:color="auto"/>
        <w:left w:val="none" w:sz="0" w:space="0" w:color="auto"/>
        <w:bottom w:val="none" w:sz="0" w:space="0" w:color="auto"/>
        <w:right w:val="none" w:sz="0" w:space="0" w:color="auto"/>
      </w:divBdr>
    </w:div>
    <w:div w:id="63185913">
      <w:bodyDiv w:val="1"/>
      <w:marLeft w:val="0"/>
      <w:marRight w:val="0"/>
      <w:marTop w:val="0"/>
      <w:marBottom w:val="0"/>
      <w:divBdr>
        <w:top w:val="none" w:sz="0" w:space="0" w:color="auto"/>
        <w:left w:val="none" w:sz="0" w:space="0" w:color="auto"/>
        <w:bottom w:val="none" w:sz="0" w:space="0" w:color="auto"/>
        <w:right w:val="none" w:sz="0" w:space="0" w:color="auto"/>
      </w:divBdr>
      <w:divsChild>
        <w:div w:id="828404574">
          <w:marLeft w:val="0"/>
          <w:marRight w:val="0"/>
          <w:marTop w:val="0"/>
          <w:marBottom w:val="0"/>
          <w:divBdr>
            <w:top w:val="none" w:sz="0" w:space="0" w:color="auto"/>
            <w:left w:val="none" w:sz="0" w:space="0" w:color="auto"/>
            <w:bottom w:val="none" w:sz="0" w:space="0" w:color="auto"/>
            <w:right w:val="none" w:sz="0" w:space="0" w:color="auto"/>
          </w:divBdr>
          <w:divsChild>
            <w:div w:id="119657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0529">
      <w:bodyDiv w:val="1"/>
      <w:marLeft w:val="0"/>
      <w:marRight w:val="0"/>
      <w:marTop w:val="0"/>
      <w:marBottom w:val="0"/>
      <w:divBdr>
        <w:top w:val="none" w:sz="0" w:space="0" w:color="auto"/>
        <w:left w:val="none" w:sz="0" w:space="0" w:color="auto"/>
        <w:bottom w:val="none" w:sz="0" w:space="0" w:color="auto"/>
        <w:right w:val="none" w:sz="0" w:space="0" w:color="auto"/>
      </w:divBdr>
    </w:div>
    <w:div w:id="191960787">
      <w:bodyDiv w:val="1"/>
      <w:marLeft w:val="0"/>
      <w:marRight w:val="0"/>
      <w:marTop w:val="0"/>
      <w:marBottom w:val="0"/>
      <w:divBdr>
        <w:top w:val="none" w:sz="0" w:space="0" w:color="auto"/>
        <w:left w:val="none" w:sz="0" w:space="0" w:color="auto"/>
        <w:bottom w:val="none" w:sz="0" w:space="0" w:color="auto"/>
        <w:right w:val="none" w:sz="0" w:space="0" w:color="auto"/>
      </w:divBdr>
      <w:divsChild>
        <w:div w:id="1785072010">
          <w:marLeft w:val="0"/>
          <w:marRight w:val="0"/>
          <w:marTop w:val="0"/>
          <w:marBottom w:val="0"/>
          <w:divBdr>
            <w:top w:val="none" w:sz="0" w:space="0" w:color="auto"/>
            <w:left w:val="none" w:sz="0" w:space="0" w:color="auto"/>
            <w:bottom w:val="none" w:sz="0" w:space="0" w:color="auto"/>
            <w:right w:val="none" w:sz="0" w:space="0" w:color="auto"/>
          </w:divBdr>
          <w:divsChild>
            <w:div w:id="55909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03672">
      <w:bodyDiv w:val="1"/>
      <w:marLeft w:val="0"/>
      <w:marRight w:val="0"/>
      <w:marTop w:val="0"/>
      <w:marBottom w:val="0"/>
      <w:divBdr>
        <w:top w:val="none" w:sz="0" w:space="0" w:color="auto"/>
        <w:left w:val="none" w:sz="0" w:space="0" w:color="auto"/>
        <w:bottom w:val="none" w:sz="0" w:space="0" w:color="auto"/>
        <w:right w:val="none" w:sz="0" w:space="0" w:color="auto"/>
      </w:divBdr>
      <w:divsChild>
        <w:div w:id="288325197">
          <w:marLeft w:val="0"/>
          <w:marRight w:val="0"/>
          <w:marTop w:val="0"/>
          <w:marBottom w:val="0"/>
          <w:divBdr>
            <w:top w:val="none" w:sz="0" w:space="0" w:color="auto"/>
            <w:left w:val="none" w:sz="0" w:space="0" w:color="auto"/>
            <w:bottom w:val="none" w:sz="0" w:space="0" w:color="auto"/>
            <w:right w:val="none" w:sz="0" w:space="0" w:color="auto"/>
          </w:divBdr>
          <w:divsChild>
            <w:div w:id="120606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7962">
      <w:bodyDiv w:val="1"/>
      <w:marLeft w:val="0"/>
      <w:marRight w:val="0"/>
      <w:marTop w:val="0"/>
      <w:marBottom w:val="0"/>
      <w:divBdr>
        <w:top w:val="none" w:sz="0" w:space="0" w:color="auto"/>
        <w:left w:val="none" w:sz="0" w:space="0" w:color="auto"/>
        <w:bottom w:val="none" w:sz="0" w:space="0" w:color="auto"/>
        <w:right w:val="none" w:sz="0" w:space="0" w:color="auto"/>
      </w:divBdr>
      <w:divsChild>
        <w:div w:id="253437088">
          <w:marLeft w:val="0"/>
          <w:marRight w:val="0"/>
          <w:marTop w:val="0"/>
          <w:marBottom w:val="0"/>
          <w:divBdr>
            <w:top w:val="none" w:sz="0" w:space="0" w:color="auto"/>
            <w:left w:val="none" w:sz="0" w:space="0" w:color="auto"/>
            <w:bottom w:val="none" w:sz="0" w:space="0" w:color="auto"/>
            <w:right w:val="none" w:sz="0" w:space="0" w:color="auto"/>
          </w:divBdr>
          <w:divsChild>
            <w:div w:id="17839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653190">
      <w:bodyDiv w:val="1"/>
      <w:marLeft w:val="0"/>
      <w:marRight w:val="0"/>
      <w:marTop w:val="0"/>
      <w:marBottom w:val="0"/>
      <w:divBdr>
        <w:top w:val="none" w:sz="0" w:space="0" w:color="auto"/>
        <w:left w:val="none" w:sz="0" w:space="0" w:color="auto"/>
        <w:bottom w:val="none" w:sz="0" w:space="0" w:color="auto"/>
        <w:right w:val="none" w:sz="0" w:space="0" w:color="auto"/>
      </w:divBdr>
    </w:div>
    <w:div w:id="349768985">
      <w:bodyDiv w:val="1"/>
      <w:marLeft w:val="0"/>
      <w:marRight w:val="0"/>
      <w:marTop w:val="0"/>
      <w:marBottom w:val="0"/>
      <w:divBdr>
        <w:top w:val="none" w:sz="0" w:space="0" w:color="auto"/>
        <w:left w:val="none" w:sz="0" w:space="0" w:color="auto"/>
        <w:bottom w:val="none" w:sz="0" w:space="0" w:color="auto"/>
        <w:right w:val="none" w:sz="0" w:space="0" w:color="auto"/>
      </w:divBdr>
    </w:div>
    <w:div w:id="421490198">
      <w:bodyDiv w:val="1"/>
      <w:marLeft w:val="0"/>
      <w:marRight w:val="0"/>
      <w:marTop w:val="0"/>
      <w:marBottom w:val="0"/>
      <w:divBdr>
        <w:top w:val="none" w:sz="0" w:space="0" w:color="auto"/>
        <w:left w:val="none" w:sz="0" w:space="0" w:color="auto"/>
        <w:bottom w:val="none" w:sz="0" w:space="0" w:color="auto"/>
        <w:right w:val="none" w:sz="0" w:space="0" w:color="auto"/>
      </w:divBdr>
      <w:divsChild>
        <w:div w:id="1037663365">
          <w:marLeft w:val="0"/>
          <w:marRight w:val="0"/>
          <w:marTop w:val="0"/>
          <w:marBottom w:val="0"/>
          <w:divBdr>
            <w:top w:val="none" w:sz="0" w:space="0" w:color="auto"/>
            <w:left w:val="none" w:sz="0" w:space="0" w:color="auto"/>
            <w:bottom w:val="none" w:sz="0" w:space="0" w:color="auto"/>
            <w:right w:val="none" w:sz="0" w:space="0" w:color="auto"/>
          </w:divBdr>
          <w:divsChild>
            <w:div w:id="83191633">
              <w:marLeft w:val="0"/>
              <w:marRight w:val="0"/>
              <w:marTop w:val="0"/>
              <w:marBottom w:val="0"/>
              <w:divBdr>
                <w:top w:val="none" w:sz="0" w:space="0" w:color="auto"/>
                <w:left w:val="none" w:sz="0" w:space="0" w:color="auto"/>
                <w:bottom w:val="none" w:sz="0" w:space="0" w:color="auto"/>
                <w:right w:val="none" w:sz="0" w:space="0" w:color="auto"/>
              </w:divBdr>
            </w:div>
          </w:divsChild>
        </w:div>
        <w:div w:id="211582859">
          <w:marLeft w:val="0"/>
          <w:marRight w:val="0"/>
          <w:marTop w:val="0"/>
          <w:marBottom w:val="0"/>
          <w:divBdr>
            <w:top w:val="none" w:sz="0" w:space="0" w:color="auto"/>
            <w:left w:val="none" w:sz="0" w:space="0" w:color="auto"/>
            <w:bottom w:val="none" w:sz="0" w:space="0" w:color="auto"/>
            <w:right w:val="none" w:sz="0" w:space="0" w:color="auto"/>
          </w:divBdr>
          <w:divsChild>
            <w:div w:id="195154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48381">
      <w:bodyDiv w:val="1"/>
      <w:marLeft w:val="0"/>
      <w:marRight w:val="0"/>
      <w:marTop w:val="0"/>
      <w:marBottom w:val="0"/>
      <w:divBdr>
        <w:top w:val="none" w:sz="0" w:space="0" w:color="auto"/>
        <w:left w:val="none" w:sz="0" w:space="0" w:color="auto"/>
        <w:bottom w:val="none" w:sz="0" w:space="0" w:color="auto"/>
        <w:right w:val="none" w:sz="0" w:space="0" w:color="auto"/>
      </w:divBdr>
    </w:div>
    <w:div w:id="485782147">
      <w:bodyDiv w:val="1"/>
      <w:marLeft w:val="0"/>
      <w:marRight w:val="0"/>
      <w:marTop w:val="0"/>
      <w:marBottom w:val="0"/>
      <w:divBdr>
        <w:top w:val="none" w:sz="0" w:space="0" w:color="auto"/>
        <w:left w:val="none" w:sz="0" w:space="0" w:color="auto"/>
        <w:bottom w:val="none" w:sz="0" w:space="0" w:color="auto"/>
        <w:right w:val="none" w:sz="0" w:space="0" w:color="auto"/>
      </w:divBdr>
      <w:divsChild>
        <w:div w:id="1715734459">
          <w:marLeft w:val="0"/>
          <w:marRight w:val="0"/>
          <w:marTop w:val="0"/>
          <w:marBottom w:val="0"/>
          <w:divBdr>
            <w:top w:val="none" w:sz="0" w:space="0" w:color="auto"/>
            <w:left w:val="none" w:sz="0" w:space="0" w:color="auto"/>
            <w:bottom w:val="none" w:sz="0" w:space="0" w:color="auto"/>
            <w:right w:val="none" w:sz="0" w:space="0" w:color="auto"/>
          </w:divBdr>
          <w:divsChild>
            <w:div w:id="10723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82861">
      <w:bodyDiv w:val="1"/>
      <w:marLeft w:val="0"/>
      <w:marRight w:val="0"/>
      <w:marTop w:val="0"/>
      <w:marBottom w:val="0"/>
      <w:divBdr>
        <w:top w:val="none" w:sz="0" w:space="0" w:color="auto"/>
        <w:left w:val="none" w:sz="0" w:space="0" w:color="auto"/>
        <w:bottom w:val="none" w:sz="0" w:space="0" w:color="auto"/>
        <w:right w:val="none" w:sz="0" w:space="0" w:color="auto"/>
      </w:divBdr>
    </w:div>
    <w:div w:id="576479867">
      <w:bodyDiv w:val="1"/>
      <w:marLeft w:val="0"/>
      <w:marRight w:val="0"/>
      <w:marTop w:val="0"/>
      <w:marBottom w:val="0"/>
      <w:divBdr>
        <w:top w:val="none" w:sz="0" w:space="0" w:color="auto"/>
        <w:left w:val="none" w:sz="0" w:space="0" w:color="auto"/>
        <w:bottom w:val="none" w:sz="0" w:space="0" w:color="auto"/>
        <w:right w:val="none" w:sz="0" w:space="0" w:color="auto"/>
      </w:divBdr>
    </w:div>
    <w:div w:id="697270107">
      <w:bodyDiv w:val="1"/>
      <w:marLeft w:val="0"/>
      <w:marRight w:val="0"/>
      <w:marTop w:val="0"/>
      <w:marBottom w:val="0"/>
      <w:divBdr>
        <w:top w:val="none" w:sz="0" w:space="0" w:color="auto"/>
        <w:left w:val="none" w:sz="0" w:space="0" w:color="auto"/>
        <w:bottom w:val="none" w:sz="0" w:space="0" w:color="auto"/>
        <w:right w:val="none" w:sz="0" w:space="0" w:color="auto"/>
      </w:divBdr>
    </w:div>
    <w:div w:id="753236090">
      <w:bodyDiv w:val="1"/>
      <w:marLeft w:val="0"/>
      <w:marRight w:val="0"/>
      <w:marTop w:val="0"/>
      <w:marBottom w:val="0"/>
      <w:divBdr>
        <w:top w:val="none" w:sz="0" w:space="0" w:color="auto"/>
        <w:left w:val="none" w:sz="0" w:space="0" w:color="auto"/>
        <w:bottom w:val="none" w:sz="0" w:space="0" w:color="auto"/>
        <w:right w:val="none" w:sz="0" w:space="0" w:color="auto"/>
      </w:divBdr>
    </w:div>
    <w:div w:id="758212251">
      <w:bodyDiv w:val="1"/>
      <w:marLeft w:val="0"/>
      <w:marRight w:val="0"/>
      <w:marTop w:val="0"/>
      <w:marBottom w:val="0"/>
      <w:divBdr>
        <w:top w:val="none" w:sz="0" w:space="0" w:color="auto"/>
        <w:left w:val="none" w:sz="0" w:space="0" w:color="auto"/>
        <w:bottom w:val="none" w:sz="0" w:space="0" w:color="auto"/>
        <w:right w:val="none" w:sz="0" w:space="0" w:color="auto"/>
      </w:divBdr>
    </w:div>
    <w:div w:id="882642701">
      <w:bodyDiv w:val="1"/>
      <w:marLeft w:val="0"/>
      <w:marRight w:val="0"/>
      <w:marTop w:val="0"/>
      <w:marBottom w:val="0"/>
      <w:divBdr>
        <w:top w:val="none" w:sz="0" w:space="0" w:color="auto"/>
        <w:left w:val="none" w:sz="0" w:space="0" w:color="auto"/>
        <w:bottom w:val="none" w:sz="0" w:space="0" w:color="auto"/>
        <w:right w:val="none" w:sz="0" w:space="0" w:color="auto"/>
      </w:divBdr>
      <w:divsChild>
        <w:div w:id="592250558">
          <w:marLeft w:val="0"/>
          <w:marRight w:val="0"/>
          <w:marTop w:val="0"/>
          <w:marBottom w:val="0"/>
          <w:divBdr>
            <w:top w:val="none" w:sz="0" w:space="0" w:color="auto"/>
            <w:left w:val="none" w:sz="0" w:space="0" w:color="auto"/>
            <w:bottom w:val="none" w:sz="0" w:space="0" w:color="auto"/>
            <w:right w:val="none" w:sz="0" w:space="0" w:color="auto"/>
          </w:divBdr>
          <w:divsChild>
            <w:div w:id="210144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69270">
      <w:bodyDiv w:val="1"/>
      <w:marLeft w:val="0"/>
      <w:marRight w:val="0"/>
      <w:marTop w:val="0"/>
      <w:marBottom w:val="0"/>
      <w:divBdr>
        <w:top w:val="none" w:sz="0" w:space="0" w:color="auto"/>
        <w:left w:val="none" w:sz="0" w:space="0" w:color="auto"/>
        <w:bottom w:val="none" w:sz="0" w:space="0" w:color="auto"/>
        <w:right w:val="none" w:sz="0" w:space="0" w:color="auto"/>
      </w:divBdr>
    </w:div>
    <w:div w:id="954674261">
      <w:bodyDiv w:val="1"/>
      <w:marLeft w:val="0"/>
      <w:marRight w:val="0"/>
      <w:marTop w:val="0"/>
      <w:marBottom w:val="0"/>
      <w:divBdr>
        <w:top w:val="none" w:sz="0" w:space="0" w:color="auto"/>
        <w:left w:val="none" w:sz="0" w:space="0" w:color="auto"/>
        <w:bottom w:val="none" w:sz="0" w:space="0" w:color="auto"/>
        <w:right w:val="none" w:sz="0" w:space="0" w:color="auto"/>
      </w:divBdr>
    </w:div>
    <w:div w:id="1055736929">
      <w:bodyDiv w:val="1"/>
      <w:marLeft w:val="0"/>
      <w:marRight w:val="0"/>
      <w:marTop w:val="0"/>
      <w:marBottom w:val="0"/>
      <w:divBdr>
        <w:top w:val="none" w:sz="0" w:space="0" w:color="auto"/>
        <w:left w:val="none" w:sz="0" w:space="0" w:color="auto"/>
        <w:bottom w:val="none" w:sz="0" w:space="0" w:color="auto"/>
        <w:right w:val="none" w:sz="0" w:space="0" w:color="auto"/>
      </w:divBdr>
      <w:divsChild>
        <w:div w:id="1623607818">
          <w:marLeft w:val="0"/>
          <w:marRight w:val="0"/>
          <w:marTop w:val="0"/>
          <w:marBottom w:val="0"/>
          <w:divBdr>
            <w:top w:val="none" w:sz="0" w:space="0" w:color="auto"/>
            <w:left w:val="none" w:sz="0" w:space="0" w:color="auto"/>
            <w:bottom w:val="none" w:sz="0" w:space="0" w:color="auto"/>
            <w:right w:val="none" w:sz="0" w:space="0" w:color="auto"/>
          </w:divBdr>
          <w:divsChild>
            <w:div w:id="1199663761">
              <w:marLeft w:val="0"/>
              <w:marRight w:val="0"/>
              <w:marTop w:val="0"/>
              <w:marBottom w:val="0"/>
              <w:divBdr>
                <w:top w:val="none" w:sz="0" w:space="0" w:color="auto"/>
                <w:left w:val="none" w:sz="0" w:space="0" w:color="auto"/>
                <w:bottom w:val="none" w:sz="0" w:space="0" w:color="auto"/>
                <w:right w:val="none" w:sz="0" w:space="0" w:color="auto"/>
              </w:divBdr>
              <w:divsChild>
                <w:div w:id="1811363639">
                  <w:marLeft w:val="0"/>
                  <w:marRight w:val="0"/>
                  <w:marTop w:val="0"/>
                  <w:marBottom w:val="0"/>
                  <w:divBdr>
                    <w:top w:val="none" w:sz="0" w:space="0" w:color="auto"/>
                    <w:left w:val="none" w:sz="0" w:space="0" w:color="auto"/>
                    <w:bottom w:val="none" w:sz="0" w:space="0" w:color="auto"/>
                    <w:right w:val="none" w:sz="0" w:space="0" w:color="auto"/>
                  </w:divBdr>
                  <w:divsChild>
                    <w:div w:id="1873569972">
                      <w:marLeft w:val="0"/>
                      <w:marRight w:val="0"/>
                      <w:marTop w:val="0"/>
                      <w:marBottom w:val="0"/>
                      <w:divBdr>
                        <w:top w:val="none" w:sz="0" w:space="0" w:color="auto"/>
                        <w:left w:val="none" w:sz="0" w:space="0" w:color="auto"/>
                        <w:bottom w:val="none" w:sz="0" w:space="0" w:color="auto"/>
                        <w:right w:val="none" w:sz="0" w:space="0" w:color="auto"/>
                      </w:divBdr>
                      <w:divsChild>
                        <w:div w:id="914631299">
                          <w:marLeft w:val="0"/>
                          <w:marRight w:val="0"/>
                          <w:marTop w:val="0"/>
                          <w:marBottom w:val="0"/>
                          <w:divBdr>
                            <w:top w:val="none" w:sz="0" w:space="0" w:color="auto"/>
                            <w:left w:val="none" w:sz="0" w:space="0" w:color="auto"/>
                            <w:bottom w:val="none" w:sz="0" w:space="0" w:color="auto"/>
                            <w:right w:val="none" w:sz="0" w:space="0" w:color="auto"/>
                          </w:divBdr>
                          <w:divsChild>
                            <w:div w:id="743602676">
                              <w:marLeft w:val="0"/>
                              <w:marRight w:val="0"/>
                              <w:marTop w:val="0"/>
                              <w:marBottom w:val="0"/>
                              <w:divBdr>
                                <w:top w:val="none" w:sz="0" w:space="0" w:color="auto"/>
                                <w:left w:val="none" w:sz="0" w:space="0" w:color="auto"/>
                                <w:bottom w:val="none" w:sz="0" w:space="0" w:color="auto"/>
                                <w:right w:val="none" w:sz="0" w:space="0" w:color="auto"/>
                              </w:divBdr>
                              <w:divsChild>
                                <w:div w:id="645285917">
                                  <w:marLeft w:val="0"/>
                                  <w:marRight w:val="0"/>
                                  <w:marTop w:val="0"/>
                                  <w:marBottom w:val="0"/>
                                  <w:divBdr>
                                    <w:top w:val="none" w:sz="0" w:space="0" w:color="auto"/>
                                    <w:left w:val="none" w:sz="0" w:space="0" w:color="auto"/>
                                    <w:bottom w:val="none" w:sz="0" w:space="0" w:color="auto"/>
                                    <w:right w:val="none" w:sz="0" w:space="0" w:color="auto"/>
                                  </w:divBdr>
                                  <w:divsChild>
                                    <w:div w:id="622927438">
                                      <w:marLeft w:val="0"/>
                                      <w:marRight w:val="0"/>
                                      <w:marTop w:val="0"/>
                                      <w:marBottom w:val="0"/>
                                      <w:divBdr>
                                        <w:top w:val="none" w:sz="0" w:space="0" w:color="auto"/>
                                        <w:left w:val="none" w:sz="0" w:space="0" w:color="auto"/>
                                        <w:bottom w:val="none" w:sz="0" w:space="0" w:color="auto"/>
                                        <w:right w:val="none" w:sz="0" w:space="0" w:color="auto"/>
                                      </w:divBdr>
                                      <w:divsChild>
                                        <w:div w:id="1427269717">
                                          <w:marLeft w:val="0"/>
                                          <w:marRight w:val="0"/>
                                          <w:marTop w:val="0"/>
                                          <w:marBottom w:val="0"/>
                                          <w:divBdr>
                                            <w:top w:val="none" w:sz="0" w:space="0" w:color="auto"/>
                                            <w:left w:val="none" w:sz="0" w:space="0" w:color="auto"/>
                                            <w:bottom w:val="none" w:sz="0" w:space="0" w:color="auto"/>
                                            <w:right w:val="none" w:sz="0" w:space="0" w:color="auto"/>
                                          </w:divBdr>
                                          <w:divsChild>
                                            <w:div w:id="1021662069">
                                              <w:marLeft w:val="0"/>
                                              <w:marRight w:val="0"/>
                                              <w:marTop w:val="0"/>
                                              <w:marBottom w:val="0"/>
                                              <w:divBdr>
                                                <w:top w:val="none" w:sz="0" w:space="0" w:color="auto"/>
                                                <w:left w:val="none" w:sz="0" w:space="0" w:color="auto"/>
                                                <w:bottom w:val="none" w:sz="0" w:space="0" w:color="auto"/>
                                                <w:right w:val="none" w:sz="0" w:space="0" w:color="auto"/>
                                              </w:divBdr>
                                              <w:divsChild>
                                                <w:div w:id="1821576348">
                                                  <w:marLeft w:val="0"/>
                                                  <w:marRight w:val="0"/>
                                                  <w:marTop w:val="0"/>
                                                  <w:marBottom w:val="0"/>
                                                  <w:divBdr>
                                                    <w:top w:val="none" w:sz="0" w:space="0" w:color="auto"/>
                                                    <w:left w:val="none" w:sz="0" w:space="0" w:color="auto"/>
                                                    <w:bottom w:val="none" w:sz="0" w:space="0" w:color="auto"/>
                                                    <w:right w:val="none" w:sz="0" w:space="0" w:color="auto"/>
                                                  </w:divBdr>
                                                  <w:divsChild>
                                                    <w:div w:id="31083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123753">
                                      <w:marLeft w:val="0"/>
                                      <w:marRight w:val="0"/>
                                      <w:marTop w:val="0"/>
                                      <w:marBottom w:val="0"/>
                                      <w:divBdr>
                                        <w:top w:val="none" w:sz="0" w:space="0" w:color="auto"/>
                                        <w:left w:val="none" w:sz="0" w:space="0" w:color="auto"/>
                                        <w:bottom w:val="none" w:sz="0" w:space="0" w:color="auto"/>
                                        <w:right w:val="none" w:sz="0" w:space="0" w:color="auto"/>
                                      </w:divBdr>
                                      <w:divsChild>
                                        <w:div w:id="9002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061383">
          <w:marLeft w:val="0"/>
          <w:marRight w:val="0"/>
          <w:marTop w:val="0"/>
          <w:marBottom w:val="0"/>
          <w:divBdr>
            <w:top w:val="none" w:sz="0" w:space="0" w:color="auto"/>
            <w:left w:val="none" w:sz="0" w:space="0" w:color="auto"/>
            <w:bottom w:val="none" w:sz="0" w:space="0" w:color="auto"/>
            <w:right w:val="none" w:sz="0" w:space="0" w:color="auto"/>
          </w:divBdr>
          <w:divsChild>
            <w:div w:id="1470241803">
              <w:marLeft w:val="0"/>
              <w:marRight w:val="0"/>
              <w:marTop w:val="0"/>
              <w:marBottom w:val="0"/>
              <w:divBdr>
                <w:top w:val="none" w:sz="0" w:space="0" w:color="auto"/>
                <w:left w:val="none" w:sz="0" w:space="0" w:color="auto"/>
                <w:bottom w:val="none" w:sz="0" w:space="0" w:color="auto"/>
                <w:right w:val="none" w:sz="0" w:space="0" w:color="auto"/>
              </w:divBdr>
              <w:divsChild>
                <w:div w:id="96606352">
                  <w:marLeft w:val="0"/>
                  <w:marRight w:val="0"/>
                  <w:marTop w:val="0"/>
                  <w:marBottom w:val="0"/>
                  <w:divBdr>
                    <w:top w:val="none" w:sz="0" w:space="0" w:color="auto"/>
                    <w:left w:val="none" w:sz="0" w:space="0" w:color="auto"/>
                    <w:bottom w:val="none" w:sz="0" w:space="0" w:color="auto"/>
                    <w:right w:val="none" w:sz="0" w:space="0" w:color="auto"/>
                  </w:divBdr>
                  <w:divsChild>
                    <w:div w:id="643655797">
                      <w:marLeft w:val="0"/>
                      <w:marRight w:val="0"/>
                      <w:marTop w:val="0"/>
                      <w:marBottom w:val="0"/>
                      <w:divBdr>
                        <w:top w:val="none" w:sz="0" w:space="0" w:color="auto"/>
                        <w:left w:val="none" w:sz="0" w:space="0" w:color="auto"/>
                        <w:bottom w:val="none" w:sz="0" w:space="0" w:color="auto"/>
                        <w:right w:val="none" w:sz="0" w:space="0" w:color="auto"/>
                      </w:divBdr>
                      <w:divsChild>
                        <w:div w:id="709065401">
                          <w:marLeft w:val="0"/>
                          <w:marRight w:val="0"/>
                          <w:marTop w:val="0"/>
                          <w:marBottom w:val="0"/>
                          <w:divBdr>
                            <w:top w:val="none" w:sz="0" w:space="0" w:color="auto"/>
                            <w:left w:val="none" w:sz="0" w:space="0" w:color="auto"/>
                            <w:bottom w:val="none" w:sz="0" w:space="0" w:color="auto"/>
                            <w:right w:val="none" w:sz="0" w:space="0" w:color="auto"/>
                          </w:divBdr>
                          <w:divsChild>
                            <w:div w:id="276061195">
                              <w:marLeft w:val="0"/>
                              <w:marRight w:val="0"/>
                              <w:marTop w:val="0"/>
                              <w:marBottom w:val="0"/>
                              <w:divBdr>
                                <w:top w:val="none" w:sz="0" w:space="0" w:color="auto"/>
                                <w:left w:val="none" w:sz="0" w:space="0" w:color="auto"/>
                                <w:bottom w:val="none" w:sz="0" w:space="0" w:color="auto"/>
                                <w:right w:val="none" w:sz="0" w:space="0" w:color="auto"/>
                              </w:divBdr>
                              <w:divsChild>
                                <w:div w:id="1231694825">
                                  <w:marLeft w:val="0"/>
                                  <w:marRight w:val="0"/>
                                  <w:marTop w:val="0"/>
                                  <w:marBottom w:val="0"/>
                                  <w:divBdr>
                                    <w:top w:val="none" w:sz="0" w:space="0" w:color="auto"/>
                                    <w:left w:val="none" w:sz="0" w:space="0" w:color="auto"/>
                                    <w:bottom w:val="none" w:sz="0" w:space="0" w:color="auto"/>
                                    <w:right w:val="none" w:sz="0" w:space="0" w:color="auto"/>
                                  </w:divBdr>
                                  <w:divsChild>
                                    <w:div w:id="455029815">
                                      <w:marLeft w:val="0"/>
                                      <w:marRight w:val="0"/>
                                      <w:marTop w:val="0"/>
                                      <w:marBottom w:val="0"/>
                                      <w:divBdr>
                                        <w:top w:val="none" w:sz="0" w:space="0" w:color="auto"/>
                                        <w:left w:val="none" w:sz="0" w:space="0" w:color="auto"/>
                                        <w:bottom w:val="none" w:sz="0" w:space="0" w:color="auto"/>
                                        <w:right w:val="none" w:sz="0" w:space="0" w:color="auto"/>
                                      </w:divBdr>
                                      <w:divsChild>
                                        <w:div w:id="682443174">
                                          <w:marLeft w:val="0"/>
                                          <w:marRight w:val="0"/>
                                          <w:marTop w:val="0"/>
                                          <w:marBottom w:val="0"/>
                                          <w:divBdr>
                                            <w:top w:val="none" w:sz="0" w:space="0" w:color="auto"/>
                                            <w:left w:val="none" w:sz="0" w:space="0" w:color="auto"/>
                                            <w:bottom w:val="none" w:sz="0" w:space="0" w:color="auto"/>
                                            <w:right w:val="none" w:sz="0" w:space="0" w:color="auto"/>
                                          </w:divBdr>
                                          <w:divsChild>
                                            <w:div w:id="519856566">
                                              <w:marLeft w:val="0"/>
                                              <w:marRight w:val="0"/>
                                              <w:marTop w:val="0"/>
                                              <w:marBottom w:val="0"/>
                                              <w:divBdr>
                                                <w:top w:val="none" w:sz="0" w:space="0" w:color="auto"/>
                                                <w:left w:val="none" w:sz="0" w:space="0" w:color="auto"/>
                                                <w:bottom w:val="none" w:sz="0" w:space="0" w:color="auto"/>
                                                <w:right w:val="none" w:sz="0" w:space="0" w:color="auto"/>
                                              </w:divBdr>
                                              <w:divsChild>
                                                <w:div w:id="1048799040">
                                                  <w:marLeft w:val="0"/>
                                                  <w:marRight w:val="0"/>
                                                  <w:marTop w:val="0"/>
                                                  <w:marBottom w:val="0"/>
                                                  <w:divBdr>
                                                    <w:top w:val="none" w:sz="0" w:space="0" w:color="auto"/>
                                                    <w:left w:val="none" w:sz="0" w:space="0" w:color="auto"/>
                                                    <w:bottom w:val="none" w:sz="0" w:space="0" w:color="auto"/>
                                                    <w:right w:val="none" w:sz="0" w:space="0" w:color="auto"/>
                                                  </w:divBdr>
                                                  <w:divsChild>
                                                    <w:div w:id="20148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905804">
      <w:bodyDiv w:val="1"/>
      <w:marLeft w:val="0"/>
      <w:marRight w:val="0"/>
      <w:marTop w:val="0"/>
      <w:marBottom w:val="0"/>
      <w:divBdr>
        <w:top w:val="none" w:sz="0" w:space="0" w:color="auto"/>
        <w:left w:val="none" w:sz="0" w:space="0" w:color="auto"/>
        <w:bottom w:val="none" w:sz="0" w:space="0" w:color="auto"/>
        <w:right w:val="none" w:sz="0" w:space="0" w:color="auto"/>
      </w:divBdr>
    </w:div>
    <w:div w:id="1121917858">
      <w:bodyDiv w:val="1"/>
      <w:marLeft w:val="0"/>
      <w:marRight w:val="0"/>
      <w:marTop w:val="0"/>
      <w:marBottom w:val="0"/>
      <w:divBdr>
        <w:top w:val="none" w:sz="0" w:space="0" w:color="auto"/>
        <w:left w:val="none" w:sz="0" w:space="0" w:color="auto"/>
        <w:bottom w:val="none" w:sz="0" w:space="0" w:color="auto"/>
        <w:right w:val="none" w:sz="0" w:space="0" w:color="auto"/>
      </w:divBdr>
    </w:div>
    <w:div w:id="1154445413">
      <w:bodyDiv w:val="1"/>
      <w:marLeft w:val="0"/>
      <w:marRight w:val="0"/>
      <w:marTop w:val="0"/>
      <w:marBottom w:val="0"/>
      <w:divBdr>
        <w:top w:val="none" w:sz="0" w:space="0" w:color="auto"/>
        <w:left w:val="none" w:sz="0" w:space="0" w:color="auto"/>
        <w:bottom w:val="none" w:sz="0" w:space="0" w:color="auto"/>
        <w:right w:val="none" w:sz="0" w:space="0" w:color="auto"/>
      </w:divBdr>
    </w:div>
    <w:div w:id="1197546150">
      <w:bodyDiv w:val="1"/>
      <w:marLeft w:val="0"/>
      <w:marRight w:val="0"/>
      <w:marTop w:val="0"/>
      <w:marBottom w:val="0"/>
      <w:divBdr>
        <w:top w:val="none" w:sz="0" w:space="0" w:color="auto"/>
        <w:left w:val="none" w:sz="0" w:space="0" w:color="auto"/>
        <w:bottom w:val="none" w:sz="0" w:space="0" w:color="auto"/>
        <w:right w:val="none" w:sz="0" w:space="0" w:color="auto"/>
      </w:divBdr>
    </w:div>
    <w:div w:id="1225945473">
      <w:bodyDiv w:val="1"/>
      <w:marLeft w:val="0"/>
      <w:marRight w:val="0"/>
      <w:marTop w:val="0"/>
      <w:marBottom w:val="0"/>
      <w:divBdr>
        <w:top w:val="none" w:sz="0" w:space="0" w:color="auto"/>
        <w:left w:val="none" w:sz="0" w:space="0" w:color="auto"/>
        <w:bottom w:val="none" w:sz="0" w:space="0" w:color="auto"/>
        <w:right w:val="none" w:sz="0" w:space="0" w:color="auto"/>
      </w:divBdr>
    </w:div>
    <w:div w:id="1271477308">
      <w:bodyDiv w:val="1"/>
      <w:marLeft w:val="0"/>
      <w:marRight w:val="0"/>
      <w:marTop w:val="0"/>
      <w:marBottom w:val="0"/>
      <w:divBdr>
        <w:top w:val="none" w:sz="0" w:space="0" w:color="auto"/>
        <w:left w:val="none" w:sz="0" w:space="0" w:color="auto"/>
        <w:bottom w:val="none" w:sz="0" w:space="0" w:color="auto"/>
        <w:right w:val="none" w:sz="0" w:space="0" w:color="auto"/>
      </w:divBdr>
    </w:div>
    <w:div w:id="1332369193">
      <w:bodyDiv w:val="1"/>
      <w:marLeft w:val="0"/>
      <w:marRight w:val="0"/>
      <w:marTop w:val="0"/>
      <w:marBottom w:val="0"/>
      <w:divBdr>
        <w:top w:val="none" w:sz="0" w:space="0" w:color="auto"/>
        <w:left w:val="none" w:sz="0" w:space="0" w:color="auto"/>
        <w:bottom w:val="none" w:sz="0" w:space="0" w:color="auto"/>
        <w:right w:val="none" w:sz="0" w:space="0" w:color="auto"/>
      </w:divBdr>
    </w:div>
    <w:div w:id="1364133622">
      <w:bodyDiv w:val="1"/>
      <w:marLeft w:val="0"/>
      <w:marRight w:val="0"/>
      <w:marTop w:val="0"/>
      <w:marBottom w:val="0"/>
      <w:divBdr>
        <w:top w:val="none" w:sz="0" w:space="0" w:color="auto"/>
        <w:left w:val="none" w:sz="0" w:space="0" w:color="auto"/>
        <w:bottom w:val="none" w:sz="0" w:space="0" w:color="auto"/>
        <w:right w:val="none" w:sz="0" w:space="0" w:color="auto"/>
      </w:divBdr>
    </w:div>
    <w:div w:id="1371758498">
      <w:bodyDiv w:val="1"/>
      <w:marLeft w:val="0"/>
      <w:marRight w:val="0"/>
      <w:marTop w:val="0"/>
      <w:marBottom w:val="0"/>
      <w:divBdr>
        <w:top w:val="none" w:sz="0" w:space="0" w:color="auto"/>
        <w:left w:val="none" w:sz="0" w:space="0" w:color="auto"/>
        <w:bottom w:val="none" w:sz="0" w:space="0" w:color="auto"/>
        <w:right w:val="none" w:sz="0" w:space="0" w:color="auto"/>
      </w:divBdr>
    </w:div>
    <w:div w:id="1375421270">
      <w:bodyDiv w:val="1"/>
      <w:marLeft w:val="0"/>
      <w:marRight w:val="0"/>
      <w:marTop w:val="0"/>
      <w:marBottom w:val="0"/>
      <w:divBdr>
        <w:top w:val="none" w:sz="0" w:space="0" w:color="auto"/>
        <w:left w:val="none" w:sz="0" w:space="0" w:color="auto"/>
        <w:bottom w:val="none" w:sz="0" w:space="0" w:color="auto"/>
        <w:right w:val="none" w:sz="0" w:space="0" w:color="auto"/>
      </w:divBdr>
    </w:div>
    <w:div w:id="1474255676">
      <w:bodyDiv w:val="1"/>
      <w:marLeft w:val="0"/>
      <w:marRight w:val="0"/>
      <w:marTop w:val="0"/>
      <w:marBottom w:val="0"/>
      <w:divBdr>
        <w:top w:val="none" w:sz="0" w:space="0" w:color="auto"/>
        <w:left w:val="none" w:sz="0" w:space="0" w:color="auto"/>
        <w:bottom w:val="none" w:sz="0" w:space="0" w:color="auto"/>
        <w:right w:val="none" w:sz="0" w:space="0" w:color="auto"/>
      </w:divBdr>
    </w:div>
    <w:div w:id="1526677949">
      <w:bodyDiv w:val="1"/>
      <w:marLeft w:val="0"/>
      <w:marRight w:val="0"/>
      <w:marTop w:val="0"/>
      <w:marBottom w:val="0"/>
      <w:divBdr>
        <w:top w:val="none" w:sz="0" w:space="0" w:color="auto"/>
        <w:left w:val="none" w:sz="0" w:space="0" w:color="auto"/>
        <w:bottom w:val="none" w:sz="0" w:space="0" w:color="auto"/>
        <w:right w:val="none" w:sz="0" w:space="0" w:color="auto"/>
      </w:divBdr>
    </w:div>
    <w:div w:id="1543832052">
      <w:bodyDiv w:val="1"/>
      <w:marLeft w:val="0"/>
      <w:marRight w:val="0"/>
      <w:marTop w:val="0"/>
      <w:marBottom w:val="0"/>
      <w:divBdr>
        <w:top w:val="none" w:sz="0" w:space="0" w:color="auto"/>
        <w:left w:val="none" w:sz="0" w:space="0" w:color="auto"/>
        <w:bottom w:val="none" w:sz="0" w:space="0" w:color="auto"/>
        <w:right w:val="none" w:sz="0" w:space="0" w:color="auto"/>
      </w:divBdr>
    </w:div>
    <w:div w:id="1708723438">
      <w:bodyDiv w:val="1"/>
      <w:marLeft w:val="0"/>
      <w:marRight w:val="0"/>
      <w:marTop w:val="0"/>
      <w:marBottom w:val="0"/>
      <w:divBdr>
        <w:top w:val="none" w:sz="0" w:space="0" w:color="auto"/>
        <w:left w:val="none" w:sz="0" w:space="0" w:color="auto"/>
        <w:bottom w:val="none" w:sz="0" w:space="0" w:color="auto"/>
        <w:right w:val="none" w:sz="0" w:space="0" w:color="auto"/>
      </w:divBdr>
    </w:div>
    <w:div w:id="1716781261">
      <w:bodyDiv w:val="1"/>
      <w:marLeft w:val="0"/>
      <w:marRight w:val="0"/>
      <w:marTop w:val="0"/>
      <w:marBottom w:val="0"/>
      <w:divBdr>
        <w:top w:val="none" w:sz="0" w:space="0" w:color="auto"/>
        <w:left w:val="none" w:sz="0" w:space="0" w:color="auto"/>
        <w:bottom w:val="none" w:sz="0" w:space="0" w:color="auto"/>
        <w:right w:val="none" w:sz="0" w:space="0" w:color="auto"/>
      </w:divBdr>
    </w:div>
    <w:div w:id="1820881348">
      <w:bodyDiv w:val="1"/>
      <w:marLeft w:val="0"/>
      <w:marRight w:val="0"/>
      <w:marTop w:val="0"/>
      <w:marBottom w:val="0"/>
      <w:divBdr>
        <w:top w:val="none" w:sz="0" w:space="0" w:color="auto"/>
        <w:left w:val="none" w:sz="0" w:space="0" w:color="auto"/>
        <w:bottom w:val="none" w:sz="0" w:space="0" w:color="auto"/>
        <w:right w:val="none" w:sz="0" w:space="0" w:color="auto"/>
      </w:divBdr>
    </w:div>
    <w:div w:id="1861814022">
      <w:bodyDiv w:val="1"/>
      <w:marLeft w:val="0"/>
      <w:marRight w:val="0"/>
      <w:marTop w:val="0"/>
      <w:marBottom w:val="0"/>
      <w:divBdr>
        <w:top w:val="none" w:sz="0" w:space="0" w:color="auto"/>
        <w:left w:val="none" w:sz="0" w:space="0" w:color="auto"/>
        <w:bottom w:val="none" w:sz="0" w:space="0" w:color="auto"/>
        <w:right w:val="none" w:sz="0" w:space="0" w:color="auto"/>
      </w:divBdr>
    </w:div>
    <w:div w:id="1908110945">
      <w:bodyDiv w:val="1"/>
      <w:marLeft w:val="0"/>
      <w:marRight w:val="0"/>
      <w:marTop w:val="0"/>
      <w:marBottom w:val="0"/>
      <w:divBdr>
        <w:top w:val="none" w:sz="0" w:space="0" w:color="auto"/>
        <w:left w:val="none" w:sz="0" w:space="0" w:color="auto"/>
        <w:bottom w:val="none" w:sz="0" w:space="0" w:color="auto"/>
        <w:right w:val="none" w:sz="0" w:space="0" w:color="auto"/>
      </w:divBdr>
    </w:div>
    <w:div w:id="1965430121">
      <w:bodyDiv w:val="1"/>
      <w:marLeft w:val="0"/>
      <w:marRight w:val="0"/>
      <w:marTop w:val="0"/>
      <w:marBottom w:val="0"/>
      <w:divBdr>
        <w:top w:val="none" w:sz="0" w:space="0" w:color="auto"/>
        <w:left w:val="none" w:sz="0" w:space="0" w:color="auto"/>
        <w:bottom w:val="none" w:sz="0" w:space="0" w:color="auto"/>
        <w:right w:val="none" w:sz="0" w:space="0" w:color="auto"/>
      </w:divBdr>
    </w:div>
    <w:div w:id="1980450556">
      <w:bodyDiv w:val="1"/>
      <w:marLeft w:val="0"/>
      <w:marRight w:val="0"/>
      <w:marTop w:val="0"/>
      <w:marBottom w:val="0"/>
      <w:divBdr>
        <w:top w:val="none" w:sz="0" w:space="0" w:color="auto"/>
        <w:left w:val="none" w:sz="0" w:space="0" w:color="auto"/>
        <w:bottom w:val="none" w:sz="0" w:space="0" w:color="auto"/>
        <w:right w:val="none" w:sz="0" w:space="0" w:color="auto"/>
      </w:divBdr>
    </w:div>
    <w:div w:id="2063015742">
      <w:bodyDiv w:val="1"/>
      <w:marLeft w:val="0"/>
      <w:marRight w:val="0"/>
      <w:marTop w:val="0"/>
      <w:marBottom w:val="0"/>
      <w:divBdr>
        <w:top w:val="none" w:sz="0" w:space="0" w:color="auto"/>
        <w:left w:val="none" w:sz="0" w:space="0" w:color="auto"/>
        <w:bottom w:val="none" w:sz="0" w:space="0" w:color="auto"/>
        <w:right w:val="none" w:sz="0" w:space="0" w:color="auto"/>
      </w:divBdr>
    </w:div>
    <w:div w:id="2103405418">
      <w:bodyDiv w:val="1"/>
      <w:marLeft w:val="0"/>
      <w:marRight w:val="0"/>
      <w:marTop w:val="0"/>
      <w:marBottom w:val="0"/>
      <w:divBdr>
        <w:top w:val="none" w:sz="0" w:space="0" w:color="auto"/>
        <w:left w:val="none" w:sz="0" w:space="0" w:color="auto"/>
        <w:bottom w:val="none" w:sz="0" w:space="0" w:color="auto"/>
        <w:right w:val="none" w:sz="0" w:space="0" w:color="auto"/>
      </w:divBdr>
      <w:divsChild>
        <w:div w:id="593588652">
          <w:marLeft w:val="0"/>
          <w:marRight w:val="0"/>
          <w:marTop w:val="0"/>
          <w:marBottom w:val="0"/>
          <w:divBdr>
            <w:top w:val="none" w:sz="0" w:space="0" w:color="auto"/>
            <w:left w:val="none" w:sz="0" w:space="0" w:color="auto"/>
            <w:bottom w:val="none" w:sz="0" w:space="0" w:color="auto"/>
            <w:right w:val="none" w:sz="0" w:space="0" w:color="auto"/>
          </w:divBdr>
          <w:divsChild>
            <w:div w:id="18323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17924">
      <w:bodyDiv w:val="1"/>
      <w:marLeft w:val="0"/>
      <w:marRight w:val="0"/>
      <w:marTop w:val="0"/>
      <w:marBottom w:val="0"/>
      <w:divBdr>
        <w:top w:val="none" w:sz="0" w:space="0" w:color="auto"/>
        <w:left w:val="none" w:sz="0" w:space="0" w:color="auto"/>
        <w:bottom w:val="none" w:sz="0" w:space="0" w:color="auto"/>
        <w:right w:val="none" w:sz="0" w:space="0" w:color="auto"/>
      </w:divBdr>
      <w:divsChild>
        <w:div w:id="1717469136">
          <w:marLeft w:val="0"/>
          <w:marRight w:val="0"/>
          <w:marTop w:val="0"/>
          <w:marBottom w:val="0"/>
          <w:divBdr>
            <w:top w:val="none" w:sz="0" w:space="0" w:color="auto"/>
            <w:left w:val="none" w:sz="0" w:space="0" w:color="auto"/>
            <w:bottom w:val="none" w:sz="0" w:space="0" w:color="auto"/>
            <w:right w:val="none" w:sz="0" w:space="0" w:color="auto"/>
          </w:divBdr>
          <w:divsChild>
            <w:div w:id="470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16238</Words>
  <Characters>92562</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2025-07-20T17:21:00Z</cp:lastPrinted>
  <dcterms:created xsi:type="dcterms:W3CDTF">2025-07-21T10:10:00Z</dcterms:created>
  <dcterms:modified xsi:type="dcterms:W3CDTF">2025-07-21T10:10:00Z</dcterms:modified>
</cp:coreProperties>
</file>