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3B7FF92" w14:textId="07BA5E5E" w:rsidR="00E32904" w:rsidRPr="00E32904" w:rsidRDefault="00E32904" w:rsidP="006B1446">
      <w:pPr>
        <w:spacing w:line="240" w:lineRule="auto"/>
        <w:jc w:val="center"/>
        <w:rPr>
          <w:rFonts w:ascii="Arial Black" w:hAnsi="Arial Black" w:cs="Times New Roman"/>
          <w:b/>
          <w:bCs/>
          <w:sz w:val="28"/>
          <w:szCs w:val="28"/>
        </w:rPr>
      </w:pPr>
      <w:r w:rsidRPr="00E32904">
        <w:rPr>
          <w:rFonts w:ascii="Arial Black" w:hAnsi="Arial Black" w:cs="Times New Roman"/>
          <w:b/>
          <w:bCs/>
          <w:sz w:val="28"/>
          <w:szCs w:val="28"/>
        </w:rPr>
        <w:t>RAJI LUKMAN OPEYEMI</w:t>
      </w:r>
    </w:p>
    <w:p w14:paraId="5275AEA9" w14:textId="13C2EEE1" w:rsidR="00E32904" w:rsidRPr="00E32904" w:rsidRDefault="00E32904" w:rsidP="006B1446">
      <w:pPr>
        <w:spacing w:line="240" w:lineRule="auto"/>
        <w:jc w:val="center"/>
        <w:rPr>
          <w:rFonts w:ascii="Arial Black" w:hAnsi="Arial Black" w:cs="Times New Roman"/>
          <w:b/>
          <w:bCs/>
          <w:sz w:val="28"/>
          <w:szCs w:val="28"/>
        </w:rPr>
      </w:pPr>
      <w:r w:rsidRPr="00E32904">
        <w:rPr>
          <w:rFonts w:ascii="Arial Black" w:hAnsi="Arial Black" w:cs="Times New Roman"/>
          <w:b/>
          <w:bCs/>
          <w:sz w:val="28"/>
          <w:szCs w:val="28"/>
        </w:rPr>
        <w:t>HND/23/SLT/FT/0339</w:t>
      </w:r>
    </w:p>
    <w:p w14:paraId="16737723" w14:textId="77777777" w:rsidR="00E32904" w:rsidRDefault="00E32904" w:rsidP="006B1446">
      <w:pPr>
        <w:spacing w:line="240" w:lineRule="auto"/>
        <w:jc w:val="center"/>
        <w:rPr>
          <w:rFonts w:ascii="Times New Roman" w:hAnsi="Times New Roman" w:cs="Times New Roman"/>
          <w:b/>
          <w:bCs/>
          <w:sz w:val="24"/>
          <w:szCs w:val="24"/>
        </w:rPr>
      </w:pPr>
    </w:p>
    <w:p w14:paraId="66AE32E2" w14:textId="77777777" w:rsidR="00E32904" w:rsidRDefault="00E32904" w:rsidP="006B1446">
      <w:pPr>
        <w:spacing w:line="240" w:lineRule="auto"/>
        <w:jc w:val="center"/>
        <w:rPr>
          <w:rFonts w:ascii="Times New Roman" w:hAnsi="Times New Roman" w:cs="Times New Roman"/>
          <w:b/>
          <w:bCs/>
          <w:sz w:val="24"/>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A04F0D9" w14:textId="77777777" w:rsidR="00D037EE" w:rsidRDefault="00D037EE">
      <w:pPr>
        <w:rPr>
          <w:rFonts w:ascii="Times New Roman" w:hAnsi="Times New Roman" w:cs="Times New Roman"/>
          <w:b/>
          <w:bCs/>
          <w:sz w:val="24"/>
          <w:szCs w:val="24"/>
        </w:rPr>
      </w:pPr>
      <w:r>
        <w:rPr>
          <w:rFonts w:ascii="Times New Roman" w:hAnsi="Times New Roman" w:cs="Times New Roman"/>
          <w:b/>
          <w:bCs/>
          <w:sz w:val="24"/>
          <w:szCs w:val="24"/>
        </w:rPr>
        <w:br w:type="page"/>
      </w:r>
    </w:p>
    <w:p w14:paraId="15E89DAE" w14:textId="6618370E"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r w:rsidR="006B1446" w:rsidRPr="006B1446">
        <w:rPr>
          <w:rFonts w:ascii="Times New Roman" w:hAnsi="Times New Roman" w:cs="Times New Roman"/>
          <w:sz w:val="24"/>
          <w:szCs w:val="24"/>
        </w:rPr>
        <w:t>Kwara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1FACBE8A" w14:textId="04B10BD8" w:rsidR="00A76B30" w:rsidRPr="00A76B30" w:rsidRDefault="007E2E2B" w:rsidP="00A76B30">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41167D1D" w14:textId="77777777" w:rsidR="00A76B30" w:rsidRPr="00A76B30" w:rsidRDefault="00A76B30" w:rsidP="00A76B30">
      <w:pPr>
        <w:spacing w:line="240" w:lineRule="auto"/>
        <w:jc w:val="both"/>
        <w:rPr>
          <w:rFonts w:ascii="Times New Roman" w:hAnsi="Times New Roman" w:cs="Times New Roman"/>
          <w:sz w:val="24"/>
          <w:szCs w:val="24"/>
        </w:rPr>
      </w:pPr>
      <w:r w:rsidRPr="00A76B30">
        <w:rPr>
          <w:rFonts w:ascii="Times New Roman" w:hAnsi="Times New Roman" w:cs="Times New Roman"/>
          <w:sz w:val="24"/>
          <w:szCs w:val="24"/>
        </w:rPr>
        <w:t>The success of this undertaking is attributed to Almighty Allah, who is kind, dependable, and the source of wisdom, knowledge, and insight.</w:t>
      </w:r>
    </w:p>
    <w:p w14:paraId="4D68C9CB" w14:textId="16CA983B" w:rsidR="00FA3645" w:rsidRDefault="00A76B30" w:rsidP="00A76B30">
      <w:pPr>
        <w:spacing w:line="240" w:lineRule="auto"/>
        <w:jc w:val="both"/>
        <w:rPr>
          <w:rFonts w:ascii="Times New Roman" w:hAnsi="Times New Roman" w:cs="Times New Roman"/>
          <w:sz w:val="24"/>
          <w:szCs w:val="24"/>
        </w:rPr>
      </w:pPr>
      <w:r w:rsidRPr="00A76B30">
        <w:rPr>
          <w:rFonts w:ascii="Times New Roman" w:hAnsi="Times New Roman" w:cs="Times New Roman"/>
          <w:sz w:val="24"/>
          <w:szCs w:val="24"/>
        </w:rPr>
        <w:t>I also dedicate my effort to my entire family in hopes of receiving their full love, support, and financial assistance.</w:t>
      </w: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49E1AAFB" w14:textId="77777777" w:rsidR="00857510" w:rsidRDefault="00FA3645" w:rsidP="00857510">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2DF7F22B" w14:textId="77777777"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All praises and honor goes to almighty Allah (SWT) for preserving my life from the beginning till the end of this project work, i also commend myself for t</w:t>
      </w:r>
      <w:r>
        <w:rPr>
          <w:rFonts w:ascii="Times New Roman" w:hAnsi="Times New Roman" w:cs="Times New Roman"/>
          <w:sz w:val="24"/>
          <w:szCs w:val="24"/>
        </w:rPr>
        <w:t xml:space="preserve">he total commitment towards the </w:t>
      </w:r>
      <w:r w:rsidRPr="00857510">
        <w:rPr>
          <w:rFonts w:ascii="Times New Roman" w:hAnsi="Times New Roman" w:cs="Times New Roman"/>
          <w:sz w:val="24"/>
          <w:szCs w:val="24"/>
        </w:rPr>
        <w:t>project to attain this height.</w:t>
      </w:r>
    </w:p>
    <w:p w14:paraId="07024BFB" w14:textId="47A59DAC"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My utmost gratitude goes to my beloved parent </w:t>
      </w:r>
      <w:r w:rsidR="003D46DD" w:rsidRPr="003D46DD">
        <w:rPr>
          <w:rFonts w:ascii="Times New Roman" w:hAnsi="Times New Roman" w:cs="Times New Roman"/>
          <w:b/>
          <w:sz w:val="24"/>
          <w:szCs w:val="24"/>
        </w:rPr>
        <w:t>MR/MRS RAJI</w:t>
      </w:r>
      <w:r w:rsidR="003D46DD" w:rsidRPr="00857510">
        <w:rPr>
          <w:rFonts w:ascii="Times New Roman" w:hAnsi="Times New Roman" w:cs="Times New Roman"/>
          <w:sz w:val="24"/>
          <w:szCs w:val="24"/>
        </w:rPr>
        <w:t xml:space="preserve"> </w:t>
      </w:r>
      <w:r w:rsidRPr="00857510">
        <w:rPr>
          <w:rFonts w:ascii="Times New Roman" w:hAnsi="Times New Roman" w:cs="Times New Roman"/>
          <w:sz w:val="24"/>
          <w:szCs w:val="24"/>
        </w:rPr>
        <w:t>for their spiritual, financial, emotional support towards Higher National Diploma (HND) project , May God in his absolute mercy enrich their course and grant them long life and prosperity to reap the fruit of their labor.</w:t>
      </w:r>
    </w:p>
    <w:p w14:paraId="2FFFCB28" w14:textId="77777777"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My sincere gratitude goes to my kind and esteem supervisor in person of Mrs. Amira E.O, for her advice through supervision, moral support and word of encouragement to the success of this project. May God almighty continue to preserve, guide, and shower his blessings on you ma.</w:t>
      </w:r>
    </w:p>
    <w:p w14:paraId="1B051C8C" w14:textId="37478099"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 </w:t>
      </w:r>
      <w:r w:rsidR="003D46DD" w:rsidRPr="00857510">
        <w:rPr>
          <w:rFonts w:ascii="Times New Roman" w:hAnsi="Times New Roman" w:cs="Times New Roman"/>
          <w:sz w:val="24"/>
          <w:szCs w:val="24"/>
        </w:rPr>
        <w:t>My special</w:t>
      </w:r>
      <w:r w:rsidRPr="00857510">
        <w:rPr>
          <w:rFonts w:ascii="Times New Roman" w:hAnsi="Times New Roman" w:cs="Times New Roman"/>
          <w:sz w:val="24"/>
          <w:szCs w:val="24"/>
        </w:rPr>
        <w:t xml:space="preserve"> appreciation goes to the Head of Department of S.L.T, Head of Biochemistry Unit and all my lecturers for their kind gesture and </w:t>
      </w:r>
      <w:r w:rsidR="003D46DD" w:rsidRPr="00857510">
        <w:rPr>
          <w:rFonts w:ascii="Times New Roman" w:hAnsi="Times New Roman" w:cs="Times New Roman"/>
          <w:sz w:val="24"/>
          <w:szCs w:val="24"/>
        </w:rPr>
        <w:t>academicals</w:t>
      </w:r>
      <w:r w:rsidRPr="00857510">
        <w:rPr>
          <w:rFonts w:ascii="Times New Roman" w:hAnsi="Times New Roman" w:cs="Times New Roman"/>
          <w:sz w:val="24"/>
          <w:szCs w:val="24"/>
        </w:rPr>
        <w:t xml:space="preserve"> support. May God Almighty continue to bless you all.</w:t>
      </w:r>
    </w:p>
    <w:p w14:paraId="756F8324" w14:textId="1C2E8964"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My appreciation goes to my lovely siblings who has contributed greatly both financially, emotionally and socially towards this my HND project work in person of </w:t>
      </w:r>
      <w:r w:rsidR="003D46DD" w:rsidRPr="003D46DD">
        <w:rPr>
          <w:rFonts w:ascii="Times New Roman" w:hAnsi="Times New Roman" w:cs="Times New Roman"/>
          <w:b/>
          <w:sz w:val="24"/>
          <w:szCs w:val="24"/>
        </w:rPr>
        <w:t xml:space="preserve">OSHEVURE KENNETH, RAJI WALIYAT, RAJI NURUDEEN, RAJI YUSUF, RAJI RODIAT </w:t>
      </w:r>
      <w:r w:rsidRPr="00857510">
        <w:rPr>
          <w:rFonts w:ascii="Times New Roman" w:hAnsi="Times New Roman" w:cs="Times New Roman"/>
          <w:sz w:val="24"/>
          <w:szCs w:val="24"/>
        </w:rPr>
        <w:t>and as well as my family at large.</w:t>
      </w:r>
    </w:p>
    <w:p w14:paraId="2683CF0D" w14:textId="2A065DC2" w:rsidR="003D46DD" w:rsidRPr="00430246" w:rsidRDefault="00857510" w:rsidP="00430246">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I also express my sincere to my lovely friends in person </w:t>
      </w:r>
      <w:r w:rsidR="003D46DD" w:rsidRPr="003D46DD">
        <w:rPr>
          <w:rFonts w:ascii="Times New Roman" w:hAnsi="Times New Roman" w:cs="Times New Roman"/>
          <w:b/>
          <w:sz w:val="24"/>
          <w:szCs w:val="24"/>
        </w:rPr>
        <w:t>OF ADA</w:t>
      </w:r>
      <w:r w:rsidR="00430246">
        <w:rPr>
          <w:rFonts w:ascii="Times New Roman" w:hAnsi="Times New Roman" w:cs="Times New Roman"/>
          <w:b/>
          <w:sz w:val="24"/>
          <w:szCs w:val="24"/>
        </w:rPr>
        <w:t>M,ABDULLAHI,HABIB,FARUQ,TESLIM,TOLUWANI,MUHIDEEN,</w:t>
      </w:r>
      <w:r w:rsidR="003D46DD" w:rsidRPr="003D46DD">
        <w:rPr>
          <w:rFonts w:ascii="Times New Roman" w:hAnsi="Times New Roman" w:cs="Times New Roman"/>
          <w:b/>
          <w:sz w:val="24"/>
          <w:szCs w:val="24"/>
        </w:rPr>
        <w:t>IDRIS,ABDULMUIZ, BASIT, RIDWAN</w:t>
      </w:r>
      <w:r w:rsidRPr="00857510">
        <w:rPr>
          <w:rFonts w:ascii="Times New Roman" w:hAnsi="Times New Roman" w:cs="Times New Roman"/>
          <w:sz w:val="24"/>
          <w:szCs w:val="24"/>
        </w:rPr>
        <w:t>, and others who stood by me</w:t>
      </w:r>
      <w:r w:rsidR="00430246">
        <w:rPr>
          <w:rFonts w:ascii="Times New Roman" w:hAnsi="Times New Roman" w:cs="Times New Roman"/>
          <w:b/>
          <w:bCs/>
          <w:sz w:val="24"/>
          <w:szCs w:val="24"/>
        </w:rPr>
        <w:t xml:space="preserve"> </w:t>
      </w:r>
      <w:r w:rsidRPr="00857510">
        <w:rPr>
          <w:rFonts w:ascii="Times New Roman" w:hAnsi="Times New Roman" w:cs="Times New Roman"/>
          <w:sz w:val="24"/>
          <w:szCs w:val="24"/>
        </w:rPr>
        <w:t xml:space="preserve">during this Higher </w:t>
      </w:r>
      <w:r w:rsidR="003D46DD">
        <w:rPr>
          <w:rFonts w:ascii="Times New Roman" w:hAnsi="Times New Roman" w:cs="Times New Roman"/>
          <w:sz w:val="24"/>
          <w:szCs w:val="24"/>
        </w:rPr>
        <w:t>National Diploma (HND) program.</w:t>
      </w:r>
    </w:p>
    <w:p w14:paraId="772A5DD2" w14:textId="2F234D50" w:rsidR="00E37FD5" w:rsidRDefault="00857510" w:rsidP="00E058B1">
      <w:pPr>
        <w:spacing w:line="240" w:lineRule="auto"/>
        <w:ind w:firstLine="720"/>
        <w:jc w:val="both"/>
        <w:rPr>
          <w:rFonts w:ascii="Times New Roman" w:hAnsi="Times New Roman" w:cs="Times New Roman"/>
          <w:sz w:val="24"/>
          <w:szCs w:val="24"/>
        </w:rPr>
      </w:pPr>
      <w:r w:rsidRPr="00857510">
        <w:rPr>
          <w:rFonts w:ascii="Times New Roman" w:hAnsi="Times New Roman" w:cs="Times New Roman"/>
          <w:sz w:val="24"/>
          <w:szCs w:val="24"/>
        </w:rPr>
        <w:t>My words alone can't express my gratitude for the great effort of my</w:t>
      </w:r>
      <w:r w:rsidR="00E058B1">
        <w:rPr>
          <w:rFonts w:ascii="Times New Roman" w:hAnsi="Times New Roman" w:cs="Times New Roman"/>
          <w:sz w:val="24"/>
          <w:szCs w:val="24"/>
        </w:rPr>
        <w:t xml:space="preserve"> </w:t>
      </w:r>
      <w:bookmarkStart w:id="0" w:name="_GoBack"/>
      <w:bookmarkEnd w:id="0"/>
      <w:r w:rsidRPr="00857510">
        <w:rPr>
          <w:rFonts w:ascii="Times New Roman" w:hAnsi="Times New Roman" w:cs="Times New Roman"/>
          <w:sz w:val="24"/>
          <w:szCs w:val="24"/>
        </w:rPr>
        <w:t>family, friends and mentor towards the HND project. I pray almighty Allah (S.w.t) rewards them abundantly and crown their efforts (Amin).</w:t>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8575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857510">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Acacia nilotica</w:t>
      </w:r>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Acacia nilotica</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Acacia nilotica</w:t>
      </w:r>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Acacia nilotica</w:t>
      </w:r>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(L.), commonly known as gum arabic tree or babul. Belonging to the family Fabaceae,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(Banso &amp; Adeyemo,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(Shabbir,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(BHT) and butylated hydroxyanisole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Acacia nilotica</w:t>
      </w:r>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Acacia nilotica</w:t>
      </w:r>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Acacia nilotica</w:t>
      </w:r>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Acacia nilotica</w:t>
      </w:r>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Acacia nilotica</w:t>
      </w:r>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Acacia nilotica</w:t>
      </w:r>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significant antioxidant activity, comparable to standard antioxidants like ascorbic acid and BHT. Similarly, Banso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Acacia nilotica</w:t>
      </w:r>
      <w:r w:rsidRPr="00607898">
        <w:rPr>
          <w:rFonts w:ascii="Times New Roman" w:eastAsia="Times New Roman" w:hAnsi="Times New Roman" w:cs="Times New Roman"/>
          <w:sz w:val="24"/>
          <w:szCs w:val="24"/>
        </w:rPr>
        <w:t xml:space="preserve"> (L.) Delile, commonly referred to as "babul" or "gum arabic tree," is a multipurpose tree species belonging to the family Fabaceae (subfamily Mimosoideae).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Acacia nilotica</w:t>
      </w:r>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A. nilotica</w:t>
      </w:r>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(Azwanida,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Cold maceration, soxhlet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(Azwanida,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w:t>
      </w:r>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maceration or soxhlet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A. nilotica</w:t>
      </w:r>
      <w:r w:rsidRPr="00C0490C">
        <w:rPr>
          <w:rFonts w:ascii="Times New Roman" w:eastAsia="Times New Roman" w:hAnsi="Times New Roman" w:cs="Times New Roman"/>
          <w:sz w:val="24"/>
          <w:szCs w:val="24"/>
        </w:rPr>
        <w:t xml:space="preserve"> seeds and found significant antioxidant activity in the extract. Similarly, Singh et al. (2009) employed soxhlet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soxhlet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Banso and Adeyemo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Acacia nilotica</w:t>
      </w:r>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was purchased at Kure ultramodern market located in Chanchaga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Acacia nilotica</w:t>
      </w:r>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Folin–Ciocalteu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Dragendorff’s,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lastRenderedPageBreak/>
        <w:t>Legalon’s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a thimble and setup for extraction. Infusion method was employed using ethanol as solvent. The extracted solution i.e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Sarkowski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Sarkowski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 xml:space="preserve">ff’s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r>
        <w:rPr>
          <w:rFonts w:ascii="Times New Roman" w:hAnsi="Times New Roman" w:cs="Times New Roman"/>
          <w:sz w:val="24"/>
          <w:szCs w:val="24"/>
        </w:rPr>
        <w:t>Dragendorff’s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of Lega</w:t>
      </w:r>
      <w:r w:rsidR="00CE0761">
        <w:rPr>
          <w:rFonts w:ascii="Times New Roman" w:hAnsi="Times New Roman" w:cs="Times New Roman"/>
          <w:sz w:val="24"/>
          <w:szCs w:val="24"/>
        </w:rPr>
        <w:t>lon</w:t>
      </w:r>
      <w:r>
        <w:rPr>
          <w:rFonts w:ascii="Times New Roman" w:hAnsi="Times New Roman" w:cs="Times New Roman"/>
          <w:sz w:val="24"/>
          <w:szCs w:val="24"/>
        </w:rPr>
        <w:t>’s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standard solution of abscorbic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Hexane:Acetone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 blank solution containing 12.5ml of N- Hexane:Acetone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Acacia nilotica</w:t>
      </w:r>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Acacia nilotica</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nilotica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 xml:space="preserve">(i)Sarkowski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(ii)Liebaerman Burchardt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(i)Sarkowski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(ii)Liebaerman Burchardt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(i)Legalon’s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(i)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(i)Sodium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lastRenderedPageBreak/>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(i)Foam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(i)Dragendorff’s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(ii)Hager;s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(iv)Wagner;s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Sarkowski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Sarkowski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 xml:space="preserve">ff’s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r>
        <w:rPr>
          <w:rFonts w:ascii="Times New Roman" w:hAnsi="Times New Roman" w:cs="Times New Roman"/>
          <w:sz w:val="24"/>
          <w:szCs w:val="24"/>
        </w:rPr>
        <w:t>Dragendorff’s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Legalon’s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Legalon’s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(Dragendorff’s,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Acacia nilotica</w:t>
      </w:r>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Acacia nilotica</w:t>
      </w:r>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Acacia nilotica</w:t>
      </w:r>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Acacia nilotica</w:t>
      </w:r>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Apak, R., Özyürek,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r>
        <w:rPr>
          <w:rStyle w:val="Strong"/>
        </w:rPr>
        <w:t>Azwanida,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r>
        <w:rPr>
          <w:rStyle w:val="Strong"/>
        </w:rPr>
        <w:t>Banso, A., &amp; Adeyemo, S. O.</w:t>
      </w:r>
      <w:r>
        <w:t xml:space="preserve"> (2007). </w:t>
      </w:r>
      <w:r>
        <w:rPr>
          <w:rStyle w:val="Emphasis"/>
        </w:rPr>
        <w:t>Evaluation of antibacterial properties of tannins isolated from Dichrostachys cinerea</w:t>
      </w:r>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Pharmacological potential of Acacia nilotica: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Brand-Williams, W., Cuvelier, M. E., &amp; Berset,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Do, Q. D., Angkawijaya, A. E., Tran-Nguyen, P. L., Huynh, L. H., Soetaredjo, F. E., Ismadji, S., &amp; Ju, Y. H.</w:t>
      </w:r>
      <w:r>
        <w:t xml:space="preserve"> (2014). </w:t>
      </w:r>
      <w:r>
        <w:rPr>
          <w:rStyle w:val="Emphasis"/>
        </w:rPr>
        <w:t>Effect of extraction solvent on total phenol content, total flavonoid content, and antioxidant activity of Limnophila aromatica</w:t>
      </w:r>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Acacia nilotica: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Evaluation of antioxidant activity of Acacia nilotica ethanolic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Spectrophotometric quantitation of antioxidant capacity through the formation of a phosphomolybdenum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Acacia nilotica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Sharma, S., Vig, A. P., &amp; Sharma, D.</w:t>
      </w:r>
      <w:r>
        <w:t xml:space="preserve"> (2011). </w:t>
      </w:r>
      <w:r>
        <w:rPr>
          <w:rStyle w:val="Emphasis"/>
        </w:rPr>
        <w:t>Studies on phytochemical screening and antioxidant properties of Acacia nilotica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Antioxidant and antimicrobial activities of ethyl acetate extract of Acacia nilotica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Antioxidant activity of phenolic components present in barks of Azadirachta indica, Terminalia arjuna, Acacia nilotica, and Eugenia jambolana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r>
        <w:rPr>
          <w:rStyle w:val="Strong"/>
        </w:rPr>
        <w:t>Internationale Pharmaceutica Sciencia</w:t>
      </w:r>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07749" w14:textId="77777777" w:rsidR="004B3175" w:rsidRDefault="004B3175" w:rsidP="00477545">
      <w:pPr>
        <w:spacing w:after="0" w:line="240" w:lineRule="auto"/>
      </w:pPr>
      <w:r>
        <w:separator/>
      </w:r>
    </w:p>
  </w:endnote>
  <w:endnote w:type="continuationSeparator" w:id="0">
    <w:p w14:paraId="733F890F" w14:textId="77777777" w:rsidR="004B3175" w:rsidRDefault="004B3175"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E058B1">
          <w:rPr>
            <w:noProof/>
          </w:rPr>
          <w:t>13</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4B3175">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8F85F" w14:textId="77777777" w:rsidR="004B3175" w:rsidRDefault="004B3175" w:rsidP="00477545">
      <w:pPr>
        <w:spacing w:after="0" w:line="240" w:lineRule="auto"/>
      </w:pPr>
      <w:r>
        <w:separator/>
      </w:r>
    </w:p>
  </w:footnote>
  <w:footnote w:type="continuationSeparator" w:id="0">
    <w:p w14:paraId="2E1BE94D" w14:textId="77777777" w:rsidR="004B3175" w:rsidRDefault="004B3175" w:rsidP="00477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D46DD"/>
    <w:rsid w:val="003E1C9D"/>
    <w:rsid w:val="003E7421"/>
    <w:rsid w:val="003F092E"/>
    <w:rsid w:val="003F0974"/>
    <w:rsid w:val="003F3D8F"/>
    <w:rsid w:val="003F4D9F"/>
    <w:rsid w:val="003F5818"/>
    <w:rsid w:val="004004EB"/>
    <w:rsid w:val="00410D40"/>
    <w:rsid w:val="004148E6"/>
    <w:rsid w:val="00415EA7"/>
    <w:rsid w:val="00430246"/>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175"/>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57510"/>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6B30"/>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37EE"/>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58B1"/>
    <w:rsid w:val="00E0734E"/>
    <w:rsid w:val="00E12F50"/>
    <w:rsid w:val="00E2051E"/>
    <w:rsid w:val="00E31410"/>
    <w:rsid w:val="00E32904"/>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52</Pages>
  <Words>8342</Words>
  <Characters>47552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Microsoft account</cp:lastModifiedBy>
  <cp:revision>8</cp:revision>
  <cp:lastPrinted>2025-07-16T14:09:00Z</cp:lastPrinted>
  <dcterms:created xsi:type="dcterms:W3CDTF">2025-07-21T09:41:00Z</dcterms:created>
  <dcterms:modified xsi:type="dcterms:W3CDTF">2025-07-21T09:47:00Z</dcterms:modified>
</cp:coreProperties>
</file>