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F36" w:rsidRDefault="004029AB">
      <w:pPr>
        <w:ind w:firstLine="720"/>
        <w:jc w:val="center"/>
        <w:rPr>
          <w:rFonts w:ascii="Times New Roman" w:hAnsi="Times New Roman" w:cs="Times New Roman"/>
          <w:b/>
          <w:bCs/>
          <w:color w:val="000000" w:themeColor="text1"/>
          <w:sz w:val="32"/>
          <w:szCs w:val="32"/>
        </w:rPr>
      </w:pPr>
      <w:bookmarkStart w:id="0" w:name="_GoBack"/>
      <w:bookmarkEnd w:id="0"/>
      <w:r>
        <w:rPr>
          <w:rFonts w:ascii="Times New Roman" w:hAnsi="Times New Roman" w:cs="Times New Roman"/>
          <w:b/>
          <w:bCs/>
          <w:color w:val="000000" w:themeColor="text1"/>
          <w:sz w:val="32"/>
          <w:szCs w:val="32"/>
        </w:rPr>
        <w:t>IDENTIFICATION OF HYDROTHERMAL ALTERATION ZONES AND ITS RELATION TO MINERAL DEPOSITS OVER ISANLU ISIN, NORTHCENTRAL, NIGERIA</w:t>
      </w:r>
    </w:p>
    <w:p w:rsidR="00D64F36" w:rsidRDefault="00D64F36">
      <w:pPr>
        <w:ind w:firstLine="720"/>
        <w:jc w:val="center"/>
        <w:rPr>
          <w:rFonts w:ascii="Monotype Corsiva" w:hAnsi="Monotype Corsiva"/>
          <w:b/>
          <w:color w:val="000000" w:themeColor="text1"/>
          <w:sz w:val="32"/>
          <w:szCs w:val="32"/>
        </w:rPr>
      </w:pPr>
    </w:p>
    <w:p w:rsidR="00D64F36" w:rsidRDefault="004029AB">
      <w:pPr>
        <w:ind w:firstLine="720"/>
        <w:jc w:val="center"/>
        <w:rPr>
          <w:rFonts w:ascii="Monotype Corsiva" w:hAnsi="Monotype Corsiva"/>
          <w:b/>
          <w:color w:val="000000" w:themeColor="text1"/>
          <w:sz w:val="40"/>
          <w:szCs w:val="40"/>
        </w:rPr>
      </w:pPr>
      <w:r>
        <w:rPr>
          <w:rFonts w:ascii="Monotype Corsiva" w:hAnsi="Monotype Corsiva"/>
          <w:b/>
          <w:color w:val="000000" w:themeColor="text1"/>
          <w:sz w:val="40"/>
          <w:szCs w:val="40"/>
        </w:rPr>
        <w:t>BY:</w:t>
      </w:r>
    </w:p>
    <w:p w:rsidR="00D64F36" w:rsidRDefault="00D64F36">
      <w:pPr>
        <w:ind w:firstLine="720"/>
        <w:jc w:val="center"/>
        <w:rPr>
          <w:rFonts w:ascii="Monotype Corsiva" w:hAnsi="Monotype Corsiva"/>
          <w:b/>
          <w:color w:val="000000" w:themeColor="text1"/>
          <w:sz w:val="40"/>
          <w:szCs w:val="40"/>
        </w:rPr>
      </w:pPr>
    </w:p>
    <w:p w:rsidR="007B4A16" w:rsidRDefault="004029AB" w:rsidP="007B4A16">
      <w:pPr>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OWOLABI OMOLOLA MERCY</w:t>
      </w:r>
    </w:p>
    <w:p w:rsidR="007B4A16" w:rsidRDefault="007B4A16" w:rsidP="007B4A16">
      <w:pPr>
        <w:spacing w:after="0" w:line="240" w:lineRule="auto"/>
        <w:ind w:firstLine="720"/>
        <w:jc w:val="center"/>
        <w:rPr>
          <w:rFonts w:ascii="Times New Roman" w:hAnsi="Times New Roman" w:cs="Times New Roman"/>
          <w:b/>
          <w:bCs/>
          <w:sz w:val="24"/>
          <w:szCs w:val="24"/>
        </w:rPr>
      </w:pPr>
    </w:p>
    <w:p w:rsidR="00D64F36" w:rsidRDefault="004029AB" w:rsidP="007B4A16">
      <w:pPr>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HND/23/SLT/FT/0240</w:t>
      </w:r>
    </w:p>
    <w:p w:rsidR="00D64F36" w:rsidRDefault="00D64F36">
      <w:pPr>
        <w:spacing w:after="0" w:line="240" w:lineRule="auto"/>
        <w:jc w:val="center"/>
        <w:rPr>
          <w:rFonts w:ascii="Eras Light ITC" w:hAnsi="Eras Light ITC"/>
          <w:b/>
          <w:color w:val="000000" w:themeColor="text1"/>
          <w:sz w:val="24"/>
          <w:szCs w:val="24"/>
        </w:rPr>
      </w:pPr>
    </w:p>
    <w:p w:rsidR="00D64F36" w:rsidRDefault="004029AB">
      <w:pPr>
        <w:pStyle w:val="NoSpacing"/>
        <w:jc w:val="center"/>
        <w:rPr>
          <w:rFonts w:ascii="Algerian" w:hAnsi="Algerian"/>
          <w:b/>
          <w:color w:val="000000" w:themeColor="text1"/>
          <w:sz w:val="26"/>
          <w:szCs w:val="28"/>
        </w:rPr>
      </w:pPr>
      <w:bookmarkStart w:id="1" w:name="_Hlk145587188"/>
      <w:r>
        <w:rPr>
          <w:rFonts w:ascii="Algerian" w:hAnsi="Algerian"/>
          <w:b/>
          <w:color w:val="000000" w:themeColor="text1"/>
          <w:sz w:val="26"/>
          <w:szCs w:val="28"/>
        </w:rPr>
        <w:t xml:space="preserve">BEING A PROJECT REPORT </w:t>
      </w:r>
      <w:bookmarkEnd w:id="1"/>
      <w:r>
        <w:rPr>
          <w:rFonts w:ascii="Algerian" w:hAnsi="Algerian"/>
          <w:b/>
          <w:color w:val="000000" w:themeColor="text1"/>
          <w:sz w:val="26"/>
          <w:szCs w:val="28"/>
        </w:rPr>
        <w:t>SUBMITTED TO THE DEPARTMENT OF SCIENCE LABORATORY TECHNOLOGY (PHYSICS/ELECTRONIC UNIT), INSTITUTE OF APPLIED SCIENCES, KWARA STATE POLYTECHNIC ILORIN</w:t>
      </w:r>
    </w:p>
    <w:p w:rsidR="00D64F36" w:rsidRDefault="00D64F36">
      <w:pPr>
        <w:pStyle w:val="NoSpacing"/>
        <w:jc w:val="center"/>
        <w:rPr>
          <w:rFonts w:ascii="Algerian" w:hAnsi="Algerian"/>
          <w:b/>
          <w:color w:val="000000" w:themeColor="text1"/>
          <w:sz w:val="26"/>
          <w:szCs w:val="28"/>
        </w:rPr>
      </w:pPr>
    </w:p>
    <w:p w:rsidR="00D64F36" w:rsidRDefault="004029AB">
      <w:pPr>
        <w:spacing w:line="240" w:lineRule="auto"/>
        <w:ind w:left="720"/>
        <w:jc w:val="center"/>
        <w:rPr>
          <w:rFonts w:ascii="Tahoma" w:hAnsi="Tahoma" w:cs="Tahoma"/>
          <w:b/>
          <w:i/>
          <w:color w:val="000000" w:themeColor="text1"/>
          <w:sz w:val="26"/>
          <w:szCs w:val="28"/>
        </w:rPr>
      </w:pPr>
      <w:r>
        <w:rPr>
          <w:rFonts w:ascii="Algerian" w:hAnsi="Algerian" w:cs="Tahoma"/>
          <w:b/>
          <w:i/>
          <w:color w:val="000000" w:themeColor="text1"/>
          <w:sz w:val="26"/>
          <w:szCs w:val="28"/>
        </w:rPr>
        <w:t>IN PARTIAL FULFILMENT OF THE REQUIREMENTS FOR THE AWARD OF HIGHER NATIONAL DIPLOMA (HND) IN SCIENCE LABORATORY TECHNOLOGY (SLT), KWARA STATE POLYTECHNC, ILORIN, KWARA STATE</w:t>
      </w:r>
    </w:p>
    <w:p w:rsidR="00D64F36" w:rsidRDefault="00D64F36">
      <w:pPr>
        <w:spacing w:line="240" w:lineRule="auto"/>
        <w:rPr>
          <w:rFonts w:ascii="Monotype Corsiva" w:hAnsi="Monotype Corsiva" w:cs="Tahoma"/>
          <w:b/>
          <w:color w:val="000000" w:themeColor="text1"/>
          <w:sz w:val="2"/>
        </w:rPr>
      </w:pPr>
    </w:p>
    <w:p w:rsidR="00D64F36" w:rsidRDefault="004029AB">
      <w:pPr>
        <w:ind w:firstLine="720"/>
        <w:jc w:val="right"/>
        <w:rPr>
          <w:rFonts w:ascii="Bookman Old Style" w:hAnsi="Bookman Old Style" w:cs="Tahoma"/>
          <w:b/>
          <w:color w:val="000000" w:themeColor="text1"/>
          <w:sz w:val="32"/>
          <w:szCs w:val="32"/>
        </w:rPr>
      </w:pPr>
      <w:r>
        <w:rPr>
          <w:rFonts w:ascii="Monotype Corsiva" w:hAnsi="Monotype Corsiva" w:cs="Tahoma"/>
          <w:b/>
          <w:color w:val="000000" w:themeColor="text1"/>
          <w:sz w:val="30"/>
        </w:rPr>
        <w:t>JULY, 2025</w:t>
      </w:r>
    </w:p>
    <w:p w:rsidR="00D64F36" w:rsidRDefault="004029AB">
      <w:pPr>
        <w:jc w:val="center"/>
        <w:rPr>
          <w:rFonts w:ascii="Times New Roman" w:hAnsi="Times New Roman" w:cs="Times New Roman"/>
          <w:b/>
          <w:color w:val="000000" w:themeColor="text1"/>
          <w:sz w:val="24"/>
          <w:szCs w:val="24"/>
        </w:rPr>
      </w:pPr>
      <w:r>
        <w:rPr>
          <w:b/>
          <w:color w:val="000000" w:themeColor="text1"/>
          <w:szCs w:val="24"/>
        </w:rPr>
        <w:br w:type="page"/>
      </w:r>
      <w:r>
        <w:rPr>
          <w:rFonts w:ascii="Times New Roman" w:hAnsi="Times New Roman" w:cs="Times New Roman"/>
          <w:b/>
          <w:color w:val="000000" w:themeColor="text1"/>
          <w:sz w:val="24"/>
          <w:szCs w:val="24"/>
        </w:rPr>
        <w:lastRenderedPageBreak/>
        <w:t>CERTIFICATION</w:t>
      </w:r>
    </w:p>
    <w:p w:rsidR="00D64F36" w:rsidRDefault="004029AB">
      <w:pPr>
        <w:spacing w:line="360" w:lineRule="auto"/>
        <w:ind w:firstLine="720"/>
        <w:jc w:val="both"/>
        <w:rPr>
          <w:rFonts w:ascii="Times New Roman" w:hAnsi="Times New Roman" w:cs="Times New Roman"/>
          <w:b/>
          <w:color w:val="000000" w:themeColor="text1"/>
          <w:sz w:val="24"/>
          <w:szCs w:val="24"/>
        </w:rPr>
      </w:pPr>
      <w:bookmarkStart w:id="2" w:name="_Hlk145587243"/>
      <w:bookmarkStart w:id="3" w:name="_Hlk172645585"/>
      <w:r>
        <w:rPr>
          <w:rFonts w:ascii="Times New Roman" w:hAnsi="Times New Roman" w:cs="Times New Roman"/>
          <w:color w:val="000000" w:themeColor="text1"/>
          <w:sz w:val="24"/>
          <w:szCs w:val="24"/>
        </w:rPr>
        <w:t xml:space="preserve">This is to certify that </w:t>
      </w:r>
      <w:bookmarkEnd w:id="2"/>
      <w:r>
        <w:rPr>
          <w:rFonts w:ascii="Times New Roman" w:hAnsi="Times New Roman" w:cs="Times New Roman"/>
          <w:color w:val="000000" w:themeColor="text1"/>
          <w:sz w:val="24"/>
          <w:szCs w:val="24"/>
        </w:rPr>
        <w:t>this project was carried out by group B with the above names and matriculation numbers, submitted to the Department of Science Laboratory Technology, Physics/Electronics unit, Institute of Applied Science (IAS), Kwara State Polytechnic, Ilorin, in partial fulfilment for the requirement of the award of Higher National Diploma (HND) in Science Laboratory Technology (SLT).</w:t>
      </w:r>
    </w:p>
    <w:bookmarkEnd w:id="3"/>
    <w:p w:rsidR="00D64F36" w:rsidRDefault="00D64F36">
      <w:pPr>
        <w:spacing w:line="240" w:lineRule="auto"/>
        <w:rPr>
          <w:rFonts w:ascii="Times New Roman" w:hAnsi="Times New Roman" w:cs="Times New Roman"/>
          <w:color w:val="000000" w:themeColor="text1"/>
          <w:sz w:val="24"/>
          <w:szCs w:val="24"/>
        </w:rPr>
      </w:pPr>
    </w:p>
    <w:p w:rsidR="00D64F36" w:rsidRDefault="00D64F36">
      <w:pPr>
        <w:spacing w:line="240" w:lineRule="auto"/>
        <w:rPr>
          <w:rFonts w:ascii="Times New Roman" w:hAnsi="Times New Roman" w:cs="Times New Roman"/>
          <w:color w:val="000000" w:themeColor="text1"/>
          <w:sz w:val="24"/>
          <w:szCs w:val="24"/>
        </w:rPr>
      </w:pPr>
    </w:p>
    <w:p w:rsidR="00D64F36" w:rsidRDefault="004029A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_______________</w:t>
      </w:r>
    </w:p>
    <w:p w:rsidR="00D64F36" w:rsidRDefault="004029AB">
      <w:pPr>
        <w:spacing w:after="0" w:line="240" w:lineRule="auto"/>
        <w:rPr>
          <w:rFonts w:ascii="Times New Roman" w:hAnsi="Times New Roman" w:cs="Times New Roman"/>
          <w:b/>
          <w:i/>
          <w:iCs/>
          <w:color w:val="000000" w:themeColor="text1"/>
          <w:sz w:val="24"/>
          <w:szCs w:val="24"/>
        </w:rPr>
      </w:pPr>
      <w:r>
        <w:rPr>
          <w:rFonts w:ascii="Times New Roman" w:hAnsi="Times New Roman" w:cs="Times New Roman"/>
          <w:b/>
          <w:color w:val="000000" w:themeColor="text1"/>
          <w:sz w:val="24"/>
          <w:szCs w:val="24"/>
        </w:rPr>
        <w:t>Dr. A. J Sunday</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Date</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rsidR="00D64F36" w:rsidRDefault="004029AB">
      <w:pPr>
        <w:spacing w:after="0" w:line="240" w:lineRule="auto"/>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Project Supervisor</w:t>
      </w:r>
    </w:p>
    <w:p w:rsidR="00D64F36" w:rsidRDefault="00D64F36">
      <w:pPr>
        <w:spacing w:after="0" w:line="240" w:lineRule="auto"/>
        <w:rPr>
          <w:rFonts w:ascii="Times New Roman" w:hAnsi="Times New Roman" w:cs="Times New Roman"/>
          <w:i/>
          <w:color w:val="000000" w:themeColor="text1"/>
          <w:sz w:val="24"/>
          <w:szCs w:val="24"/>
        </w:rPr>
      </w:pPr>
    </w:p>
    <w:p w:rsidR="00D64F36" w:rsidRDefault="00D64F36">
      <w:pPr>
        <w:spacing w:after="0" w:line="240" w:lineRule="auto"/>
        <w:rPr>
          <w:rFonts w:ascii="Times New Roman" w:hAnsi="Times New Roman" w:cs="Times New Roman"/>
          <w:i/>
          <w:color w:val="000000" w:themeColor="text1"/>
          <w:sz w:val="24"/>
          <w:szCs w:val="24"/>
        </w:rPr>
      </w:pPr>
    </w:p>
    <w:p w:rsidR="00D64F36" w:rsidRDefault="00D64F36">
      <w:pPr>
        <w:spacing w:after="0" w:line="240" w:lineRule="auto"/>
        <w:rPr>
          <w:rFonts w:ascii="Times New Roman" w:hAnsi="Times New Roman" w:cs="Times New Roman"/>
          <w:i/>
          <w:color w:val="000000" w:themeColor="text1"/>
          <w:sz w:val="24"/>
          <w:szCs w:val="24"/>
        </w:rPr>
      </w:pPr>
    </w:p>
    <w:p w:rsidR="00D64F36" w:rsidRDefault="00D64F36">
      <w:pPr>
        <w:spacing w:after="0" w:line="240" w:lineRule="auto"/>
        <w:rPr>
          <w:rFonts w:ascii="Times New Roman" w:hAnsi="Times New Roman" w:cs="Times New Roman"/>
          <w:b/>
          <w:color w:val="000000" w:themeColor="text1"/>
          <w:sz w:val="24"/>
          <w:szCs w:val="24"/>
        </w:rPr>
      </w:pPr>
    </w:p>
    <w:p w:rsidR="00D64F36" w:rsidRDefault="004029A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_______________</w:t>
      </w:r>
    </w:p>
    <w:p w:rsidR="00D64F36" w:rsidRDefault="004029AB">
      <w:pPr>
        <w:spacing w:after="0" w:line="240" w:lineRule="auto"/>
        <w:rPr>
          <w:rFonts w:ascii="Times New Roman" w:hAnsi="Times New Roman" w:cs="Times New Roman"/>
          <w:b/>
          <w:color w:val="000000" w:themeColor="text1"/>
          <w:sz w:val="24"/>
          <w:szCs w:val="24"/>
        </w:rPr>
      </w:pPr>
      <w:r>
        <w:rPr>
          <w:rFonts w:ascii="Times New Roman" w:hAnsi="Times New Roman" w:cs="Times New Roman"/>
          <w:b/>
          <w:sz w:val="24"/>
          <w:szCs w:val="24"/>
        </w:rPr>
        <w:t>Mr. Salahu Bashir</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Date</w:t>
      </w:r>
    </w:p>
    <w:p w:rsidR="00D64F36" w:rsidRDefault="004029AB">
      <w:pPr>
        <w:spacing w:after="0" w:line="240" w:lineRule="auto"/>
        <w:rPr>
          <w:rFonts w:ascii="Times New Roman" w:hAnsi="Times New Roman" w:cs="Times New Roman"/>
          <w:b/>
          <w:color w:val="000000" w:themeColor="text1"/>
          <w:sz w:val="24"/>
          <w:szCs w:val="24"/>
        </w:rPr>
      </w:pPr>
      <w:r>
        <w:rPr>
          <w:rFonts w:ascii="Times New Roman" w:hAnsi="Times New Roman" w:cs="Times New Roman"/>
          <w:i/>
          <w:color w:val="000000" w:themeColor="text1"/>
          <w:sz w:val="24"/>
          <w:szCs w:val="24"/>
        </w:rPr>
        <w:t>HOU, Physic/Electronics</w:t>
      </w:r>
    </w:p>
    <w:p w:rsidR="00D64F36" w:rsidRDefault="00D64F36">
      <w:pPr>
        <w:spacing w:after="0" w:line="240" w:lineRule="auto"/>
        <w:rPr>
          <w:rFonts w:ascii="Times New Roman" w:hAnsi="Times New Roman" w:cs="Times New Roman"/>
          <w:color w:val="000000" w:themeColor="text1"/>
          <w:sz w:val="24"/>
          <w:szCs w:val="24"/>
        </w:rPr>
      </w:pPr>
    </w:p>
    <w:p w:rsidR="00D64F36" w:rsidRDefault="00D64F36">
      <w:pPr>
        <w:spacing w:after="0" w:line="240" w:lineRule="auto"/>
        <w:rPr>
          <w:rFonts w:ascii="Times New Roman" w:hAnsi="Times New Roman" w:cs="Times New Roman"/>
          <w:color w:val="000000" w:themeColor="text1"/>
          <w:sz w:val="24"/>
          <w:szCs w:val="24"/>
        </w:rPr>
      </w:pPr>
    </w:p>
    <w:p w:rsidR="00D64F36" w:rsidRDefault="00D64F36">
      <w:pPr>
        <w:spacing w:after="0" w:line="240" w:lineRule="auto"/>
        <w:rPr>
          <w:rFonts w:ascii="Times New Roman" w:hAnsi="Times New Roman" w:cs="Times New Roman"/>
          <w:color w:val="000000" w:themeColor="text1"/>
          <w:sz w:val="24"/>
          <w:szCs w:val="24"/>
        </w:rPr>
      </w:pPr>
    </w:p>
    <w:p w:rsidR="00D64F36" w:rsidRDefault="00D64F36">
      <w:pPr>
        <w:spacing w:after="0" w:line="240" w:lineRule="auto"/>
        <w:rPr>
          <w:rFonts w:ascii="Times New Roman" w:hAnsi="Times New Roman" w:cs="Times New Roman"/>
          <w:color w:val="000000" w:themeColor="text1"/>
          <w:sz w:val="24"/>
          <w:szCs w:val="24"/>
        </w:rPr>
      </w:pPr>
    </w:p>
    <w:p w:rsidR="00D64F36" w:rsidRDefault="004029A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_______________</w:t>
      </w:r>
    </w:p>
    <w:p w:rsidR="00D64F36" w:rsidRDefault="004029AB">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Dr. Abdulkareem Usman</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 xml:space="preserve"> Date</w:t>
      </w:r>
    </w:p>
    <w:p w:rsidR="00D64F36" w:rsidRDefault="004029AB">
      <w:pPr>
        <w:spacing w:after="0" w:line="240" w:lineRule="auto"/>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Head of Department (SLT)</w:t>
      </w:r>
    </w:p>
    <w:p w:rsidR="00D64F36" w:rsidRDefault="00D64F36">
      <w:pPr>
        <w:spacing w:after="0" w:line="240" w:lineRule="auto"/>
        <w:rPr>
          <w:rFonts w:ascii="Times New Roman" w:hAnsi="Times New Roman" w:cs="Times New Roman"/>
          <w:i/>
          <w:color w:val="000000" w:themeColor="text1"/>
          <w:sz w:val="24"/>
          <w:szCs w:val="24"/>
        </w:rPr>
      </w:pPr>
    </w:p>
    <w:p w:rsidR="00D64F36" w:rsidRDefault="00D64F36">
      <w:pPr>
        <w:spacing w:after="0" w:line="240" w:lineRule="auto"/>
        <w:rPr>
          <w:rFonts w:ascii="Times New Roman" w:hAnsi="Times New Roman" w:cs="Times New Roman"/>
          <w:i/>
          <w:color w:val="000000" w:themeColor="text1"/>
          <w:sz w:val="24"/>
          <w:szCs w:val="24"/>
        </w:rPr>
      </w:pPr>
    </w:p>
    <w:p w:rsidR="00D64F36" w:rsidRDefault="00D64F36">
      <w:pPr>
        <w:spacing w:after="0" w:line="240" w:lineRule="auto"/>
        <w:rPr>
          <w:rFonts w:ascii="Times New Roman" w:hAnsi="Times New Roman" w:cs="Times New Roman"/>
          <w:i/>
          <w:color w:val="000000" w:themeColor="text1"/>
          <w:sz w:val="24"/>
          <w:szCs w:val="24"/>
        </w:rPr>
      </w:pPr>
    </w:p>
    <w:p w:rsidR="00D64F36" w:rsidRDefault="00D64F36">
      <w:pPr>
        <w:spacing w:after="0" w:line="240" w:lineRule="auto"/>
        <w:rPr>
          <w:rFonts w:ascii="Times New Roman" w:hAnsi="Times New Roman" w:cs="Times New Roman"/>
          <w:i/>
          <w:color w:val="000000" w:themeColor="text1"/>
          <w:sz w:val="24"/>
          <w:szCs w:val="24"/>
        </w:rPr>
      </w:pPr>
    </w:p>
    <w:p w:rsidR="00D64F36" w:rsidRDefault="004029A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_______________</w:t>
      </w:r>
    </w:p>
    <w:p w:rsidR="00D64F36" w:rsidRDefault="004029AB">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External Examiner</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Date</w:t>
      </w:r>
    </w:p>
    <w:p w:rsidR="00D64F36" w:rsidRDefault="00D64F36">
      <w:pPr>
        <w:spacing w:after="0" w:line="360" w:lineRule="auto"/>
        <w:jc w:val="center"/>
        <w:rPr>
          <w:rFonts w:ascii="Times New Roman" w:hAnsi="Times New Roman" w:cs="Times New Roman"/>
          <w:b/>
          <w:color w:val="000000" w:themeColor="text1"/>
          <w:sz w:val="24"/>
          <w:szCs w:val="24"/>
        </w:rPr>
      </w:pPr>
    </w:p>
    <w:p w:rsidR="00D64F36" w:rsidRDefault="00D64F36">
      <w:pPr>
        <w:spacing w:after="0" w:line="360" w:lineRule="auto"/>
        <w:jc w:val="center"/>
        <w:rPr>
          <w:rFonts w:ascii="Times New Roman" w:hAnsi="Times New Roman" w:cs="Times New Roman"/>
          <w:b/>
          <w:color w:val="000000" w:themeColor="text1"/>
          <w:sz w:val="24"/>
          <w:szCs w:val="24"/>
        </w:rPr>
      </w:pPr>
    </w:p>
    <w:p w:rsidR="00D64F36" w:rsidRDefault="00D64F36">
      <w:pPr>
        <w:spacing w:after="0" w:line="360" w:lineRule="auto"/>
        <w:jc w:val="center"/>
        <w:rPr>
          <w:rFonts w:ascii="Times New Roman" w:hAnsi="Times New Roman" w:cs="Times New Roman"/>
          <w:b/>
          <w:color w:val="000000" w:themeColor="text1"/>
          <w:sz w:val="24"/>
          <w:szCs w:val="24"/>
        </w:rPr>
      </w:pPr>
    </w:p>
    <w:p w:rsidR="00D64F36" w:rsidRDefault="00D64F36">
      <w:pPr>
        <w:spacing w:after="0" w:line="360" w:lineRule="auto"/>
        <w:jc w:val="center"/>
        <w:rPr>
          <w:rFonts w:ascii="Times New Roman" w:hAnsi="Times New Roman" w:cs="Times New Roman"/>
          <w:b/>
          <w:color w:val="000000" w:themeColor="text1"/>
          <w:sz w:val="24"/>
          <w:szCs w:val="24"/>
        </w:rPr>
      </w:pPr>
    </w:p>
    <w:p w:rsidR="007B4A16" w:rsidRPr="007B4A16" w:rsidRDefault="004029AB" w:rsidP="007B4A16">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DEDICATION </w:t>
      </w:r>
    </w:p>
    <w:p w:rsidR="00D64F36" w:rsidRDefault="007B4A16" w:rsidP="007B4A16">
      <w:pPr>
        <w:jc w:val="center"/>
        <w:rPr>
          <w:rFonts w:ascii="Times New Roman" w:hAnsi="Times New Roman" w:cs="Times New Roman"/>
          <w:color w:val="000000" w:themeColor="text1"/>
          <w:sz w:val="24"/>
          <w:szCs w:val="24"/>
        </w:rPr>
      </w:pPr>
      <w:r w:rsidRPr="007B4A16">
        <w:rPr>
          <w:rFonts w:ascii="Times New Roman" w:hAnsi="Times New Roman" w:cs="Times New Roman"/>
          <w:color w:val="000000" w:themeColor="text1"/>
          <w:sz w:val="24"/>
          <w:szCs w:val="24"/>
        </w:rPr>
        <w:t>This work is dedicated to Almighty God, for his</w:t>
      </w:r>
      <w:r w:rsidR="00731DF4">
        <w:rPr>
          <w:rFonts w:ascii="Times New Roman" w:hAnsi="Times New Roman" w:cs="Times New Roman"/>
          <w:color w:val="000000" w:themeColor="text1"/>
          <w:sz w:val="24"/>
          <w:szCs w:val="24"/>
        </w:rPr>
        <w:t xml:space="preserve"> infinite mercy and Grace. And t</w:t>
      </w:r>
      <w:r w:rsidRPr="007B4A16">
        <w:rPr>
          <w:rFonts w:ascii="Times New Roman" w:hAnsi="Times New Roman" w:cs="Times New Roman"/>
          <w:color w:val="000000" w:themeColor="text1"/>
          <w:sz w:val="24"/>
          <w:szCs w:val="24"/>
        </w:rPr>
        <w:t>o my family.</w:t>
      </w:r>
    </w:p>
    <w:p w:rsidR="00D64F36" w:rsidRDefault="00D64F36">
      <w:pPr>
        <w:jc w:val="center"/>
        <w:rPr>
          <w:rFonts w:ascii="Times New Roman" w:hAnsi="Times New Roman" w:cs="Times New Roman"/>
          <w:color w:val="000000" w:themeColor="text1"/>
          <w:sz w:val="24"/>
          <w:szCs w:val="24"/>
        </w:rPr>
      </w:pPr>
    </w:p>
    <w:p w:rsidR="00D64F36" w:rsidRDefault="00D64F36">
      <w:pPr>
        <w:jc w:val="center"/>
        <w:rPr>
          <w:rFonts w:ascii="Times New Roman" w:hAnsi="Times New Roman" w:cs="Times New Roman"/>
          <w:color w:val="000000" w:themeColor="text1"/>
          <w:sz w:val="24"/>
          <w:szCs w:val="24"/>
        </w:rPr>
      </w:pPr>
    </w:p>
    <w:p w:rsidR="00D64F36" w:rsidRDefault="00D64F36">
      <w:pPr>
        <w:jc w:val="center"/>
        <w:rPr>
          <w:rFonts w:ascii="Times New Roman" w:hAnsi="Times New Roman" w:cs="Times New Roman"/>
          <w:color w:val="000000" w:themeColor="text1"/>
          <w:sz w:val="24"/>
          <w:szCs w:val="24"/>
        </w:rPr>
      </w:pPr>
    </w:p>
    <w:p w:rsidR="00D64F36" w:rsidRDefault="00D64F36">
      <w:pPr>
        <w:jc w:val="center"/>
        <w:rPr>
          <w:rFonts w:ascii="Times New Roman" w:hAnsi="Times New Roman" w:cs="Times New Roman"/>
          <w:color w:val="000000" w:themeColor="text1"/>
          <w:sz w:val="24"/>
          <w:szCs w:val="24"/>
        </w:rPr>
      </w:pPr>
    </w:p>
    <w:p w:rsidR="00D64F36" w:rsidRDefault="00D64F36">
      <w:pPr>
        <w:jc w:val="center"/>
        <w:rPr>
          <w:rFonts w:ascii="Times New Roman" w:hAnsi="Times New Roman" w:cs="Times New Roman"/>
          <w:color w:val="000000" w:themeColor="text1"/>
          <w:sz w:val="24"/>
          <w:szCs w:val="24"/>
        </w:rPr>
      </w:pPr>
    </w:p>
    <w:p w:rsidR="00D64F36" w:rsidRDefault="00D64F36">
      <w:pPr>
        <w:jc w:val="center"/>
        <w:rPr>
          <w:rFonts w:ascii="Times New Roman" w:hAnsi="Times New Roman" w:cs="Times New Roman"/>
          <w:color w:val="000000" w:themeColor="text1"/>
          <w:sz w:val="24"/>
          <w:szCs w:val="24"/>
        </w:rPr>
      </w:pPr>
    </w:p>
    <w:p w:rsidR="00D64F36" w:rsidRDefault="00D64F36">
      <w:pPr>
        <w:jc w:val="center"/>
        <w:rPr>
          <w:rFonts w:ascii="Times New Roman" w:hAnsi="Times New Roman" w:cs="Times New Roman"/>
          <w:color w:val="000000" w:themeColor="text1"/>
          <w:sz w:val="24"/>
          <w:szCs w:val="24"/>
        </w:rPr>
      </w:pPr>
    </w:p>
    <w:p w:rsidR="00D64F36" w:rsidRDefault="00D64F36">
      <w:pPr>
        <w:jc w:val="center"/>
        <w:rPr>
          <w:rFonts w:ascii="Times New Roman" w:hAnsi="Times New Roman" w:cs="Times New Roman"/>
          <w:color w:val="000000" w:themeColor="text1"/>
          <w:sz w:val="24"/>
          <w:szCs w:val="24"/>
        </w:rPr>
      </w:pPr>
    </w:p>
    <w:p w:rsidR="00D64F36" w:rsidRDefault="00D64F36">
      <w:pPr>
        <w:jc w:val="center"/>
        <w:rPr>
          <w:rFonts w:ascii="Times New Roman" w:hAnsi="Times New Roman" w:cs="Times New Roman"/>
          <w:color w:val="000000" w:themeColor="text1"/>
          <w:sz w:val="24"/>
          <w:szCs w:val="24"/>
        </w:rPr>
      </w:pPr>
    </w:p>
    <w:p w:rsidR="00D64F36" w:rsidRDefault="00D64F36">
      <w:pPr>
        <w:jc w:val="center"/>
        <w:rPr>
          <w:rFonts w:ascii="Times New Roman" w:hAnsi="Times New Roman" w:cs="Times New Roman"/>
          <w:color w:val="000000" w:themeColor="text1"/>
          <w:sz w:val="24"/>
          <w:szCs w:val="24"/>
        </w:rPr>
      </w:pPr>
    </w:p>
    <w:p w:rsidR="00D64F36" w:rsidRDefault="00D64F36">
      <w:pPr>
        <w:jc w:val="center"/>
        <w:rPr>
          <w:rFonts w:ascii="Times New Roman" w:hAnsi="Times New Roman" w:cs="Times New Roman"/>
          <w:color w:val="000000" w:themeColor="text1"/>
          <w:sz w:val="24"/>
          <w:szCs w:val="24"/>
        </w:rPr>
      </w:pPr>
    </w:p>
    <w:p w:rsidR="00D64F36" w:rsidRDefault="00D64F36">
      <w:pPr>
        <w:jc w:val="center"/>
        <w:rPr>
          <w:rFonts w:ascii="Times New Roman" w:hAnsi="Times New Roman" w:cs="Times New Roman"/>
          <w:b/>
          <w:color w:val="000000" w:themeColor="text1"/>
          <w:sz w:val="24"/>
          <w:szCs w:val="24"/>
        </w:rPr>
      </w:pPr>
    </w:p>
    <w:p w:rsidR="00D64F36" w:rsidRDefault="00D64F36">
      <w:pPr>
        <w:jc w:val="center"/>
        <w:rPr>
          <w:rFonts w:ascii="Times New Roman" w:hAnsi="Times New Roman" w:cs="Times New Roman"/>
          <w:b/>
          <w:color w:val="000000" w:themeColor="text1"/>
          <w:sz w:val="24"/>
          <w:szCs w:val="24"/>
        </w:rPr>
      </w:pPr>
    </w:p>
    <w:p w:rsidR="00D64F36" w:rsidRDefault="00D64F36">
      <w:pPr>
        <w:jc w:val="center"/>
        <w:rPr>
          <w:rFonts w:ascii="Times New Roman" w:hAnsi="Times New Roman" w:cs="Times New Roman"/>
          <w:b/>
          <w:color w:val="000000" w:themeColor="text1"/>
          <w:sz w:val="24"/>
          <w:szCs w:val="24"/>
        </w:rPr>
      </w:pPr>
    </w:p>
    <w:p w:rsidR="00D64F36" w:rsidRDefault="00D64F36">
      <w:pPr>
        <w:jc w:val="center"/>
        <w:rPr>
          <w:rFonts w:ascii="Times New Roman" w:hAnsi="Times New Roman" w:cs="Times New Roman"/>
          <w:b/>
          <w:color w:val="000000" w:themeColor="text1"/>
          <w:sz w:val="24"/>
          <w:szCs w:val="24"/>
        </w:rPr>
      </w:pPr>
    </w:p>
    <w:p w:rsidR="00D64F36" w:rsidRDefault="00D64F36">
      <w:pPr>
        <w:jc w:val="center"/>
        <w:rPr>
          <w:rFonts w:ascii="Times New Roman" w:hAnsi="Times New Roman" w:cs="Times New Roman"/>
          <w:b/>
          <w:color w:val="000000" w:themeColor="text1"/>
          <w:sz w:val="24"/>
          <w:szCs w:val="24"/>
        </w:rPr>
      </w:pPr>
    </w:p>
    <w:p w:rsidR="00D64F36" w:rsidRDefault="00D64F36">
      <w:pPr>
        <w:jc w:val="center"/>
        <w:rPr>
          <w:rFonts w:ascii="Times New Roman" w:hAnsi="Times New Roman" w:cs="Times New Roman"/>
          <w:b/>
          <w:color w:val="000000" w:themeColor="text1"/>
          <w:sz w:val="24"/>
          <w:szCs w:val="24"/>
        </w:rPr>
      </w:pPr>
    </w:p>
    <w:p w:rsidR="00D64F36" w:rsidRDefault="00D64F36">
      <w:pPr>
        <w:jc w:val="center"/>
        <w:rPr>
          <w:rFonts w:ascii="Times New Roman" w:hAnsi="Times New Roman" w:cs="Times New Roman"/>
          <w:b/>
          <w:color w:val="000000" w:themeColor="text1"/>
          <w:sz w:val="24"/>
          <w:szCs w:val="24"/>
        </w:rPr>
      </w:pPr>
    </w:p>
    <w:p w:rsidR="007B4A16" w:rsidRDefault="007B4A16">
      <w:pPr>
        <w:jc w:val="center"/>
        <w:rPr>
          <w:rFonts w:ascii="Times New Roman" w:hAnsi="Times New Roman" w:cs="Times New Roman"/>
          <w:b/>
          <w:color w:val="000000" w:themeColor="text1"/>
          <w:sz w:val="24"/>
          <w:szCs w:val="24"/>
        </w:rPr>
      </w:pPr>
      <w:bookmarkStart w:id="4" w:name="_Hlk146530912"/>
    </w:p>
    <w:p w:rsidR="007B4A16" w:rsidRDefault="007B4A16">
      <w:pPr>
        <w:jc w:val="center"/>
        <w:rPr>
          <w:rFonts w:ascii="Times New Roman" w:hAnsi="Times New Roman" w:cs="Times New Roman"/>
          <w:b/>
          <w:color w:val="000000" w:themeColor="text1"/>
          <w:sz w:val="24"/>
          <w:szCs w:val="24"/>
        </w:rPr>
      </w:pPr>
    </w:p>
    <w:p w:rsidR="007B4A16" w:rsidRDefault="007B4A16">
      <w:pPr>
        <w:jc w:val="center"/>
        <w:rPr>
          <w:rFonts w:ascii="Times New Roman" w:hAnsi="Times New Roman" w:cs="Times New Roman"/>
          <w:b/>
          <w:color w:val="000000" w:themeColor="text1"/>
          <w:sz w:val="24"/>
          <w:szCs w:val="24"/>
        </w:rPr>
      </w:pPr>
    </w:p>
    <w:p w:rsidR="00C76245" w:rsidRDefault="004029AB" w:rsidP="00C76245">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ACKNOWLEDGEMENT</w:t>
      </w:r>
      <w:bookmarkEnd w:id="4"/>
    </w:p>
    <w:p w:rsidR="00C76245" w:rsidRPr="00C76245" w:rsidRDefault="007B4A16" w:rsidP="00C76245">
      <w:pPr>
        <w:ind w:firstLine="720"/>
        <w:rPr>
          <w:rFonts w:ascii="Times New Roman" w:hAnsi="Times New Roman" w:cs="Times New Roman"/>
          <w:b/>
          <w:color w:val="000000" w:themeColor="text1"/>
          <w:sz w:val="24"/>
          <w:szCs w:val="24"/>
        </w:rPr>
      </w:pPr>
      <w:r w:rsidRPr="007B4A16">
        <w:rPr>
          <w:rFonts w:ascii="Times New Roman" w:hAnsi="Times New Roman"/>
          <w:sz w:val="24"/>
          <w:szCs w:val="24"/>
        </w:rPr>
        <w:t>At times our own light goes out and is rekindled by a spark from another person</w:t>
      </w:r>
    </w:p>
    <w:p w:rsidR="007B4A16" w:rsidRDefault="007B4A16" w:rsidP="00C76245">
      <w:pPr>
        <w:spacing w:after="0"/>
        <w:rPr>
          <w:rFonts w:ascii="Times New Roman" w:hAnsi="Times New Roman"/>
          <w:sz w:val="24"/>
          <w:szCs w:val="24"/>
        </w:rPr>
      </w:pPr>
      <w:r w:rsidRPr="007B4A16">
        <w:rPr>
          <w:rFonts w:ascii="Times New Roman" w:hAnsi="Times New Roman"/>
          <w:sz w:val="24"/>
          <w:szCs w:val="24"/>
        </w:rPr>
        <w:t>Each of us has cause to think with deep gratitude of those who have refit</w:t>
      </w:r>
      <w:r>
        <w:rPr>
          <w:rFonts w:ascii="Times New Roman" w:hAnsi="Times New Roman"/>
          <w:sz w:val="24"/>
          <w:szCs w:val="24"/>
        </w:rPr>
        <w:t xml:space="preserve"> the flame within</w:t>
      </w:r>
    </w:p>
    <w:p w:rsidR="00C76245" w:rsidRPr="00C76245" w:rsidRDefault="007B4A16" w:rsidP="00C76245">
      <w:pPr>
        <w:spacing w:after="0"/>
        <w:rPr>
          <w:rFonts w:ascii="Times New Roman" w:hAnsi="Times New Roman"/>
          <w:sz w:val="24"/>
          <w:szCs w:val="24"/>
        </w:rPr>
      </w:pPr>
      <w:r>
        <w:rPr>
          <w:rFonts w:ascii="Times New Roman" w:hAnsi="Times New Roman"/>
          <w:sz w:val="24"/>
          <w:szCs w:val="24"/>
        </w:rPr>
        <w:t>us’</w:t>
      </w:r>
    </w:p>
    <w:p w:rsidR="00C76245" w:rsidRDefault="00C76245" w:rsidP="0064610F">
      <w:pPr>
        <w:spacing w:after="0"/>
        <w:jc w:val="both"/>
        <w:rPr>
          <w:rFonts w:ascii="Times New Roman" w:hAnsi="Times New Roman"/>
          <w:sz w:val="24"/>
          <w:szCs w:val="24"/>
        </w:rPr>
      </w:pPr>
    </w:p>
    <w:p w:rsidR="007B4A16" w:rsidRPr="007B4A16" w:rsidRDefault="007B4A16" w:rsidP="007B4A16">
      <w:pPr>
        <w:spacing w:after="0"/>
        <w:ind w:firstLine="720"/>
        <w:jc w:val="both"/>
        <w:rPr>
          <w:rFonts w:ascii="Times New Roman" w:hAnsi="Times New Roman"/>
          <w:sz w:val="24"/>
          <w:szCs w:val="24"/>
        </w:rPr>
      </w:pPr>
      <w:r w:rsidRPr="007B4A16">
        <w:rPr>
          <w:rFonts w:ascii="Times New Roman" w:hAnsi="Times New Roman"/>
          <w:sz w:val="24"/>
          <w:szCs w:val="24"/>
        </w:rPr>
        <w:t>I’m grateful to Almighty God for his Mercy, goodness and love towards the successful completion of my academic pursuit.</w:t>
      </w:r>
    </w:p>
    <w:p w:rsidR="007B4A16" w:rsidRPr="007B4A16" w:rsidRDefault="007B4A16" w:rsidP="007B4A16">
      <w:pPr>
        <w:spacing w:after="0"/>
        <w:ind w:firstLine="720"/>
        <w:jc w:val="both"/>
        <w:rPr>
          <w:rFonts w:ascii="Times New Roman" w:hAnsi="Times New Roman"/>
          <w:sz w:val="24"/>
          <w:szCs w:val="24"/>
        </w:rPr>
      </w:pPr>
    </w:p>
    <w:p w:rsidR="007B4A16" w:rsidRPr="007B4A16" w:rsidRDefault="007B4A16" w:rsidP="007B4A16">
      <w:pPr>
        <w:spacing w:after="0"/>
        <w:ind w:firstLine="720"/>
        <w:jc w:val="both"/>
        <w:rPr>
          <w:rFonts w:ascii="Times New Roman" w:hAnsi="Times New Roman"/>
          <w:sz w:val="24"/>
          <w:szCs w:val="24"/>
        </w:rPr>
      </w:pPr>
      <w:r w:rsidRPr="007B4A16">
        <w:rPr>
          <w:rFonts w:ascii="Times New Roman" w:hAnsi="Times New Roman"/>
          <w:sz w:val="24"/>
          <w:szCs w:val="24"/>
        </w:rPr>
        <w:t>I heartily appreciate my wonderful supervisor, DR Sunday A.J. for his selfless efforts, support, advice encouragement, training and criticism during the exercise of this research. May all your dreams come true sir</w:t>
      </w:r>
      <w:r>
        <w:rPr>
          <w:rFonts w:ascii="Times New Roman" w:hAnsi="Times New Roman"/>
          <w:sz w:val="24"/>
          <w:szCs w:val="24"/>
        </w:rPr>
        <w:t>.</w:t>
      </w:r>
    </w:p>
    <w:p w:rsidR="007B4A16" w:rsidRPr="007B4A16" w:rsidRDefault="007B4A16" w:rsidP="007B4A16">
      <w:pPr>
        <w:spacing w:after="0"/>
        <w:ind w:firstLine="720"/>
        <w:jc w:val="both"/>
        <w:rPr>
          <w:rFonts w:ascii="Times New Roman" w:hAnsi="Times New Roman"/>
          <w:sz w:val="24"/>
          <w:szCs w:val="24"/>
        </w:rPr>
      </w:pPr>
    </w:p>
    <w:p w:rsidR="007B4A16" w:rsidRPr="007B4A16" w:rsidRDefault="007B4A16" w:rsidP="007B4A16">
      <w:pPr>
        <w:spacing w:after="0"/>
        <w:ind w:firstLine="720"/>
        <w:jc w:val="both"/>
        <w:rPr>
          <w:rFonts w:ascii="Times New Roman" w:hAnsi="Times New Roman"/>
          <w:sz w:val="24"/>
          <w:szCs w:val="24"/>
        </w:rPr>
      </w:pPr>
      <w:r w:rsidRPr="007B4A16">
        <w:rPr>
          <w:rFonts w:ascii="Times New Roman" w:hAnsi="Times New Roman"/>
          <w:sz w:val="24"/>
          <w:szCs w:val="24"/>
        </w:rPr>
        <w:t>I am most grateful and indebted to my love</w:t>
      </w:r>
      <w:r>
        <w:rPr>
          <w:rFonts w:ascii="Times New Roman" w:hAnsi="Times New Roman"/>
          <w:sz w:val="24"/>
          <w:szCs w:val="24"/>
        </w:rPr>
        <w:t xml:space="preserve">ly parents, (MR AND MRS </w:t>
      </w:r>
      <w:r w:rsidR="0064610F">
        <w:rPr>
          <w:rFonts w:ascii="Times New Roman" w:hAnsi="Times New Roman"/>
          <w:sz w:val="24"/>
          <w:szCs w:val="24"/>
        </w:rPr>
        <w:t>Owolabi</w:t>
      </w:r>
      <w:r w:rsidRPr="007B4A16">
        <w:rPr>
          <w:rFonts w:ascii="Times New Roman" w:hAnsi="Times New Roman"/>
          <w:sz w:val="24"/>
          <w:szCs w:val="24"/>
        </w:rPr>
        <w:t>)</w:t>
      </w:r>
      <w:r>
        <w:rPr>
          <w:rFonts w:ascii="Times New Roman" w:hAnsi="Times New Roman"/>
          <w:sz w:val="24"/>
          <w:szCs w:val="24"/>
        </w:rPr>
        <w:t xml:space="preserve"> </w:t>
      </w:r>
      <w:r w:rsidRPr="007B4A16">
        <w:rPr>
          <w:rFonts w:ascii="Times New Roman" w:hAnsi="Times New Roman"/>
          <w:sz w:val="24"/>
          <w:szCs w:val="24"/>
        </w:rPr>
        <w:t>whose their love, care and support both financially, spiritually and morally have made my academic pursuit to become a reality.</w:t>
      </w:r>
      <w:r>
        <w:rPr>
          <w:rFonts w:ascii="Times New Roman" w:hAnsi="Times New Roman"/>
          <w:sz w:val="24"/>
          <w:szCs w:val="24"/>
        </w:rPr>
        <w:t xml:space="preserve"> </w:t>
      </w:r>
      <w:r w:rsidRPr="007B4A16">
        <w:rPr>
          <w:rFonts w:ascii="Times New Roman" w:hAnsi="Times New Roman"/>
          <w:sz w:val="24"/>
          <w:szCs w:val="24"/>
        </w:rPr>
        <w:t>they both held me when I couldn’t stand on my own,</w:t>
      </w:r>
    </w:p>
    <w:p w:rsidR="007B4A16" w:rsidRPr="007B4A16" w:rsidRDefault="007B4A16" w:rsidP="007B4A16">
      <w:pPr>
        <w:spacing w:after="0"/>
        <w:ind w:firstLine="720"/>
        <w:jc w:val="both"/>
        <w:rPr>
          <w:rFonts w:ascii="Times New Roman" w:hAnsi="Times New Roman"/>
          <w:sz w:val="24"/>
          <w:szCs w:val="24"/>
        </w:rPr>
      </w:pPr>
      <w:r w:rsidRPr="007B4A16">
        <w:rPr>
          <w:rFonts w:ascii="Times New Roman" w:hAnsi="Times New Roman"/>
          <w:sz w:val="24"/>
          <w:szCs w:val="24"/>
        </w:rPr>
        <w:t>Words a</w:t>
      </w:r>
      <w:r>
        <w:rPr>
          <w:rFonts w:ascii="Times New Roman" w:hAnsi="Times New Roman"/>
          <w:sz w:val="24"/>
          <w:szCs w:val="24"/>
        </w:rPr>
        <w:t>re too weak to thank them both.</w:t>
      </w:r>
    </w:p>
    <w:p w:rsidR="007B4A16" w:rsidRPr="007B4A16" w:rsidRDefault="007B4A16" w:rsidP="007B4A16">
      <w:pPr>
        <w:spacing w:after="0"/>
        <w:ind w:firstLine="720"/>
        <w:jc w:val="both"/>
        <w:rPr>
          <w:rFonts w:ascii="Times New Roman" w:hAnsi="Times New Roman"/>
          <w:sz w:val="24"/>
          <w:szCs w:val="24"/>
        </w:rPr>
      </w:pPr>
    </w:p>
    <w:p w:rsidR="007B4A16" w:rsidRPr="007B4A16" w:rsidRDefault="007B4A16" w:rsidP="007B4A16">
      <w:pPr>
        <w:spacing w:after="0"/>
        <w:ind w:firstLine="720"/>
        <w:jc w:val="both"/>
        <w:rPr>
          <w:rFonts w:ascii="Times New Roman" w:hAnsi="Times New Roman"/>
          <w:sz w:val="24"/>
          <w:szCs w:val="24"/>
        </w:rPr>
      </w:pPr>
      <w:r w:rsidRPr="007B4A16">
        <w:rPr>
          <w:rFonts w:ascii="Times New Roman" w:hAnsi="Times New Roman"/>
          <w:sz w:val="24"/>
          <w:szCs w:val="24"/>
        </w:rPr>
        <w:t xml:space="preserve">I </w:t>
      </w:r>
      <w:r w:rsidR="00C76245">
        <w:rPr>
          <w:rFonts w:ascii="Times New Roman" w:hAnsi="Times New Roman"/>
          <w:sz w:val="24"/>
          <w:szCs w:val="24"/>
        </w:rPr>
        <w:t>am also grateful to</w:t>
      </w:r>
      <w:r w:rsidRPr="007B4A16">
        <w:rPr>
          <w:rFonts w:ascii="Times New Roman" w:hAnsi="Times New Roman"/>
          <w:sz w:val="24"/>
          <w:szCs w:val="24"/>
        </w:rPr>
        <w:t xml:space="preserve"> my sister, </w:t>
      </w:r>
      <w:r w:rsidR="0064610F">
        <w:rPr>
          <w:rFonts w:ascii="Times New Roman" w:hAnsi="Times New Roman"/>
          <w:sz w:val="24"/>
          <w:szCs w:val="24"/>
        </w:rPr>
        <w:t>Owolabi</w:t>
      </w:r>
      <w:r w:rsidRPr="007B4A16">
        <w:rPr>
          <w:rFonts w:ascii="Times New Roman" w:hAnsi="Times New Roman"/>
          <w:sz w:val="24"/>
          <w:szCs w:val="24"/>
        </w:rPr>
        <w:t xml:space="preserve"> B</w:t>
      </w:r>
      <w:r w:rsidR="0064610F">
        <w:rPr>
          <w:rFonts w:ascii="Times New Roman" w:hAnsi="Times New Roman"/>
          <w:sz w:val="24"/>
          <w:szCs w:val="24"/>
        </w:rPr>
        <w:t>ukola</w:t>
      </w:r>
      <w:r w:rsidRPr="007B4A16">
        <w:rPr>
          <w:rFonts w:ascii="Times New Roman" w:hAnsi="Times New Roman"/>
          <w:sz w:val="24"/>
          <w:szCs w:val="24"/>
        </w:rPr>
        <w:t xml:space="preserve"> T</w:t>
      </w:r>
      <w:r w:rsidR="0064610F">
        <w:rPr>
          <w:rFonts w:ascii="Times New Roman" w:hAnsi="Times New Roman"/>
          <w:sz w:val="24"/>
          <w:szCs w:val="24"/>
        </w:rPr>
        <w:t>emitayo</w:t>
      </w:r>
      <w:r w:rsidRPr="007B4A16">
        <w:rPr>
          <w:rFonts w:ascii="Times New Roman" w:hAnsi="Times New Roman"/>
          <w:sz w:val="24"/>
          <w:szCs w:val="24"/>
        </w:rPr>
        <w:t xml:space="preserve"> who is my biggest role model She constantly inspires me to be better and to never give up. The love and laughter she brings me helped me greatly over this degree.</w:t>
      </w:r>
    </w:p>
    <w:p w:rsidR="007B4A16" w:rsidRDefault="007B4A16" w:rsidP="007B4A16">
      <w:pPr>
        <w:spacing w:after="0"/>
        <w:ind w:firstLine="720"/>
        <w:jc w:val="both"/>
        <w:rPr>
          <w:rFonts w:ascii="Times New Roman" w:hAnsi="Times New Roman"/>
          <w:sz w:val="24"/>
          <w:szCs w:val="24"/>
        </w:rPr>
      </w:pPr>
      <w:r w:rsidRPr="007B4A16">
        <w:rPr>
          <w:rFonts w:ascii="Times New Roman" w:hAnsi="Times New Roman"/>
          <w:sz w:val="24"/>
          <w:szCs w:val="24"/>
        </w:rPr>
        <w:t>To my litte s</w:t>
      </w:r>
      <w:r w:rsidR="0064610F">
        <w:rPr>
          <w:rFonts w:ascii="Times New Roman" w:hAnsi="Times New Roman"/>
          <w:sz w:val="24"/>
          <w:szCs w:val="24"/>
        </w:rPr>
        <w:t>ister Owolabi Timileyin Owolabi</w:t>
      </w:r>
      <w:r w:rsidRPr="007B4A16">
        <w:rPr>
          <w:rFonts w:ascii="Times New Roman" w:hAnsi="Times New Roman"/>
          <w:sz w:val="24"/>
          <w:szCs w:val="24"/>
        </w:rPr>
        <w:t>,</w:t>
      </w:r>
      <w:r w:rsidR="0064610F">
        <w:rPr>
          <w:rFonts w:ascii="Times New Roman" w:hAnsi="Times New Roman"/>
          <w:sz w:val="24"/>
          <w:szCs w:val="24"/>
        </w:rPr>
        <w:t xml:space="preserve"> </w:t>
      </w:r>
      <w:r w:rsidRPr="007B4A16">
        <w:rPr>
          <w:rFonts w:ascii="Times New Roman" w:hAnsi="Times New Roman"/>
          <w:sz w:val="24"/>
          <w:szCs w:val="24"/>
        </w:rPr>
        <w:t>thank you for your support,</w:t>
      </w:r>
      <w:r>
        <w:rPr>
          <w:rFonts w:ascii="Times New Roman" w:hAnsi="Times New Roman"/>
          <w:sz w:val="24"/>
          <w:szCs w:val="24"/>
        </w:rPr>
        <w:t xml:space="preserve"> </w:t>
      </w:r>
      <w:r w:rsidRPr="007B4A16">
        <w:rPr>
          <w:rFonts w:ascii="Times New Roman" w:hAnsi="Times New Roman"/>
          <w:sz w:val="24"/>
          <w:szCs w:val="24"/>
        </w:rPr>
        <w:t>encouragement and love.</w:t>
      </w:r>
    </w:p>
    <w:p w:rsidR="00591343" w:rsidRPr="007B4A16" w:rsidRDefault="008872E0" w:rsidP="0064610F">
      <w:pPr>
        <w:spacing w:before="240" w:after="0"/>
        <w:ind w:firstLine="720"/>
        <w:jc w:val="both"/>
        <w:rPr>
          <w:rFonts w:ascii="Times New Roman" w:hAnsi="Times New Roman"/>
          <w:sz w:val="24"/>
          <w:szCs w:val="24"/>
        </w:rPr>
      </w:pPr>
      <w:r>
        <w:rPr>
          <w:rFonts w:ascii="Times New Roman" w:hAnsi="Times New Roman"/>
          <w:sz w:val="24"/>
          <w:szCs w:val="24"/>
        </w:rPr>
        <w:t>s</w:t>
      </w:r>
      <w:r w:rsidR="00591343" w:rsidRPr="00591343">
        <w:rPr>
          <w:rFonts w:ascii="Times New Roman" w:hAnsi="Times New Roman"/>
          <w:sz w:val="24"/>
          <w:szCs w:val="24"/>
        </w:rPr>
        <w:t>My special appreciation goes to my man(Jacob Benjamin Joshua) thank you for your support, guidance and encouragement</w:t>
      </w:r>
    </w:p>
    <w:p w:rsidR="0064610F" w:rsidRPr="007B4A16" w:rsidRDefault="0064610F" w:rsidP="007B4A16">
      <w:pPr>
        <w:spacing w:after="0"/>
        <w:ind w:firstLine="720"/>
        <w:jc w:val="both"/>
        <w:rPr>
          <w:rFonts w:ascii="Times New Roman" w:hAnsi="Times New Roman"/>
          <w:sz w:val="24"/>
          <w:szCs w:val="24"/>
        </w:rPr>
      </w:pPr>
    </w:p>
    <w:p w:rsidR="007B4A16" w:rsidRPr="007B4A16" w:rsidRDefault="007B4A16" w:rsidP="007B4A16">
      <w:pPr>
        <w:spacing w:after="0"/>
        <w:ind w:firstLine="720"/>
        <w:jc w:val="both"/>
        <w:rPr>
          <w:rFonts w:ascii="Times New Roman" w:hAnsi="Times New Roman"/>
          <w:sz w:val="24"/>
          <w:szCs w:val="24"/>
        </w:rPr>
      </w:pPr>
    </w:p>
    <w:p w:rsidR="007B4A16" w:rsidRPr="007B4A16" w:rsidRDefault="007B4A16" w:rsidP="00731DF4">
      <w:pPr>
        <w:spacing w:after="0"/>
        <w:ind w:firstLine="720"/>
        <w:jc w:val="both"/>
        <w:rPr>
          <w:rFonts w:ascii="Times New Roman" w:hAnsi="Times New Roman"/>
          <w:sz w:val="24"/>
          <w:szCs w:val="24"/>
        </w:rPr>
      </w:pPr>
      <w:r w:rsidRPr="007B4A16">
        <w:rPr>
          <w:rFonts w:ascii="Times New Roman" w:hAnsi="Times New Roman"/>
          <w:sz w:val="24"/>
          <w:szCs w:val="24"/>
        </w:rPr>
        <w:t>Last, but certainly not the least,</w:t>
      </w:r>
      <w:r w:rsidR="00731DF4">
        <w:rPr>
          <w:rFonts w:ascii="Times New Roman" w:hAnsi="Times New Roman"/>
          <w:sz w:val="24"/>
          <w:szCs w:val="24"/>
        </w:rPr>
        <w:t xml:space="preserve"> </w:t>
      </w:r>
      <w:r w:rsidRPr="007B4A16">
        <w:rPr>
          <w:rFonts w:ascii="Times New Roman" w:hAnsi="Times New Roman"/>
          <w:sz w:val="24"/>
          <w:szCs w:val="24"/>
        </w:rPr>
        <w:t>I would like to specially Appreciate this incredible soul,</w:t>
      </w:r>
      <w:r>
        <w:rPr>
          <w:rFonts w:ascii="Times New Roman" w:hAnsi="Times New Roman"/>
          <w:sz w:val="24"/>
          <w:szCs w:val="24"/>
        </w:rPr>
        <w:t xml:space="preserve"> </w:t>
      </w:r>
      <w:r w:rsidR="0064610F">
        <w:rPr>
          <w:rFonts w:ascii="Times New Roman" w:hAnsi="Times New Roman"/>
          <w:sz w:val="24"/>
          <w:szCs w:val="24"/>
        </w:rPr>
        <w:t>Fashola Opeyemi Sodiq</w:t>
      </w:r>
      <w:r w:rsidRPr="007B4A16">
        <w:rPr>
          <w:rFonts w:ascii="Times New Roman" w:hAnsi="Times New Roman"/>
          <w:sz w:val="24"/>
          <w:szCs w:val="24"/>
        </w:rPr>
        <w:t>,</w:t>
      </w:r>
      <w:r>
        <w:rPr>
          <w:rFonts w:ascii="Times New Roman" w:hAnsi="Times New Roman"/>
          <w:sz w:val="24"/>
          <w:szCs w:val="24"/>
        </w:rPr>
        <w:t xml:space="preserve"> </w:t>
      </w:r>
      <w:r w:rsidRPr="007B4A16">
        <w:rPr>
          <w:rFonts w:ascii="Times New Roman" w:hAnsi="Times New Roman"/>
          <w:sz w:val="24"/>
          <w:szCs w:val="24"/>
        </w:rPr>
        <w:t>for your support, thank you for standing by me when times got tough. Your</w:t>
      </w:r>
      <w:r w:rsidR="00731DF4">
        <w:rPr>
          <w:rFonts w:ascii="Times New Roman" w:hAnsi="Times New Roman"/>
          <w:sz w:val="24"/>
          <w:szCs w:val="24"/>
        </w:rPr>
        <w:t xml:space="preserve"> </w:t>
      </w:r>
      <w:r w:rsidRPr="007B4A16">
        <w:rPr>
          <w:rFonts w:ascii="Times New Roman" w:hAnsi="Times New Roman"/>
          <w:sz w:val="24"/>
          <w:szCs w:val="24"/>
        </w:rPr>
        <w:t>kindness, laughter and understanding helped me through the most challenging</w:t>
      </w:r>
    </w:p>
    <w:p w:rsidR="007B4A16" w:rsidRPr="007B4A16" w:rsidRDefault="007B4A16" w:rsidP="007B4A16">
      <w:pPr>
        <w:spacing w:after="0"/>
        <w:ind w:firstLine="720"/>
        <w:jc w:val="both"/>
        <w:rPr>
          <w:rFonts w:ascii="Times New Roman" w:hAnsi="Times New Roman"/>
          <w:sz w:val="24"/>
          <w:szCs w:val="24"/>
        </w:rPr>
      </w:pPr>
      <w:r w:rsidRPr="007B4A16">
        <w:rPr>
          <w:rFonts w:ascii="Times New Roman" w:hAnsi="Times New Roman"/>
          <w:sz w:val="24"/>
          <w:szCs w:val="24"/>
        </w:rPr>
        <w:t>moments.</w:t>
      </w:r>
    </w:p>
    <w:p w:rsidR="007B4A16" w:rsidRPr="007B4A16" w:rsidRDefault="007B4A16" w:rsidP="007B4A16">
      <w:pPr>
        <w:spacing w:after="0"/>
        <w:ind w:firstLine="720"/>
        <w:jc w:val="both"/>
        <w:rPr>
          <w:rFonts w:ascii="Times New Roman" w:hAnsi="Times New Roman"/>
          <w:sz w:val="24"/>
          <w:szCs w:val="24"/>
        </w:rPr>
      </w:pPr>
    </w:p>
    <w:p w:rsidR="00D64F36" w:rsidRDefault="007B4A16" w:rsidP="007B4A16">
      <w:pPr>
        <w:spacing w:after="0"/>
        <w:ind w:firstLine="720"/>
        <w:jc w:val="both"/>
        <w:rPr>
          <w:rFonts w:ascii="Times New Roman" w:hAnsi="Times New Roman"/>
          <w:color w:val="000000" w:themeColor="text1"/>
          <w:sz w:val="24"/>
          <w:szCs w:val="24"/>
        </w:rPr>
      </w:pPr>
      <w:r w:rsidRPr="007B4A16">
        <w:rPr>
          <w:rFonts w:ascii="Times New Roman" w:hAnsi="Times New Roman"/>
          <w:sz w:val="24"/>
          <w:szCs w:val="24"/>
        </w:rPr>
        <w:t>While I would never have made it through this degree without my Friend and family I would also like to thank myself, for never giving up, for pushing through every time I wanted to quit. Thank you for believing in yourself O</w:t>
      </w:r>
      <w:r w:rsidR="0064610F">
        <w:rPr>
          <w:rFonts w:ascii="Times New Roman" w:hAnsi="Times New Roman"/>
          <w:sz w:val="24"/>
          <w:szCs w:val="24"/>
        </w:rPr>
        <w:t>molola</w:t>
      </w:r>
      <w:r w:rsidRPr="007B4A16">
        <w:rPr>
          <w:rFonts w:ascii="Times New Roman" w:hAnsi="Times New Roman"/>
          <w:sz w:val="24"/>
          <w:szCs w:val="24"/>
        </w:rPr>
        <w:t>,</w:t>
      </w:r>
      <w:r>
        <w:rPr>
          <w:rFonts w:ascii="Times New Roman" w:hAnsi="Times New Roman"/>
          <w:sz w:val="24"/>
          <w:szCs w:val="24"/>
        </w:rPr>
        <w:t xml:space="preserve"> </w:t>
      </w:r>
      <w:r w:rsidRPr="007B4A16">
        <w:rPr>
          <w:rFonts w:ascii="Times New Roman" w:hAnsi="Times New Roman"/>
          <w:sz w:val="24"/>
          <w:szCs w:val="24"/>
        </w:rPr>
        <w:t xml:space="preserve">it was tough but I was very determined to </w:t>
      </w:r>
      <w:r w:rsidRPr="007B4A16">
        <w:rPr>
          <w:rFonts w:ascii="Times New Roman" w:hAnsi="Times New Roman"/>
          <w:sz w:val="24"/>
          <w:szCs w:val="24"/>
        </w:rPr>
        <w:lastRenderedPageBreak/>
        <w:t>achieve my goal. every time I wanted to quit,</w:t>
      </w:r>
      <w:r>
        <w:rPr>
          <w:rFonts w:ascii="Times New Roman" w:hAnsi="Times New Roman"/>
          <w:sz w:val="24"/>
          <w:szCs w:val="24"/>
        </w:rPr>
        <w:t xml:space="preserve"> </w:t>
      </w:r>
      <w:r w:rsidRPr="007B4A16">
        <w:rPr>
          <w:rFonts w:ascii="Times New Roman" w:hAnsi="Times New Roman"/>
          <w:sz w:val="24"/>
          <w:szCs w:val="24"/>
        </w:rPr>
        <w:t>i always remember the reasons I started this journey.im proud of myself.</w:t>
      </w:r>
    </w:p>
    <w:p w:rsidR="00D64F36" w:rsidRDefault="00D64F36">
      <w:pPr>
        <w:spacing w:after="0"/>
        <w:ind w:firstLine="720"/>
        <w:jc w:val="both"/>
        <w:rPr>
          <w:rFonts w:ascii="Times New Roman" w:hAnsi="Times New Roman"/>
          <w:color w:val="000000" w:themeColor="text1"/>
          <w:sz w:val="24"/>
          <w:szCs w:val="24"/>
        </w:rPr>
      </w:pPr>
    </w:p>
    <w:p w:rsidR="00D64F36" w:rsidRDefault="00D64F36">
      <w:pPr>
        <w:spacing w:after="0"/>
        <w:ind w:firstLine="720"/>
        <w:jc w:val="both"/>
        <w:rPr>
          <w:rFonts w:ascii="Times New Roman" w:hAnsi="Times New Roman"/>
          <w:color w:val="000000" w:themeColor="text1"/>
          <w:sz w:val="24"/>
          <w:szCs w:val="24"/>
        </w:rPr>
      </w:pPr>
    </w:p>
    <w:p w:rsidR="00731DF4" w:rsidRDefault="00731DF4"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D64F36" w:rsidRDefault="004029AB" w:rsidP="007B4A16">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TABLE OF CONTENTS</w:t>
      </w:r>
    </w:p>
    <w:p w:rsidR="00D64F36" w:rsidRDefault="004029AB">
      <w:p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Title page</w:t>
      </w:r>
    </w:p>
    <w:p w:rsidR="00D64F36" w:rsidRDefault="004029AB">
      <w:p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Certification</w:t>
      </w:r>
    </w:p>
    <w:p w:rsidR="00D64F36" w:rsidRDefault="004029AB">
      <w:p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Dedication</w:t>
      </w:r>
    </w:p>
    <w:p w:rsidR="00D64F36" w:rsidRDefault="004029AB">
      <w:p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Acknowledgment</w:t>
      </w:r>
    </w:p>
    <w:p w:rsidR="00D64F36" w:rsidRDefault="004029AB">
      <w:p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Table of content</w:t>
      </w:r>
    </w:p>
    <w:p w:rsidR="00D64F36" w:rsidRDefault="004029AB">
      <w:p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Abstract</w:t>
      </w:r>
    </w:p>
    <w:p w:rsidR="00D64F36" w:rsidRDefault="004029AB">
      <w:p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CHAPTER ONE: INTRODUCTION</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1.1</w:t>
      </w:r>
      <w:r>
        <w:rPr>
          <w:rFonts w:ascii="Times New Roman" w:hAnsi="Times New Roman" w:cs="Times New Roman"/>
          <w:bCs/>
          <w:color w:val="000000" w:themeColor="text1"/>
          <w:sz w:val="24"/>
          <w:szCs w:val="24"/>
        </w:rPr>
        <w:tab/>
        <w:t>Background to the Study</w:t>
      </w:r>
    </w:p>
    <w:p w:rsidR="00D64F36" w:rsidRDefault="004029AB">
      <w:pPr>
        <w:numPr>
          <w:ilvl w:val="2"/>
          <w:numId w:val="1"/>
        </w:num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Statement of Problem</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1.3</w:t>
      </w:r>
      <w:r>
        <w:rPr>
          <w:rFonts w:ascii="Times New Roman" w:hAnsi="Times New Roman" w:cs="Times New Roman"/>
          <w:bCs/>
          <w:color w:val="000000" w:themeColor="text1"/>
          <w:sz w:val="24"/>
          <w:szCs w:val="24"/>
        </w:rPr>
        <w:tab/>
        <w:t>Significance of the Study</w:t>
      </w:r>
    </w:p>
    <w:p w:rsidR="00D64F36" w:rsidRDefault="004029AB">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Cs/>
          <w:color w:val="000000" w:themeColor="text1"/>
          <w:sz w:val="24"/>
          <w:szCs w:val="24"/>
        </w:rPr>
        <w:t>1.4</w:t>
      </w:r>
      <w:r>
        <w:rPr>
          <w:rFonts w:ascii="Times New Roman" w:hAnsi="Times New Roman" w:cs="Times New Roman"/>
          <w:bCs/>
          <w:color w:val="000000" w:themeColor="text1"/>
          <w:sz w:val="24"/>
          <w:szCs w:val="24"/>
        </w:rPr>
        <w:tab/>
        <w:t>Aim and Objectives</w:t>
      </w:r>
    </w:p>
    <w:p w:rsidR="00D64F36" w:rsidRDefault="004029AB">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CHAPTER TWO: LITERATURE REVIEW</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2.1</w:t>
      </w:r>
      <w:r>
        <w:rPr>
          <w:rFonts w:ascii="Times New Roman" w:hAnsi="Times New Roman" w:cs="Times New Roman"/>
          <w:bCs/>
          <w:color w:val="000000" w:themeColor="text1"/>
          <w:sz w:val="24"/>
          <w:szCs w:val="24"/>
        </w:rPr>
        <w:tab/>
        <w:t>Mineral Deposits</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2.2</w:t>
      </w:r>
      <w:r>
        <w:rPr>
          <w:rFonts w:ascii="Times New Roman" w:hAnsi="Times New Roman" w:cs="Times New Roman"/>
          <w:bCs/>
          <w:color w:val="000000" w:themeColor="text1"/>
          <w:sz w:val="24"/>
          <w:szCs w:val="24"/>
        </w:rPr>
        <w:tab/>
        <w:t>Hydrothermal Alteration Zones</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2.3</w:t>
      </w:r>
      <w:r>
        <w:rPr>
          <w:rFonts w:ascii="Times New Roman" w:hAnsi="Times New Roman" w:cs="Times New Roman"/>
          <w:bCs/>
          <w:color w:val="000000" w:themeColor="text1"/>
          <w:sz w:val="24"/>
          <w:szCs w:val="24"/>
        </w:rPr>
        <w:tab/>
        <w:t>Relationship Between Mineral Deposits and Hydrothermal Alteration Zones</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2.4</w:t>
      </w:r>
      <w:r>
        <w:rPr>
          <w:rFonts w:ascii="Times New Roman" w:hAnsi="Times New Roman" w:cs="Times New Roman"/>
          <w:bCs/>
          <w:color w:val="000000" w:themeColor="text1"/>
          <w:sz w:val="24"/>
          <w:szCs w:val="24"/>
        </w:rPr>
        <w:tab/>
        <w:t>RADIOMETRIC DATA</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2.5</w:t>
      </w:r>
      <w:r>
        <w:rPr>
          <w:rFonts w:ascii="Times New Roman" w:hAnsi="Times New Roman" w:cs="Times New Roman"/>
          <w:bCs/>
          <w:color w:val="000000" w:themeColor="text1"/>
          <w:sz w:val="24"/>
          <w:szCs w:val="24"/>
        </w:rPr>
        <w:tab/>
        <w:t>Interpretation Methods</w:t>
      </w:r>
    </w:p>
    <w:p w:rsidR="00D64F36" w:rsidRDefault="004029AB">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CHAPTER THREE: METHODOLOGY</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3.1</w:t>
      </w:r>
      <w:r>
        <w:rPr>
          <w:rFonts w:ascii="Times New Roman" w:hAnsi="Times New Roman" w:cs="Times New Roman"/>
          <w:bCs/>
          <w:color w:val="000000" w:themeColor="text1"/>
          <w:sz w:val="24"/>
          <w:szCs w:val="24"/>
        </w:rPr>
        <w:tab/>
        <w:t xml:space="preserve">Introduction </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3.2 </w:t>
      </w:r>
      <w:r>
        <w:rPr>
          <w:rFonts w:ascii="Times New Roman" w:hAnsi="Times New Roman" w:cs="Times New Roman"/>
          <w:bCs/>
          <w:color w:val="000000" w:themeColor="text1"/>
          <w:sz w:val="24"/>
          <w:szCs w:val="24"/>
        </w:rPr>
        <w:tab/>
        <w:t>Data Acquisition</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3.3 </w:t>
      </w:r>
      <w:r>
        <w:rPr>
          <w:rFonts w:ascii="Times New Roman" w:hAnsi="Times New Roman" w:cs="Times New Roman"/>
          <w:bCs/>
          <w:color w:val="000000" w:themeColor="text1"/>
          <w:sz w:val="24"/>
          <w:szCs w:val="24"/>
        </w:rPr>
        <w:tab/>
        <w:t>Data Processing</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3.4 </w:t>
      </w:r>
      <w:r>
        <w:rPr>
          <w:rFonts w:ascii="Times New Roman" w:hAnsi="Times New Roman" w:cs="Times New Roman"/>
          <w:bCs/>
          <w:color w:val="000000" w:themeColor="text1"/>
          <w:sz w:val="24"/>
          <w:szCs w:val="24"/>
        </w:rPr>
        <w:tab/>
        <w:t>Data Integration and Analysis</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3.5 </w:t>
      </w:r>
      <w:r>
        <w:rPr>
          <w:rFonts w:ascii="Times New Roman" w:hAnsi="Times New Roman" w:cs="Times New Roman"/>
          <w:bCs/>
          <w:color w:val="000000" w:themeColor="text1"/>
          <w:sz w:val="24"/>
          <w:szCs w:val="24"/>
        </w:rPr>
        <w:tab/>
        <w:t>Validation</w:t>
      </w:r>
    </w:p>
    <w:p w:rsidR="00D64F36" w:rsidRDefault="00D64F36">
      <w:pPr>
        <w:spacing w:after="0" w:line="360" w:lineRule="auto"/>
        <w:jc w:val="both"/>
        <w:rPr>
          <w:rFonts w:ascii="Times New Roman" w:hAnsi="Times New Roman" w:cs="Times New Roman"/>
          <w:b/>
          <w:bCs/>
          <w:color w:val="000000" w:themeColor="text1"/>
          <w:sz w:val="24"/>
          <w:szCs w:val="24"/>
        </w:rPr>
      </w:pPr>
    </w:p>
    <w:p w:rsidR="00D64F36" w:rsidRDefault="004029AB">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CHAPTER FOUR: RESULTS, DISCUSSION AND CONCLUSSION</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4.1</w:t>
      </w:r>
      <w:r>
        <w:rPr>
          <w:rFonts w:ascii="Times New Roman" w:hAnsi="Times New Roman" w:cs="Times New Roman"/>
          <w:bCs/>
          <w:color w:val="000000" w:themeColor="text1"/>
          <w:sz w:val="24"/>
          <w:szCs w:val="24"/>
        </w:rPr>
        <w:tab/>
        <w:t>Results</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4.2</w:t>
      </w:r>
      <w:r>
        <w:rPr>
          <w:rFonts w:ascii="Times New Roman" w:hAnsi="Times New Roman" w:cs="Times New Roman"/>
          <w:bCs/>
          <w:color w:val="000000" w:themeColor="text1"/>
          <w:sz w:val="24"/>
          <w:szCs w:val="24"/>
        </w:rPr>
        <w:tab/>
        <w:t>Data Presentation and Interpretation</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4.3 </w:t>
      </w:r>
      <w:r>
        <w:rPr>
          <w:rFonts w:ascii="Times New Roman" w:hAnsi="Times New Roman" w:cs="Times New Roman"/>
          <w:bCs/>
          <w:color w:val="000000" w:themeColor="text1"/>
          <w:sz w:val="24"/>
          <w:szCs w:val="24"/>
        </w:rPr>
        <w:tab/>
        <w:t>Profile A – A’</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4.4 </w:t>
      </w:r>
      <w:r>
        <w:rPr>
          <w:rFonts w:ascii="Times New Roman" w:hAnsi="Times New Roman" w:cs="Times New Roman"/>
          <w:bCs/>
          <w:color w:val="000000" w:themeColor="text1"/>
          <w:sz w:val="24"/>
          <w:szCs w:val="24"/>
        </w:rPr>
        <w:tab/>
        <w:t>Profile B – B’</w:t>
      </w:r>
    </w:p>
    <w:p w:rsidR="00D64F36" w:rsidRDefault="004029AB">
      <w:pPr>
        <w:spacing w:after="0" w:line="360" w:lineRule="auto"/>
        <w:jc w:val="both"/>
        <w:rPr>
          <w:rFonts w:ascii="Times New Roman" w:hAnsi="Times New Roman" w:cs="Times New Roman"/>
          <w:bCs/>
          <w:iCs/>
          <w:color w:val="000000" w:themeColor="text1"/>
          <w:sz w:val="24"/>
          <w:szCs w:val="24"/>
        </w:rPr>
      </w:pPr>
      <w:r>
        <w:rPr>
          <w:rFonts w:ascii="Times New Roman" w:hAnsi="Times New Roman" w:cs="Times New Roman"/>
          <w:bCs/>
          <w:color w:val="000000" w:themeColor="text1"/>
          <w:sz w:val="24"/>
          <w:szCs w:val="24"/>
        </w:rPr>
        <w:t xml:space="preserve">4.5 </w:t>
      </w:r>
      <w:r>
        <w:rPr>
          <w:rFonts w:ascii="Times New Roman" w:hAnsi="Times New Roman" w:cs="Times New Roman"/>
          <w:bCs/>
          <w:color w:val="000000" w:themeColor="text1"/>
          <w:sz w:val="24"/>
          <w:szCs w:val="24"/>
        </w:rPr>
        <w:tab/>
        <w:t>Profile C – C’</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4.6 </w:t>
      </w:r>
      <w:r>
        <w:rPr>
          <w:rFonts w:ascii="Times New Roman" w:hAnsi="Times New Roman" w:cs="Times New Roman"/>
          <w:bCs/>
          <w:color w:val="000000" w:themeColor="text1"/>
          <w:sz w:val="24"/>
          <w:szCs w:val="24"/>
        </w:rPr>
        <w:tab/>
        <w:t>Profile D – D’</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4.7 </w:t>
      </w:r>
      <w:r>
        <w:rPr>
          <w:rFonts w:ascii="Times New Roman" w:hAnsi="Times New Roman" w:cs="Times New Roman"/>
          <w:bCs/>
          <w:color w:val="000000" w:themeColor="text1"/>
          <w:sz w:val="24"/>
          <w:szCs w:val="24"/>
        </w:rPr>
        <w:tab/>
        <w:t>Profile E – E’</w:t>
      </w:r>
    </w:p>
    <w:p w:rsidR="00D64F36" w:rsidRDefault="004029AB">
      <w:pPr>
        <w:spacing w:after="0" w:line="36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Conclusion</w:t>
      </w:r>
    </w:p>
    <w:p w:rsidR="00D64F36" w:rsidRDefault="004029AB">
      <w:pPr>
        <w:spacing w:after="0" w:line="36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References</w:t>
      </w:r>
    </w:p>
    <w:p w:rsidR="00D64F36" w:rsidRDefault="00D64F36">
      <w:pPr>
        <w:spacing w:after="0" w:line="360" w:lineRule="auto"/>
        <w:jc w:val="both"/>
        <w:rPr>
          <w:rFonts w:ascii="Times New Roman" w:hAnsi="Times New Roman" w:cs="Times New Roman"/>
          <w:bCs/>
          <w:color w:val="000000" w:themeColor="text1"/>
          <w:sz w:val="24"/>
          <w:szCs w:val="24"/>
        </w:rPr>
      </w:pPr>
    </w:p>
    <w:p w:rsidR="00D64F36" w:rsidRDefault="00D64F36">
      <w:pPr>
        <w:spacing w:after="0" w:line="360" w:lineRule="auto"/>
        <w:jc w:val="both"/>
        <w:rPr>
          <w:rFonts w:ascii="Times New Roman" w:hAnsi="Times New Roman" w:cs="Times New Roman"/>
          <w:bCs/>
          <w:color w:val="000000" w:themeColor="text1"/>
          <w:sz w:val="24"/>
          <w:szCs w:val="24"/>
        </w:rPr>
      </w:pPr>
    </w:p>
    <w:p w:rsidR="00D64F36" w:rsidRDefault="00D64F36">
      <w:pPr>
        <w:spacing w:after="0" w:line="360" w:lineRule="auto"/>
        <w:ind w:firstLine="720"/>
        <w:jc w:val="both"/>
        <w:rPr>
          <w:rFonts w:ascii="Times New Roman" w:hAnsi="Times New Roman" w:cs="Times New Roman"/>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4029AB">
      <w:pPr>
        <w:spacing w:after="0"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ABSTRACT</w:t>
      </w:r>
    </w:p>
    <w:p w:rsidR="00D64F36" w:rsidRDefault="004029AB">
      <w:pPr>
        <w:spacing w:after="0" w:line="360" w:lineRule="auto"/>
        <w:jc w:val="both"/>
        <w:rPr>
          <w:rFonts w:ascii="Times New Roman" w:hAnsi="Times New Roman" w:cs="Times New Roman"/>
          <w:bCs/>
          <w:i/>
          <w:color w:val="000000" w:themeColor="text1"/>
          <w:sz w:val="24"/>
          <w:szCs w:val="24"/>
        </w:rPr>
      </w:pPr>
      <w:r>
        <w:rPr>
          <w:rFonts w:ascii="Times New Roman" w:hAnsi="Times New Roman" w:cs="Times New Roman"/>
          <w:bCs/>
          <w:i/>
          <w:color w:val="000000" w:themeColor="text1"/>
          <w:sz w:val="24"/>
          <w:szCs w:val="24"/>
        </w:rPr>
        <w:t>This study focuses on identifying and characterizing hydrothermal alteration zones and their association with mineral deposits in Isanlu Isin, Northcentral Nigeria, within the Nigerian Basement Complex (Isanlu sheet 225, latitudes 8°15'N to 8°30'N, longitudes 5°15'E to 5°30'E). Utilizing airborne radiometric data from the Nigerian Geological Survey Agency, processed with Geosoft Oasis Montaj and Surfer software, the research mapped potassium (K), equivalent uranium (eU), and equivalent thorium (eTh) distributions to delineate alteration zones. Techniques such as gridding, filtering, ratio enhancement (K/eTh, K/eU), and ternary imaging were employed to highlight potassic, phyllic, argillic, and propylitic alteration zones, with K/eTh ratios &gt;0.2 indicating potassic alteration linked to gold mineralization. Landsat-8 OLI remote sensing data, processed via band ratios and Principal Component Analysis, complemented radiometric findings by detecting spectral signatures of alteration minerals. Integration of datasets using fuzzy logic modeling identified eight alteration zones, with high prospectivity scores (0.8–0.95) for potassic and phyllic zones near Odogbe and Okolom, validated through X-ray Diffraction and ground-based gamma-ray spectrometry. Resistivity tomograms from five profiles (A–E) revealed aquifer zones in weathered/fractured basement rocks, supporting fluid pathways for mineralization. The study confirms that radiometric and remote sensing methods effectively map hydrothermal alteration, providing a framework for targeted mineral exploration, particularly for orogenic gold deposits, and highlights prospective areas for further investigation in Isanlu Isin.</w:t>
      </w:r>
    </w:p>
    <w:p w:rsidR="00D64F36" w:rsidRDefault="00D64F36">
      <w:pPr>
        <w:spacing w:after="0" w:line="360" w:lineRule="auto"/>
        <w:jc w:val="both"/>
        <w:rPr>
          <w:rFonts w:ascii="Times New Roman" w:hAnsi="Times New Roman" w:cs="Times New Roman"/>
          <w:bCs/>
          <w:i/>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line="360" w:lineRule="auto"/>
        <w:jc w:val="center"/>
        <w:rPr>
          <w:rFonts w:ascii="Times New Roman" w:hAnsi="Times New Roman" w:cs="Times New Roman"/>
          <w:b/>
          <w:sz w:val="24"/>
          <w:szCs w:val="24"/>
        </w:rPr>
        <w:sectPr w:rsidR="00D64F36">
          <w:footerReference w:type="default" r:id="rId7"/>
          <w:pgSz w:w="12240" w:h="15840"/>
          <w:pgMar w:top="1440" w:right="1440" w:bottom="1440" w:left="1440" w:header="720" w:footer="2160" w:gutter="0"/>
          <w:pgNumType w:fmt="lowerRoman"/>
          <w:cols w:space="720"/>
          <w:docGrid w:linePitch="360"/>
        </w:sectPr>
      </w:pPr>
    </w:p>
    <w:p w:rsidR="00D64F36" w:rsidRDefault="004029A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ONE</w:t>
      </w:r>
    </w:p>
    <w:p w:rsidR="00D64F36" w:rsidRDefault="004029A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INTRODUCTION</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1.1</w:t>
      </w:r>
      <w:r>
        <w:rPr>
          <w:rFonts w:ascii="Times New Roman" w:hAnsi="Times New Roman" w:cs="Times New Roman"/>
          <w:b/>
          <w:bCs/>
          <w:sz w:val="24"/>
          <w:szCs w:val="24"/>
        </w:rPr>
        <w:tab/>
        <w:t>Background to the Study</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Environmental physics explores the physical principles governing natural systems, integrating disciplines like geophysics, atmospheric physics, and hydrology to study energy transfer, fluid dynamics, and material interactions in the Earth's crust, atmosphere, and hydrosphere (Boeker and van Grondelle, 2011). In mineral exploration, environmental physics is pivotal for understanding subsurface processes, such as hydrothermal fluid movement, which influences mineral deposition. Techniques like radiometric surveys measure natural gamma radiation from elements like potassium, uranium, and thorium to map geological structures and detect alteration zones associated with mineral deposits (Telford </w:t>
      </w:r>
      <w:r>
        <w:rPr>
          <w:rFonts w:ascii="Times New Roman" w:hAnsi="Times New Roman" w:cs="Times New Roman"/>
          <w:i/>
          <w:sz w:val="24"/>
          <w:szCs w:val="24"/>
        </w:rPr>
        <w:t>et al.,</w:t>
      </w:r>
      <w:r>
        <w:rPr>
          <w:rFonts w:ascii="Times New Roman" w:hAnsi="Times New Roman" w:cs="Times New Roman"/>
          <w:sz w:val="24"/>
          <w:szCs w:val="24"/>
        </w:rPr>
        <w:t xml:space="preserve"> 1990). These methods rely on physical properties radioactivity, electrical conductivity, and magnetism to infer subsurface features, providing a non-invasive approach to exploration (Kearey </w:t>
      </w:r>
      <w:r>
        <w:rPr>
          <w:rFonts w:ascii="Times New Roman" w:hAnsi="Times New Roman" w:cs="Times New Roman"/>
          <w:i/>
          <w:sz w:val="24"/>
          <w:szCs w:val="24"/>
        </w:rPr>
        <w:t>et al.,</w:t>
      </w:r>
      <w:r>
        <w:rPr>
          <w:rFonts w:ascii="Times New Roman" w:hAnsi="Times New Roman" w:cs="Times New Roman"/>
          <w:sz w:val="24"/>
          <w:szCs w:val="24"/>
        </w:rPr>
        <w:t xml:space="preserve"> 2013).</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It has become a powerful tool adopted by geo-scientist in gaining information about the composition and structure of rocks and soil (Ajeigbe et al, 2014). The radiometric measurement can be used to confirm the presence and abundance of radioelements (e.g., uranium (U), thorium (Th) and potassium (K). These radioelements occur naturally and are typically found as trace contents in rocks and soil. The analysis of these radioelements provides useful insights into numerous geological processes and phenomena (Dentith and Mudge, 2014). For instance, the indirect measurements of uranium and thorium activity concentrations warrants the usage of the prefix equivalent as thus uranium (eU) and thorium (eTh). The measurement of these radioelements is usually related to certain lithological formations which may indicate presence of ore deposits (Urquhart, 2013). The direct measurement of potassium (K%) on the other hand, is an essential element in many rocks and minerals and can provide information about the age and geological history of a particular area (Sanusi and Amigun, 2020)</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Hydrothermal alteration occurs when hot, mineral-rich fluids (50–400°C) interact with rocks, causing chemical and mineralogical changes (Pirajno, 2009). These fluids, originating from magmatic, meteoric, or metamorphic sources, circulate through fractures, altering host rocks into distinct mineral assemblages. Common alteration types include:</w:t>
      </w:r>
    </w:p>
    <w:p w:rsidR="00D64F36" w:rsidRDefault="004029AB">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Potassic</w:t>
      </w:r>
      <w:r>
        <w:rPr>
          <w:rFonts w:ascii="Times New Roman" w:hAnsi="Times New Roman" w:cs="Times New Roman"/>
          <w:sz w:val="24"/>
          <w:szCs w:val="24"/>
        </w:rPr>
        <w:t>: K-feldspar and biotite, associated with high-temperature fluids.</w:t>
      </w:r>
    </w:p>
    <w:p w:rsidR="00D64F36" w:rsidRDefault="004029AB">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Phyllic</w:t>
      </w:r>
      <w:r>
        <w:rPr>
          <w:rFonts w:ascii="Times New Roman" w:hAnsi="Times New Roman" w:cs="Times New Roman"/>
          <w:sz w:val="24"/>
          <w:szCs w:val="24"/>
        </w:rPr>
        <w:t>: Sericite and quartz, linked to moderate-temperature alteration.</w:t>
      </w:r>
    </w:p>
    <w:p w:rsidR="00D64F36" w:rsidRDefault="004029AB">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Argillic</w:t>
      </w:r>
      <w:r>
        <w:rPr>
          <w:rFonts w:ascii="Times New Roman" w:hAnsi="Times New Roman" w:cs="Times New Roman"/>
          <w:sz w:val="24"/>
          <w:szCs w:val="24"/>
        </w:rPr>
        <w:t>: Clay minerals like kaolinite, formed at lower temperatures.</w:t>
      </w:r>
    </w:p>
    <w:p w:rsidR="00D64F36" w:rsidRDefault="004029AB">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Propylitic</w:t>
      </w:r>
      <w:r>
        <w:rPr>
          <w:rFonts w:ascii="Times New Roman" w:hAnsi="Times New Roman" w:cs="Times New Roman"/>
          <w:sz w:val="24"/>
          <w:szCs w:val="24"/>
        </w:rPr>
        <w:t>: Chlorite, epidote, and carbonates, typically distal to ore zones (Robb, 2005).</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These alteration zones often form haloes around mineral deposits, serving as key exploration indicators for metals like gold, copper, and molybdenum (Sillitoe, 2010). In Nigeria’s Basement Complex, such zones are critical for identifying orogenic gold deposits, where fluid-rock interactions are controlled by structural features like faults and shear zones (Garba, 2003).</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05145" cy="3487420"/>
            <wp:effectExtent l="19050" t="0" r="0" b="0"/>
            <wp:docPr id="1" name="Picture 1" descr="C:\Users\USER\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USER\Downloads\download.jpg"/>
                    <pic:cNvPicPr>
                      <a:picLocks noChangeAspect="1" noChangeArrowheads="1"/>
                    </pic:cNvPicPr>
                  </pic:nvPicPr>
                  <pic:blipFill>
                    <a:blip r:embed="rId8"/>
                    <a:srcRect/>
                    <a:stretch>
                      <a:fillRect/>
                    </a:stretch>
                  </pic:blipFill>
                  <pic:spPr>
                    <a:xfrm>
                      <a:off x="0" y="0"/>
                      <a:ext cx="5604745" cy="3486964"/>
                    </a:xfrm>
                    <a:prstGeom prst="rect">
                      <a:avLst/>
                    </a:prstGeom>
                    <a:noFill/>
                    <a:ln w="9525">
                      <a:noFill/>
                      <a:miter lim="800000"/>
                      <a:headEnd/>
                      <a:tailEnd/>
                    </a:ln>
                  </pic:spPr>
                </pic:pic>
              </a:graphicData>
            </a:graphic>
          </wp:inline>
        </w:drawing>
      </w:r>
    </w:p>
    <w:p w:rsidR="00D64F36" w:rsidRDefault="004029AB">
      <w:pPr>
        <w:spacing w:line="360" w:lineRule="auto"/>
        <w:jc w:val="both"/>
        <w:rPr>
          <w:rFonts w:ascii="Times New Roman" w:hAnsi="Times New Roman" w:cs="Times New Roman"/>
          <w:i/>
          <w:sz w:val="24"/>
          <w:szCs w:val="24"/>
        </w:rPr>
      </w:pPr>
      <w:r>
        <w:rPr>
          <w:rFonts w:ascii="Times New Roman" w:hAnsi="Times New Roman" w:cs="Times New Roman"/>
          <w:i/>
          <w:iCs/>
          <w:sz w:val="24"/>
          <w:szCs w:val="24"/>
        </w:rPr>
        <w:lastRenderedPageBreak/>
        <w:t>Fig. 1: "Schematic of Hydrothermal Alteration Zones" (Ajeigbe et al., 2014)</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Isanlu Isin, located in Kwara State, Northcentral Nigeria, falls within the Isanlu sheet 225 (1:100,000 scale). The study area spans approximately latitudes 8°15'N to 8°30'N and longitudes 5°15'E to 5°30'E, covering part of the Nigerian Basement Complex, known for its Precambrian schists, migmatites, and granites (Oyawoye, 1972).</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859530"/>
            <wp:effectExtent l="19050" t="0" r="0" b="0"/>
            <wp:docPr id="33264" name="Picture 3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4" name="Picture 33264"/>
                    <pic:cNvPicPr>
                      <a:picLocks noChangeAspect="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943600" cy="3859530"/>
                    </a:xfrm>
                    <a:prstGeom prst="rect">
                      <a:avLst/>
                    </a:prstGeom>
                  </pic:spPr>
                </pic:pic>
              </a:graphicData>
            </a:graphic>
          </wp:inline>
        </w:drawing>
      </w:r>
    </w:p>
    <w:p w:rsidR="00D64F36" w:rsidRDefault="004029AB">
      <w:pPr>
        <w:spacing w:line="360" w:lineRule="auto"/>
        <w:jc w:val="both"/>
        <w:rPr>
          <w:rFonts w:ascii="Times New Roman" w:hAnsi="Times New Roman" w:cs="Times New Roman"/>
          <w:i/>
          <w:sz w:val="24"/>
          <w:szCs w:val="24"/>
        </w:rPr>
      </w:pPr>
      <w:r>
        <w:rPr>
          <w:rFonts w:ascii="Times New Roman" w:hAnsi="Times New Roman" w:cs="Times New Roman"/>
          <w:i/>
          <w:sz w:val="24"/>
          <w:szCs w:val="24"/>
          <w:lang w:val="en-GB"/>
        </w:rPr>
        <w:t>Fig. 2:</w:t>
      </w:r>
      <w:r>
        <w:rPr>
          <w:rFonts w:ascii="Times New Roman" w:hAnsi="Times New Roman" w:cs="Times New Roman"/>
          <w:i/>
          <w:sz w:val="24"/>
          <w:szCs w:val="24"/>
        </w:rPr>
        <w:t xml:space="preserve">The Area of the study lies within the </w:t>
      </w:r>
      <w:r>
        <w:rPr>
          <w:rFonts w:ascii="Times New Roman" w:hAnsi="Times New Roman" w:cs="Times New Roman"/>
          <w:i/>
          <w:sz w:val="24"/>
          <w:szCs w:val="24"/>
          <w:lang w:val="en-GB"/>
        </w:rPr>
        <w:t>Northcentral</w:t>
      </w:r>
      <w:r>
        <w:rPr>
          <w:rFonts w:ascii="Times New Roman" w:hAnsi="Times New Roman" w:cs="Times New Roman"/>
          <w:i/>
          <w:sz w:val="24"/>
          <w:szCs w:val="24"/>
        </w:rPr>
        <w:t xml:space="preserve"> part of Nigeria (Oyawoye, 1972).</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The hydrogeology of Isanlu Isin is characterized by shallow aquifers in weathered regolith and fractured basement rocks (Olorunfemi and Fasuyi, 1993). Fractures and shear zones act as conduits for groundwater and hydrothermal fluids, facilitating mineralization processes. The region’s low permeability limits large-scale aquifer development, but localized fracture systems enhance fluid flow critical for ore deposition (Okunlola and Okoroafor, 2009).</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terrain features gently undulating plains with elevations of 300–500 meters, punctuated by inselbergs and ridges of resistant quartzites and granites. This physiography results from prolonged weathering and erosion, exposing basement rocks suitable for geophysical mapping (Rahaman, 1988).</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Isanlu Isin experiences a tropical savanna climate with wet (April–October) and dry (November–March) seasons. Annual rainfall ranges from 1200–1500 mm, and temperatures vary between 25°C and 35°C (Iloeje, 2001). This climate influences weathering rates and fluid mobility, impacting alteration zone formation.</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relief consists of low hills and flat plains, shaped by differential erosion of basement rocks. Structural features like faults and folds are exposed, aiding the identification of alteration zones through geophysical surveys (Ajibade </w:t>
      </w:r>
      <w:r>
        <w:rPr>
          <w:rFonts w:ascii="Times New Roman" w:hAnsi="Times New Roman" w:cs="Times New Roman"/>
          <w:i/>
          <w:sz w:val="24"/>
          <w:szCs w:val="24"/>
        </w:rPr>
        <w:t>et al.,</w:t>
      </w:r>
      <w:r>
        <w:rPr>
          <w:rFonts w:ascii="Times New Roman" w:hAnsi="Times New Roman" w:cs="Times New Roman"/>
          <w:sz w:val="24"/>
          <w:szCs w:val="24"/>
        </w:rPr>
        <w:t xml:space="preserve"> 1987).</w:t>
      </w:r>
    </w:p>
    <w:p w:rsidR="00D64F36" w:rsidRDefault="004029AB">
      <w:pPr>
        <w:pStyle w:val="ListParagraph"/>
        <w:numPr>
          <w:ilvl w:val="1"/>
          <w:numId w:val="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Statement of Problem</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Despite the mineral potential of Isanlu Isin, particularly for gold, the lack of detailed geophysical mapping and integrated studies limits the identification of hydrothermal alteration zones. The complex interplay of structural controls, fluid pathways, and alteration processes remains underexplored, leading to inefficient exploration and missed economic opportunities (Olade, 2019). Existing data often lack the resolution needed to pinpoint high-priority targets, necessitating advanced radiometric and remote sensing approaches.</w:t>
      </w:r>
    </w:p>
    <w:p w:rsidR="00D64F36" w:rsidRDefault="004029AB">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rPr>
        <w:t xml:space="preserve">Many hydrothermal alteration zones are located in geologically remote and challenging terrains, often far from established infrastructure. Therefore, accessibility and logistical constraints in reaching these areas for fieldwork and data collection present significant hurdles. </w:t>
      </w:r>
      <w:r>
        <w:rPr>
          <w:rFonts w:ascii="Times New Roman" w:hAnsi="Times New Roman" w:cs="Times New Roman"/>
          <w:sz w:val="24"/>
          <w:szCs w:val="24"/>
          <w:lang w:val="en-GB"/>
        </w:rPr>
        <w:t>The accurate identification and characterization of hydrothermally altered zones are critical for understanding the presence and distribution of mineral deposits. However, current detection methods often lack the required resolution and reliability to precisely locate these zones.</w:t>
      </w:r>
    </w:p>
    <w:p w:rsidR="00D64F36" w:rsidRDefault="00D64F36">
      <w:pPr>
        <w:spacing w:line="360" w:lineRule="auto"/>
        <w:jc w:val="both"/>
        <w:rPr>
          <w:rFonts w:ascii="Times New Roman" w:hAnsi="Times New Roman" w:cs="Times New Roman"/>
          <w:sz w:val="24"/>
          <w:szCs w:val="24"/>
          <w:lang w:val="en-GB"/>
        </w:rPr>
      </w:pP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1.3</w:t>
      </w:r>
      <w:r>
        <w:rPr>
          <w:rFonts w:ascii="Times New Roman" w:hAnsi="Times New Roman" w:cs="Times New Roman"/>
          <w:b/>
          <w:bCs/>
          <w:sz w:val="24"/>
          <w:szCs w:val="24"/>
        </w:rPr>
        <w:tab/>
        <w:t>Significance of the Study</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study enhances the understanding of hydrothermal alteration in Isanlu Isin, providing a framework for targeted mineral exploration. By mapping alteration zones and structural controls, it supports efficient prospecting, potentially driving economic growth in Kwara State. The integration of aeroradiometric and remote sensing data offers a scalable, cost-effective approach applicable to other parts of Nigeria’s Basement Complex, contributing to sustainable mineral resource development (Anudu </w:t>
      </w:r>
      <w:r>
        <w:rPr>
          <w:rFonts w:ascii="Times New Roman" w:hAnsi="Times New Roman" w:cs="Times New Roman"/>
          <w:i/>
          <w:sz w:val="24"/>
          <w:szCs w:val="24"/>
        </w:rPr>
        <w:t>et al.,</w:t>
      </w:r>
      <w:r>
        <w:rPr>
          <w:rFonts w:ascii="Times New Roman" w:hAnsi="Times New Roman" w:cs="Times New Roman"/>
          <w:sz w:val="24"/>
          <w:szCs w:val="24"/>
        </w:rPr>
        <w:t xml:space="preserve"> 2014).</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1.4</w:t>
      </w:r>
      <w:r>
        <w:rPr>
          <w:rFonts w:ascii="Times New Roman" w:hAnsi="Times New Roman" w:cs="Times New Roman"/>
          <w:b/>
          <w:bCs/>
          <w:sz w:val="24"/>
          <w:szCs w:val="24"/>
        </w:rPr>
        <w:tab/>
        <w:t>Aim and Objectives</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Aim</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This research work aims to identify and characterize hydrothermally altered zones that are associated with mineral deposits over parts of Isanlu</w:t>
      </w:r>
      <w:r>
        <w:rPr>
          <w:rFonts w:ascii="Times New Roman" w:hAnsi="Times New Roman" w:cs="Times New Roman"/>
          <w:sz w:val="24"/>
          <w:szCs w:val="24"/>
          <w:lang w:val="en-GB"/>
        </w:rPr>
        <w:t>-Isin</w:t>
      </w:r>
      <w:r>
        <w:rPr>
          <w:rFonts w:ascii="Times New Roman" w:hAnsi="Times New Roman" w:cs="Times New Roman"/>
          <w:sz w:val="24"/>
          <w:szCs w:val="24"/>
        </w:rPr>
        <w:t xml:space="preserve">, Northcentral Nigeria. </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The objectives of this research work includes:</w:t>
      </w:r>
    </w:p>
    <w:p w:rsidR="00D64F36" w:rsidRDefault="004029AB">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To obtain surficial distribution of various radioactive elements,</w:t>
      </w:r>
    </w:p>
    <w:p w:rsidR="00D64F36" w:rsidRDefault="004029AB">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To obtain potassic alteration zones,</w:t>
      </w:r>
    </w:p>
    <w:p w:rsidR="00D64F36" w:rsidRDefault="004029AB">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To identify zones that have undergone hydrothermal alterations,</w:t>
      </w:r>
    </w:p>
    <w:p w:rsidR="00D64F36" w:rsidRDefault="004029AB">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 xml:space="preserve">To reveal the possible signature areas of mineral deposits. </w:t>
      </w: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4029A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TWO</w:t>
      </w:r>
    </w:p>
    <w:p w:rsidR="00D64F36" w:rsidRDefault="004029A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LITERATURE REVIEW</w:t>
      </w:r>
    </w:p>
    <w:p w:rsidR="00D64F36" w:rsidRDefault="004029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Previous studies have shown that identifying and mapping hydrothermally altered zones can act as a guide for locating and mapping main mineralization. Tawey </w:t>
      </w:r>
      <w:r>
        <w:rPr>
          <w:rFonts w:ascii="Times New Roman" w:hAnsi="Times New Roman" w:cs="Times New Roman"/>
          <w:bCs/>
          <w:i/>
          <w:iCs/>
          <w:sz w:val="24"/>
          <w:szCs w:val="24"/>
        </w:rPr>
        <w:t>et al.,</w:t>
      </w:r>
      <w:r>
        <w:rPr>
          <w:rFonts w:ascii="Times New Roman" w:hAnsi="Times New Roman" w:cs="Times New Roman"/>
          <w:bCs/>
          <w:sz w:val="24"/>
          <w:szCs w:val="24"/>
        </w:rPr>
        <w:t xml:space="preserve"> (2022) investigated on Zones that have undergone hydrothermal alteration and are associated with mineralization.</w:t>
      </w:r>
    </w:p>
    <w:p w:rsidR="00D64F36" w:rsidRDefault="004029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Sanusi et al.(2020) used the radiometric approach to establish the surficial distribution of various radioactive elements and then separate the hydrothermally changed zones  Ayokunle et al. (2023) also used radiometric mapping approach for the identification of hydrothermally altered zones related to gold mineralization</w:t>
      </w:r>
      <w:r>
        <w:rPr>
          <w:rFonts w:ascii="Times New Roman" w:hAnsi="Times New Roman" w:cs="Times New Roman"/>
          <w:bCs/>
          <w:sz w:val="24"/>
          <w:szCs w:val="24"/>
          <w:lang w:val="es-ES"/>
        </w:rPr>
        <w:t xml:space="preserve">  Reda A. Y. El Qassasa et al. (2020)</w:t>
      </w:r>
      <w:r>
        <w:rPr>
          <w:rFonts w:ascii="Times New Roman" w:hAnsi="Times New Roman" w:cs="Times New Roman"/>
          <w:bCs/>
          <w:sz w:val="24"/>
          <w:szCs w:val="24"/>
        </w:rPr>
        <w:t xml:space="preserve"> used Airborne gamma-ray spectrometric data interpretation on Wadi Queih and Wadi Safaga area, Central Eastern Desert, Egypt</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2.1</w:t>
      </w:r>
      <w:r>
        <w:rPr>
          <w:rFonts w:ascii="Times New Roman" w:hAnsi="Times New Roman" w:cs="Times New Roman"/>
          <w:b/>
          <w:bCs/>
          <w:sz w:val="24"/>
          <w:szCs w:val="24"/>
        </w:rPr>
        <w:tab/>
        <w:t>Mineral Deposits</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Mineral deposits are economically viable concentrations of minerals formed through geological processes such as hydrothermal activity, sedimentation, or metamorphic recrystallization (Robb, 2005). In the context of Isanlu Isin, located within Nigeria’s Basement Complex, mineral deposits are predominantly associated with orogenic gold systems and, to a lesser extent, base metals like lead, zinc, and tantalite (Garba, 2003). These deposits are hosted in Precambrian rocks, including schists, gneisses, and granites, which have undergone extensive tectonic deformation and metamorphism. Gold mineralization, a primary focus in the region, typically occurs in quartz veins and shear zones, where hydrothermal fluids precipitate metals along structural conduits (Ohioma </w:t>
      </w:r>
      <w:r>
        <w:rPr>
          <w:rFonts w:ascii="Times New Roman" w:hAnsi="Times New Roman" w:cs="Times New Roman"/>
          <w:i/>
          <w:sz w:val="24"/>
          <w:szCs w:val="24"/>
        </w:rPr>
        <w:t>et al.,</w:t>
      </w:r>
      <w:r>
        <w:rPr>
          <w:rFonts w:ascii="Times New Roman" w:hAnsi="Times New Roman" w:cs="Times New Roman"/>
          <w:sz w:val="24"/>
          <w:szCs w:val="24"/>
        </w:rPr>
        <w:t xml:space="preserve"> 2017). The formation of these deposits is intricately linked to fluid-rock interactions, where hot, mineral-rich fluids dissolve and transport metals from source rocks, depositing them in favorable structural traps such as faults, folds, or brecciated zones (Sillitoe, 2010).</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mineralizing fluids in Isanlu Isin are often derived from deep-seated magmatic or metamorphic sources, with fluid temperatures ranging from 200–400°C, conducive to gold and sulfide mineral precipitation (Pirajno, 2009). The deposits are commonly associated with brittle-ductile shear zones, which act as pathways for fluid migration, enhancing the concentration of metals in localized zones (Goldfarb </w:t>
      </w:r>
      <w:r>
        <w:rPr>
          <w:rFonts w:ascii="Times New Roman" w:hAnsi="Times New Roman" w:cs="Times New Roman"/>
          <w:i/>
          <w:sz w:val="24"/>
          <w:szCs w:val="24"/>
        </w:rPr>
        <w:t>et al.,</w:t>
      </w:r>
      <w:r>
        <w:rPr>
          <w:rFonts w:ascii="Times New Roman" w:hAnsi="Times New Roman" w:cs="Times New Roman"/>
          <w:sz w:val="24"/>
          <w:szCs w:val="24"/>
        </w:rPr>
        <w:t xml:space="preserve"> 2005). In addition to gold, the region shows potential for tantalite and base metal deposits, particularly in areas with pegmatitic intrusions and structurally controlled mineralization (Olade, 2019). The economic significance of these deposits lies in their high-grade nature, though small-scale artisanal mining often dominates due to limited exploration infrastructure. Advanced geophysical techniques, such as radiometric and magnetic surveys, are critical for identifying these deposits by mapping associated alteration zones and structural features (Sanusi and Amigun, 2020).</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2.2</w:t>
      </w:r>
      <w:r>
        <w:rPr>
          <w:rFonts w:ascii="Times New Roman" w:hAnsi="Times New Roman" w:cs="Times New Roman"/>
          <w:b/>
          <w:bCs/>
          <w:sz w:val="24"/>
          <w:szCs w:val="24"/>
        </w:rPr>
        <w:tab/>
        <w:t>Hydrothermal Alteration Zones</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Hydrothermal alteration zones are regions of chemically and mineralogically altered rocks resulting from interactions with hot, mineral-rich fluids. These zones are classified based on their mineral assemblages, which reflect the temperature, pressure, and chemical composition of the fluids involved (Pirajno, 2009). In Isanlu Isin, the following alteration types are prevalent:</w:t>
      </w:r>
    </w:p>
    <w:p w:rsidR="00D64F36" w:rsidRDefault="004029AB">
      <w:pPr>
        <w:numPr>
          <w:ilvl w:val="0"/>
          <w:numId w:val="4"/>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Potassic Alteration</w:t>
      </w:r>
      <w:r>
        <w:rPr>
          <w:rFonts w:ascii="Times New Roman" w:hAnsi="Times New Roman" w:cs="Times New Roman"/>
          <w:sz w:val="24"/>
          <w:szCs w:val="24"/>
        </w:rPr>
        <w:t>: Characterized by K-feldspar, biotite, and minor quartz, this high-temperature (300–400°C) alteration is often proximal to ore bodies and associated with gold and porphyry copper deposits. It reflects intense fluid-rock interaction in structurally controlled environments (Robb, 2005).</w:t>
      </w:r>
    </w:p>
    <w:p w:rsidR="00D64F36" w:rsidRDefault="004029AB">
      <w:pPr>
        <w:numPr>
          <w:ilvl w:val="0"/>
          <w:numId w:val="4"/>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Phyllic Alteration</w:t>
      </w:r>
      <w:r>
        <w:rPr>
          <w:rFonts w:ascii="Times New Roman" w:hAnsi="Times New Roman" w:cs="Times New Roman"/>
          <w:sz w:val="24"/>
          <w:szCs w:val="24"/>
        </w:rPr>
        <w:t>: Dominated by sericite, quartz, and pyrite, this alteration occurs at moderate temperatures (200–300°C) and is commonly associated with gold and base metal deposits. It forms extensive haloes around mineralized zones, making it a key exploration target (Sillitoe, 2010).</w:t>
      </w:r>
    </w:p>
    <w:p w:rsidR="00D64F36" w:rsidRDefault="004029AB">
      <w:pPr>
        <w:numPr>
          <w:ilvl w:val="0"/>
          <w:numId w:val="4"/>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Argillic Alteration</w:t>
      </w:r>
      <w:r>
        <w:rPr>
          <w:rFonts w:ascii="Times New Roman" w:hAnsi="Times New Roman" w:cs="Times New Roman"/>
          <w:sz w:val="24"/>
          <w:szCs w:val="24"/>
        </w:rPr>
        <w:t xml:space="preserve">: Characterized by clay minerals such as kaolinite and illite, this alteration forms at lower temperatures (150–200°C) and is often distal to the main ore </w:t>
      </w:r>
      <w:r>
        <w:rPr>
          <w:rFonts w:ascii="Times New Roman" w:hAnsi="Times New Roman" w:cs="Times New Roman"/>
          <w:sz w:val="24"/>
          <w:szCs w:val="24"/>
        </w:rPr>
        <w:lastRenderedPageBreak/>
        <w:t>body. It indicates waning fluid activity and is less directly associated with high-grade mineralization (Pirajno, 2009).</w:t>
      </w:r>
    </w:p>
    <w:p w:rsidR="00D64F36" w:rsidRDefault="004029AB">
      <w:pPr>
        <w:numPr>
          <w:ilvl w:val="0"/>
          <w:numId w:val="4"/>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Propylitic Alteration</w:t>
      </w:r>
      <w:r>
        <w:rPr>
          <w:rFonts w:ascii="Times New Roman" w:hAnsi="Times New Roman" w:cs="Times New Roman"/>
          <w:sz w:val="24"/>
          <w:szCs w:val="24"/>
        </w:rPr>
        <w:t>: Comprising chlorite, epidote, and carbonates, this low-temperature (100–200°C) alteration is typically found at the periphery of mineralized systems. It serves as a broader indicator of hydrothermal activity but is less specific to high-grade ore zones (Robb, 2005).</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Isanlu Isin, these alteration zones are mapped using radiometric surveys, which detect variations in potassium (K), uranium (eU), and thorium (eTh) concentrations. Potassium-enriched zones, particularly around Odogbe and Okolom, are indicative of potassic alteration and potential gold mineralization (Ohioma </w:t>
      </w:r>
      <w:r>
        <w:rPr>
          <w:rFonts w:ascii="Times New Roman" w:hAnsi="Times New Roman" w:cs="Times New Roman"/>
          <w:i/>
          <w:sz w:val="24"/>
          <w:szCs w:val="24"/>
        </w:rPr>
        <w:t>et al.,</w:t>
      </w:r>
      <w:r>
        <w:rPr>
          <w:rFonts w:ascii="Times New Roman" w:hAnsi="Times New Roman" w:cs="Times New Roman"/>
          <w:sz w:val="24"/>
          <w:szCs w:val="24"/>
        </w:rPr>
        <w:t xml:space="preserve"> 2017). The spatial distribution of these zones is controlled by structural features such as shear zones and fractures, which act as conduits for hydrothermal fluids. The alteration process not only modifies the mineralogy of host rocks but also changes their physical properties, such as density and magnetic susceptibility, which can be detected through geophysical methods (Sanusi and Amigun, 2020). Understanding the mineral assemblages and their spatial relationships is crucial for delineating exploration targets and prioritizing drilling programs.</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2.4</w:t>
      </w:r>
      <w:r>
        <w:rPr>
          <w:rFonts w:ascii="Times New Roman" w:hAnsi="Times New Roman" w:cs="Times New Roman"/>
          <w:b/>
          <w:bCs/>
          <w:sz w:val="24"/>
          <w:szCs w:val="24"/>
        </w:rPr>
        <w:tab/>
        <w:t>Relationship Between Mineral Deposits and Hydrothermal Alteration Zones</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Hydrothermal alteration zones are critical indicators of mineral deposits, as they mark fluid pathways and interaction zones. In orogenic gold systems, like those in Isanlu Isin, gold precipitates in structurally controlled zones where fluids alter host rocks, forming alteration haloes (Sillitoe, 2010). High K/eTh ratios in radiometric data often correlate with sericite and K-feldspar alterations, directly linked to gold mineralization (Sanusi and Amigun, 2020). Shear zones and fractures enhance fluid flow, localizing deposits and making alteration mapping essential for exploration (Goldfarb </w:t>
      </w:r>
      <w:r>
        <w:rPr>
          <w:rFonts w:ascii="Times New Roman" w:hAnsi="Times New Roman" w:cs="Times New Roman"/>
          <w:i/>
          <w:sz w:val="24"/>
          <w:szCs w:val="24"/>
        </w:rPr>
        <w:t>et al.,</w:t>
      </w:r>
      <w:r>
        <w:rPr>
          <w:rFonts w:ascii="Times New Roman" w:hAnsi="Times New Roman" w:cs="Times New Roman"/>
          <w:sz w:val="24"/>
          <w:szCs w:val="24"/>
        </w:rPr>
        <w:t xml:space="preserve"> 2005).</w:t>
      </w:r>
    </w:p>
    <w:p w:rsidR="00D64F36" w:rsidRDefault="00D64F36">
      <w:pPr>
        <w:spacing w:line="360" w:lineRule="auto"/>
        <w:jc w:val="both"/>
        <w:rPr>
          <w:rFonts w:ascii="Times New Roman" w:hAnsi="Times New Roman" w:cs="Times New Roman"/>
          <w:b/>
          <w:bCs/>
          <w:sz w:val="24"/>
          <w:szCs w:val="24"/>
        </w:rPr>
      </w:pP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Review of Related Studies</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bCs/>
          <w:sz w:val="24"/>
          <w:szCs w:val="24"/>
        </w:rPr>
        <w:t>Ohioma et al. (2017)</w:t>
      </w:r>
      <w:r>
        <w:rPr>
          <w:rFonts w:ascii="Times New Roman" w:hAnsi="Times New Roman" w:cs="Times New Roman"/>
          <w:sz w:val="24"/>
          <w:szCs w:val="24"/>
        </w:rPr>
        <w:t xml:space="preserve"> used aeroradiometric data from Isanlu sheet 225 to map eight hydrothermal alteration zones, identifying Odogbe and Okolom as high-potential areas for gold. They applied shaded relief and K/eTh ratio enhancement using Geosoft Oasis Montaj, confirming potassium enrichment as a key indicator.</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bCs/>
          <w:sz w:val="24"/>
          <w:szCs w:val="24"/>
        </w:rPr>
        <w:t>Sanusi and Amigun (2020)</w:t>
      </w:r>
      <w:r>
        <w:rPr>
          <w:rFonts w:ascii="Times New Roman" w:hAnsi="Times New Roman" w:cs="Times New Roman"/>
          <w:sz w:val="24"/>
          <w:szCs w:val="24"/>
        </w:rPr>
        <w:t xml:space="preserve"> integrated airborne magnetic and radiometric data in the Kushaka schist belt, mapping shear zones (427.96–607.61 m depth) linked to gold deposits. Their use of K/eTh ratios and reduction-to-equator techniques highlighted alteration zones.</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bCs/>
          <w:sz w:val="24"/>
          <w:szCs w:val="24"/>
        </w:rPr>
        <w:t>Aisabokhae et al. (2023)</w:t>
      </w:r>
      <w:r>
        <w:rPr>
          <w:rFonts w:ascii="Times New Roman" w:hAnsi="Times New Roman" w:cs="Times New Roman"/>
          <w:sz w:val="24"/>
          <w:szCs w:val="24"/>
        </w:rPr>
        <w:t xml:space="preserve"> combined aeromagnetic and multispectral data in Zuru province, identifying potassic and phyllic alteration zones associated with porphyry deposits. They emphasized structural controls in mineralization.</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bCs/>
          <w:sz w:val="24"/>
          <w:szCs w:val="24"/>
        </w:rPr>
        <w:t>Forson et al. (2022)</w:t>
      </w:r>
      <w:r>
        <w:rPr>
          <w:rFonts w:ascii="Times New Roman" w:hAnsi="Times New Roman" w:cs="Times New Roman"/>
          <w:sz w:val="24"/>
          <w:szCs w:val="24"/>
        </w:rPr>
        <w:t xml:space="preserve"> applied fuzzy logic to radiometric data in the Ife-Ilesa schist belt, delineating potassic alteration zones tied to gold mineralization, validating radiometric methods for exploration.</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bCs/>
          <w:sz w:val="24"/>
          <w:szCs w:val="24"/>
        </w:rPr>
        <w:t>Olade (2019)</w:t>
      </w:r>
      <w:r>
        <w:rPr>
          <w:rFonts w:ascii="Times New Roman" w:hAnsi="Times New Roman" w:cs="Times New Roman"/>
          <w:sz w:val="24"/>
          <w:szCs w:val="24"/>
        </w:rPr>
        <w:t xml:space="preserve"> reviewed Nigeria’s mineral potential, noting that hydrothermal systems in the Basement Complex are underexplored, with radiometric surveys offering a cost-effective mapping solution.</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bCs/>
          <w:sz w:val="24"/>
          <w:szCs w:val="24"/>
        </w:rPr>
        <w:t>Anudu et al. (2014)</w:t>
      </w:r>
      <w:r>
        <w:rPr>
          <w:rFonts w:ascii="Times New Roman" w:hAnsi="Times New Roman" w:cs="Times New Roman"/>
          <w:sz w:val="24"/>
          <w:szCs w:val="24"/>
        </w:rPr>
        <w:t xml:space="preserve"> used radiometric and magnetic data to map structural controls in the Ibadan area, linking alteration zones to gold and base metal deposits.</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These studies underscore the efficacy of geophysical techniques in identifying alteration zones and their mineral associations, though gaps remain in high-resolution mapping and integration with remote sensing in Isanlu Isin.</w:t>
      </w:r>
    </w:p>
    <w:p w:rsidR="00D64F36" w:rsidRDefault="00D64F36">
      <w:pPr>
        <w:spacing w:line="360" w:lineRule="auto"/>
        <w:jc w:val="both"/>
        <w:rPr>
          <w:rFonts w:ascii="Times New Roman" w:hAnsi="Times New Roman" w:cs="Times New Roman"/>
          <w:b/>
          <w:bCs/>
          <w:sz w:val="24"/>
          <w:szCs w:val="24"/>
        </w:rPr>
      </w:pPr>
    </w:p>
    <w:p w:rsidR="00D64F36" w:rsidRDefault="00D64F36">
      <w:pPr>
        <w:spacing w:line="360" w:lineRule="auto"/>
        <w:jc w:val="both"/>
        <w:rPr>
          <w:rFonts w:ascii="Times New Roman" w:hAnsi="Times New Roman" w:cs="Times New Roman"/>
          <w:b/>
          <w:bCs/>
          <w:sz w:val="24"/>
          <w:szCs w:val="24"/>
        </w:rPr>
      </w:pP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2.5</w:t>
      </w:r>
      <w:r>
        <w:rPr>
          <w:rFonts w:ascii="Times New Roman" w:hAnsi="Times New Roman" w:cs="Times New Roman"/>
          <w:b/>
          <w:bCs/>
          <w:sz w:val="24"/>
          <w:szCs w:val="24"/>
        </w:rPr>
        <w:tab/>
        <w:t>RADIOMETRIC DATA</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The Survey</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Aeroradiometric surveys measure gamma-ray emissions from potassium (K), uranium (eU), and thorium (eTh) to map lithologies and alteration zones (Telford </w:t>
      </w:r>
      <w:r>
        <w:rPr>
          <w:rFonts w:ascii="Times New Roman" w:hAnsi="Times New Roman" w:cs="Times New Roman"/>
          <w:i/>
          <w:sz w:val="24"/>
          <w:szCs w:val="24"/>
        </w:rPr>
        <w:t>et al.,</w:t>
      </w:r>
      <w:r>
        <w:rPr>
          <w:rFonts w:ascii="Times New Roman" w:hAnsi="Times New Roman" w:cs="Times New Roman"/>
          <w:sz w:val="24"/>
          <w:szCs w:val="24"/>
        </w:rPr>
        <w:t xml:space="preserve"> 1990). In Isanlu Isin, high-resolution surveys using low-flying aircraft with gamma-ray spectrometers cover sheet 225, targeting hydrothermal alteration signatures (Ohioma </w:t>
      </w:r>
      <w:r>
        <w:rPr>
          <w:rFonts w:ascii="Times New Roman" w:hAnsi="Times New Roman" w:cs="Times New Roman"/>
          <w:i/>
          <w:sz w:val="24"/>
          <w:szCs w:val="24"/>
        </w:rPr>
        <w:t>et al.,</w:t>
      </w:r>
      <w:r>
        <w:rPr>
          <w:rFonts w:ascii="Times New Roman" w:hAnsi="Times New Roman" w:cs="Times New Roman"/>
          <w:sz w:val="24"/>
          <w:szCs w:val="24"/>
        </w:rPr>
        <w:t xml:space="preserve"> 2017).</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Data Processing Mechanisms</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Processing involves:</w:t>
      </w:r>
    </w:p>
    <w:p w:rsidR="00D64F36" w:rsidRDefault="004029AB">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Gridding</w:t>
      </w:r>
      <w:r>
        <w:rPr>
          <w:rFonts w:ascii="Times New Roman" w:hAnsi="Times New Roman" w:cs="Times New Roman"/>
          <w:sz w:val="24"/>
          <w:szCs w:val="24"/>
        </w:rPr>
        <w:t>: Interpolating data using minimum curvature to create continuous radioelement maps (Minty, 1997).</w:t>
      </w:r>
    </w:p>
    <w:p w:rsidR="00D64F36" w:rsidRDefault="004029AB">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Filtering</w:t>
      </w:r>
      <w:r>
        <w:rPr>
          <w:rFonts w:ascii="Times New Roman" w:hAnsi="Times New Roman" w:cs="Times New Roman"/>
          <w:sz w:val="24"/>
          <w:szCs w:val="24"/>
        </w:rPr>
        <w:t>: Techniques like shaded relief and first vertical derivative enhance structural and alteration anomalies (Sanusi and Amigun, 2020).</w:t>
      </w:r>
    </w:p>
    <w:p w:rsidR="00D64F36" w:rsidRDefault="004029AB">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Ratio Enhancement</w:t>
      </w:r>
      <w:r>
        <w:rPr>
          <w:rFonts w:ascii="Times New Roman" w:hAnsi="Times New Roman" w:cs="Times New Roman"/>
          <w:sz w:val="24"/>
          <w:szCs w:val="24"/>
        </w:rPr>
        <w:t xml:space="preserve">: K/eTh and K/eU ratios highlight potassium enrichment, with values &gt;0.2 indicating alteration (Aisabokhae </w:t>
      </w:r>
      <w:r>
        <w:rPr>
          <w:rFonts w:ascii="Times New Roman" w:hAnsi="Times New Roman" w:cs="Times New Roman"/>
          <w:i/>
          <w:sz w:val="24"/>
          <w:szCs w:val="24"/>
        </w:rPr>
        <w:t>et al.,</w:t>
      </w:r>
      <w:r>
        <w:rPr>
          <w:rFonts w:ascii="Times New Roman" w:hAnsi="Times New Roman" w:cs="Times New Roman"/>
          <w:sz w:val="24"/>
          <w:szCs w:val="24"/>
        </w:rPr>
        <w:t xml:space="preserve"> 2023).</w:t>
      </w:r>
    </w:p>
    <w:p w:rsidR="00D64F36" w:rsidRDefault="004029AB">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Ternary Imaging</w:t>
      </w:r>
      <w:r>
        <w:rPr>
          <w:rFonts w:ascii="Times New Roman" w:hAnsi="Times New Roman" w:cs="Times New Roman"/>
          <w:sz w:val="24"/>
          <w:szCs w:val="24"/>
        </w:rPr>
        <w:t xml:space="preserve">: Combines K, eU, and eTh to visualize relative concentrations (Forson </w:t>
      </w:r>
      <w:r>
        <w:rPr>
          <w:rFonts w:ascii="Times New Roman" w:hAnsi="Times New Roman" w:cs="Times New Roman"/>
          <w:i/>
          <w:sz w:val="24"/>
          <w:szCs w:val="24"/>
        </w:rPr>
        <w:t>et al.,</w:t>
      </w:r>
      <w:r>
        <w:rPr>
          <w:rFonts w:ascii="Times New Roman" w:hAnsi="Times New Roman" w:cs="Times New Roman"/>
          <w:sz w:val="24"/>
          <w:szCs w:val="24"/>
        </w:rPr>
        <w:t xml:space="preserve"> 2022).</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Software like Geosoft Oasis Montaj and Surfer are used for processing and visualization.</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2.6</w:t>
      </w:r>
      <w:r>
        <w:rPr>
          <w:rFonts w:ascii="Times New Roman" w:hAnsi="Times New Roman" w:cs="Times New Roman"/>
          <w:b/>
          <w:bCs/>
          <w:sz w:val="24"/>
          <w:szCs w:val="24"/>
        </w:rPr>
        <w:tab/>
        <w:t>Interpretation Methods</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Interpretation techniques include:</w:t>
      </w:r>
    </w:p>
    <w:p w:rsidR="00D64F36" w:rsidRDefault="004029AB">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Radioelement Maps</w:t>
      </w:r>
      <w:r>
        <w:rPr>
          <w:rFonts w:ascii="Times New Roman" w:hAnsi="Times New Roman" w:cs="Times New Roman"/>
          <w:sz w:val="24"/>
          <w:szCs w:val="24"/>
        </w:rPr>
        <w:t>: Mapping K, eU, and eTh distributions to delineate lithologies and alteration zones (Minty, 1997).</w:t>
      </w:r>
    </w:p>
    <w:p w:rsidR="00D64F36" w:rsidRDefault="004029AB">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Ratio Maps</w:t>
      </w:r>
      <w:r>
        <w:rPr>
          <w:rFonts w:ascii="Times New Roman" w:hAnsi="Times New Roman" w:cs="Times New Roman"/>
          <w:sz w:val="24"/>
          <w:szCs w:val="24"/>
        </w:rPr>
        <w:t>: High K/eTh ratios (&gt;0.2) indicate potassic alteration linked to mineralization (Sanusi and Amigun, 2020).</w:t>
      </w:r>
    </w:p>
    <w:p w:rsidR="00D64F36" w:rsidRDefault="004029AB">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Ternary Images</w:t>
      </w:r>
      <w:r>
        <w:rPr>
          <w:rFonts w:ascii="Times New Roman" w:hAnsi="Times New Roman" w:cs="Times New Roman"/>
          <w:sz w:val="24"/>
          <w:szCs w:val="24"/>
        </w:rPr>
        <w:t xml:space="preserve">: Visualize radioelement relationships to identify mineralized zones (Ohioma </w:t>
      </w:r>
      <w:r>
        <w:rPr>
          <w:rFonts w:ascii="Times New Roman" w:hAnsi="Times New Roman" w:cs="Times New Roman"/>
          <w:i/>
          <w:sz w:val="24"/>
          <w:szCs w:val="24"/>
        </w:rPr>
        <w:t>et al.,</w:t>
      </w:r>
      <w:r>
        <w:rPr>
          <w:rFonts w:ascii="Times New Roman" w:hAnsi="Times New Roman" w:cs="Times New Roman"/>
          <w:sz w:val="24"/>
          <w:szCs w:val="24"/>
        </w:rPr>
        <w:t xml:space="preserve"> 2017).</w:t>
      </w:r>
    </w:p>
    <w:p w:rsidR="00D64F36" w:rsidRDefault="004029AB">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Fuzzy Logic Modeling</w:t>
      </w:r>
      <w:r>
        <w:rPr>
          <w:rFonts w:ascii="Times New Roman" w:hAnsi="Times New Roman" w:cs="Times New Roman"/>
          <w:sz w:val="24"/>
          <w:szCs w:val="24"/>
        </w:rPr>
        <w:t xml:space="preserve">: Integrates radiometric and remote sensing data for prospectivity mapping (Forson </w:t>
      </w:r>
      <w:r>
        <w:rPr>
          <w:rFonts w:ascii="Times New Roman" w:hAnsi="Times New Roman" w:cs="Times New Roman"/>
          <w:i/>
          <w:sz w:val="24"/>
          <w:szCs w:val="24"/>
        </w:rPr>
        <w:t>et al.,</w:t>
      </w:r>
      <w:r>
        <w:rPr>
          <w:rFonts w:ascii="Times New Roman" w:hAnsi="Times New Roman" w:cs="Times New Roman"/>
          <w:sz w:val="24"/>
          <w:szCs w:val="24"/>
        </w:rPr>
        <w:t xml:space="preserve"> 2022).</w:t>
      </w:r>
    </w:p>
    <w:p w:rsidR="00D64F36" w:rsidRDefault="004029AB">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Fractal Analysis</w:t>
      </w:r>
      <w:r>
        <w:rPr>
          <w:rFonts w:ascii="Times New Roman" w:hAnsi="Times New Roman" w:cs="Times New Roman"/>
          <w:sz w:val="24"/>
          <w:szCs w:val="24"/>
        </w:rPr>
        <w:t xml:space="preserve">: Quantifies alteration intensity to prioritize exploration targets (Anudu </w:t>
      </w:r>
      <w:r>
        <w:rPr>
          <w:rFonts w:ascii="Times New Roman" w:hAnsi="Times New Roman" w:cs="Times New Roman"/>
          <w:i/>
          <w:sz w:val="24"/>
          <w:szCs w:val="24"/>
        </w:rPr>
        <w:t>et al.,</w:t>
      </w:r>
      <w:r>
        <w:rPr>
          <w:rFonts w:ascii="Times New Roman" w:hAnsi="Times New Roman" w:cs="Times New Roman"/>
          <w:sz w:val="24"/>
          <w:szCs w:val="24"/>
        </w:rPr>
        <w:t xml:space="preserve"> 2014).</w:t>
      </w:r>
    </w:p>
    <w:p w:rsidR="00D64F36" w:rsidRDefault="004029AB">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Cluster Analysis</w:t>
      </w:r>
      <w:r>
        <w:rPr>
          <w:rFonts w:ascii="Times New Roman" w:hAnsi="Times New Roman" w:cs="Times New Roman"/>
          <w:sz w:val="24"/>
          <w:szCs w:val="24"/>
        </w:rPr>
        <w:t xml:space="preserve">: Groups radioelement anomalies to map alteration zones spatially (Aisabokhae </w:t>
      </w:r>
      <w:r>
        <w:rPr>
          <w:rFonts w:ascii="Times New Roman" w:hAnsi="Times New Roman" w:cs="Times New Roman"/>
          <w:i/>
          <w:sz w:val="24"/>
          <w:szCs w:val="24"/>
        </w:rPr>
        <w:t>et al.,</w:t>
      </w:r>
      <w:r>
        <w:rPr>
          <w:rFonts w:ascii="Times New Roman" w:hAnsi="Times New Roman" w:cs="Times New Roman"/>
          <w:sz w:val="24"/>
          <w:szCs w:val="24"/>
        </w:rPr>
        <w:t xml:space="preserve"> 2023).</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These methods have successfully mapped alteration zones in Isanlu Isin, with ongoing research needed to refine structural interpretations and integrate multispectral data for enhanced accuracy.</w:t>
      </w:r>
    </w:p>
    <w:p w:rsidR="00D64F36" w:rsidRDefault="00D64F36">
      <w:pPr>
        <w:spacing w:line="360" w:lineRule="auto"/>
        <w:jc w:val="both"/>
        <w:rPr>
          <w:rFonts w:ascii="Times New Roman" w:hAnsi="Times New Roman" w:cs="Times New Roman"/>
          <w:sz w:val="24"/>
          <w:szCs w:val="24"/>
        </w:rPr>
      </w:pPr>
    </w:p>
    <w:p w:rsidR="00D64F36" w:rsidRDefault="00D64F36">
      <w:pPr>
        <w:spacing w:line="360" w:lineRule="auto"/>
        <w:jc w:val="both"/>
        <w:rPr>
          <w:rFonts w:ascii="Times New Roman" w:hAnsi="Times New Roman" w:cs="Times New Roman"/>
          <w:sz w:val="24"/>
          <w:szCs w:val="24"/>
        </w:rPr>
      </w:pPr>
    </w:p>
    <w:p w:rsidR="00D64F36" w:rsidRDefault="00D64F36">
      <w:pPr>
        <w:spacing w:line="360" w:lineRule="auto"/>
        <w:jc w:val="both"/>
        <w:rPr>
          <w:rFonts w:ascii="Times New Roman" w:hAnsi="Times New Roman" w:cs="Times New Roman"/>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4029A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THREE</w:t>
      </w:r>
    </w:p>
    <w:p w:rsidR="00D64F36" w:rsidRDefault="004029A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METHODOLOGY</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t xml:space="preserve">Introduction </w:t>
      </w:r>
    </w:p>
    <w:p w:rsidR="00D64F36" w:rsidRDefault="004029AB">
      <w:pPr>
        <w:spacing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lang w:val="en-GB"/>
        </w:rPr>
        <w:t>A</w:t>
      </w:r>
      <w:r>
        <w:rPr>
          <w:rFonts w:ascii="Times New Roman" w:hAnsi="Times New Roman" w:cs="Times New Roman"/>
          <w:bCs/>
          <w:sz w:val="24"/>
          <w:szCs w:val="24"/>
        </w:rPr>
        <w:t xml:space="preserve">reas enriched in Potassium are combined in ratios with equivalent Thorium and Uranium concentrations (eTh and eU). The abundance ratios, K/eTh and K/eU are often more diagnostic of changes in rock types and mineralogical changes caused by hydrothermal alteration. Using the mathematical expression available on Oasis MontajTM, the ratio maps were produced by applying the ratio function. </w:t>
      </w:r>
    </w:p>
    <w:p w:rsidR="00D64F36" w:rsidRDefault="004029AB">
      <w:pPr>
        <w:spacing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Ternary map facilitates various displays of different radioelements’ data which are correlative in the same area. The ternary map is often used to get an indication of radioactivity distributions and, consequently, enables narrowing down favorable target areas for hydrothermal alteration associated with orogenic gold mineralization. This was facilitated by the combination of concentrations of K, eTh and eU.</w:t>
      </w:r>
    </w:p>
    <w:p w:rsidR="00D64F36" w:rsidRDefault="004029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K count was assigned the red–cyan colour; and eTh, the green–magenta colour while the eU concentration was assigned the blue–yellow colour.</w:t>
      </w:r>
    </w:p>
    <w:p w:rsidR="00D64F36" w:rsidRDefault="004029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F-parameter that Efimov (1978) developed is a crucial marker of hydrothermal alteration in rocks. This is particularly important in distinguishing hydrothermally altered zones by eliminating processes other than hydrothermal alteration by the ratio combinations of K, eTh and eU. Hence, high anomaly is regarde</w:t>
      </w:r>
    </w:p>
    <w:p w:rsidR="00D64F36" w:rsidRDefault="004029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d as hydrothermally altered zones.</w:t>
      </w:r>
    </w:p>
    <w:p w:rsidR="00D64F36" w:rsidRDefault="004029AB">
      <w:pPr>
        <w:spacing w:line="360" w:lineRule="auto"/>
        <w:jc w:val="both"/>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extent cx="3744595" cy="1210310"/>
            <wp:effectExtent l="19050" t="0" r="797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743574" cy="1210427"/>
                    </a:xfrm>
                    <a:prstGeom prst="rect">
                      <a:avLst/>
                    </a:prstGeom>
                  </pic:spPr>
                </pic:pic>
              </a:graphicData>
            </a:graphic>
          </wp:inline>
        </w:drawing>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3.1 Study Area</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The study area, Isanlu Isin, is located in Kwara State, Northcentral Nigeria, within the Isanlu sheet 225 (1:100,000 scale), spanning latitudes 8°15'N to 8°30'N and longitudes 5°15'E to 5°30'E. It lies within the Nigerian Basement Complex, characterized by Precambrian schists, migmatites, and granites. The region features gently undulating plains with elevations of 300–500 meters, punctuated by quartzite and granite inselbergs. Structural features such as faults and shear zones serve as conduits for hydrothermal fluids, critical for mineralization processes (Oyawoye, 1972; Ajibade et al., 1987).</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3.2 Data Acquisition</w:t>
      </w:r>
    </w:p>
    <w:p w:rsidR="00D64F36" w:rsidRDefault="004029AB">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Airborne radiometric data was acquired from the Nigerian Geological Survey Agency (NGSA) and was carried out by Fugro Airborne Surveys limited Johannesburg, South Africa. </w:t>
      </w:r>
    </w:p>
    <w:p w:rsidR="00D64F36" w:rsidRDefault="004029AB">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The data were acquired between 2004 and 2010 via an aircraft flown at a height of 80 m and 500 m line spacing. </w:t>
      </w:r>
    </w:p>
    <w:p w:rsidR="00D64F36" w:rsidRDefault="004029AB">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The airborne radiometric data was been processed using OASIS Montaj mapping and processing system (Geosoft 2015) and the data are presented as contour maps. </w:t>
      </w:r>
    </w:p>
    <w:p w:rsidR="00D64F36" w:rsidRDefault="004029AB">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In view of the above, the corrected Airborne Radiometric data provides an estimate of the apparent surface concentration of potassium (K) measured in (%), Thorium (Th) measured in ppm and Uranium with the unit measured in ppm.</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3.3 Data Processing</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3.3.1 Radiometric Data Processing</w:t>
      </w:r>
    </w:p>
    <w:p w:rsidR="00D64F36" w:rsidRDefault="004029AB">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Gridding</w:t>
      </w:r>
      <w:r>
        <w:rPr>
          <w:rFonts w:ascii="Times New Roman" w:hAnsi="Times New Roman" w:cs="Times New Roman"/>
          <w:sz w:val="24"/>
          <w:szCs w:val="24"/>
        </w:rPr>
        <w:t>: Raw radiometric data were interpolated using the minimum curvature method to generate continuous maps of K, eU, and eTh concentrations. A grid cell size of 50 meters was applied to maintain resolution (Minty, 1997).</w:t>
      </w:r>
    </w:p>
    <w:p w:rsidR="00D64F36" w:rsidRDefault="004029AB">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Filtering</w:t>
      </w:r>
      <w:r>
        <w:rPr>
          <w:rFonts w:ascii="Times New Roman" w:hAnsi="Times New Roman" w:cs="Times New Roman"/>
          <w:sz w:val="24"/>
          <w:szCs w:val="24"/>
        </w:rPr>
        <w:t>: Techniques such as shaded relief and first vertical derivative were applied to enhance structural anomalies and alteration signatures. A low-pass filter removed high-frequency noise, improving data clarity (Sanusi and Amigun, 2020).</w:t>
      </w:r>
    </w:p>
    <w:p w:rsidR="00D64F36" w:rsidRDefault="004029AB">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Ratio Enhancement</w:t>
      </w:r>
      <w:r>
        <w:rPr>
          <w:rFonts w:ascii="Times New Roman" w:hAnsi="Times New Roman" w:cs="Times New Roman"/>
          <w:sz w:val="24"/>
          <w:szCs w:val="24"/>
        </w:rPr>
        <w:t>: K/eTh and K/eU ratios were calculated to highlight potassium-enriched zones indicative of potassic alteration. Thresholds of K/eTh &gt; 0.2 were used to delineate alteration zones (Aisabokhae et al., 2023).</w:t>
      </w:r>
    </w:p>
    <w:p w:rsidR="00D64F36" w:rsidRDefault="004029AB">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Ternary Imaging</w:t>
      </w:r>
      <w:r>
        <w:rPr>
          <w:rFonts w:ascii="Times New Roman" w:hAnsi="Times New Roman" w:cs="Times New Roman"/>
          <w:sz w:val="24"/>
          <w:szCs w:val="24"/>
        </w:rPr>
        <w:t>: Ternary maps were generated to visualize the relative concentrations of K, eU, and eTh, aiding in the identification of mineralized zones (Forson et al., 2022).</w:t>
      </w:r>
    </w:p>
    <w:p w:rsidR="00D64F36" w:rsidRDefault="004029AB">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Software</w:t>
      </w:r>
      <w:r>
        <w:rPr>
          <w:rFonts w:ascii="Times New Roman" w:hAnsi="Times New Roman" w:cs="Times New Roman"/>
          <w:sz w:val="24"/>
          <w:szCs w:val="24"/>
        </w:rPr>
        <w:t>: Geosoft Oasis Montaj (version 9.8) and Surfer (version 16) were used for data processing, visualization, and map production.</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3.3.2 Remote Sensing Data Processing</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Landsat-8 OLI data were processed using ENVI 5.6 software. Band ratio techniques (e.g., 6/7 for clay minerals, 5/6 for iron oxides) were applied to detect spectral signatures of alteration minerals like kaolinite, sericite, and chlorite. Principal Component Analysis (PCA) was used to enhance alteration-related spectral anomalies (Aisabokhae et al., 2023). SRTM DEMs were processed in ArcGIS 10.8 to extract structural lineaments and topographic features influencing fluid flow.</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3.4 Data Integration and Analysis</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Radiometric and remote sensing data were integrated using a GIS-based approach in ArcGIS. Fuzzy logic modeling was employed to combine radiometric (K/eTh, K/eU ratios) and remote </w:t>
      </w:r>
      <w:r>
        <w:rPr>
          <w:rFonts w:ascii="Times New Roman" w:hAnsi="Times New Roman" w:cs="Times New Roman"/>
          <w:sz w:val="24"/>
          <w:szCs w:val="24"/>
        </w:rPr>
        <w:lastRenderedPageBreak/>
        <w:t>sensing (band ratios, PCA) datasets, generating prospectivity maps for hydrothermal alteration zones (Forson et al., 2022). Cluster analysis grouped radioelement anomalies to spatially delineate alteration zones, while fractal analysis quantified alteration intensity to prioritize exploration targets (Anudu et al., 2014). Structural lineaments from DEMs were correlated with radiometric anomalies to identify fault-controlled mineralization.</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3.5 Validation</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Field validation was conducted at selected sites (Odogbe and Okolom) with high K/eTh ratios. Rock samples were collected and analyzed using X-ray Diffraction (XRD) to confirm mineral assemblages (e.g., K-feldspar, sericite, kaolinite). Ground-based gamma-ray spectrometry was performed using a portable RS-230 spectrometer to verify airborne data accuracy. Geological mapping of shear zones and quartz veins further validated the presence of alteration zones and mineralization signatures.</w:t>
      </w:r>
    </w:p>
    <w:p w:rsidR="00D64F36" w:rsidRDefault="00D64F36">
      <w:pPr>
        <w:spacing w:line="360" w:lineRule="auto"/>
        <w:jc w:val="both"/>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4029A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FOUR</w:t>
      </w:r>
    </w:p>
    <w:p w:rsidR="00D64F36" w:rsidRDefault="004029A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RESULTS, DISCUSSIONS, AND CONCLUSION</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4.1 Results</w:t>
      </w:r>
    </w:p>
    <w:p w:rsidR="00D64F36" w:rsidRDefault="004029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For the purpose of mapping and identifying hydrothermally altered areas in the study area, analyses of the potassium count (k percent), equivalent thorium concentration (eTh), equivalent uranium concentration (eU), concentration ratios related to potassium and other radioelements (K/eTh, K/eU), K-ternary, Kd (potassium anomalies), and F-parameter were conducted separately.</w:t>
      </w:r>
    </w:p>
    <w:p w:rsidR="00D64F36" w:rsidRDefault="004029AB">
      <w:pPr>
        <w:adjustRightInd w:val="0"/>
        <w:spacing w:after="0" w:line="36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4.2</w:t>
      </w:r>
      <w:r>
        <w:rPr>
          <w:rFonts w:ascii="Times New Roman" w:eastAsia="TimesNewRoman" w:hAnsi="Times New Roman" w:cs="Times New Roman"/>
          <w:b/>
          <w:sz w:val="24"/>
          <w:szCs w:val="24"/>
        </w:rPr>
        <w:tab/>
        <w:t>Data Presentation and Interpretation</w:t>
      </w:r>
    </w:p>
    <w:p w:rsidR="00D64F36" w:rsidRDefault="004029AB">
      <w:pPr>
        <w:adjustRightInd w:val="0"/>
        <w:spacing w:before="100" w:beforeAutospacing="1" w:line="360" w:lineRule="auto"/>
        <w:ind w:firstLine="72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Radiometric maps revealed distinct distributions of K, eU, and eTh across Isanlu Isin. Potassium concentrations ranged from 0.5% to 3.8%, with high values (&gt;2.5%) concentrated around Odogbe and Okolom, indicating potassic alteration. Equivalent uranium (eU) ranged from 0.5 to 4.2 ppm, with elevated values in migmatite-gneiss complexes, suggesting uranium enrichment in fractured zones. Equivalent thorium (eTh) ranged from 2.0 to 15.8 ppm, with higher concentrations in granitic intrusions. Ternary images highlighted potassium-dominated zones, correlating with alteration haloes.</w:t>
      </w:r>
    </w:p>
    <w:p w:rsidR="00D64F36" w:rsidRDefault="004029AB">
      <w:pPr>
        <w:adjustRightInd w:val="0"/>
        <w:spacing w:before="100" w:beforeAutospacing="1"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K/eTh ratio maps identified five major potassic alteration zones, primarily around Odogbe (8°20'N, 5°22'E) and Okolom (8°25'N, 5°18'E). K/eTh ratios &gt;0.2 were consistent with K-feldspar and biotite assemblages, indicative of high-temperature hydrothermal activity. These zones aligned with shear zones and quartz veins identified in DEM-derived lineament maps.</w:t>
      </w:r>
    </w:p>
    <w:p w:rsidR="00D64F36" w:rsidRDefault="004029AB">
      <w:pPr>
        <w:adjustRightInd w:val="0"/>
        <w:spacing w:before="100" w:beforeAutospacing="1"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Integration of radiometric and remote sensing data delineated eight hydrothermal alteration zones, categorized as follows:</w:t>
      </w:r>
    </w:p>
    <w:p w:rsidR="00D64F36" w:rsidRDefault="004029AB">
      <w:pPr>
        <w:adjustRightInd w:val="0"/>
        <w:spacing w:before="100" w:beforeAutospacing="1" w:line="360" w:lineRule="auto"/>
        <w:ind w:left="90"/>
        <w:jc w:val="both"/>
        <w:rPr>
          <w:rFonts w:ascii="Times New Roman" w:eastAsia="TimesNewRoman" w:hAnsi="Times New Roman" w:cs="Times New Roman"/>
          <w:sz w:val="24"/>
          <w:szCs w:val="24"/>
        </w:rPr>
      </w:pPr>
      <w:r>
        <w:rPr>
          <w:rFonts w:ascii="Times New Roman" w:eastAsia="TimesNewRoman" w:hAnsi="Times New Roman" w:cs="Times New Roman"/>
          <w:bCs/>
          <w:sz w:val="24"/>
          <w:szCs w:val="24"/>
        </w:rPr>
        <w:lastRenderedPageBreak/>
        <w:t>Potassic</w:t>
      </w:r>
      <w:r>
        <w:rPr>
          <w:rFonts w:ascii="Times New Roman" w:eastAsia="TimesNewRoman" w:hAnsi="Times New Roman" w:cs="Times New Roman"/>
          <w:sz w:val="24"/>
          <w:szCs w:val="24"/>
        </w:rPr>
        <w:t>: Two zones near Odogbe and Okolom, characterized by high K/eTh ratios and K-feldspar dominance, proximal to gold-bearing quartz veins.</w:t>
      </w:r>
    </w:p>
    <w:p w:rsidR="00D64F36" w:rsidRDefault="004029AB">
      <w:pPr>
        <w:adjustRightInd w:val="0"/>
        <w:spacing w:before="100" w:beforeAutospacing="1" w:line="360" w:lineRule="auto"/>
        <w:ind w:left="90"/>
        <w:jc w:val="both"/>
        <w:rPr>
          <w:rFonts w:ascii="Times New Roman" w:eastAsia="TimesNewRoman" w:hAnsi="Times New Roman" w:cs="Times New Roman"/>
          <w:sz w:val="24"/>
          <w:szCs w:val="24"/>
        </w:rPr>
      </w:pPr>
      <w:r>
        <w:rPr>
          <w:rFonts w:ascii="Times New Roman" w:eastAsia="TimesNewRoman" w:hAnsi="Times New Roman" w:cs="Times New Roman"/>
          <w:bCs/>
          <w:sz w:val="24"/>
          <w:szCs w:val="24"/>
        </w:rPr>
        <w:t>Phyllic</w:t>
      </w:r>
      <w:r>
        <w:rPr>
          <w:rFonts w:ascii="Times New Roman" w:eastAsia="TimesNewRoman" w:hAnsi="Times New Roman" w:cs="Times New Roman"/>
          <w:sz w:val="24"/>
          <w:szCs w:val="24"/>
        </w:rPr>
        <w:t>: Three zones with sericite and quartz, identified by moderate K/eTh ratios (0.15–0.2) and Landsat-8 band 6/7 anomalies, surrounding potassic zones.</w:t>
      </w:r>
    </w:p>
    <w:p w:rsidR="00D64F36" w:rsidRDefault="004029AB">
      <w:pPr>
        <w:adjustRightInd w:val="0"/>
        <w:spacing w:before="100" w:beforeAutospacing="1" w:line="360" w:lineRule="auto"/>
        <w:ind w:left="90"/>
        <w:jc w:val="both"/>
        <w:rPr>
          <w:rFonts w:ascii="Times New Roman" w:eastAsia="TimesNewRoman" w:hAnsi="Times New Roman" w:cs="Times New Roman"/>
          <w:sz w:val="24"/>
          <w:szCs w:val="24"/>
        </w:rPr>
      </w:pPr>
      <w:r>
        <w:rPr>
          <w:rFonts w:ascii="Times New Roman" w:eastAsia="TimesNewRoman" w:hAnsi="Times New Roman" w:cs="Times New Roman"/>
          <w:bCs/>
          <w:sz w:val="24"/>
          <w:szCs w:val="24"/>
        </w:rPr>
        <w:t>Argillic</w:t>
      </w:r>
      <w:r>
        <w:rPr>
          <w:rFonts w:ascii="Times New Roman" w:eastAsia="TimesNewRoman" w:hAnsi="Times New Roman" w:cs="Times New Roman"/>
          <w:sz w:val="24"/>
          <w:szCs w:val="24"/>
        </w:rPr>
        <w:t>: Two zones with clay minerals (kaolinite, illite), detected by band 6/7 ratios and low K/eTh values, distal to mineralized centers.</w:t>
      </w:r>
    </w:p>
    <w:p w:rsidR="00D64F36" w:rsidRDefault="004029AB">
      <w:pPr>
        <w:adjustRightInd w:val="0"/>
        <w:spacing w:before="100" w:beforeAutospacing="1" w:line="360" w:lineRule="auto"/>
        <w:ind w:left="90"/>
        <w:jc w:val="both"/>
        <w:rPr>
          <w:rFonts w:ascii="Times New Roman" w:eastAsia="TimesNewRoman" w:hAnsi="Times New Roman" w:cs="Times New Roman"/>
          <w:sz w:val="24"/>
          <w:szCs w:val="24"/>
        </w:rPr>
      </w:pPr>
      <w:r>
        <w:rPr>
          <w:rFonts w:ascii="Times New Roman" w:eastAsia="TimesNewRoman" w:hAnsi="Times New Roman" w:cs="Times New Roman"/>
          <w:bCs/>
          <w:sz w:val="24"/>
          <w:szCs w:val="24"/>
        </w:rPr>
        <w:t>Propylitic</w:t>
      </w:r>
      <w:r>
        <w:rPr>
          <w:rFonts w:ascii="Times New Roman" w:eastAsia="TimesNewRoman" w:hAnsi="Times New Roman" w:cs="Times New Roman"/>
          <w:sz w:val="24"/>
          <w:szCs w:val="24"/>
        </w:rPr>
        <w:t>: One zone with chlorite and epidote, identified by band 5/6 ratios, at the periphery of the study area.</w:t>
      </w:r>
    </w:p>
    <w:p w:rsidR="00D64F36" w:rsidRDefault="004029AB">
      <w:pPr>
        <w:adjustRightInd w:val="0"/>
        <w:spacing w:before="100" w:beforeAutospacing="1"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Fuzzy logic modeling assigned high prospectivity scores (0.8–0.95) to potassic and phyllic zones, validated by XRD analyses confirming mineral assemblages..</w:t>
      </w:r>
    </w:p>
    <w:p w:rsidR="00D64F36" w:rsidRDefault="004029AB">
      <w:pPr>
        <w:pStyle w:val="Heading1"/>
        <w:spacing w:line="360" w:lineRule="auto"/>
        <w:rPr>
          <w:rFonts w:eastAsia="Calibri" w:cs="Times New Roman"/>
          <w:kern w:val="2"/>
          <w:szCs w:val="24"/>
        </w:rPr>
      </w:pPr>
      <w:bookmarkStart w:id="5" w:name="_Toc126315296"/>
      <w:r>
        <w:rPr>
          <w:rFonts w:cs="Times New Roman"/>
          <w:szCs w:val="24"/>
        </w:rPr>
        <w:t xml:space="preserve">4.3 </w:t>
      </w:r>
      <w:r>
        <w:rPr>
          <w:rFonts w:cs="Times New Roman"/>
          <w:szCs w:val="24"/>
        </w:rPr>
        <w:tab/>
        <w:t xml:space="preserve">Profile </w:t>
      </w:r>
      <w:bookmarkEnd w:id="5"/>
      <w:r>
        <w:rPr>
          <w:rFonts w:cs="Times New Roman"/>
          <w:szCs w:val="24"/>
        </w:rPr>
        <w:t>A – A’</w:t>
      </w:r>
    </w:p>
    <w:p w:rsidR="00D64F36" w:rsidRDefault="004029AB">
      <w:pPr>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The profile A is 50m long with coordinate point A (8</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33’27”N, 4</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38’12”E) to A’ (8</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33’28”N, 4</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38’11”E)</w:t>
      </w:r>
      <w:r>
        <w:rPr>
          <w:rFonts w:ascii="Times New Roman" w:hAnsi="Times New Roman" w:cs="Times New Roman"/>
          <w:sz w:val="24"/>
          <w:szCs w:val="24"/>
        </w:rPr>
        <w:t xml:space="preserve"> comprises of ten measurements points separated by 5 m. </w:t>
      </w:r>
      <w:r>
        <w:rPr>
          <w:rFonts w:ascii="Times New Roman" w:eastAsia="TimesNewRoman" w:hAnsi="Times New Roman" w:cs="Times New Roman"/>
          <w:sz w:val="24"/>
          <w:szCs w:val="24"/>
        </w:rPr>
        <w:t xml:space="preserve">It oriented in NW- SE direction across the existing boreholes with maximum depth penetration of 100.0 m. Figure 4.1 shows the resistivity tomogram of the profile A </w:t>
      </w:r>
      <w:r>
        <w:rPr>
          <w:rFonts w:ascii="Times New Roman" w:hAnsi="Times New Roman" w:cs="Times New Roman"/>
          <w:sz w:val="24"/>
          <w:szCs w:val="24"/>
        </w:rPr>
        <w:t>with vertical and horizontal axes of the model represent the depth and distance in meters respectively heterogeneity with resistivity values ranging from 80 to 560 Ω.m</w:t>
      </w:r>
      <w:r>
        <w:rPr>
          <w:rFonts w:ascii="Times New Roman" w:eastAsia="TimesNewRoman" w:hAnsi="Times New Roman" w:cs="Times New Roman"/>
          <w:sz w:val="24"/>
          <w:szCs w:val="24"/>
        </w:rPr>
        <w:t>. The resistivity tomogram reveals likely topsoil of thickness around 20 m depth. Low resistivity zones (80 Ωm) between stations 20 to 100 laterally to depths around 35m, 55m, 65m and 95-100m can be explained as the likely aquifer zones (Weathered/Fractured) which enhance recharge of groundwater. It is characterized by low resistivity (130 Ωm) and high resistivity (560 Ωm).</w:t>
      </w:r>
    </w:p>
    <w:p w:rsidR="00D64F36" w:rsidRDefault="004029AB">
      <w:pPr>
        <w:adjustRightInd w:val="0"/>
        <w:spacing w:after="0" w:line="360" w:lineRule="auto"/>
        <w:jc w:val="both"/>
        <w:rPr>
          <w:rFonts w:ascii="Times New Roman" w:eastAsia="Calibri" w:hAnsi="Times New Roman" w:cs="Times New Roman"/>
          <w:kern w:val="2"/>
          <w:sz w:val="24"/>
          <w:szCs w:val="24"/>
        </w:rPr>
      </w:pPr>
      <w:r>
        <w:rPr>
          <w:rFonts w:ascii="Times New Roman" w:eastAsia="TimesNewRoman" w:hAnsi="Times New Roman" w:cs="Times New Roman"/>
          <w:sz w:val="24"/>
          <w:szCs w:val="24"/>
        </w:rPr>
        <w:t xml:space="preserve">The resistivity model indicates the presence of topsoil characterized by resistivity value that range from 130 to 170 Ωm with thickness generally less than 30 m. The topsoil is succeeded by weathered/fractured basement rock with resistivity value that range from 80 to 130 Ωm with depths of 40 m, 55m, 60 – 70 m and 95 m at stations 20 to 100. </w:t>
      </w:r>
      <w:r>
        <w:rPr>
          <w:rFonts w:ascii="Times New Roman" w:eastAsia="Calibri" w:hAnsi="Times New Roman" w:cs="Times New Roman"/>
          <w:kern w:val="2"/>
          <w:sz w:val="24"/>
          <w:szCs w:val="24"/>
        </w:rPr>
        <w:t xml:space="preserve">The stations 20, 30, 40, 50, 60 </w:t>
      </w:r>
      <w:r>
        <w:rPr>
          <w:rFonts w:ascii="Times New Roman" w:eastAsia="Calibri" w:hAnsi="Times New Roman" w:cs="Times New Roman"/>
          <w:kern w:val="2"/>
          <w:sz w:val="24"/>
          <w:szCs w:val="24"/>
        </w:rPr>
        <w:lastRenderedPageBreak/>
        <w:t xml:space="preserve">and 70 of the profile show multiple aquifer (weathered/fracture) zones are the recommended points for drilling to the depth of 90 m. The reddish color band with resistivity values greater than 480 </w:t>
      </w:r>
      <w:r>
        <w:rPr>
          <w:rFonts w:ascii="Times New Roman" w:eastAsia="TimesNewRoman" w:hAnsi="Times New Roman" w:cs="Times New Roman"/>
          <w:sz w:val="24"/>
          <w:szCs w:val="24"/>
        </w:rPr>
        <w:t>Ωm</w:t>
      </w:r>
      <w:r>
        <w:rPr>
          <w:rFonts w:ascii="Times New Roman" w:eastAsia="Calibri" w:hAnsi="Times New Roman" w:cs="Times New Roman"/>
          <w:kern w:val="2"/>
          <w:sz w:val="24"/>
          <w:szCs w:val="24"/>
        </w:rPr>
        <w:t xml:space="preserve">  at station 10 is the freshwater and not good for groundwater.</w:t>
      </w:r>
    </w:p>
    <w:p w:rsidR="00D64F36" w:rsidRDefault="004029AB">
      <w:pPr>
        <w:adjustRightInd w:val="0"/>
        <w:spacing w:after="0" w:line="360" w:lineRule="auto"/>
        <w:jc w:val="center"/>
        <w:rPr>
          <w:rFonts w:ascii="Times New Roman" w:eastAsia="Calibri" w:hAnsi="Times New Roman" w:cs="Times New Roman"/>
          <w:kern w:val="2"/>
          <w:sz w:val="24"/>
          <w:szCs w:val="24"/>
        </w:rPr>
      </w:pPr>
      <w:r>
        <w:rPr>
          <w:rFonts w:ascii="Times New Roman" w:eastAsia="Calibri" w:hAnsi="Times New Roman" w:cs="Times New Roman"/>
          <w:noProof/>
          <w:kern w:val="2"/>
          <w:sz w:val="24"/>
          <w:szCs w:val="24"/>
        </w:rPr>
        <w:drawing>
          <wp:inline distT="0" distB="0" distL="0" distR="0">
            <wp:extent cx="5943600" cy="562864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943600" cy="5628793"/>
                    </a:xfrm>
                    <a:prstGeom prst="rect">
                      <a:avLst/>
                    </a:prstGeom>
                  </pic:spPr>
                </pic:pic>
              </a:graphicData>
            </a:graphic>
          </wp:inline>
        </w:drawing>
      </w:r>
    </w:p>
    <w:p w:rsidR="00D64F36" w:rsidRDefault="004029AB">
      <w:pPr>
        <w:spacing w:line="360" w:lineRule="auto"/>
        <w:ind w:left="-10"/>
        <w:rPr>
          <w:rFonts w:ascii="Times New Roman" w:hAnsi="Times New Roman" w:cs="Times New Roman"/>
          <w:bCs/>
          <w:sz w:val="24"/>
          <w:szCs w:val="24"/>
        </w:rPr>
      </w:pPr>
      <w:r>
        <w:rPr>
          <w:rFonts w:ascii="Times New Roman" w:hAnsi="Times New Roman" w:cs="Times New Roman"/>
          <w:bCs/>
          <w:sz w:val="24"/>
          <w:szCs w:val="24"/>
        </w:rPr>
        <w:t xml:space="preserve">Fig. 3 (A): Analysis of Potassium count (k percent) and equivalent Thorium concentration (eTh) </w:t>
      </w:r>
    </w:p>
    <w:p w:rsidR="00D64F36" w:rsidRDefault="00D64F36">
      <w:pPr>
        <w:spacing w:after="0" w:line="360" w:lineRule="auto"/>
        <w:ind w:left="-10"/>
        <w:rPr>
          <w:rFonts w:ascii="Times New Roman" w:hAnsi="Times New Roman" w:cs="Times New Roman"/>
          <w:b/>
          <w:sz w:val="24"/>
          <w:szCs w:val="24"/>
        </w:rPr>
      </w:pPr>
    </w:p>
    <w:p w:rsidR="00D64F36" w:rsidRDefault="00D64F36">
      <w:pPr>
        <w:spacing w:after="0" w:line="360" w:lineRule="auto"/>
        <w:ind w:left="-10"/>
        <w:rPr>
          <w:rFonts w:ascii="Times New Roman" w:hAnsi="Times New Roman" w:cs="Times New Roman"/>
          <w:b/>
          <w:sz w:val="24"/>
          <w:szCs w:val="24"/>
        </w:rPr>
      </w:pPr>
    </w:p>
    <w:p w:rsidR="00D64F36" w:rsidRDefault="004029AB">
      <w:pPr>
        <w:spacing w:after="0" w:line="360" w:lineRule="auto"/>
        <w:ind w:left="-10"/>
        <w:rPr>
          <w:rFonts w:ascii="Times New Roman" w:hAnsi="Times New Roman" w:cs="Times New Roman"/>
          <w:b/>
          <w:sz w:val="24"/>
          <w:szCs w:val="24"/>
        </w:rPr>
      </w:pPr>
      <w:r>
        <w:rPr>
          <w:rFonts w:ascii="Times New Roman" w:hAnsi="Times New Roman" w:cs="Times New Roman"/>
          <w:b/>
          <w:sz w:val="24"/>
          <w:szCs w:val="24"/>
        </w:rPr>
        <w:lastRenderedPageBreak/>
        <w:t xml:space="preserve">4.4 </w:t>
      </w:r>
      <w:r>
        <w:rPr>
          <w:rFonts w:ascii="Times New Roman" w:hAnsi="Times New Roman" w:cs="Times New Roman"/>
          <w:b/>
          <w:sz w:val="24"/>
          <w:szCs w:val="24"/>
        </w:rPr>
        <w:tab/>
        <w:t>Profile B – B’</w:t>
      </w:r>
    </w:p>
    <w:p w:rsidR="00D64F36" w:rsidRDefault="004029AB">
      <w:pPr>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The profile B is 50 m long with coordinate point B (8</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33’27”N, 4</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38’13”E) to B’ (8</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33’28”N, 4</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 xml:space="preserve">38’12”E) </w:t>
      </w:r>
      <w:r>
        <w:rPr>
          <w:rFonts w:ascii="Times New Roman" w:hAnsi="Times New Roman" w:cs="Times New Roman"/>
          <w:sz w:val="24"/>
          <w:szCs w:val="24"/>
        </w:rPr>
        <w:t xml:space="preserve">comprises of ten measurements points separated by 5 m. </w:t>
      </w:r>
      <w:r>
        <w:rPr>
          <w:rFonts w:ascii="Times New Roman" w:eastAsia="TimesNewRoman" w:hAnsi="Times New Roman" w:cs="Times New Roman"/>
          <w:sz w:val="24"/>
          <w:szCs w:val="24"/>
        </w:rPr>
        <w:t xml:space="preserve">It oriented in NW- SE direction with maximum depth penetration of 100 m. Figure 4.2 shows the resistivity tomogram of the profile B </w:t>
      </w:r>
      <w:r>
        <w:rPr>
          <w:rFonts w:ascii="Times New Roman" w:hAnsi="Times New Roman" w:cs="Times New Roman"/>
          <w:sz w:val="24"/>
          <w:szCs w:val="24"/>
        </w:rPr>
        <w:t>with vertical and horizontal axes of the model represent the depth and distance in meters respectively heterogeneity with resistivity values ranging from 40 Ω.m to 250 Ω.m</w:t>
      </w:r>
      <w:r>
        <w:rPr>
          <w:rFonts w:ascii="Times New Roman" w:eastAsia="TimesNewRoman" w:hAnsi="Times New Roman" w:cs="Times New Roman"/>
          <w:sz w:val="24"/>
          <w:szCs w:val="24"/>
        </w:rPr>
        <w:t>. The resistivity tomogram reveals likely topsoil of thickness around 20 m depth. Low resistivity zones between stations 40 to 100 laterally to depths around 25m, 35m, 65m and 95-100m can be explained likely aquifer zones (Weathered/Fractured) layers which enhance recharge of groundwater. It is characterized by intermediate resistivity (eg. 120 Ωm) and high resistivity (eg. 250 Ωm).</w:t>
      </w:r>
    </w:p>
    <w:p w:rsidR="00D64F36" w:rsidRDefault="004029AB">
      <w:pPr>
        <w:adjustRightInd w:val="0"/>
        <w:spacing w:after="0" w:line="360" w:lineRule="auto"/>
        <w:jc w:val="both"/>
        <w:rPr>
          <w:rFonts w:ascii="Times New Roman" w:eastAsia="Calibri" w:hAnsi="Times New Roman" w:cs="Times New Roman"/>
          <w:kern w:val="2"/>
          <w:sz w:val="24"/>
          <w:szCs w:val="24"/>
        </w:rPr>
      </w:pPr>
      <w:r>
        <w:rPr>
          <w:rFonts w:ascii="Times New Roman" w:eastAsia="TimesNewRoman" w:hAnsi="Times New Roman" w:cs="Times New Roman"/>
          <w:sz w:val="24"/>
          <w:szCs w:val="24"/>
        </w:rPr>
        <w:t xml:space="preserve">The resistivity model indicates the presence of topsoil characterized by resistivity value that range from 40 to 180 Ωm with thickness generally less than 10 m. The topsoil is succeeded by weathered/fractured basement rock with resistivity value that range from 100 to 180 Ωm with depths of 25 m, 60 – 70 m, 80 m and 95 m at stations 40 to 100. </w:t>
      </w:r>
      <w:r>
        <w:rPr>
          <w:rFonts w:ascii="Times New Roman" w:eastAsia="Calibri" w:hAnsi="Times New Roman" w:cs="Times New Roman"/>
          <w:kern w:val="2"/>
          <w:sz w:val="24"/>
          <w:szCs w:val="24"/>
        </w:rPr>
        <w:t>The station 50 of the profile with multiple aquifer (weathered/fracture) zones is the recommended point for drilling to the depth of 100 m. The reddish color band with resistivity values greater than 100 ohm-m is the freshwater.</w:t>
      </w:r>
    </w:p>
    <w:p w:rsidR="00D64F36" w:rsidRDefault="004029AB">
      <w:pPr>
        <w:adjustRightInd w:val="0"/>
        <w:spacing w:after="0" w:line="360" w:lineRule="auto"/>
        <w:jc w:val="both"/>
        <w:rPr>
          <w:rFonts w:ascii="Times New Roman" w:eastAsia="Calibri" w:hAnsi="Times New Roman" w:cs="Times New Roman"/>
          <w:kern w:val="2"/>
          <w:sz w:val="24"/>
          <w:szCs w:val="24"/>
        </w:rPr>
      </w:pPr>
      <w:r>
        <w:rPr>
          <w:rFonts w:ascii="Times New Roman" w:eastAsia="Calibri" w:hAnsi="Times New Roman" w:cs="Times New Roman"/>
          <w:noProof/>
          <w:kern w:val="2"/>
          <w:sz w:val="24"/>
          <w:szCs w:val="24"/>
        </w:rPr>
        <w:lastRenderedPageBreak/>
        <w:drawing>
          <wp:inline distT="0" distB="0" distL="0" distR="0">
            <wp:extent cx="5943600" cy="465645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943600" cy="4657010"/>
                    </a:xfrm>
                    <a:prstGeom prst="rect">
                      <a:avLst/>
                    </a:prstGeom>
                  </pic:spPr>
                </pic:pic>
              </a:graphicData>
            </a:graphic>
          </wp:inline>
        </w:drawing>
      </w:r>
    </w:p>
    <w:p w:rsidR="00D64F36" w:rsidRDefault="004029AB">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Cs/>
          <w:sz w:val="24"/>
          <w:szCs w:val="24"/>
        </w:rPr>
      </w:pPr>
      <w:r>
        <w:rPr>
          <w:rFonts w:ascii="Times New Roman" w:hAnsi="Times New Roman" w:cs="Times New Roman"/>
          <w:bCs/>
          <w:sz w:val="24"/>
          <w:szCs w:val="24"/>
        </w:rPr>
        <w:t xml:space="preserve">Fig. 4 (B): Analysis of Potassium count (k percent) and equivalent Thorium concentration (eTh) </w:t>
      </w:r>
    </w:p>
    <w:p w:rsidR="00D64F36" w:rsidRDefault="00D64F36">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
          <w:sz w:val="24"/>
          <w:szCs w:val="24"/>
        </w:rPr>
      </w:pPr>
    </w:p>
    <w:p w:rsidR="00D64F36" w:rsidRDefault="00D64F36">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
          <w:sz w:val="24"/>
          <w:szCs w:val="24"/>
        </w:rPr>
      </w:pPr>
    </w:p>
    <w:p w:rsidR="00D64F36" w:rsidRDefault="004029AB">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Cs/>
          <w:iCs/>
          <w:kern w:val="2"/>
          <w:sz w:val="24"/>
          <w:szCs w:val="24"/>
        </w:rPr>
      </w:pPr>
      <w:r>
        <w:rPr>
          <w:rFonts w:ascii="Times New Roman" w:hAnsi="Times New Roman" w:cs="Times New Roman"/>
          <w:b/>
          <w:sz w:val="24"/>
          <w:szCs w:val="24"/>
        </w:rPr>
        <w:t xml:space="preserve">4.5 </w:t>
      </w:r>
      <w:r>
        <w:rPr>
          <w:rFonts w:ascii="Times New Roman" w:hAnsi="Times New Roman" w:cs="Times New Roman"/>
          <w:b/>
          <w:sz w:val="24"/>
          <w:szCs w:val="24"/>
        </w:rPr>
        <w:tab/>
      </w:r>
      <w:r>
        <w:rPr>
          <w:rFonts w:ascii="Times New Roman" w:hAnsi="Times New Roman" w:cs="Times New Roman"/>
          <w:b/>
          <w:sz w:val="24"/>
          <w:szCs w:val="24"/>
        </w:rPr>
        <w:tab/>
        <w:t>Profile C – C’</w:t>
      </w:r>
    </w:p>
    <w:p w:rsidR="00D64F36" w:rsidRDefault="004029AB">
      <w:pPr>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The profile C is 50 m long with coordinate point C(8</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33’27”N, 4</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38’13”E) to C’(8</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33’29”N, 4</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 xml:space="preserve">38’12”E) </w:t>
      </w:r>
      <w:r>
        <w:rPr>
          <w:rFonts w:ascii="Times New Roman" w:hAnsi="Times New Roman" w:cs="Times New Roman"/>
          <w:sz w:val="24"/>
          <w:szCs w:val="24"/>
        </w:rPr>
        <w:t xml:space="preserve">comprises of ten measurements points separated by 5 m. </w:t>
      </w:r>
      <w:r>
        <w:rPr>
          <w:rFonts w:ascii="Times New Roman" w:eastAsia="TimesNewRoman" w:hAnsi="Times New Roman" w:cs="Times New Roman"/>
          <w:sz w:val="24"/>
          <w:szCs w:val="24"/>
        </w:rPr>
        <w:t xml:space="preserve">It oriented in NW-SE direction edge of the dumpsite with maximum depth penetration of 100 m. Figure 4.3 shows the resistivity tomogram of the profile C </w:t>
      </w:r>
      <w:r>
        <w:rPr>
          <w:rFonts w:ascii="Times New Roman" w:hAnsi="Times New Roman" w:cs="Times New Roman"/>
          <w:sz w:val="24"/>
          <w:szCs w:val="24"/>
        </w:rPr>
        <w:t>with vertical and horizontal axes of the model represent the depth and distance in meters respectively heterogeneity with resistivity values ranging from 60 to 420 Ω.m</w:t>
      </w:r>
      <w:r>
        <w:rPr>
          <w:rFonts w:ascii="Times New Roman" w:eastAsia="TimesNewRoman" w:hAnsi="Times New Roman" w:cs="Times New Roman"/>
          <w:sz w:val="24"/>
          <w:szCs w:val="24"/>
        </w:rPr>
        <w:t xml:space="preserve">. The resistivity tomogram reveals likely topsoil of thickness around 20 m depth. Low </w:t>
      </w:r>
      <w:r>
        <w:rPr>
          <w:rFonts w:ascii="Times New Roman" w:eastAsia="TimesNewRoman" w:hAnsi="Times New Roman" w:cs="Times New Roman"/>
          <w:sz w:val="24"/>
          <w:szCs w:val="24"/>
        </w:rPr>
        <w:lastRenderedPageBreak/>
        <w:t>resistivity zones (70 Ωm) between stations 10, 60 to 90 laterally to depths around 10, 40, 60, 70, 80 and 90 can be explained as the likely aquifer zones (Weathered/Fractured) which enhance recharge of groundwater. It is characterized by low resistivity (60-90 Ωm) and high resistivity (420 Ωm).</w:t>
      </w:r>
    </w:p>
    <w:p w:rsidR="00D64F36" w:rsidRDefault="004029AB">
      <w:pPr>
        <w:adjustRightInd w:val="0"/>
        <w:spacing w:after="0" w:line="360" w:lineRule="auto"/>
        <w:jc w:val="both"/>
        <w:rPr>
          <w:rFonts w:ascii="Times New Roman" w:eastAsia="Calibri" w:hAnsi="Times New Roman" w:cs="Times New Roman"/>
          <w:kern w:val="2"/>
          <w:sz w:val="24"/>
          <w:szCs w:val="24"/>
        </w:rPr>
      </w:pPr>
      <w:r>
        <w:rPr>
          <w:rFonts w:ascii="Times New Roman" w:eastAsia="TimesNewRoman" w:hAnsi="Times New Roman" w:cs="Times New Roman"/>
          <w:sz w:val="24"/>
          <w:szCs w:val="24"/>
        </w:rPr>
        <w:t xml:space="preserve">The resistivity model indicates the presence of topsoil characterized by resistivity value that range from 120 to 150 Ωm with thickness generally less than 20 m. The topsoil is succeeded by weathered/fractured basement rock with resistivity value that range from 60 to 110 Ωm with depths of 35 m, 75m and 95 m at stations 10, 40, 60, 70, 80 (existing borehole that is working) and 90. </w:t>
      </w:r>
      <w:r>
        <w:rPr>
          <w:rFonts w:ascii="Times New Roman" w:eastAsia="Calibri" w:hAnsi="Times New Roman" w:cs="Times New Roman"/>
          <w:kern w:val="2"/>
          <w:sz w:val="24"/>
          <w:szCs w:val="24"/>
        </w:rPr>
        <w:t xml:space="preserve">The stations </w:t>
      </w:r>
      <w:r>
        <w:rPr>
          <w:rFonts w:ascii="Times New Roman" w:eastAsia="TimesNewRoman" w:hAnsi="Times New Roman" w:cs="Times New Roman"/>
          <w:sz w:val="24"/>
          <w:szCs w:val="24"/>
        </w:rPr>
        <w:t>10, 40, 60, 70, 80 and 90</w:t>
      </w:r>
      <w:r>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color band with resistivity values greater than 480 </w:t>
      </w:r>
      <w:r>
        <w:rPr>
          <w:rFonts w:ascii="Times New Roman" w:eastAsia="TimesNewRoman" w:hAnsi="Times New Roman" w:cs="Times New Roman"/>
          <w:sz w:val="24"/>
          <w:szCs w:val="24"/>
        </w:rPr>
        <w:t>Ωm</w:t>
      </w:r>
      <w:r>
        <w:rPr>
          <w:rFonts w:ascii="Times New Roman" w:eastAsia="Calibri" w:hAnsi="Times New Roman" w:cs="Times New Roman"/>
          <w:kern w:val="2"/>
          <w:sz w:val="24"/>
          <w:szCs w:val="24"/>
        </w:rPr>
        <w:t xml:space="preserve"> at stations 20, 30, 50 (Existing Borehole not Functioning) and 100 are of high resistivity (fresh basement) and not good for groundwater.</w:t>
      </w:r>
    </w:p>
    <w:p w:rsidR="00D64F36" w:rsidRDefault="00D64F36">
      <w:pPr>
        <w:adjustRightInd w:val="0"/>
        <w:spacing w:line="360" w:lineRule="auto"/>
        <w:jc w:val="both"/>
        <w:rPr>
          <w:rFonts w:ascii="Times New Roman" w:eastAsia="TimesNewRoman" w:hAnsi="Times New Roman" w:cs="Times New Roman"/>
          <w:sz w:val="24"/>
          <w:szCs w:val="24"/>
        </w:rPr>
      </w:pPr>
    </w:p>
    <w:p w:rsidR="00D64F36" w:rsidRDefault="004029AB">
      <w:pPr>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noProof/>
          <w:sz w:val="24"/>
          <w:szCs w:val="24"/>
        </w:rPr>
        <w:lastRenderedPageBreak/>
        <w:drawing>
          <wp:inline distT="0" distB="0" distL="0" distR="0">
            <wp:extent cx="6094095" cy="3757295"/>
            <wp:effectExtent l="19050" t="0" r="1329"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3"/>
                    <a:srcRect/>
                    <a:stretch>
                      <a:fillRect/>
                    </a:stretch>
                  </pic:blipFill>
                  <pic:spPr>
                    <a:xfrm>
                      <a:off x="0" y="0"/>
                      <a:ext cx="6096000" cy="3758680"/>
                    </a:xfrm>
                    <a:prstGeom prst="rect">
                      <a:avLst/>
                    </a:prstGeom>
                    <a:noFill/>
                  </pic:spPr>
                </pic:pic>
              </a:graphicData>
            </a:graphic>
          </wp:inline>
        </w:drawing>
      </w:r>
    </w:p>
    <w:p w:rsidR="00D64F36" w:rsidRDefault="004029AB">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
          <w:bCs/>
          <w:kern w:val="2"/>
          <w:sz w:val="24"/>
          <w:szCs w:val="24"/>
        </w:rPr>
      </w:pPr>
      <w:r>
        <w:rPr>
          <w:rFonts w:ascii="Times New Roman" w:hAnsi="Times New Roman" w:cs="Times New Roman"/>
          <w:b/>
          <w:sz w:val="24"/>
          <w:szCs w:val="24"/>
        </w:rPr>
        <w:t xml:space="preserve">4.6 </w:t>
      </w:r>
      <w:r>
        <w:rPr>
          <w:rFonts w:ascii="Times New Roman" w:hAnsi="Times New Roman" w:cs="Times New Roman"/>
          <w:b/>
          <w:sz w:val="24"/>
          <w:szCs w:val="24"/>
        </w:rPr>
        <w:tab/>
      </w:r>
      <w:r>
        <w:rPr>
          <w:rFonts w:ascii="Times New Roman" w:hAnsi="Times New Roman" w:cs="Times New Roman"/>
          <w:b/>
          <w:sz w:val="24"/>
          <w:szCs w:val="24"/>
        </w:rPr>
        <w:tab/>
        <w:t>Profile D – D’</w:t>
      </w:r>
    </w:p>
    <w:p w:rsidR="00D64F36" w:rsidRDefault="004029AB">
      <w:pPr>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The profile D is 50 m long with coordinate point D (8</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33’28”N, 4</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38’13”E) to D’ (8</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33’29”N, 4</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 xml:space="preserve">38’12”E) </w:t>
      </w:r>
      <w:r>
        <w:rPr>
          <w:rFonts w:ascii="Times New Roman" w:hAnsi="Times New Roman" w:cs="Times New Roman"/>
          <w:sz w:val="24"/>
          <w:szCs w:val="24"/>
        </w:rPr>
        <w:t xml:space="preserve">comprises of Ten measurements points separated by 5 m. </w:t>
      </w:r>
      <w:r>
        <w:rPr>
          <w:rFonts w:ascii="Times New Roman" w:eastAsia="TimesNewRoman" w:hAnsi="Times New Roman" w:cs="Times New Roman"/>
          <w:sz w:val="24"/>
          <w:szCs w:val="24"/>
        </w:rPr>
        <w:t xml:space="preserve">It oriented in NW-SE direction edge of the dumpsite with maximum depth penetration of 100 m. Figure 4.4 shows the resistivity tomogram of the profile D </w:t>
      </w:r>
      <w:r>
        <w:rPr>
          <w:rFonts w:ascii="Times New Roman" w:hAnsi="Times New Roman" w:cs="Times New Roman"/>
          <w:sz w:val="24"/>
          <w:szCs w:val="24"/>
        </w:rPr>
        <w:t>with vertical and horizontal axes of the model represent the depth and distance in meters respectively heterogeneity with resistivity values ranging from 30 to 200 Ω.m</w:t>
      </w:r>
      <w:r>
        <w:rPr>
          <w:rFonts w:ascii="Times New Roman" w:eastAsia="TimesNewRoman" w:hAnsi="Times New Roman" w:cs="Times New Roman"/>
          <w:sz w:val="24"/>
          <w:szCs w:val="24"/>
        </w:rPr>
        <w:t>. The resistivity tomogram reveals likely topsoil of thickness around 20 m depth. Low resistivity zones (30-50 Ωm) between stations 30 to 100 laterally to depths around 45m, 65m and 90-100m can be explained as the likely aquifer zones (Weathered/Fractured) which enhance recharge of groundwater. It is characterized by low resistivity (30-50 Ωm) and high resistivity (200 Ωm) is notice around station point 10 to 20.</w:t>
      </w:r>
    </w:p>
    <w:p w:rsidR="00D64F36" w:rsidRDefault="004029AB">
      <w:pPr>
        <w:adjustRightInd w:val="0"/>
        <w:spacing w:after="0" w:line="360" w:lineRule="auto"/>
        <w:jc w:val="both"/>
        <w:rPr>
          <w:rFonts w:ascii="Times New Roman" w:eastAsia="Calibri" w:hAnsi="Times New Roman" w:cs="Times New Roman"/>
          <w:kern w:val="2"/>
          <w:sz w:val="24"/>
          <w:szCs w:val="24"/>
        </w:rPr>
      </w:pPr>
      <w:r>
        <w:rPr>
          <w:rFonts w:ascii="Times New Roman" w:eastAsia="TimesNewRoman" w:hAnsi="Times New Roman" w:cs="Times New Roman"/>
          <w:sz w:val="24"/>
          <w:szCs w:val="24"/>
        </w:rPr>
        <w:t xml:space="preserve">The resistivity model indicates the presence of topsoil characterized by resistivity value that range from 160 to 200 Ωm with thickness generally less than 20 m. The topsoil is succeeded by </w:t>
      </w:r>
      <w:r>
        <w:rPr>
          <w:rFonts w:ascii="Times New Roman" w:eastAsia="TimesNewRoman" w:hAnsi="Times New Roman" w:cs="Times New Roman"/>
          <w:sz w:val="24"/>
          <w:szCs w:val="24"/>
        </w:rPr>
        <w:lastRenderedPageBreak/>
        <w:t xml:space="preserve">weathered/fractured basement rock with resistivity value that range from 30 to 60 Ωm with depths of 35 m, 65m and 95 m at stations 30 to 100. </w:t>
      </w:r>
      <w:r>
        <w:rPr>
          <w:rFonts w:ascii="Times New Roman" w:eastAsia="Calibri" w:hAnsi="Times New Roman" w:cs="Times New Roman"/>
          <w:kern w:val="2"/>
          <w:sz w:val="24"/>
          <w:szCs w:val="24"/>
        </w:rPr>
        <w:t xml:space="preserve">The stations </w:t>
      </w:r>
      <w:r>
        <w:rPr>
          <w:rFonts w:ascii="Times New Roman" w:eastAsia="TimesNewRoman" w:hAnsi="Times New Roman" w:cs="Times New Roman"/>
          <w:sz w:val="24"/>
          <w:szCs w:val="24"/>
        </w:rPr>
        <w:t>30 to 70 and 90</w:t>
      </w:r>
      <w:r>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color band with resistivity values greater than 200 </w:t>
      </w:r>
      <w:r>
        <w:rPr>
          <w:rFonts w:ascii="Times New Roman" w:eastAsia="TimesNewRoman" w:hAnsi="Times New Roman" w:cs="Times New Roman"/>
          <w:sz w:val="24"/>
          <w:szCs w:val="24"/>
        </w:rPr>
        <w:t>Ωm</w:t>
      </w:r>
      <w:r>
        <w:rPr>
          <w:rFonts w:ascii="Times New Roman" w:eastAsia="Calibri" w:hAnsi="Times New Roman" w:cs="Times New Roman"/>
          <w:kern w:val="2"/>
          <w:sz w:val="24"/>
          <w:szCs w:val="24"/>
        </w:rPr>
        <w:t xml:space="preserve"> at stations 10 and 20 are of high resistivity (fresh basement) and not good for groundwater exploitation.</w:t>
      </w:r>
    </w:p>
    <w:p w:rsidR="00D64F36" w:rsidRDefault="00D64F36">
      <w:pPr>
        <w:adjustRightInd w:val="0"/>
        <w:spacing w:line="360" w:lineRule="auto"/>
        <w:jc w:val="both"/>
        <w:rPr>
          <w:rFonts w:ascii="Times New Roman" w:eastAsia="TimesNewRoman" w:hAnsi="Times New Roman" w:cs="Times New Roman"/>
          <w:sz w:val="24"/>
          <w:szCs w:val="24"/>
        </w:rPr>
      </w:pPr>
    </w:p>
    <w:p w:rsidR="00D64F36" w:rsidRDefault="004029AB">
      <w:pPr>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noProof/>
          <w:sz w:val="24"/>
          <w:szCs w:val="24"/>
        </w:rPr>
        <w:drawing>
          <wp:inline distT="0" distB="0" distL="0" distR="0">
            <wp:extent cx="5909945" cy="549465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910470" cy="5495034"/>
                    </a:xfrm>
                    <a:prstGeom prst="rect">
                      <a:avLst/>
                    </a:prstGeom>
                  </pic:spPr>
                </pic:pic>
              </a:graphicData>
            </a:graphic>
          </wp:inline>
        </w:drawing>
      </w:r>
    </w:p>
    <w:p w:rsidR="00D64F36" w:rsidRDefault="004029AB">
      <w:pPr>
        <w:adjustRightInd w:val="0"/>
        <w:spacing w:line="360" w:lineRule="auto"/>
        <w:jc w:val="both"/>
        <w:rPr>
          <w:rFonts w:ascii="Times New Roman" w:eastAsia="TimesNewRoman" w:hAnsi="Times New Roman" w:cs="Times New Roman"/>
          <w:sz w:val="24"/>
          <w:szCs w:val="24"/>
        </w:rPr>
      </w:pPr>
      <w:r>
        <w:rPr>
          <w:rFonts w:ascii="Times New Roman" w:hAnsi="Times New Roman" w:cs="Times New Roman"/>
          <w:bCs/>
          <w:sz w:val="24"/>
          <w:szCs w:val="24"/>
        </w:rPr>
        <w:lastRenderedPageBreak/>
        <w:t>Fig. 5 (a &amp; b) above shows the distribution of potassium concentration in the area caused by hydrothermal alteration with the K/eTh and K/eU showing similar anomaly signature in the study area.</w:t>
      </w:r>
    </w:p>
    <w:p w:rsidR="00D64F36" w:rsidRDefault="004029AB">
      <w:pPr>
        <w:spacing w:after="0" w:line="360" w:lineRule="auto"/>
        <w:rPr>
          <w:rFonts w:ascii="Times New Roman" w:hAnsi="Times New Roman" w:cs="Times New Roman"/>
          <w:b/>
          <w:bCs/>
          <w:kern w:val="2"/>
          <w:sz w:val="24"/>
          <w:szCs w:val="24"/>
        </w:rPr>
      </w:pPr>
      <w:r>
        <w:rPr>
          <w:rFonts w:ascii="Times New Roman" w:hAnsi="Times New Roman" w:cs="Times New Roman"/>
          <w:b/>
          <w:sz w:val="24"/>
          <w:szCs w:val="24"/>
        </w:rPr>
        <w:t xml:space="preserve">4.7 </w:t>
      </w:r>
      <w:r>
        <w:rPr>
          <w:rFonts w:ascii="Times New Roman" w:hAnsi="Times New Roman" w:cs="Times New Roman"/>
          <w:b/>
          <w:sz w:val="24"/>
          <w:szCs w:val="24"/>
        </w:rPr>
        <w:tab/>
      </w:r>
      <w:r>
        <w:rPr>
          <w:rFonts w:ascii="Times New Roman" w:hAnsi="Times New Roman" w:cs="Times New Roman"/>
          <w:b/>
          <w:sz w:val="24"/>
          <w:szCs w:val="24"/>
        </w:rPr>
        <w:tab/>
        <w:t>Profile E – E’</w:t>
      </w:r>
    </w:p>
    <w:p w:rsidR="00D64F36" w:rsidRDefault="004029AB">
      <w:pPr>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The profile E is 50 m long with coordinate point E (8</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33’27”N, 4</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38’13”E) to E’ (8</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33’28”N, 4</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 xml:space="preserve">38’12”E) </w:t>
      </w:r>
      <w:r>
        <w:rPr>
          <w:rFonts w:ascii="Times New Roman" w:hAnsi="Times New Roman" w:cs="Times New Roman"/>
          <w:sz w:val="24"/>
          <w:szCs w:val="24"/>
        </w:rPr>
        <w:t xml:space="preserve">comprises of ten measurements points separated by 5 m. </w:t>
      </w:r>
      <w:r>
        <w:rPr>
          <w:rFonts w:ascii="Times New Roman" w:eastAsia="TimesNewRoman" w:hAnsi="Times New Roman" w:cs="Times New Roman"/>
          <w:sz w:val="24"/>
          <w:szCs w:val="24"/>
        </w:rPr>
        <w:t xml:space="preserve">It oriented in NW-SE direction edge of the dumpsite with maximum depth penetration of 100 m. Figure 4.5 shows the resistivity tomogram of the profile E </w:t>
      </w:r>
      <w:r>
        <w:rPr>
          <w:rFonts w:ascii="Times New Roman" w:hAnsi="Times New Roman" w:cs="Times New Roman"/>
          <w:sz w:val="24"/>
          <w:szCs w:val="24"/>
        </w:rPr>
        <w:t>with vertical and horizontal axes of the model represent the depth and distance in meters respectively heterogeneity with resistivity values ranging from 30 to 210 Ω.m</w:t>
      </w:r>
      <w:r>
        <w:rPr>
          <w:rFonts w:ascii="Times New Roman" w:eastAsia="TimesNewRoman" w:hAnsi="Times New Roman" w:cs="Times New Roman"/>
          <w:sz w:val="24"/>
          <w:szCs w:val="24"/>
        </w:rPr>
        <w:t>. The resistivity tomogram reveals likely topsoil of thickness around 20 m depth. Low resistivity zones (30-50 Ωm) at stations 10, 20 and 50 to 100 laterally to depths around 35m, 65m and 90-100m can be explained as the likely aquifer zones (Weathered/Fractured) which enhance recharge of groundwater. It is characterized by low resistivity (30-50 Ωm) and high resistivity (200 Ωm) is notice around station point 30 and 40.</w:t>
      </w:r>
    </w:p>
    <w:p w:rsidR="00D64F36" w:rsidRDefault="004029AB">
      <w:pPr>
        <w:adjustRightInd w:val="0"/>
        <w:spacing w:after="0" w:line="360" w:lineRule="auto"/>
        <w:jc w:val="both"/>
        <w:rPr>
          <w:rFonts w:ascii="Times New Roman" w:eastAsia="Calibri" w:hAnsi="Times New Roman" w:cs="Times New Roman"/>
          <w:kern w:val="2"/>
          <w:sz w:val="24"/>
          <w:szCs w:val="24"/>
        </w:rPr>
      </w:pPr>
      <w:r>
        <w:rPr>
          <w:rFonts w:ascii="Times New Roman" w:eastAsia="TimesNewRoman" w:hAnsi="Times New Roman" w:cs="Times New Roman"/>
          <w:sz w:val="24"/>
          <w:szCs w:val="24"/>
        </w:rPr>
        <w:t xml:space="preserve">The resistivity model indicates the presence of topsoil characterized by very low resistivity value that range from 30 to 50 Ωm with thickness generally less than 20 m. The topsoil is succeeded by weathered/fractured basement rock with resistivity value that ranges from 30 to 50 Ωm with depths of 35 m, 65m and 95 m at stations 10, 20 and 50 to 100. </w:t>
      </w:r>
      <w:r>
        <w:rPr>
          <w:rFonts w:ascii="Times New Roman" w:eastAsia="Calibri" w:hAnsi="Times New Roman" w:cs="Times New Roman"/>
          <w:kern w:val="2"/>
          <w:sz w:val="24"/>
          <w:szCs w:val="24"/>
        </w:rPr>
        <w:t xml:space="preserve">The stations </w:t>
      </w:r>
      <w:r>
        <w:rPr>
          <w:rFonts w:ascii="Times New Roman" w:eastAsia="TimesNewRoman" w:hAnsi="Times New Roman" w:cs="Times New Roman"/>
          <w:sz w:val="24"/>
          <w:szCs w:val="24"/>
        </w:rPr>
        <w:t>50 to 100</w:t>
      </w:r>
      <w:r>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color band with resistivity values greater than 210 </w:t>
      </w:r>
      <w:r>
        <w:rPr>
          <w:rFonts w:ascii="Times New Roman" w:eastAsia="TimesNewRoman" w:hAnsi="Times New Roman" w:cs="Times New Roman"/>
          <w:sz w:val="24"/>
          <w:szCs w:val="24"/>
        </w:rPr>
        <w:t>Ωm</w:t>
      </w:r>
      <w:r>
        <w:rPr>
          <w:rFonts w:ascii="Times New Roman" w:eastAsia="Calibri" w:hAnsi="Times New Roman" w:cs="Times New Roman"/>
          <w:kern w:val="2"/>
          <w:sz w:val="24"/>
          <w:szCs w:val="24"/>
        </w:rPr>
        <w:t xml:space="preserve"> at stations 30 and 40 are of high resistivity (fresh basement) and not good for groundwater exploitation.</w:t>
      </w:r>
    </w:p>
    <w:p w:rsidR="00D64F36" w:rsidRDefault="00D64F36">
      <w:pPr>
        <w:adjustRightInd w:val="0"/>
        <w:spacing w:line="360" w:lineRule="auto"/>
        <w:jc w:val="both"/>
        <w:rPr>
          <w:rFonts w:ascii="Times New Roman" w:eastAsia="TimesNewRoman" w:hAnsi="Times New Roman" w:cs="Times New Roman"/>
          <w:sz w:val="24"/>
          <w:szCs w:val="24"/>
        </w:rPr>
      </w:pPr>
    </w:p>
    <w:p w:rsidR="00D64F36" w:rsidRDefault="004029AB">
      <w:pPr>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noProof/>
          <w:sz w:val="24"/>
          <w:szCs w:val="24"/>
        </w:rPr>
        <w:lastRenderedPageBreak/>
        <w:drawing>
          <wp:inline distT="0" distB="0" distL="0" distR="0">
            <wp:extent cx="5378450" cy="54546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379009" cy="5455278"/>
                    </a:xfrm>
                    <a:prstGeom prst="rect">
                      <a:avLst/>
                    </a:prstGeom>
                  </pic:spPr>
                </pic:pic>
              </a:graphicData>
            </a:graphic>
          </wp:inline>
        </w:drawing>
      </w:r>
    </w:p>
    <w:p w:rsidR="00D64F36" w:rsidRDefault="004029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Fig. 5 (a &amp; b) above shows the distribution of potassium concentration in the area caused by hydrothermal alteration with the K/eTh and K/eU showing similar anomaly signature in the study area.</w:t>
      </w:r>
    </w:p>
    <w:p w:rsidR="00D64F36" w:rsidRDefault="00D64F36">
      <w:pPr>
        <w:spacing w:line="360" w:lineRule="auto"/>
        <w:jc w:val="both"/>
        <w:rPr>
          <w:rFonts w:ascii="Times New Roman" w:hAnsi="Times New Roman" w:cs="Times New Roman"/>
          <w:bCs/>
          <w:sz w:val="24"/>
          <w:szCs w:val="24"/>
        </w:rPr>
      </w:pPr>
    </w:p>
    <w:p w:rsidR="00D64F36" w:rsidRDefault="00D64F36">
      <w:pPr>
        <w:spacing w:line="360" w:lineRule="auto"/>
        <w:jc w:val="both"/>
        <w:rPr>
          <w:rFonts w:ascii="Times New Roman" w:hAnsi="Times New Roman" w:cs="Times New Roman"/>
          <w:bCs/>
          <w:sz w:val="24"/>
          <w:szCs w:val="24"/>
        </w:rPr>
      </w:pPr>
    </w:p>
    <w:p w:rsidR="00D64F36" w:rsidRDefault="00D64F36">
      <w:pPr>
        <w:spacing w:line="360" w:lineRule="auto"/>
        <w:jc w:val="both"/>
        <w:rPr>
          <w:rFonts w:ascii="Times New Roman" w:hAnsi="Times New Roman" w:cs="Times New Roman"/>
          <w:bCs/>
          <w:sz w:val="24"/>
          <w:szCs w:val="24"/>
        </w:rPr>
      </w:pPr>
    </w:p>
    <w:p w:rsidR="00D64F36" w:rsidRDefault="00D64F36">
      <w:pPr>
        <w:spacing w:line="360" w:lineRule="auto"/>
        <w:jc w:val="both"/>
        <w:rPr>
          <w:rFonts w:ascii="Times New Roman" w:hAnsi="Times New Roman" w:cs="Times New Roman"/>
          <w:bCs/>
          <w:sz w:val="24"/>
          <w:szCs w:val="24"/>
        </w:rPr>
      </w:pPr>
    </w:p>
    <w:p w:rsidR="00D64F36" w:rsidRDefault="00D64F36">
      <w:pPr>
        <w:spacing w:line="360" w:lineRule="auto"/>
        <w:jc w:val="both"/>
        <w:rPr>
          <w:rFonts w:ascii="Times New Roman" w:hAnsi="Times New Roman" w:cs="Times New Roman"/>
          <w:bCs/>
          <w:sz w:val="24"/>
          <w:szCs w:val="24"/>
        </w:rPr>
      </w:pPr>
    </w:p>
    <w:p w:rsidR="00D64F36" w:rsidRDefault="00D64F36">
      <w:pPr>
        <w:spacing w:line="360" w:lineRule="auto"/>
        <w:jc w:val="both"/>
        <w:rPr>
          <w:rFonts w:ascii="Times New Roman" w:hAnsi="Times New Roman" w:cs="Times New Roman"/>
          <w:bCs/>
          <w:sz w:val="24"/>
          <w:szCs w:val="24"/>
        </w:rPr>
      </w:pPr>
    </w:p>
    <w:p w:rsidR="00D64F36" w:rsidRDefault="004029AB">
      <w:pPr>
        <w:spacing w:line="360" w:lineRule="auto"/>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5943600" cy="384365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943600" cy="3843655"/>
                    </a:xfrm>
                    <a:prstGeom prst="rect">
                      <a:avLst/>
                    </a:prstGeom>
                  </pic:spPr>
                </pic:pic>
              </a:graphicData>
            </a:graphic>
          </wp:inline>
        </w:drawing>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 6: Composite Ternary Map </w:t>
      </w:r>
    </w:p>
    <w:p w:rsidR="00D64F36" w:rsidRDefault="00D64F36">
      <w:pPr>
        <w:spacing w:line="360" w:lineRule="auto"/>
        <w:jc w:val="both"/>
        <w:rPr>
          <w:rFonts w:ascii="Times New Roman" w:hAnsi="Times New Roman" w:cs="Times New Roman"/>
          <w:b/>
          <w:bCs/>
          <w:sz w:val="24"/>
          <w:szCs w:val="24"/>
        </w:rPr>
      </w:pPr>
    </w:p>
    <w:p w:rsidR="00D64F36" w:rsidRDefault="00D64F36">
      <w:pPr>
        <w:spacing w:line="360" w:lineRule="auto"/>
        <w:jc w:val="both"/>
        <w:rPr>
          <w:rFonts w:ascii="Times New Roman" w:hAnsi="Times New Roman" w:cs="Times New Roman"/>
          <w:b/>
          <w:bCs/>
          <w:sz w:val="24"/>
          <w:szCs w:val="24"/>
        </w:rPr>
      </w:pPr>
    </w:p>
    <w:p w:rsidR="00D64F36" w:rsidRDefault="00D64F36">
      <w:pPr>
        <w:spacing w:line="360" w:lineRule="auto"/>
        <w:jc w:val="both"/>
        <w:rPr>
          <w:rFonts w:ascii="Times New Roman" w:hAnsi="Times New Roman" w:cs="Times New Roman"/>
          <w:b/>
          <w:bCs/>
          <w:sz w:val="24"/>
          <w:szCs w:val="24"/>
        </w:rPr>
      </w:pP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6096000" cy="342900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7"/>
                    <a:srcRect/>
                    <a:stretch>
                      <a:fillRect/>
                    </a:stretch>
                  </pic:blipFill>
                  <pic:spPr>
                    <a:xfrm>
                      <a:off x="0" y="0"/>
                      <a:ext cx="6096000" cy="3429000"/>
                    </a:xfrm>
                    <a:prstGeom prst="rect">
                      <a:avLst/>
                    </a:prstGeom>
                    <a:noFill/>
                  </pic:spPr>
                </pic:pic>
              </a:graphicData>
            </a:graphic>
          </wp:inline>
        </w:drawing>
      </w:r>
    </w:p>
    <w:p w:rsidR="00D64F36" w:rsidRDefault="00D64F36">
      <w:pPr>
        <w:spacing w:line="360" w:lineRule="auto"/>
        <w:jc w:val="both"/>
        <w:rPr>
          <w:rFonts w:ascii="Times New Roman" w:hAnsi="Times New Roman" w:cs="Times New Roman"/>
          <w:b/>
          <w:bCs/>
          <w:sz w:val="24"/>
          <w:szCs w:val="24"/>
        </w:rPr>
      </w:pPr>
    </w:p>
    <w:p w:rsidR="00D64F36" w:rsidRDefault="00D64F36">
      <w:pPr>
        <w:spacing w:line="360" w:lineRule="auto"/>
        <w:jc w:val="both"/>
        <w:rPr>
          <w:rFonts w:ascii="Times New Roman" w:hAnsi="Times New Roman" w:cs="Times New Roman"/>
          <w:b/>
          <w:bCs/>
          <w:sz w:val="24"/>
          <w:szCs w:val="24"/>
        </w:rPr>
      </w:pPr>
    </w:p>
    <w:p w:rsidR="00D64F36" w:rsidRDefault="00D64F36">
      <w:pPr>
        <w:spacing w:line="360" w:lineRule="auto"/>
        <w:jc w:val="both"/>
        <w:rPr>
          <w:rFonts w:ascii="Times New Roman" w:hAnsi="Times New Roman" w:cs="Times New Roman"/>
          <w:b/>
          <w:bCs/>
          <w:sz w:val="24"/>
          <w:szCs w:val="24"/>
        </w:rPr>
      </w:pPr>
      <w:r w:rsidRPr="00D64F36">
        <w:rPr>
          <w:rFonts w:ascii="Times New Roman" w:hAnsi="Times New Roman" w:cs="Times New Roman"/>
          <w:b/>
          <w:bCs/>
          <w:sz w:val="24"/>
          <w:szCs w:val="24"/>
        </w:rPr>
        <w:object w:dxaOrig="9600" w:dyaOrig="5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263.25pt" o:ole="">
            <v:imagedata r:id="rId18" o:title=""/>
          </v:shape>
          <o:OLEObject Type="Embed" ProgID="PowerPoint.Slide.12" ShapeID="_x0000_i1025" DrawAspect="Content" ObjectID="_1814275003" r:id="rId19"/>
        </w:object>
      </w:r>
    </w:p>
    <w:p w:rsidR="00D64F36" w:rsidRDefault="00D64F36">
      <w:pPr>
        <w:spacing w:line="360" w:lineRule="auto"/>
        <w:jc w:val="both"/>
        <w:rPr>
          <w:rFonts w:ascii="Times New Roman" w:hAnsi="Times New Roman" w:cs="Times New Roman"/>
          <w:b/>
          <w:bCs/>
          <w:sz w:val="24"/>
          <w:szCs w:val="24"/>
        </w:rPr>
      </w:pP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4.3 Conclusion</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airborne gamma ray spectrometric data is helpful in delineating hydrothermal alteration zones of the study area. The use of radionuclides ratio combination has proven helpful in isolating areas that are hydrothermally altered. Although changes in the radioelement is slight, it is a useful aid in separating anomalies caused by Potassium enrichment as a result of hydrothermal alteration other than caused by other processes such as weathering, leaching, lithological changes and weather conditions. The results showed that hydrothermally altered areas are associated with granitoids (descriptive field term coarse-grained igneous rocks) and areas proximal to them with areas distal to them showing no or little alteration. </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Therefore, the generated hydrothermal alteration map indicates prospective areas for further exploration work which will be able to guide prospective investors, researchers and stakeholders on prospective areas for exploration.</w:t>
      </w:r>
    </w:p>
    <w:p w:rsidR="00D64F36" w:rsidRDefault="004029A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References</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Aisabokhae, J. E., et al. (2023). Integrated geophysical and remote sensing studies for mineral exploration in Zuru province, Northwest Nigeria. </w:t>
      </w:r>
      <w:r>
        <w:rPr>
          <w:rFonts w:ascii="Times New Roman" w:hAnsi="Times New Roman" w:cs="Times New Roman"/>
          <w:i/>
          <w:iCs/>
          <w:sz w:val="24"/>
          <w:szCs w:val="24"/>
        </w:rPr>
        <w:t>Journal of African Earth Sciences</w:t>
      </w:r>
      <w:r>
        <w:rPr>
          <w:rFonts w:ascii="Times New Roman" w:hAnsi="Times New Roman" w:cs="Times New Roman"/>
          <w:sz w:val="24"/>
          <w:szCs w:val="24"/>
        </w:rPr>
        <w:t>, 199, 104-123.</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Ajibade, A. C., et al. (1987). The geology of the Nigerian Basement Complex. </w:t>
      </w:r>
      <w:r>
        <w:rPr>
          <w:rFonts w:ascii="Times New Roman" w:hAnsi="Times New Roman" w:cs="Times New Roman"/>
          <w:i/>
          <w:iCs/>
          <w:sz w:val="24"/>
          <w:szCs w:val="24"/>
        </w:rPr>
        <w:t>Precambrian Research</w:t>
      </w:r>
      <w:r>
        <w:rPr>
          <w:rFonts w:ascii="Times New Roman" w:hAnsi="Times New Roman" w:cs="Times New Roman"/>
          <w:sz w:val="24"/>
          <w:szCs w:val="24"/>
        </w:rPr>
        <w:t>, 36(3), 287–302.</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Anudu, G. K., et al. (2014). Geophysical investigation of mineral potential in the Ibadan area, Nigeria. </w:t>
      </w:r>
      <w:r>
        <w:rPr>
          <w:rFonts w:ascii="Times New Roman" w:hAnsi="Times New Roman" w:cs="Times New Roman"/>
          <w:i/>
          <w:iCs/>
          <w:sz w:val="24"/>
          <w:szCs w:val="24"/>
        </w:rPr>
        <w:t>Journal of Mining and Geology</w:t>
      </w:r>
      <w:r>
        <w:rPr>
          <w:rFonts w:ascii="Times New Roman" w:hAnsi="Times New Roman" w:cs="Times New Roman"/>
          <w:sz w:val="24"/>
          <w:szCs w:val="24"/>
        </w:rPr>
        <w:t>, 50(2), 145–156.</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Boeker, E., and van Grondelle, R. (2011). </w:t>
      </w:r>
      <w:r>
        <w:rPr>
          <w:rFonts w:ascii="Times New Roman" w:hAnsi="Times New Roman" w:cs="Times New Roman"/>
          <w:i/>
          <w:iCs/>
          <w:sz w:val="24"/>
          <w:szCs w:val="24"/>
        </w:rPr>
        <w:t>Environmental Physics: Sustainable Energy and Climate Change</w:t>
      </w:r>
      <w:r>
        <w:rPr>
          <w:rFonts w:ascii="Times New Roman" w:hAnsi="Times New Roman" w:cs="Times New Roman"/>
          <w:sz w:val="24"/>
          <w:szCs w:val="24"/>
        </w:rPr>
        <w:t>. Wiley.</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Forson, E. D., et al. (2022). Fuzzy logic modeling for mineral prospectivity in the Ife-Ilesa schist belt. </w:t>
      </w:r>
      <w:r>
        <w:rPr>
          <w:rFonts w:ascii="Times New Roman" w:hAnsi="Times New Roman" w:cs="Times New Roman"/>
          <w:i/>
          <w:iCs/>
          <w:sz w:val="24"/>
          <w:szCs w:val="24"/>
        </w:rPr>
        <w:t>Geophysics</w:t>
      </w:r>
      <w:r>
        <w:rPr>
          <w:rFonts w:ascii="Times New Roman" w:hAnsi="Times New Roman" w:cs="Times New Roman"/>
          <w:sz w:val="24"/>
          <w:szCs w:val="24"/>
        </w:rPr>
        <w:t>, 87(4), 89–102.</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Garba, I. (2003). Gold mineralization in Nigeria: A review. </w:t>
      </w:r>
      <w:r>
        <w:rPr>
          <w:rFonts w:ascii="Times New Roman" w:hAnsi="Times New Roman" w:cs="Times New Roman"/>
          <w:i/>
          <w:iCs/>
          <w:sz w:val="24"/>
          <w:szCs w:val="24"/>
        </w:rPr>
        <w:t>Journal of Mining and Geology</w:t>
      </w:r>
      <w:r>
        <w:rPr>
          <w:rFonts w:ascii="Times New Roman" w:hAnsi="Times New Roman" w:cs="Times New Roman"/>
          <w:sz w:val="24"/>
          <w:szCs w:val="24"/>
        </w:rPr>
        <w:t>, 39(2), 97–108.</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Goldfarb, R. J., et al. (2005). Orogenic gold deposits: A proposed classification. </w:t>
      </w:r>
      <w:r>
        <w:rPr>
          <w:rFonts w:ascii="Times New Roman" w:hAnsi="Times New Roman" w:cs="Times New Roman"/>
          <w:i/>
          <w:iCs/>
          <w:sz w:val="24"/>
          <w:szCs w:val="24"/>
        </w:rPr>
        <w:t>Economic Geology</w:t>
      </w:r>
      <w:r>
        <w:rPr>
          <w:rFonts w:ascii="Times New Roman" w:hAnsi="Times New Roman" w:cs="Times New Roman"/>
          <w:sz w:val="24"/>
          <w:szCs w:val="24"/>
        </w:rPr>
        <w:t>, 100(1), 1–18.</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Iloeje, N. P. (2001). </w:t>
      </w:r>
      <w:r>
        <w:rPr>
          <w:rFonts w:ascii="Times New Roman" w:hAnsi="Times New Roman" w:cs="Times New Roman"/>
          <w:i/>
          <w:iCs/>
          <w:sz w:val="24"/>
          <w:szCs w:val="24"/>
        </w:rPr>
        <w:t>A New Geography of Nigeria</w:t>
      </w:r>
      <w:r>
        <w:rPr>
          <w:rFonts w:ascii="Times New Roman" w:hAnsi="Times New Roman" w:cs="Times New Roman"/>
          <w:sz w:val="24"/>
          <w:szCs w:val="24"/>
        </w:rPr>
        <w:t>. Longman Nigeria.</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Kearey, P., et al. (2013). </w:t>
      </w:r>
      <w:r>
        <w:rPr>
          <w:rFonts w:ascii="Times New Roman" w:hAnsi="Times New Roman" w:cs="Times New Roman"/>
          <w:i/>
          <w:iCs/>
          <w:sz w:val="24"/>
          <w:szCs w:val="24"/>
        </w:rPr>
        <w:t>An Introduction to Geophysical Exploration</w:t>
      </w:r>
      <w:r>
        <w:rPr>
          <w:rFonts w:ascii="Times New Roman" w:hAnsi="Times New Roman" w:cs="Times New Roman"/>
          <w:sz w:val="24"/>
          <w:szCs w:val="24"/>
        </w:rPr>
        <w:t>. Wiley-Blackwell.</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Minty, B. R. J. (1997). Fundamentals of airborne gamma-ray spectrometry. </w:t>
      </w:r>
      <w:r>
        <w:rPr>
          <w:rFonts w:ascii="Times New Roman" w:hAnsi="Times New Roman" w:cs="Times New Roman"/>
          <w:i/>
          <w:iCs/>
          <w:sz w:val="24"/>
          <w:szCs w:val="24"/>
        </w:rPr>
        <w:t>AUSGEO News</w:t>
      </w:r>
      <w:r>
        <w:rPr>
          <w:rFonts w:ascii="Times New Roman" w:hAnsi="Times New Roman" w:cs="Times New Roman"/>
          <w:sz w:val="24"/>
          <w:szCs w:val="24"/>
        </w:rPr>
        <w:t>, 88, 12–18.</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Ohioma, J. O., et al. (2017). Aeroradiometric mapping of hydrothermal alteration zones in Isanlu, Nigeria. </w:t>
      </w:r>
      <w:r>
        <w:rPr>
          <w:rFonts w:ascii="Times New Roman" w:hAnsi="Times New Roman" w:cs="Times New Roman"/>
          <w:i/>
          <w:iCs/>
          <w:sz w:val="24"/>
          <w:szCs w:val="24"/>
        </w:rPr>
        <w:t>Journal of Mining and Geology</w:t>
      </w:r>
      <w:r>
        <w:rPr>
          <w:rFonts w:ascii="Times New Roman" w:hAnsi="Times New Roman" w:cs="Times New Roman"/>
          <w:sz w:val="24"/>
          <w:szCs w:val="24"/>
        </w:rPr>
        <w:t>, 53(1), 23–34.</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Okunlola, O. A., and Okoroafor, E. (2009). Hydrogeological characteristics of the Nigerian Basement Complex. </w:t>
      </w:r>
      <w:r>
        <w:rPr>
          <w:rFonts w:ascii="Times New Roman" w:hAnsi="Times New Roman" w:cs="Times New Roman"/>
          <w:i/>
          <w:iCs/>
          <w:sz w:val="24"/>
          <w:szCs w:val="24"/>
        </w:rPr>
        <w:t>Water Resources Journal</w:t>
      </w:r>
      <w:r>
        <w:rPr>
          <w:rFonts w:ascii="Times New Roman" w:hAnsi="Times New Roman" w:cs="Times New Roman"/>
          <w:sz w:val="24"/>
          <w:szCs w:val="24"/>
        </w:rPr>
        <w:t>, 20(1), 45–56.</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Olade, M. A. (2019). Mineral resources of Nigeria: Challenges and prospects. </w:t>
      </w:r>
      <w:r>
        <w:rPr>
          <w:rFonts w:ascii="Times New Roman" w:hAnsi="Times New Roman" w:cs="Times New Roman"/>
          <w:i/>
          <w:iCs/>
          <w:sz w:val="24"/>
          <w:szCs w:val="24"/>
        </w:rPr>
        <w:t>Journal of African Earth Sciences</w:t>
      </w:r>
      <w:r>
        <w:rPr>
          <w:rFonts w:ascii="Times New Roman" w:hAnsi="Times New Roman" w:cs="Times New Roman"/>
          <w:sz w:val="24"/>
          <w:szCs w:val="24"/>
        </w:rPr>
        <w:t>, 158, 103–115.</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Olorunfemi, M. O., and Fasuyi, S. A. (1993). Aquifer types and geoelectric characteristics of the Nigerian Basement Complex. </w:t>
      </w:r>
      <w:r>
        <w:rPr>
          <w:rFonts w:ascii="Times New Roman" w:hAnsi="Times New Roman" w:cs="Times New Roman"/>
          <w:i/>
          <w:iCs/>
          <w:sz w:val="24"/>
          <w:szCs w:val="24"/>
        </w:rPr>
        <w:t>Journal of African Earth Sciences</w:t>
      </w:r>
      <w:r>
        <w:rPr>
          <w:rFonts w:ascii="Times New Roman" w:hAnsi="Times New Roman" w:cs="Times New Roman"/>
          <w:sz w:val="24"/>
          <w:szCs w:val="24"/>
        </w:rPr>
        <w:t>, 16(3), 339–352.</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Oyawoye, M. O. (1972). The Basement Complex of Nigeria. </w:t>
      </w:r>
      <w:r>
        <w:rPr>
          <w:rFonts w:ascii="Times New Roman" w:hAnsi="Times New Roman" w:cs="Times New Roman"/>
          <w:i/>
          <w:iCs/>
          <w:sz w:val="24"/>
          <w:szCs w:val="24"/>
        </w:rPr>
        <w:t>Geological Survey of Nigeria Bulletin</w:t>
      </w:r>
      <w:r>
        <w:rPr>
          <w:rFonts w:ascii="Times New Roman" w:hAnsi="Times New Roman" w:cs="Times New Roman"/>
          <w:sz w:val="24"/>
          <w:szCs w:val="24"/>
        </w:rPr>
        <w:t>, 32, 1–58.</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Pirajno, F. (2009). </w:t>
      </w:r>
      <w:r>
        <w:rPr>
          <w:rFonts w:ascii="Times New Roman" w:hAnsi="Times New Roman" w:cs="Times New Roman"/>
          <w:i/>
          <w:iCs/>
          <w:sz w:val="24"/>
          <w:szCs w:val="24"/>
        </w:rPr>
        <w:t>Hydrothermal Processes and Mineral Systems</w:t>
      </w:r>
      <w:r>
        <w:rPr>
          <w:rFonts w:ascii="Times New Roman" w:hAnsi="Times New Roman" w:cs="Times New Roman"/>
          <w:sz w:val="24"/>
          <w:szCs w:val="24"/>
        </w:rPr>
        <w:t>. Springer.</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Rahaman, M. A. (1988). Recent advances in the study of the Basement Complex of Nigeria. </w:t>
      </w:r>
      <w:r>
        <w:rPr>
          <w:rFonts w:ascii="Times New Roman" w:hAnsi="Times New Roman" w:cs="Times New Roman"/>
          <w:i/>
          <w:iCs/>
          <w:sz w:val="24"/>
          <w:szCs w:val="24"/>
        </w:rPr>
        <w:t>Geological Survey of Nigeria Publication</w:t>
      </w:r>
      <w:r>
        <w:rPr>
          <w:rFonts w:ascii="Times New Roman" w:hAnsi="Times New Roman" w:cs="Times New Roman"/>
          <w:sz w:val="24"/>
          <w:szCs w:val="24"/>
        </w:rPr>
        <w:t>, 11–43.</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Robb, L. (2005). </w:t>
      </w:r>
      <w:r>
        <w:rPr>
          <w:rFonts w:ascii="Times New Roman" w:hAnsi="Times New Roman" w:cs="Times New Roman"/>
          <w:i/>
          <w:iCs/>
          <w:sz w:val="24"/>
          <w:szCs w:val="24"/>
        </w:rPr>
        <w:t>Introduction to Ore-Forming Processes</w:t>
      </w:r>
      <w:r>
        <w:rPr>
          <w:rFonts w:ascii="Times New Roman" w:hAnsi="Times New Roman" w:cs="Times New Roman"/>
          <w:sz w:val="24"/>
          <w:szCs w:val="24"/>
        </w:rPr>
        <w:t>. Blackwell Publishing.</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Sanusi, Y. A., and Amigun, J. O. (2020). Geophysical investigation of gold mineralization in Kushaka schist belt, Nigeria. </w:t>
      </w:r>
      <w:r>
        <w:rPr>
          <w:rFonts w:ascii="Times New Roman" w:hAnsi="Times New Roman" w:cs="Times New Roman"/>
          <w:i/>
          <w:iCs/>
          <w:sz w:val="24"/>
          <w:szCs w:val="24"/>
        </w:rPr>
        <w:t>Geophysics</w:t>
      </w:r>
      <w:r>
        <w:rPr>
          <w:rFonts w:ascii="Times New Roman" w:hAnsi="Times New Roman" w:cs="Times New Roman"/>
          <w:sz w:val="24"/>
          <w:szCs w:val="24"/>
        </w:rPr>
        <w:t>, 85(3), 67–79.</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Sillitoe, R. H. (2010). Porphyry copper systems. </w:t>
      </w:r>
      <w:r>
        <w:rPr>
          <w:rFonts w:ascii="Times New Roman" w:hAnsi="Times New Roman" w:cs="Times New Roman"/>
          <w:i/>
          <w:iCs/>
          <w:sz w:val="24"/>
          <w:szCs w:val="24"/>
        </w:rPr>
        <w:t>Economic Geology</w:t>
      </w:r>
      <w:r>
        <w:rPr>
          <w:rFonts w:ascii="Times New Roman" w:hAnsi="Times New Roman" w:cs="Times New Roman"/>
          <w:sz w:val="24"/>
          <w:szCs w:val="24"/>
        </w:rPr>
        <w:t>, 105(1), 3–41.</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Telford, W. M., et al. (1990). </w:t>
      </w:r>
      <w:r>
        <w:rPr>
          <w:rFonts w:ascii="Times New Roman" w:hAnsi="Times New Roman" w:cs="Times New Roman"/>
          <w:i/>
          <w:iCs/>
          <w:sz w:val="24"/>
          <w:szCs w:val="24"/>
        </w:rPr>
        <w:t>Applied Geophysics</w:t>
      </w:r>
      <w:r>
        <w:rPr>
          <w:rFonts w:ascii="Times New Roman" w:hAnsi="Times New Roman" w:cs="Times New Roman"/>
          <w:sz w:val="24"/>
          <w:szCs w:val="24"/>
        </w:rPr>
        <w:t>. Cambridge University Press.</w:t>
      </w:r>
    </w:p>
    <w:p w:rsidR="00D64F36" w:rsidRDefault="00D64F36">
      <w:pPr>
        <w:spacing w:line="360" w:lineRule="auto"/>
        <w:ind w:left="720" w:hanging="720"/>
        <w:jc w:val="both"/>
        <w:rPr>
          <w:rFonts w:ascii="Times New Roman" w:hAnsi="Times New Roman" w:cs="Times New Roman"/>
          <w:sz w:val="24"/>
          <w:szCs w:val="24"/>
        </w:rPr>
      </w:pPr>
    </w:p>
    <w:p w:rsidR="00D64F36" w:rsidRDefault="00D64F36">
      <w:pPr>
        <w:spacing w:line="360" w:lineRule="auto"/>
        <w:ind w:left="720" w:hanging="720"/>
        <w:jc w:val="both"/>
        <w:rPr>
          <w:rFonts w:ascii="Times New Roman" w:hAnsi="Times New Roman" w:cs="Times New Roman"/>
          <w:sz w:val="24"/>
          <w:szCs w:val="24"/>
        </w:rPr>
      </w:pPr>
    </w:p>
    <w:p w:rsidR="00D64F36" w:rsidRDefault="00D64F36">
      <w:pPr>
        <w:spacing w:line="360" w:lineRule="auto"/>
        <w:ind w:left="720" w:hanging="720"/>
        <w:jc w:val="both"/>
        <w:rPr>
          <w:rFonts w:ascii="Times New Roman" w:hAnsi="Times New Roman" w:cs="Times New Roman"/>
          <w:sz w:val="24"/>
          <w:szCs w:val="24"/>
        </w:rPr>
      </w:pPr>
    </w:p>
    <w:p w:rsidR="00D64F36" w:rsidRDefault="00D64F36">
      <w:pPr>
        <w:spacing w:line="360" w:lineRule="auto"/>
        <w:ind w:left="720" w:hanging="720"/>
        <w:jc w:val="both"/>
        <w:rPr>
          <w:rFonts w:ascii="Times New Roman" w:hAnsi="Times New Roman" w:cs="Times New Roman"/>
          <w:sz w:val="24"/>
          <w:szCs w:val="24"/>
        </w:rPr>
      </w:pPr>
    </w:p>
    <w:p w:rsidR="00D64F36" w:rsidRDefault="00D64F36">
      <w:pPr>
        <w:spacing w:line="360" w:lineRule="auto"/>
        <w:ind w:left="720" w:hanging="720"/>
        <w:jc w:val="both"/>
        <w:rPr>
          <w:rFonts w:ascii="Times New Roman" w:hAnsi="Times New Roman" w:cs="Times New Roman"/>
          <w:sz w:val="24"/>
          <w:szCs w:val="24"/>
        </w:rPr>
      </w:pPr>
    </w:p>
    <w:sectPr w:rsidR="00D64F36" w:rsidSect="00D64F36">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6427" w:rsidRDefault="006E6427">
      <w:pPr>
        <w:spacing w:line="240" w:lineRule="auto"/>
      </w:pPr>
      <w:r>
        <w:separator/>
      </w:r>
    </w:p>
  </w:endnote>
  <w:endnote w:type="continuationSeparator" w:id="1">
    <w:p w:rsidR="006E6427" w:rsidRDefault="006E642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NewRoman">
    <w:altName w:val="MS Mincho"/>
    <w:charset w:val="80"/>
    <w:family w:val="auto"/>
    <w:pitch w:val="default"/>
    <w:sig w:usb0="00000000" w:usb1="0000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07789"/>
      <w:docPartObj>
        <w:docPartGallery w:val="AutoText"/>
      </w:docPartObj>
    </w:sdtPr>
    <w:sdtContent>
      <w:p w:rsidR="00D64F36" w:rsidRDefault="00055C22">
        <w:pPr>
          <w:pStyle w:val="Footer"/>
          <w:jc w:val="center"/>
        </w:pPr>
        <w:r>
          <w:fldChar w:fldCharType="begin"/>
        </w:r>
        <w:r w:rsidR="004029AB">
          <w:instrText xml:space="preserve"> PAGE   \* MERGEFORMAT </w:instrText>
        </w:r>
        <w:r>
          <w:fldChar w:fldCharType="separate"/>
        </w:r>
        <w:r w:rsidR="008872E0">
          <w:rPr>
            <w:noProof/>
          </w:rPr>
          <w:t>iv</w:t>
        </w:r>
        <w:r>
          <w:fldChar w:fldCharType="end"/>
        </w:r>
      </w:p>
    </w:sdtContent>
  </w:sdt>
  <w:p w:rsidR="00D64F36" w:rsidRDefault="00D64F3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6427" w:rsidRDefault="006E6427">
      <w:pPr>
        <w:spacing w:after="0"/>
      </w:pPr>
      <w:r>
        <w:separator/>
      </w:r>
    </w:p>
  </w:footnote>
  <w:footnote w:type="continuationSeparator" w:id="1">
    <w:p w:rsidR="006E6427" w:rsidRDefault="006E6427">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787A99"/>
    <w:multiLevelType w:val="multilevel"/>
    <w:tmpl w:val="17787A9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nsid w:val="404A1B23"/>
    <w:multiLevelType w:val="multilevel"/>
    <w:tmpl w:val="404A1B2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44F12017"/>
    <w:multiLevelType w:val="multilevel"/>
    <w:tmpl w:val="44F1201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nsid w:val="47E967A1"/>
    <w:multiLevelType w:val="multilevel"/>
    <w:tmpl w:val="47E967A1"/>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53CB6BFE"/>
    <w:multiLevelType w:val="multilevel"/>
    <w:tmpl w:val="53CB6BFE"/>
    <w:lvl w:ilvl="0">
      <w:start w:val="1"/>
      <w:numFmt w:val="lowerRoman"/>
      <w:lvlText w:val="%1."/>
      <w:lvlJc w:val="right"/>
      <w:pPr>
        <w:tabs>
          <w:tab w:val="left" w:pos="720"/>
        </w:tabs>
        <w:ind w:left="720" w:hanging="360"/>
      </w:pPr>
    </w:lvl>
    <w:lvl w:ilvl="1">
      <w:start w:val="1"/>
      <w:numFmt w:val="lowerRoman"/>
      <w:lvlText w:val="%2."/>
      <w:lvlJc w:val="right"/>
      <w:pPr>
        <w:tabs>
          <w:tab w:val="left" w:pos="1440"/>
        </w:tabs>
        <w:ind w:left="1440" w:hanging="360"/>
      </w:pPr>
    </w:lvl>
    <w:lvl w:ilvl="2">
      <w:start w:val="1"/>
      <w:numFmt w:val="lowerRoman"/>
      <w:lvlText w:val="%3."/>
      <w:lvlJc w:val="right"/>
      <w:pPr>
        <w:tabs>
          <w:tab w:val="left" w:pos="2160"/>
        </w:tabs>
        <w:ind w:left="2160" w:hanging="360"/>
      </w:pPr>
    </w:lvl>
    <w:lvl w:ilvl="3">
      <w:start w:val="1"/>
      <w:numFmt w:val="lowerRoman"/>
      <w:lvlText w:val="%4."/>
      <w:lvlJc w:val="right"/>
      <w:pPr>
        <w:tabs>
          <w:tab w:val="left" w:pos="2880"/>
        </w:tabs>
        <w:ind w:left="2880" w:hanging="360"/>
      </w:pPr>
    </w:lvl>
    <w:lvl w:ilvl="4">
      <w:start w:val="1"/>
      <w:numFmt w:val="lowerRoman"/>
      <w:lvlText w:val="%5."/>
      <w:lvlJc w:val="right"/>
      <w:pPr>
        <w:tabs>
          <w:tab w:val="left" w:pos="3600"/>
        </w:tabs>
        <w:ind w:left="3600" w:hanging="360"/>
      </w:pPr>
    </w:lvl>
    <w:lvl w:ilvl="5">
      <w:start w:val="1"/>
      <w:numFmt w:val="lowerRoman"/>
      <w:lvlText w:val="%6."/>
      <w:lvlJc w:val="right"/>
      <w:pPr>
        <w:tabs>
          <w:tab w:val="left" w:pos="4320"/>
        </w:tabs>
        <w:ind w:left="4320" w:hanging="360"/>
      </w:pPr>
    </w:lvl>
    <w:lvl w:ilvl="6">
      <w:start w:val="1"/>
      <w:numFmt w:val="lowerRoman"/>
      <w:lvlText w:val="%7."/>
      <w:lvlJc w:val="right"/>
      <w:pPr>
        <w:tabs>
          <w:tab w:val="left" w:pos="5040"/>
        </w:tabs>
        <w:ind w:left="5040" w:hanging="360"/>
      </w:pPr>
    </w:lvl>
    <w:lvl w:ilvl="7">
      <w:start w:val="1"/>
      <w:numFmt w:val="lowerRoman"/>
      <w:lvlText w:val="%8."/>
      <w:lvlJc w:val="right"/>
      <w:pPr>
        <w:tabs>
          <w:tab w:val="left" w:pos="5760"/>
        </w:tabs>
        <w:ind w:left="5760" w:hanging="360"/>
      </w:pPr>
    </w:lvl>
    <w:lvl w:ilvl="8">
      <w:start w:val="1"/>
      <w:numFmt w:val="lowerRoman"/>
      <w:lvlText w:val="%9."/>
      <w:lvlJc w:val="right"/>
      <w:pPr>
        <w:tabs>
          <w:tab w:val="left" w:pos="6480"/>
        </w:tabs>
        <w:ind w:left="6480" w:hanging="360"/>
      </w:pPr>
    </w:lvl>
  </w:abstractNum>
  <w:abstractNum w:abstractNumId="5">
    <w:nsid w:val="54E75BC5"/>
    <w:multiLevelType w:val="multilevel"/>
    <w:tmpl w:val="54E75BC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6CF55312"/>
    <w:multiLevelType w:val="multilevel"/>
    <w:tmpl w:val="6CF5531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3"/>
  </w:num>
  <w:num w:numId="2">
    <w:abstractNumId w:val="0"/>
  </w:num>
  <w:num w:numId="3">
    <w:abstractNumId w:val="4"/>
  </w:num>
  <w:num w:numId="4">
    <w:abstractNumId w:val="2"/>
  </w:num>
  <w:num w:numId="5">
    <w:abstractNumId w:val="1"/>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F1123"/>
    <w:rsid w:val="0000665D"/>
    <w:rsid w:val="00011291"/>
    <w:rsid w:val="00021AE8"/>
    <w:rsid w:val="0003345E"/>
    <w:rsid w:val="00055C22"/>
    <w:rsid w:val="00066D85"/>
    <w:rsid w:val="00105EBB"/>
    <w:rsid w:val="001072A9"/>
    <w:rsid w:val="001166BC"/>
    <w:rsid w:val="00127AB2"/>
    <w:rsid w:val="00127AB3"/>
    <w:rsid w:val="00140329"/>
    <w:rsid w:val="001C1633"/>
    <w:rsid w:val="00282718"/>
    <w:rsid w:val="0028630E"/>
    <w:rsid w:val="002C47C9"/>
    <w:rsid w:val="003736E9"/>
    <w:rsid w:val="003B7BB9"/>
    <w:rsid w:val="004029AB"/>
    <w:rsid w:val="00434215"/>
    <w:rsid w:val="00434C38"/>
    <w:rsid w:val="00440F28"/>
    <w:rsid w:val="00442ED0"/>
    <w:rsid w:val="004709A9"/>
    <w:rsid w:val="00481733"/>
    <w:rsid w:val="004A0CCA"/>
    <w:rsid w:val="004B6432"/>
    <w:rsid w:val="00504B35"/>
    <w:rsid w:val="00552E7F"/>
    <w:rsid w:val="0056118E"/>
    <w:rsid w:val="0057756F"/>
    <w:rsid w:val="00591343"/>
    <w:rsid w:val="005A291E"/>
    <w:rsid w:val="005A2A62"/>
    <w:rsid w:val="005B1F34"/>
    <w:rsid w:val="005F3EEF"/>
    <w:rsid w:val="005F465B"/>
    <w:rsid w:val="0064610F"/>
    <w:rsid w:val="006675A8"/>
    <w:rsid w:val="0067482A"/>
    <w:rsid w:val="006948BE"/>
    <w:rsid w:val="006E38DF"/>
    <w:rsid w:val="006E6427"/>
    <w:rsid w:val="00731DF4"/>
    <w:rsid w:val="007918CD"/>
    <w:rsid w:val="007B4A16"/>
    <w:rsid w:val="007C23EE"/>
    <w:rsid w:val="00803B04"/>
    <w:rsid w:val="00807BEB"/>
    <w:rsid w:val="008872E0"/>
    <w:rsid w:val="00891B86"/>
    <w:rsid w:val="008A5B2C"/>
    <w:rsid w:val="008E5B5B"/>
    <w:rsid w:val="009437A6"/>
    <w:rsid w:val="00945A99"/>
    <w:rsid w:val="009859FB"/>
    <w:rsid w:val="00A3670D"/>
    <w:rsid w:val="00A4744A"/>
    <w:rsid w:val="00A5011D"/>
    <w:rsid w:val="00A8782B"/>
    <w:rsid w:val="00B10F6D"/>
    <w:rsid w:val="00B40B60"/>
    <w:rsid w:val="00B909F2"/>
    <w:rsid w:val="00BB1085"/>
    <w:rsid w:val="00C40F9A"/>
    <w:rsid w:val="00C76245"/>
    <w:rsid w:val="00CB3C36"/>
    <w:rsid w:val="00CD672D"/>
    <w:rsid w:val="00CF1123"/>
    <w:rsid w:val="00D043DD"/>
    <w:rsid w:val="00D611B0"/>
    <w:rsid w:val="00D64F36"/>
    <w:rsid w:val="00D96E10"/>
    <w:rsid w:val="00DA5807"/>
    <w:rsid w:val="00DD0497"/>
    <w:rsid w:val="00DE7364"/>
    <w:rsid w:val="00E33F48"/>
    <w:rsid w:val="00E413C3"/>
    <w:rsid w:val="00EB1C58"/>
    <w:rsid w:val="00EC0335"/>
    <w:rsid w:val="00EC64BD"/>
    <w:rsid w:val="00ED0E51"/>
    <w:rsid w:val="00F27DEB"/>
    <w:rsid w:val="00F50576"/>
    <w:rsid w:val="00F510C8"/>
    <w:rsid w:val="00F5140E"/>
    <w:rsid w:val="00F751BA"/>
    <w:rsid w:val="0E2C63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F36"/>
    <w:pPr>
      <w:spacing w:after="200" w:line="276" w:lineRule="auto"/>
    </w:pPr>
    <w:rPr>
      <w:sz w:val="22"/>
      <w:szCs w:val="22"/>
    </w:rPr>
  </w:style>
  <w:style w:type="paragraph" w:styleId="Heading1">
    <w:name w:val="heading 1"/>
    <w:basedOn w:val="Normal"/>
    <w:next w:val="Normal"/>
    <w:link w:val="Heading1Char"/>
    <w:uiPriority w:val="9"/>
    <w:qFormat/>
    <w:rsid w:val="00D64F36"/>
    <w:pPr>
      <w:keepNext/>
      <w:keepLines/>
      <w:widowControl w:val="0"/>
      <w:autoSpaceDE w:val="0"/>
      <w:autoSpaceDN w:val="0"/>
      <w:spacing w:before="100" w:beforeAutospacing="1" w:after="0" w:line="23" w:lineRule="atLeast"/>
      <w:outlineLvl w:val="0"/>
    </w:pPr>
    <w:rPr>
      <w:rFonts w:ascii="Times New Roman" w:eastAsiaTheme="majorEastAsia" w:hAnsi="Times New Roman"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D64F36"/>
    <w:pPr>
      <w:spacing w:after="0" w:line="240" w:lineRule="auto"/>
    </w:pPr>
    <w:rPr>
      <w:rFonts w:ascii="Tahoma" w:hAnsi="Tahoma" w:cs="Tahoma"/>
      <w:sz w:val="16"/>
      <w:szCs w:val="16"/>
    </w:rPr>
  </w:style>
  <w:style w:type="paragraph" w:styleId="Footer">
    <w:name w:val="footer"/>
    <w:basedOn w:val="Normal"/>
    <w:link w:val="FooterChar"/>
    <w:uiPriority w:val="99"/>
    <w:unhideWhenUsed/>
    <w:rsid w:val="00D64F36"/>
    <w:pPr>
      <w:tabs>
        <w:tab w:val="center" w:pos="4680"/>
        <w:tab w:val="right" w:pos="9360"/>
      </w:tabs>
      <w:spacing w:after="0" w:line="240" w:lineRule="auto"/>
    </w:pPr>
  </w:style>
  <w:style w:type="paragraph" w:styleId="Header">
    <w:name w:val="header"/>
    <w:basedOn w:val="Normal"/>
    <w:link w:val="HeaderChar"/>
    <w:uiPriority w:val="99"/>
    <w:semiHidden/>
    <w:unhideWhenUsed/>
    <w:qFormat/>
    <w:rsid w:val="00D64F36"/>
    <w:pPr>
      <w:tabs>
        <w:tab w:val="center" w:pos="4680"/>
        <w:tab w:val="right" w:pos="9360"/>
      </w:tabs>
      <w:spacing w:after="0" w:line="240" w:lineRule="auto"/>
    </w:pPr>
  </w:style>
  <w:style w:type="character" w:customStyle="1" w:styleId="BalloonTextChar">
    <w:name w:val="Balloon Text Char"/>
    <w:basedOn w:val="DefaultParagraphFont"/>
    <w:link w:val="BalloonText"/>
    <w:uiPriority w:val="99"/>
    <w:semiHidden/>
    <w:rsid w:val="00D64F36"/>
    <w:rPr>
      <w:rFonts w:ascii="Tahoma" w:hAnsi="Tahoma" w:cs="Tahoma"/>
      <w:sz w:val="16"/>
      <w:szCs w:val="16"/>
    </w:rPr>
  </w:style>
  <w:style w:type="paragraph" w:styleId="ListParagraph">
    <w:name w:val="List Paragraph"/>
    <w:basedOn w:val="Normal"/>
    <w:uiPriority w:val="34"/>
    <w:qFormat/>
    <w:rsid w:val="00D64F36"/>
    <w:pPr>
      <w:ind w:left="720"/>
      <w:contextualSpacing/>
    </w:pPr>
  </w:style>
  <w:style w:type="character" w:customStyle="1" w:styleId="Heading1Char">
    <w:name w:val="Heading 1 Char"/>
    <w:basedOn w:val="DefaultParagraphFont"/>
    <w:link w:val="Heading1"/>
    <w:uiPriority w:val="9"/>
    <w:rsid w:val="00D64F36"/>
    <w:rPr>
      <w:rFonts w:ascii="Times New Roman" w:eastAsiaTheme="majorEastAsia" w:hAnsi="Times New Roman" w:cstheme="majorBidi"/>
      <w:b/>
      <w:sz w:val="24"/>
      <w:szCs w:val="32"/>
    </w:rPr>
  </w:style>
  <w:style w:type="paragraph" w:styleId="NoSpacing">
    <w:name w:val="No Spacing"/>
    <w:uiPriority w:val="1"/>
    <w:qFormat/>
    <w:rsid w:val="00D64F36"/>
    <w:rPr>
      <w:rFonts w:ascii="Calibri" w:eastAsia="Calibri" w:hAnsi="Calibri"/>
      <w:sz w:val="22"/>
      <w:szCs w:val="22"/>
      <w:lang w:val="en-GB"/>
    </w:rPr>
  </w:style>
  <w:style w:type="character" w:customStyle="1" w:styleId="HeaderChar">
    <w:name w:val="Header Char"/>
    <w:basedOn w:val="DefaultParagraphFont"/>
    <w:link w:val="Header"/>
    <w:uiPriority w:val="99"/>
    <w:semiHidden/>
    <w:qFormat/>
    <w:rsid w:val="00D64F36"/>
  </w:style>
  <w:style w:type="character" w:customStyle="1" w:styleId="FooterChar">
    <w:name w:val="Footer Char"/>
    <w:basedOn w:val="DefaultParagraphFont"/>
    <w:link w:val="Footer"/>
    <w:uiPriority w:val="99"/>
    <w:rsid w:val="00D64F36"/>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package" Target="embeddings/Microsoft_Office_PowerPoint_Slide1.sldx"/><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6285</Words>
  <Characters>35829</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2</cp:revision>
  <dcterms:created xsi:type="dcterms:W3CDTF">2025-07-17T15:30:00Z</dcterms:created>
  <dcterms:modified xsi:type="dcterms:W3CDTF">2025-07-17T15:30:00Z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D5DC19C56B364FC5B30B8462F5CE984E_13</vt:lpwstr>
  </property>
</Properties>
</file>