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E90EA5" w:rsidP="006B0BE7">
      <w:pPr>
        <w:spacing w:after="0"/>
        <w:jc w:val="center"/>
        <w:rPr>
          <w:rFonts w:cs="Times New Roman"/>
          <w:bCs/>
          <w:szCs w:val="24"/>
        </w:rPr>
      </w:pPr>
      <w:r>
        <w:rPr>
          <w:rFonts w:ascii="Algerian" w:hAnsi="Algerian" w:cs="Times New Roman"/>
          <w:b/>
          <w:bCs/>
          <w:sz w:val="44"/>
          <w:szCs w:val="24"/>
        </w:rPr>
        <w:t xml:space="preserve">ADAM SULYMAN BOLAJI </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D577FD">
        <w:rPr>
          <w:rFonts w:cs="Times New Roman"/>
          <w:b/>
          <w:bCs/>
          <w:sz w:val="36"/>
          <w:szCs w:val="24"/>
        </w:rPr>
        <w:t>0</w:t>
      </w:r>
      <w:r w:rsidR="001E6408">
        <w:rPr>
          <w:rFonts w:cs="Times New Roman"/>
          <w:b/>
          <w:bCs/>
          <w:sz w:val="36"/>
          <w:szCs w:val="24"/>
        </w:rPr>
        <w:t>4</w:t>
      </w:r>
      <w:r w:rsidR="00E90EA5">
        <w:rPr>
          <w:rFonts w:cs="Times New Roman"/>
          <w:b/>
          <w:bCs/>
          <w:sz w:val="36"/>
          <w:szCs w:val="24"/>
        </w:rPr>
        <w:t>6</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A24A2" w:rsidRDefault="006A24A2"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E90EA5">
        <w:rPr>
          <w:rFonts w:cs="Times New Roman"/>
          <w:bCs/>
          <w:sz w:val="26"/>
          <w:szCs w:val="24"/>
        </w:rPr>
        <w:t>ADAM SULYMAN BOLAJI</w:t>
      </w:r>
      <w:r w:rsidRPr="00975FF6">
        <w:rPr>
          <w:rFonts w:cs="Times New Roman"/>
          <w:bCs/>
          <w:sz w:val="26"/>
          <w:szCs w:val="24"/>
        </w:rPr>
        <w:t xml:space="preserve"> of matriculation Number ND/23/EEE/PT/</w:t>
      </w:r>
      <w:r w:rsidR="00691381">
        <w:rPr>
          <w:rFonts w:cs="Times New Roman"/>
          <w:bCs/>
          <w:sz w:val="26"/>
          <w:szCs w:val="24"/>
        </w:rPr>
        <w:t>0</w:t>
      </w:r>
      <w:r w:rsidR="00CE580D">
        <w:rPr>
          <w:rFonts w:cs="Times New Roman"/>
          <w:bCs/>
          <w:sz w:val="26"/>
          <w:szCs w:val="24"/>
        </w:rPr>
        <w:t>0</w:t>
      </w:r>
      <w:r w:rsidR="001E6408">
        <w:rPr>
          <w:rFonts w:cs="Times New Roman"/>
          <w:bCs/>
          <w:sz w:val="26"/>
          <w:szCs w:val="24"/>
        </w:rPr>
        <w:t>4</w:t>
      </w:r>
      <w:r w:rsidR="00E90EA5">
        <w:rPr>
          <w:rFonts w:cs="Times New Roman"/>
          <w:bCs/>
          <w:sz w:val="26"/>
          <w:szCs w:val="24"/>
        </w:rPr>
        <w:t>6</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B900B1">
        <w:rPr>
          <w:rFonts w:cs="Times New Roman"/>
          <w:b/>
          <w:bCs/>
          <w:color w:val="000000" w:themeColor="text1"/>
          <w:sz w:val="26"/>
          <w:szCs w:val="24"/>
        </w:rPr>
        <w:t xml:space="preserve">      ENGR. </w:t>
      </w:r>
      <w:r w:rsidR="00B900B1" w:rsidRPr="00B900B1">
        <w:rPr>
          <w:b/>
          <w:bCs/>
          <w:color w:val="000000" w:themeColor="text1"/>
          <w:sz w:val="26"/>
          <w:szCs w:val="18"/>
          <w:shd w:val="clear" w:color="auto" w:fill="FFFFFF"/>
        </w:rPr>
        <w:t xml:space="preserve"> 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B900B1" w:rsidP="006B0BE7">
      <w:pPr>
        <w:spacing w:after="0" w:line="240" w:lineRule="auto"/>
        <w:jc w:val="both"/>
        <w:rPr>
          <w:rFonts w:cs="Times New Roman"/>
          <w:bCs/>
          <w:i/>
          <w:sz w:val="26"/>
          <w:szCs w:val="24"/>
        </w:rPr>
      </w:pPr>
      <w:r>
        <w:rPr>
          <w:rFonts w:cs="Times New Roman"/>
          <w:bCs/>
          <w:i/>
          <w:sz w:val="26"/>
          <w:szCs w:val="24"/>
        </w:rPr>
        <w:t xml:space="preserve">Project </w:t>
      </w:r>
      <w:r w:rsidR="006B0BE7" w:rsidRPr="00975FF6">
        <w:rPr>
          <w:rFonts w:cs="Times New Roman"/>
          <w:bCs/>
          <w:i/>
          <w:sz w:val="26"/>
          <w:szCs w:val="24"/>
        </w:rPr>
        <w:t xml:space="preserve">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AC6A23">
        <w:rPr>
          <w:rFonts w:cs="Times New Roman"/>
          <w:bCs/>
          <w:sz w:val="26"/>
          <w:szCs w:val="24"/>
        </w:rPr>
        <w:t>Allah</w:t>
      </w:r>
      <w:r w:rsidRPr="00975FF6">
        <w:rPr>
          <w:rFonts w:cs="Times New Roman"/>
          <w:bCs/>
          <w:sz w:val="26"/>
          <w:szCs w:val="24"/>
        </w:rPr>
        <w:t xml:space="preserve"> and also to my lovely parents, Mr and Mrs. </w:t>
      </w:r>
      <w:r w:rsidR="00E90EA5">
        <w:rPr>
          <w:rFonts w:cs="Times New Roman"/>
          <w:bCs/>
          <w:sz w:val="26"/>
          <w:szCs w:val="24"/>
        </w:rPr>
        <w:t>ADAM</w:t>
      </w:r>
      <w:r w:rsidR="001E6408">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001E6408">
        <w:rPr>
          <w:rFonts w:cs="Times New Roman"/>
          <w:bCs/>
          <w:sz w:val="26"/>
          <w:szCs w:val="24"/>
        </w:rPr>
        <w:t xml:space="preserve"> </w:t>
      </w:r>
      <w:r w:rsidR="00B900B1" w:rsidRPr="00B900B1">
        <w:rPr>
          <w:rFonts w:cs="Times New Roman"/>
          <w:b/>
          <w:bCs/>
          <w:color w:val="000000" w:themeColor="text1"/>
          <w:sz w:val="26"/>
          <w:szCs w:val="24"/>
        </w:rPr>
        <w:t xml:space="preserve">ENGR. </w:t>
      </w:r>
      <w:r w:rsidR="00B900B1" w:rsidRPr="00B900B1">
        <w:rPr>
          <w:b/>
          <w:bCs/>
          <w:color w:val="000000" w:themeColor="text1"/>
          <w:sz w:val="26"/>
          <w:szCs w:val="18"/>
          <w:shd w:val="clear" w:color="auto" w:fill="FFFFFF"/>
        </w:rPr>
        <w:t xml:space="preserve"> O. OGUNDEJI</w:t>
      </w:r>
      <w:r w:rsidR="001E6408">
        <w:rPr>
          <w:b/>
          <w:bCs/>
          <w:color w:val="000000" w:themeColor="text1"/>
          <w:sz w:val="26"/>
          <w:szCs w:val="18"/>
          <w:shd w:val="clear" w:color="auto" w:fill="FFFFFF"/>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1E6408">
        <w:rPr>
          <w:rFonts w:cs="Times New Roman"/>
          <w:bCs/>
          <w:sz w:val="26"/>
          <w:szCs w:val="24"/>
        </w:rPr>
        <w:t>A</w:t>
      </w:r>
      <w:r w:rsidR="00E90EA5">
        <w:rPr>
          <w:rFonts w:cs="Times New Roman"/>
          <w:bCs/>
          <w:sz w:val="26"/>
          <w:szCs w:val="24"/>
        </w:rPr>
        <w:t>DAM</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r>
      <w:bookmarkStart w:id="0" w:name="_GoBack"/>
      <w:bookmarkEnd w:id="0"/>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w:t>
      </w:r>
      <w:r w:rsidR="005D5747">
        <w:rPr>
          <w:rFonts w:cs="Times New Roman"/>
          <w:color w:val="000000" w:themeColor="text1"/>
        </w:rPr>
        <w:t xml:space="preserve"> </w:t>
      </w:r>
      <w:r w:rsidRPr="008C20E7">
        <w:rPr>
          <w:rFonts w:cs="Times New Roman"/>
          <w:color w:val="000000" w:themeColor="text1"/>
        </w:rPr>
        <w:t>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w:t>
      </w:r>
      <w:r w:rsidR="005D5747">
        <w:rPr>
          <w:rFonts w:cs="Times New Roman"/>
        </w:rPr>
        <w:t xml:space="preserve"> </w:t>
      </w:r>
      <w:r w:rsidRPr="008C20E7">
        <w:rPr>
          <w:rFonts w:cs="Times New Roman"/>
        </w:rPr>
        <w:t>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(Faranda&amp;Leva,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(Isen&amp;Bakan,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(Hossen&amp;Sadeque,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(Khaligh&amp;Onar,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2243"/>
        <w:gridCol w:w="2300"/>
        <w:gridCol w:w="810"/>
        <w:gridCol w:w="2535"/>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lastRenderedPageBreak/>
              <w:t>9</w:t>
            </w:r>
          </w:p>
        </w:tc>
        <w:tc>
          <w:tcPr>
            <w:tcW w:w="2038" w:type="dxa"/>
          </w:tcPr>
          <w:p w:rsidR="008C20E7" w:rsidRPr="008C20E7" w:rsidRDefault="008C20E7" w:rsidP="009154C0">
            <w:pPr>
              <w:spacing w:line="360" w:lineRule="auto"/>
              <w:rPr>
                <w:rFonts w:cs="Times New Roman"/>
              </w:rPr>
            </w:pPr>
            <w:r w:rsidRPr="008C20E7">
              <w:rPr>
                <w:rFonts w:cs="Times New Roman"/>
              </w:rPr>
              <w:t>Bolarinwa&amp;Elusakin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A hybrid inverter integrates solar charging, battery charging, and AC 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Dzobo, O., Tivani, L., &amp;Mbatha,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Mazumder, S. K., Acharya, S., &amp;Bondyopadhyay,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332141" w:rsidP="00E55807">
      <w:pPr>
        <w:spacing w:line="480" w:lineRule="auto"/>
        <w:rPr>
          <w:rFonts w:cs="Times New Roman"/>
          <w:sz w:val="22"/>
        </w:rPr>
      </w:pPr>
      <w:r w:rsidRPr="00332141">
        <w:rPr>
          <w:rFonts w:cs="Times New Roman"/>
          <w:b/>
          <w:noProof/>
          <w:sz w:val="22"/>
        </w:rPr>
        <w:pict>
          <v:shapetype id="_x0000_t32" coordsize="21600,21600" o:spt="32" o:oned="t" path="m,l21600,21600e" filled="f">
            <v:path arrowok="t" fillok="f" o:connecttype="none"/>
            <o:lock v:ext="edit" shapetype="t"/>
          </v:shapetype>
          <v:shape id="AutoShape 3" o:spid="_x0000_s1026" type="#_x0000_t32" style="position:absolute;margin-left:-10.75pt;margin-top:25.4pt;width:393.6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"/>
        </w:pict>
      </w:r>
    </w:p>
    <w:p w:rsidR="00E55807" w:rsidRPr="00E55807" w:rsidRDefault="00332141" w:rsidP="00E55807">
      <w:pPr>
        <w:spacing w:line="480" w:lineRule="auto"/>
        <w:rPr>
          <w:rFonts w:cs="Times New Roman"/>
          <w:b/>
          <w:sz w:val="22"/>
        </w:rPr>
      </w:pPr>
      <w:r>
        <w:rPr>
          <w:rFonts w:cs="Times New Roman"/>
          <w:b/>
          <w:noProof/>
          <w:sz w:val="22"/>
        </w:rPr>
        <w:pict>
          <v:shape id="AutoShape 2" o:spid="_x0000_s1028" type="#_x0000_t32" style="position:absolute;margin-left:-5.25pt;margin-top:20.1pt;width:393.6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"/>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r>
      <w:r>
        <w:rPr>
          <w:rFonts w:cs="Times New Roman"/>
          <w:sz w:val="22"/>
        </w:rPr>
        <w:tab/>
        <w:t>10,000</w:t>
      </w:r>
    </w:p>
    <w:p w:rsidR="00E55807" w:rsidRPr="00E55807" w:rsidRDefault="00332141" w:rsidP="00E55807">
      <w:pPr>
        <w:spacing w:line="480" w:lineRule="auto"/>
        <w:rPr>
          <w:rFonts w:cs="Times New Roman"/>
          <w:b/>
          <w:sz w:val="22"/>
        </w:rPr>
      </w:pPr>
      <w:r>
        <w:rPr>
          <w:rFonts w:cs="Times New Roman"/>
          <w:b/>
          <w:noProof/>
          <w:sz w:val="22"/>
        </w:rPr>
        <w:pict>
          <v:shape id="AutoShape 4" o:spid="_x0000_s1027" type="#_x0000_t32" style="position:absolute;margin-left:-10pt;margin-top:15.65pt;width:393.6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"/>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174" w:rsidRDefault="00377174" w:rsidP="002962B2">
      <w:pPr>
        <w:spacing w:after="0" w:line="240" w:lineRule="auto"/>
      </w:pPr>
      <w:r>
        <w:separator/>
      </w:r>
    </w:p>
  </w:endnote>
  <w:endnote w:type="continuationSeparator" w:id="1">
    <w:p w:rsidR="00377174" w:rsidRDefault="00377174"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332141"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332141"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5D5747">
      <w:rPr>
        <w:rStyle w:val="PageNumber"/>
        <w:noProof/>
      </w:rPr>
      <w:t>1</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174" w:rsidRDefault="00377174" w:rsidP="002962B2">
      <w:pPr>
        <w:spacing w:after="0" w:line="240" w:lineRule="auto"/>
      </w:pPr>
      <w:r>
        <w:separator/>
      </w:r>
    </w:p>
  </w:footnote>
  <w:footnote w:type="continuationSeparator" w:id="1">
    <w:p w:rsidR="00377174" w:rsidRDefault="00377174"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20E7"/>
    <w:rsid w:val="00004577"/>
    <w:rsid w:val="001E6408"/>
    <w:rsid w:val="00271BB7"/>
    <w:rsid w:val="002962B2"/>
    <w:rsid w:val="002F0F19"/>
    <w:rsid w:val="00332141"/>
    <w:rsid w:val="00377174"/>
    <w:rsid w:val="004A3E6F"/>
    <w:rsid w:val="004A550A"/>
    <w:rsid w:val="0056283E"/>
    <w:rsid w:val="005A135B"/>
    <w:rsid w:val="005D3FE6"/>
    <w:rsid w:val="005D5747"/>
    <w:rsid w:val="00621E63"/>
    <w:rsid w:val="00635CFD"/>
    <w:rsid w:val="00691381"/>
    <w:rsid w:val="006A24A2"/>
    <w:rsid w:val="006A2CC5"/>
    <w:rsid w:val="006B0BE7"/>
    <w:rsid w:val="00712287"/>
    <w:rsid w:val="00775DD4"/>
    <w:rsid w:val="0078073F"/>
    <w:rsid w:val="007B5567"/>
    <w:rsid w:val="007B629C"/>
    <w:rsid w:val="008C20E7"/>
    <w:rsid w:val="009154C0"/>
    <w:rsid w:val="0096120D"/>
    <w:rsid w:val="009A5E21"/>
    <w:rsid w:val="00A04CA6"/>
    <w:rsid w:val="00A20172"/>
    <w:rsid w:val="00AC6A23"/>
    <w:rsid w:val="00AD0210"/>
    <w:rsid w:val="00AD04B3"/>
    <w:rsid w:val="00AD1D3A"/>
    <w:rsid w:val="00AF1104"/>
    <w:rsid w:val="00AF564D"/>
    <w:rsid w:val="00B406E3"/>
    <w:rsid w:val="00B46829"/>
    <w:rsid w:val="00B900B1"/>
    <w:rsid w:val="00C9709F"/>
    <w:rsid w:val="00CE580D"/>
    <w:rsid w:val="00CE7400"/>
    <w:rsid w:val="00D07BBF"/>
    <w:rsid w:val="00D577FD"/>
    <w:rsid w:val="00D77910"/>
    <w:rsid w:val="00D87D0B"/>
    <w:rsid w:val="00DB03A9"/>
    <w:rsid w:val="00DB2838"/>
    <w:rsid w:val="00E55807"/>
    <w:rsid w:val="00E90EA5"/>
    <w:rsid w:val="00EB637F"/>
    <w:rsid w:val="00F216C9"/>
    <w:rsid w:val="00FD3A7B"/>
    <w:rsid w:val="00FE19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AutoShape 2"/>
        <o:r id="V:Rule5" type="connector" idref="#AutoShape 3"/>
        <o:r id="V:Rule6"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6391</Words>
  <Characters>36431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2025-07-21T08:18:00Z</dcterms:created>
  <dcterms:modified xsi:type="dcterms:W3CDTF">2025-07-21T08:19:00Z</dcterms:modified>
</cp:coreProperties>
</file>