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5F43">
      <w:pPr>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14:paraId="5BA369BA">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14:paraId="271BDCFD">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14:paraId="72F99645">
      <w:pPr>
        <w:spacing w:before="240"/>
        <w:ind w:right="4"/>
        <w:jc w:val="center"/>
        <w:rPr>
          <w:rFonts w:ascii="Times New Roman" w:hAnsi="Times New Roman" w:cs="Times New Roman"/>
          <w:b/>
          <w:i/>
          <w:sz w:val="28"/>
          <w:szCs w:val="28"/>
        </w:rPr>
      </w:pPr>
      <w:r>
        <w:rPr>
          <w:rFonts w:ascii="Times New Roman" w:hAnsi="Times New Roman" w:cs="Times New Roman"/>
          <w:b/>
          <w:sz w:val="28"/>
          <w:szCs w:val="28"/>
        </w:rPr>
        <w:t xml:space="preserve">ANTIBACTERIAL EFFICACY OF BLUE GUM (EUCALYPTUS GLOBULUS) ON METHICILLIN RESISTANT </w:t>
      </w:r>
      <w:r>
        <w:rPr>
          <w:rFonts w:ascii="Times New Roman" w:hAnsi="Times New Roman" w:cs="Times New Roman"/>
          <w:b/>
          <w:i/>
          <w:sz w:val="28"/>
          <w:szCs w:val="28"/>
        </w:rPr>
        <w:t>Staphylococcus aureus</w:t>
      </w:r>
      <w:r>
        <w:rPr>
          <w:rFonts w:ascii="Times New Roman" w:hAnsi="Times New Roman" w:cs="Times New Roman"/>
          <w:b/>
          <w:sz w:val="28"/>
          <w:szCs w:val="28"/>
        </w:rPr>
        <w:t xml:space="preserve"> AND E</w:t>
      </w:r>
      <w:r>
        <w:rPr>
          <w:rFonts w:ascii="Times New Roman" w:hAnsi="Times New Roman" w:cs="Times New Roman"/>
          <w:b/>
          <w:i/>
          <w:sz w:val="28"/>
          <w:szCs w:val="28"/>
        </w:rPr>
        <w:t xml:space="preserve">scherichia coli </w:t>
      </w:r>
    </w:p>
    <w:p w14:paraId="6C06D66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BY</w:t>
      </w:r>
    </w:p>
    <w:p w14:paraId="153CC870">
      <w:pPr>
        <w:spacing w:before="240" w:after="0" w:line="360" w:lineRule="auto"/>
        <w:ind w:right="4"/>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OYETOLA MARIAM TITILOPE</w:t>
      </w:r>
    </w:p>
    <w:p w14:paraId="2041257D">
      <w:pPr>
        <w:spacing w:before="240" w:after="0" w:line="360" w:lineRule="auto"/>
        <w:ind w:right="4"/>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HND/23/SLT/FT/</w:t>
      </w:r>
      <w:r>
        <w:rPr>
          <w:rFonts w:hint="default" w:ascii="Times New Roman" w:hAnsi="Times New Roman" w:cs="Times New Roman"/>
          <w:b/>
          <w:bCs/>
          <w:sz w:val="28"/>
          <w:szCs w:val="28"/>
          <w:lang w:val="en-US"/>
        </w:rPr>
        <w:t>0022</w:t>
      </w:r>
    </w:p>
    <w:p w14:paraId="04D24F69">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 DAGBA IB (MRS.)</w:t>
      </w:r>
    </w:p>
    <w:p w14:paraId="7E47E0DB">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14:paraId="268A377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14:paraId="1F7E4D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4B79E58A">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14:paraId="1E67C5B6">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14:paraId="625DEECA">
      <w:pPr>
        <w:spacing w:before="240"/>
        <w:ind w:right="27"/>
        <w:rPr>
          <w:rFonts w:ascii="Times New Roman" w:hAnsi="Times New Roman" w:cs="Times New Roman"/>
          <w:b/>
          <w:bCs/>
          <w:sz w:val="28"/>
          <w:szCs w:val="28"/>
        </w:rPr>
      </w:pPr>
    </w:p>
    <w:p w14:paraId="08DD85B7">
      <w:pPr>
        <w:pStyle w:val="2"/>
        <w:spacing w:line="480" w:lineRule="auto"/>
        <w:jc w:val="center"/>
        <w:rPr>
          <w:rFonts w:eastAsia="Times New Roman" w:cs="Times New Roman"/>
          <w:b w:val="0"/>
          <w:color w:val="auto"/>
          <w:sz w:val="28"/>
          <w:szCs w:val="28"/>
        </w:rPr>
      </w:pPr>
      <w:bookmarkStart w:id="0" w:name="_Toc203146280"/>
      <w:bookmarkStart w:id="1" w:name="_Toc203100984"/>
      <w:r>
        <w:rPr>
          <w:rFonts w:eastAsia="Times New Roman" w:cs="Times New Roman"/>
          <w:color w:val="auto"/>
          <w:sz w:val="28"/>
          <w:szCs w:val="28"/>
        </w:rPr>
        <w:t>CERTIFICATION</w:t>
      </w:r>
      <w:bookmarkEnd w:id="0"/>
      <w:bookmarkEnd w:id="1"/>
    </w:p>
    <w:p w14:paraId="355F7D9F">
      <w:pPr>
        <w:spacing w:before="240" w:after="0"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report was written by </w:t>
      </w:r>
      <w:r>
        <w:rPr>
          <w:rFonts w:hint="default" w:ascii="Times New Roman" w:hAnsi="Times New Roman" w:cs="Times New Roman"/>
          <w:b/>
          <w:bCs/>
          <w:sz w:val="28"/>
          <w:szCs w:val="28"/>
          <w:lang w:val="en-US"/>
        </w:rPr>
        <w:t xml:space="preserve">OYETOLA MARIAM TITILOPE </w:t>
      </w:r>
      <w:r>
        <w:rPr>
          <w:rFonts w:ascii="Times New Roman" w:hAnsi="Times New Roman" w:cs="Times New Roman"/>
          <w:sz w:val="24"/>
          <w:szCs w:val="24"/>
        </w:rPr>
        <w:t xml:space="preserve">with matric number </w:t>
      </w:r>
      <w:r>
        <w:rPr>
          <w:rFonts w:ascii="Times New Roman" w:hAnsi="Times New Roman" w:cs="Times New Roman"/>
          <w:b/>
          <w:bCs/>
          <w:sz w:val="24"/>
          <w:szCs w:val="24"/>
        </w:rPr>
        <w:t>HND/23/SLT/FT/</w:t>
      </w:r>
      <w:r>
        <w:rPr>
          <w:rFonts w:hint="default" w:ascii="Times New Roman" w:hAnsi="Times New Roman" w:cs="Times New Roman"/>
          <w:b/>
          <w:bCs/>
          <w:sz w:val="24"/>
          <w:szCs w:val="24"/>
          <w:lang w:val="en-US"/>
        </w:rPr>
        <w:t xml:space="preserve">0022 </w:t>
      </w:r>
      <w:r>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pPr>
        <w:rPr>
          <w:rFonts w:ascii="Times New Roman" w:hAnsi="Times New Roman" w:cs="Times New Roman"/>
          <w:sz w:val="24"/>
          <w:szCs w:val="24"/>
        </w:rPr>
      </w:pPr>
    </w:p>
    <w:p w14:paraId="107005C3">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1312"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1312;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ywnXAAAACQEAAA8AAAAAAAAAAQAgAAAAIgAAAGRycy9kb3ducmV2LnhtbFBLAQIUABQAAAAIAIdO&#10;4kBgEZak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59264"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59264;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Fhr8tMAAAAIAQAA&#10;DwAAAAAAAAABACAAAAAiAAAAZHJzL2Rvd25yZXYueG1sUEsBAhQAFAAAAAgAh07iQNZwiqrlAQAA&#10;7QMAAA4AAAAAAAAAAQAgAAAAIgEAAGRycy9lMm9Eb2MueG1sUEsFBgAAAAAGAAYAWQEAAHkFAAAA&#10;AA==&#10;">
                <v:fill on="f" focussize="0,0"/>
                <v:stroke color="#000000" joinstyle="round"/>
                <v:imagedata o:title=""/>
                <o:lock v:ext="edit" aspectratio="f"/>
              </v:shape>
            </w:pict>
          </mc:Fallback>
        </mc:AlternateContent>
      </w:r>
    </w:p>
    <w:p w14:paraId="3499CAA7">
      <w:pPr>
        <w:spacing w:after="0"/>
        <w:rPr>
          <w:rFonts w:ascii="Times New Roman" w:hAnsi="Times New Roman" w:cs="Times New Roman"/>
          <w:sz w:val="26"/>
          <w:szCs w:val="26"/>
        </w:rPr>
      </w:pPr>
      <w:r>
        <w:rPr>
          <w:rFonts w:ascii="Times New Roman" w:hAnsi="Times New Roman" w:cs="Times New Roman"/>
          <w:sz w:val="26"/>
          <w:szCs w:val="26"/>
        </w:rPr>
        <w:t xml:space="preserve">        DAGBA IB ( MRS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14:paraId="0B004715">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14:paraId="24B39F03">
      <w:pPr>
        <w:spacing w:after="0"/>
        <w:ind w:firstLine="284"/>
        <w:rPr>
          <w:rFonts w:ascii="Times New Roman" w:hAnsi="Times New Roman" w:cs="Times New Roman"/>
          <w:sz w:val="26"/>
          <w:szCs w:val="26"/>
        </w:rPr>
      </w:pPr>
    </w:p>
    <w:p w14:paraId="19E7FA47">
      <w:pPr>
        <w:rPr>
          <w:rFonts w:ascii="Times New Roman" w:hAnsi="Times New Roman" w:cs="Times New Roman"/>
          <w:sz w:val="26"/>
          <w:szCs w:val="26"/>
        </w:rPr>
      </w:pPr>
    </w:p>
    <w:p w14:paraId="73793481">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0288"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0288;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p&#10;jDfXAAAACQEAAA8AAAAAAAAAAQAgAAAAIgAAAGRycy9kb3ducmV2LnhtbFBLAQIUABQAAAAIAIdO&#10;4kAxcZ5u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2336"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2336;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40L&#10;sdUAAAAHAQAADwAAAAAAAAABACAAAAAiAAAAZHJzL2Rvd25yZXYueG1sUEsBAhQAFAAAAAgAh07i&#10;QB0gPRLsAQAA+gMAAA4AAAAAAAAAAQAgAAAAJAEAAGRycy9lMm9Eb2MueG1sUEsFBgAAAAAGAAYA&#10;WQEAAIIFAAAAAA==&#10;">
                <v:fill on="f" focussize="0,0"/>
                <v:stroke color="#000000" joinstyle="round"/>
                <v:imagedata o:title=""/>
                <o:lock v:ext="edit" aspectratio="f"/>
              </v:shape>
            </w:pict>
          </mc:Fallback>
        </mc:AlternateContent>
      </w:r>
    </w:p>
    <w:p w14:paraId="0BE03A58">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342AF0A6">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14:paraId="6E5EF05C">
      <w:pPr>
        <w:spacing w:after="0"/>
        <w:rPr>
          <w:rFonts w:ascii="Times New Roman" w:hAnsi="Times New Roman" w:cs="Times New Roman"/>
          <w:sz w:val="26"/>
          <w:szCs w:val="26"/>
        </w:rPr>
      </w:pPr>
    </w:p>
    <w:p w14:paraId="4B37F461">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4384"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64384;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hNK&#10;W9YAAAAJAQAADwAAAAAAAAABACAAAAAiAAAAZHJzL2Rvd25yZXYueG1sUEsBAhQAFAAAAAgAh07i&#10;QAzpmBLrAQAA+gMAAA4AAAAAAAAAAQAgAAAAJQEAAGRycy9lMm9Eb2MueG1sUEsFBgAAAAAGAAYA&#10;WQEAAIIF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3360"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63360;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VY73U&#10;AAAACAEAAA8AAAAAAAAAAQAgAAAAIgAAAGRycy9kb3ducmV2LnhtbFBLAQIUABQAAAAIAIdO4kBz&#10;Y5SZ6wEAAPoDAAAOAAAAAAAAAAEAIAAAACMBAABkcnMvZTJvRG9jLnhtbFBLBQYAAAAABgAGAFkB&#10;AACABQAAAAA=&#10;">
                <v:fill on="f" focussize="0,0"/>
                <v:stroke color="#000000" joinstyle="round"/>
                <v:imagedata o:title=""/>
                <o:lock v:ext="edit" aspectratio="f"/>
              </v:shape>
            </w:pict>
          </mc:Fallback>
        </mc:AlternateContent>
      </w:r>
    </w:p>
    <w:p w14:paraId="3CA709ED">
      <w:pPr>
        <w:rPr>
          <w:rFonts w:ascii="Times New Roman" w:hAnsi="Times New Roman" w:cs="Times New Roman"/>
          <w:sz w:val="26"/>
          <w:szCs w:val="26"/>
        </w:rPr>
      </w:pPr>
    </w:p>
    <w:p w14:paraId="6F349705">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4F92976C">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14:paraId="45C7E6C5">
      <w:pPr>
        <w:spacing w:after="0"/>
        <w:rPr>
          <w:rFonts w:ascii="Times New Roman" w:hAnsi="Times New Roman" w:cs="Times New Roman"/>
          <w:sz w:val="26"/>
          <w:szCs w:val="26"/>
        </w:rPr>
      </w:pPr>
    </w:p>
    <w:p w14:paraId="20ECF9EC">
      <w:pPr>
        <w:rPr>
          <w:rFonts w:ascii="Times New Roman" w:hAnsi="Times New Roman" w:cs="Times New Roman"/>
          <w:sz w:val="26"/>
          <w:szCs w:val="26"/>
        </w:rPr>
      </w:pPr>
    </w:p>
    <w:p w14:paraId="763CBB7D">
      <w:pPr>
        <w:pStyle w:val="2"/>
        <w:spacing w:line="480" w:lineRule="auto"/>
        <w:rPr>
          <w:rFonts w:eastAsia="Times New Roman" w:cs="Times New Roman"/>
          <w:color w:val="auto"/>
          <w:szCs w:val="24"/>
        </w:rPr>
      </w:pPr>
      <w:bookmarkStart w:id="2" w:name="_Toc203100985"/>
    </w:p>
    <w:p w14:paraId="574467FD">
      <w:pPr>
        <w:pStyle w:val="2"/>
        <w:spacing w:line="480" w:lineRule="auto"/>
        <w:jc w:val="center"/>
        <w:rPr>
          <w:rFonts w:eastAsia="Times New Roman" w:cs="Times New Roman"/>
          <w:color w:val="auto"/>
          <w:szCs w:val="24"/>
        </w:rPr>
      </w:pPr>
    </w:p>
    <w:p w14:paraId="2875802A"/>
    <w:p w14:paraId="51B62F8B"/>
    <w:p w14:paraId="75B06DFF">
      <w:pPr>
        <w:pStyle w:val="2"/>
        <w:spacing w:line="480" w:lineRule="auto"/>
        <w:jc w:val="center"/>
        <w:rPr>
          <w:rFonts w:eastAsia="Times New Roman" w:cs="Times New Roman"/>
          <w:color w:val="auto"/>
          <w:szCs w:val="24"/>
        </w:rPr>
      </w:pPr>
      <w:bookmarkStart w:id="3" w:name="_Toc203146281"/>
    </w:p>
    <w:p w14:paraId="5671C3A9">
      <w:pPr>
        <w:pStyle w:val="2"/>
        <w:spacing w:line="480" w:lineRule="auto"/>
        <w:jc w:val="center"/>
        <w:rPr>
          <w:b w:val="0"/>
        </w:rPr>
      </w:pPr>
      <w:r>
        <w:rPr>
          <w:rFonts w:eastAsia="Times New Roman" w:cs="Times New Roman"/>
          <w:color w:val="auto"/>
          <w:szCs w:val="24"/>
        </w:rPr>
        <w:t>DEDICATION</w:t>
      </w:r>
      <w:bookmarkEnd w:id="2"/>
      <w:bookmarkEnd w:id="3"/>
    </w:p>
    <w:p w14:paraId="656C1132">
      <w:pPr>
        <w:spacing w:line="480" w:lineRule="auto"/>
        <w:rPr>
          <w:rFonts w:ascii="Times New Roman" w:hAnsi="Times New Roman" w:eastAsia="Times New Roman" w:cs="Times New Roman"/>
          <w:szCs w:val="24"/>
        </w:rPr>
      </w:pPr>
      <w:r>
        <w:rPr>
          <w:rFonts w:ascii="Times New Roman" w:hAnsi="Times New Roman" w:eastAsia="Times New Roman" w:cs="Times New Roman"/>
          <w:szCs w:val="24"/>
        </w:rPr>
        <w:t>I dedicated this project to almighty God for He is the one that makes this Programme completion a reality and also to my family as a whole.</w:t>
      </w:r>
    </w:p>
    <w:p w14:paraId="7DDC8D18">
      <w:pPr>
        <w:spacing w:line="360" w:lineRule="auto"/>
        <w:ind w:right="27" w:firstLine="720"/>
        <w:rPr>
          <w:rFonts w:ascii="Times New Roman" w:hAnsi="Times New Roman" w:cs="Times New Roman"/>
          <w:sz w:val="28"/>
          <w:szCs w:val="28"/>
        </w:rPr>
      </w:pPr>
    </w:p>
    <w:p w14:paraId="111DBB12">
      <w:pPr>
        <w:spacing w:line="360" w:lineRule="auto"/>
        <w:rPr>
          <w:rFonts w:ascii="Times New Roman" w:hAnsi="Times New Roman" w:cs="Times New Roman"/>
          <w:b/>
          <w:sz w:val="26"/>
          <w:szCs w:val="26"/>
        </w:rPr>
      </w:pPr>
    </w:p>
    <w:p w14:paraId="3C9E63DA">
      <w:pPr>
        <w:spacing w:line="360" w:lineRule="auto"/>
        <w:jc w:val="center"/>
        <w:rPr>
          <w:rFonts w:ascii="Times New Roman" w:hAnsi="Times New Roman" w:cs="Times New Roman"/>
          <w:b/>
          <w:sz w:val="26"/>
          <w:szCs w:val="26"/>
        </w:rPr>
      </w:pPr>
    </w:p>
    <w:p w14:paraId="23697285">
      <w:pPr>
        <w:spacing w:line="360" w:lineRule="auto"/>
        <w:jc w:val="center"/>
        <w:rPr>
          <w:rFonts w:ascii="Times New Roman" w:hAnsi="Times New Roman" w:cs="Times New Roman"/>
          <w:b/>
          <w:sz w:val="26"/>
          <w:szCs w:val="26"/>
        </w:rPr>
      </w:pPr>
    </w:p>
    <w:p w14:paraId="1F5B275E">
      <w:pPr>
        <w:spacing w:line="360" w:lineRule="auto"/>
        <w:jc w:val="center"/>
        <w:rPr>
          <w:rFonts w:ascii="Times New Roman" w:hAnsi="Times New Roman" w:cs="Times New Roman"/>
          <w:b/>
          <w:sz w:val="26"/>
          <w:szCs w:val="26"/>
        </w:rPr>
      </w:pPr>
    </w:p>
    <w:p w14:paraId="07020CD4">
      <w:pPr>
        <w:spacing w:line="360" w:lineRule="auto"/>
        <w:jc w:val="center"/>
        <w:rPr>
          <w:rFonts w:ascii="Times New Roman" w:hAnsi="Times New Roman" w:cs="Times New Roman"/>
          <w:b/>
          <w:sz w:val="26"/>
          <w:szCs w:val="26"/>
        </w:rPr>
      </w:pPr>
    </w:p>
    <w:p w14:paraId="74B2E606">
      <w:pPr>
        <w:spacing w:line="360" w:lineRule="auto"/>
        <w:jc w:val="center"/>
        <w:rPr>
          <w:rFonts w:ascii="Times New Roman" w:hAnsi="Times New Roman" w:cs="Times New Roman"/>
          <w:b/>
          <w:sz w:val="26"/>
          <w:szCs w:val="26"/>
        </w:rPr>
      </w:pPr>
    </w:p>
    <w:p w14:paraId="0E2F5930">
      <w:pPr>
        <w:spacing w:line="360" w:lineRule="auto"/>
        <w:jc w:val="center"/>
        <w:rPr>
          <w:rFonts w:ascii="Times New Roman" w:hAnsi="Times New Roman" w:cs="Times New Roman"/>
          <w:b/>
          <w:sz w:val="26"/>
          <w:szCs w:val="26"/>
        </w:rPr>
      </w:pPr>
    </w:p>
    <w:p w14:paraId="497D3438">
      <w:pPr>
        <w:spacing w:line="360" w:lineRule="auto"/>
        <w:jc w:val="center"/>
        <w:rPr>
          <w:rFonts w:ascii="Times New Roman" w:hAnsi="Times New Roman" w:cs="Times New Roman"/>
          <w:b/>
          <w:sz w:val="26"/>
          <w:szCs w:val="26"/>
        </w:rPr>
      </w:pPr>
    </w:p>
    <w:p w14:paraId="63492182">
      <w:pPr>
        <w:spacing w:line="360" w:lineRule="auto"/>
        <w:jc w:val="center"/>
        <w:rPr>
          <w:rFonts w:ascii="Times New Roman" w:hAnsi="Times New Roman" w:cs="Times New Roman"/>
          <w:b/>
          <w:sz w:val="26"/>
          <w:szCs w:val="26"/>
        </w:rPr>
      </w:pPr>
    </w:p>
    <w:p w14:paraId="079757EA">
      <w:pPr>
        <w:spacing w:line="360" w:lineRule="auto"/>
        <w:jc w:val="center"/>
        <w:rPr>
          <w:rFonts w:ascii="Times New Roman" w:hAnsi="Times New Roman" w:cs="Times New Roman"/>
          <w:b/>
          <w:sz w:val="26"/>
          <w:szCs w:val="26"/>
        </w:rPr>
      </w:pPr>
    </w:p>
    <w:p w14:paraId="54145DC2">
      <w:pPr>
        <w:spacing w:line="360" w:lineRule="auto"/>
        <w:jc w:val="center"/>
        <w:rPr>
          <w:rFonts w:ascii="Times New Roman" w:hAnsi="Times New Roman" w:cs="Times New Roman"/>
          <w:b/>
          <w:sz w:val="26"/>
          <w:szCs w:val="26"/>
        </w:rPr>
      </w:pPr>
    </w:p>
    <w:p w14:paraId="2C5DCCB2">
      <w:pPr>
        <w:spacing w:line="360" w:lineRule="auto"/>
        <w:jc w:val="center"/>
        <w:rPr>
          <w:rFonts w:ascii="Times New Roman" w:hAnsi="Times New Roman" w:cs="Times New Roman"/>
          <w:b/>
          <w:sz w:val="26"/>
          <w:szCs w:val="26"/>
        </w:rPr>
      </w:pPr>
    </w:p>
    <w:p w14:paraId="25828DC0">
      <w:pPr>
        <w:spacing w:line="360" w:lineRule="auto"/>
        <w:jc w:val="center"/>
        <w:rPr>
          <w:rFonts w:ascii="Times New Roman" w:hAnsi="Times New Roman" w:cs="Times New Roman"/>
          <w:b/>
          <w:sz w:val="26"/>
          <w:szCs w:val="26"/>
        </w:rPr>
      </w:pPr>
    </w:p>
    <w:p w14:paraId="1C84C45C">
      <w:pPr>
        <w:pStyle w:val="2"/>
        <w:spacing w:line="480" w:lineRule="auto"/>
        <w:jc w:val="center"/>
        <w:rPr>
          <w:rFonts w:eastAsia="Times New Roman" w:cs="Times New Roman"/>
          <w:b w:val="0"/>
          <w:color w:val="auto"/>
          <w:szCs w:val="24"/>
        </w:rPr>
      </w:pPr>
      <w:bookmarkStart w:id="4" w:name="_Toc203100986"/>
    </w:p>
    <w:p w14:paraId="2C6DCD72"/>
    <w:p w14:paraId="0B6F67F5"/>
    <w:bookmarkEnd w:id="4"/>
    <w:p w14:paraId="3A90017C">
      <w:pPr>
        <w:spacing w:after="0" w:line="480" w:lineRule="auto"/>
        <w:jc w:val="both"/>
        <w:rPr>
          <w:rFonts w:hint="default" w:eastAsia="Times New Roman"/>
          <w:color w:val="auto"/>
          <w:szCs w:val="24"/>
        </w:rPr>
      </w:pPr>
    </w:p>
    <w:p w14:paraId="04158CC1">
      <w:pPr>
        <w:pStyle w:val="2"/>
        <w:keepNext w:val="0"/>
        <w:keepLines w:val="0"/>
        <w:widowControl/>
        <w:suppressLineNumbers w:val="0"/>
        <w:bidi w:val="0"/>
        <w:spacing w:before="240" w:beforeAutospacing="0" w:after="0" w:afterAutospacing="0" w:line="36" w:lineRule="atLeast"/>
        <w:jc w:val="cente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ACKNOWLEDGEMENT</w:t>
      </w:r>
    </w:p>
    <w:p w14:paraId="0A5F6AEA"/>
    <w:p w14:paraId="3A96C13C">
      <w:pPr>
        <w:pStyle w:val="12"/>
        <w:keepNext w:val="0"/>
        <w:keepLines w:val="0"/>
        <w:widowControl/>
        <w:suppressLineNumbers w:val="0"/>
        <w:bidi w:val="0"/>
        <w:spacing w:before="0" w:beforeAutospacing="0" w:after="160" w:afterAutospacing="0" w:line="360" w:lineRule="auto"/>
        <w:jc w:val="both"/>
      </w:pPr>
      <w:r>
        <w:rPr>
          <w:rFonts w:hint="default" w:ascii="Times New Roman" w:hAnsi="Times New Roman" w:cs="Times New Roman"/>
          <w:i w:val="0"/>
          <w:iCs w:val="0"/>
          <w:color w:val="000000"/>
          <w:sz w:val="24"/>
          <w:szCs w:val="24"/>
          <w:u w:val="none"/>
          <w:vertAlign w:val="baseline"/>
        </w:rPr>
        <w:t>I am grateful to Almighty Allah for giving me the strength, knowledge and understanding to complete this project</w:t>
      </w:r>
    </w:p>
    <w:p w14:paraId="796D1ED9">
      <w:pPr>
        <w:pStyle w:val="12"/>
        <w:keepNext w:val="0"/>
        <w:keepLines w:val="0"/>
        <w:widowControl/>
        <w:suppressLineNumbers w:val="0"/>
        <w:bidi w:val="0"/>
        <w:spacing w:before="0" w:beforeAutospacing="0" w:after="160" w:afterAutospacing="0" w:line="360" w:lineRule="auto"/>
        <w:jc w:val="both"/>
      </w:pPr>
      <w:r>
        <w:rPr>
          <w:rFonts w:hint="default" w:ascii="Times New Roman" w:hAnsi="Times New Roman" w:cs="Times New Roman"/>
          <w:i w:val="0"/>
          <w:iCs w:val="0"/>
          <w:color w:val="000000"/>
          <w:sz w:val="24"/>
          <w:szCs w:val="24"/>
          <w:u w:val="none"/>
          <w:vertAlign w:val="baseline"/>
        </w:rPr>
        <w:t xml:space="preserve">My special gratitude goes to my parents Mr and Mrs </w:t>
      </w:r>
      <w:r>
        <w:rPr>
          <w:rFonts w:hint="default" w:ascii="Times New Roman" w:hAnsi="Times New Roman" w:cs="Times New Roman"/>
          <w:b/>
          <w:bCs/>
          <w:i w:val="0"/>
          <w:iCs w:val="0"/>
          <w:color w:val="000000"/>
          <w:sz w:val="24"/>
          <w:szCs w:val="24"/>
          <w:u w:val="none"/>
          <w:vertAlign w:val="baseline"/>
        </w:rPr>
        <w:t>OYETOLA</w:t>
      </w:r>
      <w:r>
        <w:rPr>
          <w:rFonts w:hint="default" w:ascii="Times New Roman" w:hAnsi="Times New Roman" w:cs="Times New Roman"/>
          <w:i w:val="0"/>
          <w:iCs w:val="0"/>
          <w:color w:val="000000"/>
          <w:sz w:val="24"/>
          <w:szCs w:val="24"/>
          <w:u w:val="none"/>
          <w:vertAlign w:val="baseline"/>
        </w:rPr>
        <w:t>, extending my gratitude to the Apple of my eyes (Kasali jamiu) and to Olatoye abiodun, Olamuye Gift. without you all i wouldn't be here today, God bless you all abundantly My sincere gratitude goes to my supervisor. Mrs Dagba I.B for her patience. enthusiasm, and helpful information in seeing me through the completion of this project, and to the HOD  and my lecturers may God bless you all abundantly</w:t>
      </w:r>
    </w:p>
    <w:p w14:paraId="02450D14">
      <w:pPr>
        <w:keepNext w:val="0"/>
        <w:keepLines w:val="0"/>
        <w:widowControl/>
        <w:suppressLineNumbers w:val="0"/>
        <w:spacing w:line="360" w:lineRule="auto"/>
        <w:jc w:val="left"/>
      </w:pPr>
    </w:p>
    <w:p w14:paraId="2AE22B30">
      <w:pPr>
        <w:pStyle w:val="12"/>
        <w:keepNext w:val="0"/>
        <w:keepLines w:val="0"/>
        <w:widowControl/>
        <w:suppressLineNumbers w:val="0"/>
        <w:bidi w:val="0"/>
        <w:spacing w:before="0" w:beforeAutospacing="0" w:after="160" w:afterAutospacing="0" w:line="360" w:lineRule="auto"/>
        <w:jc w:val="both"/>
      </w:pPr>
      <w:r>
        <w:rPr>
          <w:rFonts w:hint="default" w:ascii="Times New Roman" w:hAnsi="Times New Roman" w:cs="Times New Roman"/>
          <w:i w:val="0"/>
          <w:iCs w:val="0"/>
          <w:color w:val="000000"/>
          <w:sz w:val="24"/>
          <w:szCs w:val="24"/>
          <w:u w:val="none"/>
          <w:vertAlign w:val="baseline"/>
        </w:rPr>
        <w:t>Finally,my big thanks goes to my friends, it was great sharing premises with you all</w:t>
      </w:r>
    </w:p>
    <w:p w14:paraId="7C5CF086">
      <w:pPr>
        <w:keepNext w:val="0"/>
        <w:keepLines w:val="0"/>
        <w:widowControl/>
        <w:suppressLineNumbers w:val="0"/>
        <w:jc w:val="left"/>
      </w:pPr>
    </w:p>
    <w:p w14:paraId="1433EE00">
      <w:pPr>
        <w:spacing w:after="0" w:line="480" w:lineRule="auto"/>
        <w:jc w:val="both"/>
        <w:rPr>
          <w:rFonts w:ascii="Times New Roman" w:hAnsi="Times New Roman" w:eastAsia="Times New Roman" w:cs="Times New Roman"/>
          <w:sz w:val="24"/>
          <w:szCs w:val="24"/>
        </w:rPr>
      </w:pPr>
    </w:p>
    <w:p w14:paraId="56CC524A">
      <w:pPr>
        <w:spacing w:after="0" w:line="480" w:lineRule="auto"/>
        <w:jc w:val="both"/>
        <w:rPr>
          <w:rFonts w:ascii="Times New Roman" w:hAnsi="Times New Roman" w:eastAsia="Times New Roman" w:cs="Times New Roman"/>
          <w:sz w:val="24"/>
          <w:szCs w:val="24"/>
        </w:rPr>
      </w:pPr>
    </w:p>
    <w:p w14:paraId="2FC73046">
      <w:pPr>
        <w:spacing w:after="0" w:line="480" w:lineRule="auto"/>
        <w:jc w:val="both"/>
        <w:rPr>
          <w:rFonts w:ascii="Times New Roman" w:hAnsi="Times New Roman" w:eastAsia="Times New Roman" w:cs="Times New Roman"/>
          <w:sz w:val="24"/>
          <w:szCs w:val="24"/>
        </w:rPr>
      </w:pPr>
    </w:p>
    <w:p w14:paraId="58F440EE">
      <w:pPr>
        <w:spacing w:after="0" w:line="480" w:lineRule="auto"/>
        <w:jc w:val="both"/>
        <w:rPr>
          <w:rFonts w:ascii="Times New Roman" w:hAnsi="Times New Roman" w:eastAsia="Times New Roman" w:cs="Times New Roman"/>
          <w:sz w:val="24"/>
          <w:szCs w:val="24"/>
        </w:rPr>
      </w:pPr>
    </w:p>
    <w:p w14:paraId="57DB05F9">
      <w:pPr>
        <w:spacing w:after="0" w:line="480" w:lineRule="auto"/>
        <w:jc w:val="center"/>
        <w:rPr>
          <w:rFonts w:ascii="Times New Roman" w:hAnsi="Times New Roman" w:cs="Times New Roman"/>
          <w:b/>
          <w:sz w:val="24"/>
          <w:szCs w:val="24"/>
        </w:rPr>
      </w:pPr>
    </w:p>
    <w:p w14:paraId="08811620">
      <w:pPr>
        <w:pStyle w:val="12"/>
        <w:jc w:val="center"/>
        <w:rPr>
          <w:b/>
        </w:rPr>
      </w:pPr>
    </w:p>
    <w:p w14:paraId="5B3A75FB">
      <w:pPr>
        <w:pStyle w:val="12"/>
        <w:jc w:val="center"/>
        <w:rPr>
          <w:b/>
        </w:rPr>
      </w:pPr>
    </w:p>
    <w:p w14:paraId="6CCD0C67">
      <w:pPr>
        <w:pStyle w:val="12"/>
        <w:jc w:val="center"/>
        <w:rPr>
          <w:b/>
        </w:rPr>
      </w:pPr>
    </w:p>
    <w:p w14:paraId="1161ACAE">
      <w:pPr>
        <w:pStyle w:val="12"/>
        <w:jc w:val="center"/>
        <w:rPr>
          <w:b/>
        </w:rPr>
      </w:pPr>
    </w:p>
    <w:p w14:paraId="1E25157E">
      <w:pPr>
        <w:pStyle w:val="12"/>
        <w:jc w:val="center"/>
        <w:rPr>
          <w:b/>
        </w:rPr>
      </w:pPr>
    </w:p>
    <w:sdt>
      <w:sdtPr>
        <w:rPr>
          <w:rFonts w:ascii="Times New Roman" w:hAnsi="Times New Roman" w:eastAsia="Times New Roman" w:cs="Times New Roman"/>
          <w:b/>
          <w:color w:val="auto"/>
          <w:sz w:val="24"/>
          <w:szCs w:val="24"/>
        </w:rPr>
        <w:id w:val="-510604985"/>
        <w:docPartObj>
          <w:docPartGallery w:val="Table of Contents"/>
          <w:docPartUnique/>
        </w:docPartObj>
      </w:sdtPr>
      <w:sdtEndPr>
        <w:rPr>
          <w:rFonts w:ascii="Times New Roman" w:hAnsi="Times New Roman" w:cs="Times New Roman" w:eastAsiaTheme="minorHAnsi"/>
          <w:b/>
          <w:bCs/>
          <w:color w:val="auto"/>
          <w:sz w:val="24"/>
          <w:szCs w:val="24"/>
        </w:rPr>
      </w:sdtEndPr>
      <w:sdtContent>
        <w:p w14:paraId="28C6E3F5">
          <w:pPr>
            <w:pStyle w:val="27"/>
            <w:spacing w:line="480" w:lineRule="auto"/>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TABLE OF CONTENTS</w:t>
          </w:r>
        </w:p>
        <w:p w14:paraId="74F17BF7">
          <w:pPr>
            <w:pStyle w:val="15"/>
            <w:tabs>
              <w:tab w:val="right" w:pos="9350"/>
            </w:tabs>
            <w:rPr>
              <w:rFonts w:ascii="Times New Roman" w:hAnsi="Times New Roman" w:cs="Times New Roman" w:eastAsiaTheme="minorEastAsia"/>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br w:type="textWrapp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"_Toc203146280" </w:instrText>
          </w:r>
          <w:r>
            <w:fldChar w:fldCharType="separate"/>
          </w:r>
          <w:r>
            <w:rPr>
              <w:rStyle w:val="11"/>
              <w:rFonts w:ascii="Times New Roman" w:hAnsi="Times New Roman" w:eastAsia="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_Toc203146280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2DB3D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"_Toc203146281" </w:instrText>
          </w:r>
          <w:r>
            <w:fldChar w:fldCharType="separate"/>
          </w:r>
          <w:r>
            <w:rPr>
              <w:rStyle w:val="11"/>
              <w:rFonts w:ascii="Times New Roman" w:hAnsi="Times New Roman" w:eastAsia="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_Toc203146281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58CB0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"_Toc203146282" </w:instrText>
          </w:r>
          <w:r>
            <w:fldChar w:fldCharType="separate"/>
          </w:r>
          <w:r>
            <w:rPr>
              <w:rStyle w:val="11"/>
              <w:rFonts w:ascii="Times New Roman" w:hAnsi="Times New Roman" w:eastAsia="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_Toc203146282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715429">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"_Toc203146283" </w:instrText>
          </w:r>
          <w:r>
            <w:fldChar w:fldCharType="separate"/>
          </w:r>
          <w:r>
            <w:rPr>
              <w:rStyle w:val="11"/>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B67E7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"_Toc203146284" </w:instrText>
          </w:r>
          <w:r>
            <w:fldChar w:fldCharType="separate"/>
          </w:r>
          <w:r>
            <w:rPr>
              <w:rStyle w:val="11"/>
              <w:rFonts w:ascii="Times New Roman" w:hAnsi="Times New Roman" w:cs="Times New Roman"/>
              <w:sz w:val="24"/>
              <w:szCs w:val="24"/>
            </w:rPr>
            <w:t>CHAPTER ONE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1E5F5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"_Toc203146285" </w:instrText>
          </w:r>
          <w:r>
            <w:fldChar w:fldCharType="separate"/>
          </w:r>
          <w:r>
            <w:rPr>
              <w:rStyle w:val="11"/>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3C6AC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"_Toc203146286" </w:instrText>
          </w:r>
          <w:r>
            <w:fldChar w:fldCharType="separate"/>
          </w:r>
          <w:r>
            <w:rPr>
              <w:rStyle w:val="11"/>
              <w:rFonts w:ascii="Times New Roman" w:hAnsi="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D9AD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"_Toc203146287"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E5240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"_Toc203146288"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A4779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"_Toc203146289" </w:instrText>
          </w:r>
          <w:r>
            <w:fldChar w:fldCharType="separate"/>
          </w:r>
          <w:r>
            <w:rPr>
              <w:rStyle w:val="11"/>
              <w:rFonts w:ascii="Times New Roman" w:hAnsi="Times New Roman" w:eastAsia="Times New Roman" w:cs="Times New Roman"/>
              <w:sz w:val="24"/>
              <w:szCs w:val="24"/>
            </w:rPr>
            <w:t>1.3</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Aim and Objectives of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8C9B2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"_Toc203146290" </w:instrText>
          </w:r>
          <w:r>
            <w:fldChar w:fldCharType="separate"/>
          </w:r>
          <w:r>
            <w:rPr>
              <w:rStyle w:val="11"/>
              <w:rFonts w:ascii="Times New Roman" w:hAnsi="Times New Roman" w:cs="Times New Roman"/>
              <w:sz w:val="24"/>
              <w:szCs w:val="24"/>
            </w:rPr>
            <w:t>1.3.1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Aim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29AD31">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"_Toc203146291" </w:instrText>
          </w:r>
          <w:r>
            <w:fldChar w:fldCharType="separate"/>
          </w:r>
          <w:r>
            <w:rPr>
              <w:rStyle w:val="11"/>
              <w:rFonts w:ascii="Times New Roman" w:hAnsi="Times New Roman" w:cs="Times New Roman"/>
              <w:sz w:val="24"/>
              <w:szCs w:val="24"/>
            </w:rPr>
            <w:t>1.3.2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Specific Objectives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6123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"_Toc203146292" </w:instrText>
          </w:r>
          <w:r>
            <w:fldChar w:fldCharType="separate"/>
          </w:r>
          <w:r>
            <w:rPr>
              <w:rStyle w:val="11"/>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_Toc203146292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555A3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"_Toc203146293" </w:instrText>
          </w:r>
          <w:r>
            <w:fldChar w:fldCharType="separate"/>
          </w:r>
          <w:r>
            <w:rPr>
              <w:rStyle w:val="11"/>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71C298">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"_Toc203146294" </w:instrText>
          </w:r>
          <w:r>
            <w:fldChar w:fldCharType="separate"/>
          </w:r>
          <w:r>
            <w:rPr>
              <w:rStyle w:val="11"/>
              <w:rFonts w:ascii="Times New Roman" w:hAnsi="Times New Roman" w:cs="Times New Roman"/>
              <w:sz w:val="24"/>
              <w:szCs w:val="24"/>
            </w:rPr>
            <w:t>2.1</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_Toc203146294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43354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"_Toc203146295" </w:instrText>
          </w:r>
          <w:r>
            <w:fldChar w:fldCharType="separate"/>
          </w:r>
          <w:r>
            <w:rPr>
              <w:rStyle w:val="11"/>
              <w:rFonts w:ascii="Times New Roman" w:hAnsi="Times New Roman" w:cs="Times New Roman"/>
              <w:sz w:val="24"/>
              <w:szCs w:val="24"/>
            </w:rPr>
            <w:t>2.1.1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Types of 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_Toc203146295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FF2D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"_Toc203146296" </w:instrText>
          </w:r>
          <w:r>
            <w:fldChar w:fldCharType="separate"/>
          </w:r>
          <w:r>
            <w:rPr>
              <w:rStyle w:val="11"/>
              <w:rFonts w:ascii="Times New Roman" w:hAnsi="Times New Roman" w:cs="Times New Roman"/>
              <w:sz w:val="24"/>
              <w:szCs w:val="24"/>
            </w:rPr>
            <w:t>2.1.2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Spectrum of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_Toc203146296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F4A46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"_Toc203146297" </w:instrText>
          </w:r>
          <w:r>
            <w:fldChar w:fldCharType="separate"/>
          </w:r>
          <w:r>
            <w:rPr>
              <w:rStyle w:val="11"/>
              <w:rFonts w:ascii="Times New Roman" w:hAnsi="Times New Roman" w:cs="Times New Roman"/>
              <w:sz w:val="24"/>
              <w:szCs w:val="24"/>
            </w:rPr>
            <w:t>2.1.3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_Toc203146297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5321D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"_Toc203146298" </w:instrText>
          </w:r>
          <w:r>
            <w:fldChar w:fldCharType="separate"/>
          </w:r>
          <w:r>
            <w:rPr>
              <w:rStyle w:val="11"/>
              <w:rFonts w:ascii="Times New Roman" w:hAnsi="Times New Roman" w:cs="Times New Roman"/>
              <w:sz w:val="24"/>
              <w:szCs w:val="24"/>
            </w:rPr>
            <w:t>2.1.4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Combination Therapy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_Toc203146298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46E21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"_Toc203146299" </w:instrText>
          </w:r>
          <w:r>
            <w:fldChar w:fldCharType="separate"/>
          </w:r>
          <w:r>
            <w:rPr>
              <w:rStyle w:val="11"/>
              <w:rFonts w:ascii="Times New Roman" w:hAnsi="Times New Roman" w:cs="Times New Roman"/>
              <w:sz w:val="24"/>
              <w:szCs w:val="24"/>
            </w:rPr>
            <w:t>2.2</w:t>
          </w:r>
          <w:r>
            <w:rPr>
              <w:rFonts w:ascii="Times New Roman" w:hAnsi="Times New Roman" w:cs="Times New Roman" w:eastAsiaTheme="minorEastAsia"/>
              <w:sz w:val="24"/>
              <w:szCs w:val="24"/>
            </w:rPr>
            <w:tab/>
          </w:r>
          <w:r>
            <w:rPr>
              <w:rStyle w:val="11"/>
              <w:rFonts w:ascii="Times New Roman" w:hAnsi="Times New Roman" w:cs="Times New Roman"/>
              <w:sz w:val="24"/>
              <w:szCs w:val="24"/>
            </w:rPr>
            <w:t>Overview of Eucalyptus globulus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_Toc203146299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C7F2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"_Toc203146300" </w:instrText>
          </w:r>
          <w:r>
            <w:fldChar w:fldCharType="separate"/>
          </w:r>
          <w:r>
            <w:rPr>
              <w:rStyle w:val="11"/>
              <w:rFonts w:ascii="Times New Roman" w:hAnsi="Times New Roman" w:cs="Times New Roman"/>
              <w:sz w:val="24"/>
              <w:szCs w:val="24"/>
            </w:rPr>
            <w:t>2.3</w:t>
          </w:r>
          <w:r>
            <w:rPr>
              <w:rFonts w:ascii="Times New Roman" w:hAnsi="Times New Roman" w:cs="Times New Roman" w:eastAsiaTheme="minorEastAsia"/>
              <w:sz w:val="24"/>
              <w:szCs w:val="24"/>
            </w:rPr>
            <w:tab/>
          </w:r>
          <w:r>
            <w:rPr>
              <w:rStyle w:val="11"/>
              <w:rFonts w:ascii="Times New Roman" w:hAnsi="Times New Roman" w:cs="Times New Roman"/>
              <w:sz w:val="24"/>
              <w:szCs w:val="24"/>
            </w:rPr>
            <w:t xml:space="preserve">Methicillin -Resistant Staphylococcus </w:t>
          </w:r>
          <w:r>
            <w:rPr>
              <w:rStyle w:val="11"/>
              <w:rFonts w:ascii="Times New Roman" w:hAnsi="Times New Roman" w:cs="Times New Roman"/>
              <w:i/>
              <w:sz w:val="24"/>
              <w:szCs w:val="24"/>
            </w:rPr>
            <w:t>aureus</w:t>
          </w:r>
          <w:r>
            <w:rPr>
              <w:rStyle w:val="11"/>
              <w:rFonts w:ascii="Times New Roman" w:hAnsi="Times New Roman" w:cs="Times New Roman"/>
              <w:sz w:val="24"/>
              <w:szCs w:val="24"/>
            </w:rPr>
            <w:t xml:space="preserve"> (MRSA)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_Toc203146300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8692C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"_Toc203146301" </w:instrText>
          </w:r>
          <w:r>
            <w:fldChar w:fldCharType="separate"/>
          </w:r>
          <w:r>
            <w:rPr>
              <w:rStyle w:val="11"/>
              <w:rFonts w:ascii="Times New Roman" w:hAnsi="Times New Roman" w:cs="Times New Roman"/>
              <w:sz w:val="24"/>
              <w:szCs w:val="24"/>
            </w:rPr>
            <w:t>2.3.1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_Toc203146301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B971B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"_Toc203146302" </w:instrText>
          </w:r>
          <w:r>
            <w:fldChar w:fldCharType="separate"/>
          </w:r>
          <w:r>
            <w:rPr>
              <w:rStyle w:val="11"/>
              <w:rFonts w:ascii="Times New Roman" w:hAnsi="Times New Roman" w:cs="Times New Roman"/>
              <w:sz w:val="24"/>
              <w:szCs w:val="24"/>
            </w:rPr>
            <w:t>2.3.2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Epidemiology and Clinical Impact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_Toc203146302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4C9E19">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"_Toc203146303" </w:instrText>
          </w:r>
          <w:r>
            <w:fldChar w:fldCharType="separate"/>
          </w:r>
          <w:r>
            <w:rPr>
              <w:rStyle w:val="11"/>
              <w:rFonts w:ascii="Times New Roman" w:hAnsi="Times New Roman" w:cs="Times New Roman"/>
              <w:sz w:val="24"/>
              <w:szCs w:val="24"/>
            </w:rPr>
            <w:t>2.4</w:t>
          </w:r>
          <w:r>
            <w:rPr>
              <w:rFonts w:ascii="Times New Roman" w:hAnsi="Times New Roman" w:cs="Times New Roman" w:eastAsiaTheme="minorEastAsia"/>
              <w:sz w:val="24"/>
              <w:szCs w:val="24"/>
            </w:rPr>
            <w:tab/>
          </w:r>
          <w:r>
            <w:rPr>
              <w:rStyle w:val="11"/>
              <w:rFonts w:ascii="Times New Roman" w:hAnsi="Times New Roman" w:cs="Times New Roman"/>
              <w:i/>
              <w:sz w:val="24"/>
              <w:szCs w:val="24"/>
            </w:rPr>
            <w:t>Escherichia coli</w:t>
          </w:r>
          <w:r>
            <w:rPr>
              <w:rStyle w:val="11"/>
              <w:rFonts w:ascii="Times New Roman" w:hAnsi="Times New Roman" w:cs="Times New Roman"/>
              <w:sz w:val="24"/>
              <w:szCs w:val="24"/>
            </w:rPr>
            <w:t xml:space="preserve"> Infections and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_Toc203146303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5A016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"_Toc203146304" </w:instrText>
          </w:r>
          <w:r>
            <w:fldChar w:fldCharType="separate"/>
          </w:r>
          <w:r>
            <w:rPr>
              <w:rStyle w:val="11"/>
              <w:rFonts w:ascii="Times New Roman" w:hAnsi="Times New Roman" w:cs="Times New Roman"/>
              <w:sz w:val="24"/>
              <w:szCs w:val="24"/>
            </w:rPr>
            <w:t>2.4.1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Pathogenic Strains of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_Toc203146304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4512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"_Toc203146305" </w:instrText>
          </w:r>
          <w:r>
            <w:fldChar w:fldCharType="separate"/>
          </w:r>
          <w:r>
            <w:rPr>
              <w:rStyle w:val="11"/>
              <w:rFonts w:ascii="Times New Roman" w:hAnsi="Times New Roman" w:cs="Times New Roman"/>
              <w:sz w:val="24"/>
              <w:szCs w:val="24"/>
            </w:rPr>
            <w:t>2.4.2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Mechanisms of Antibiotic Resistance in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_Toc203146305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D996A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"_Toc203146306" </w:instrText>
          </w:r>
          <w:r>
            <w:fldChar w:fldCharType="separate"/>
          </w:r>
          <w:r>
            <w:rPr>
              <w:rStyle w:val="11"/>
              <w:rFonts w:ascii="Times New Roman" w:hAnsi="Times New Roman" w:cs="Times New Roman"/>
              <w:sz w:val="24"/>
              <w:szCs w:val="24"/>
            </w:rPr>
            <w:t>2.4.3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Clinical Impact of </w:t>
          </w:r>
          <w:r>
            <w:rPr>
              <w:rStyle w:val="11"/>
              <w:rFonts w:ascii="Times New Roman" w:hAnsi="Times New Roman" w:cs="Times New Roman"/>
              <w:i/>
              <w:iCs/>
              <w:sz w:val="24"/>
              <w:szCs w:val="24"/>
            </w:rPr>
            <w:t xml:space="preserve">E. coli </w:t>
          </w:r>
          <w:r>
            <w:rPr>
              <w:rStyle w:val="11"/>
              <w:rFonts w:ascii="Times New Roman" w:hAnsi="Times New Roman" w:cs="Times New Roman"/>
              <w:sz w:val="24"/>
              <w:szCs w:val="24"/>
            </w:rPr>
            <w:t>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_Toc203146306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74CCC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"_Toc203146307" </w:instrText>
          </w:r>
          <w:r>
            <w:fldChar w:fldCharType="separate"/>
          </w:r>
          <w:r>
            <w:rPr>
              <w:rStyle w:val="11"/>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_Toc203146307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E08E7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"_Toc203146308" </w:instrText>
          </w:r>
          <w:r>
            <w:fldChar w:fldCharType="separate"/>
          </w:r>
          <w:r>
            <w:rPr>
              <w:rStyle w:val="11"/>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535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"_Toc203146309" </w:instrText>
          </w:r>
          <w:r>
            <w:fldChar w:fldCharType="separate"/>
          </w:r>
          <w:r>
            <w:rPr>
              <w:rStyle w:val="11"/>
              <w:rFonts w:ascii="Times New Roman" w:hAnsi="Times New Roman" w:eastAsia="Times New Roman" w:cs="Times New Roman"/>
              <w:sz w:val="24"/>
              <w:szCs w:val="24"/>
            </w:rPr>
            <w:t>3.1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Study Area and Sample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_Toc203146309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A649C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"_Toc203146310" </w:instrText>
          </w:r>
          <w:r>
            <w:fldChar w:fldCharType="separate"/>
          </w:r>
          <w:r>
            <w:rPr>
              <w:rStyle w:val="11"/>
              <w:rFonts w:ascii="Times New Roman" w:hAnsi="Times New Roman" w:cs="Times New Roman"/>
              <w:sz w:val="24"/>
              <w:szCs w:val="24"/>
            </w:rPr>
            <w:t>3.2</w:t>
          </w:r>
          <w:r>
            <w:rPr>
              <w:rFonts w:ascii="Times New Roman" w:hAnsi="Times New Roman" w:cs="Times New Roman" w:eastAsiaTheme="minorEastAsia"/>
              <w:sz w:val="24"/>
              <w:szCs w:val="24"/>
            </w:rPr>
            <w:tab/>
          </w:r>
          <w:r>
            <w:rPr>
              <w:rStyle w:val="11"/>
              <w:rFonts w:ascii="Times New Roman" w:hAnsi="Times New Roman" w:cs="Times New Roman"/>
              <w:sz w:val="24"/>
              <w:szCs w:val="24"/>
            </w:rPr>
            <w:t>Collection and Preparation of Plant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_Toc203146310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68782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"_Toc203146311" </w:instrText>
          </w:r>
          <w:r>
            <w:fldChar w:fldCharType="separate"/>
          </w:r>
          <w:r>
            <w:rPr>
              <w:rStyle w:val="11"/>
              <w:rFonts w:ascii="Times New Roman" w:hAnsi="Times New Roman" w:cs="Times New Roman"/>
              <w:sz w:val="24"/>
              <w:szCs w:val="24"/>
            </w:rPr>
            <w:t>3.3</w:t>
          </w:r>
          <w:r>
            <w:rPr>
              <w:rFonts w:ascii="Times New Roman" w:hAnsi="Times New Roman" w:cs="Times New Roman" w:eastAsiaTheme="minorEastAsia"/>
              <w:sz w:val="24"/>
              <w:szCs w:val="24"/>
            </w:rPr>
            <w:tab/>
          </w:r>
          <w:r>
            <w:rPr>
              <w:rStyle w:val="11"/>
              <w:rFonts w:ascii="Times New Roman" w:hAnsi="Times New Roman" w:cs="Times New Roman"/>
              <w:sz w:val="24"/>
              <w:szCs w:val="24"/>
            </w:rPr>
            <w:t>Preparation of Plant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_Toc203146311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D5967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"_Toc203146312" </w:instrText>
          </w:r>
          <w:r>
            <w:fldChar w:fldCharType="separate"/>
          </w:r>
          <w:r>
            <w:rPr>
              <w:rStyle w:val="11"/>
              <w:rFonts w:ascii="Times New Roman" w:hAnsi="Times New Roman" w:cs="Times New Roman"/>
              <w:sz w:val="24"/>
              <w:szCs w:val="24"/>
            </w:rPr>
            <w:t>3.3.1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Ethanol Extraction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_Toc203146312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FAB64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"_Toc203146313" </w:instrText>
          </w:r>
          <w:r>
            <w:fldChar w:fldCharType="separate"/>
          </w:r>
          <w:r>
            <w:rPr>
              <w:rStyle w:val="11"/>
              <w:rFonts w:ascii="Times New Roman" w:hAnsi="Times New Roman" w:cs="Times New Roman"/>
              <w:sz w:val="24"/>
              <w:szCs w:val="24"/>
            </w:rPr>
            <w:t>3.4</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_Toc203146313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F106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"_Toc203146314" </w:instrText>
          </w:r>
          <w:r>
            <w:fldChar w:fldCharType="separate"/>
          </w:r>
          <w:r>
            <w:rPr>
              <w:rStyle w:val="11"/>
              <w:rFonts w:ascii="Times New Roman" w:hAnsi="Times New Roman" w:cs="Times New Roman"/>
              <w:sz w:val="24"/>
              <w:szCs w:val="24"/>
            </w:rPr>
            <w:t>3.4.1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Alkaloids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_Toc203146314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9597E2">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"_Toc203146315" </w:instrText>
          </w:r>
          <w:r>
            <w:fldChar w:fldCharType="separate"/>
          </w:r>
          <w:r>
            <w:rPr>
              <w:rStyle w:val="11"/>
              <w:rFonts w:ascii="Times New Roman" w:hAnsi="Times New Roman" w:cs="Times New Roman"/>
              <w:sz w:val="24"/>
              <w:szCs w:val="24"/>
            </w:rPr>
            <w:t>3.4.2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Flavonoids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_Toc203146315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F0B016">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"_Toc203146316" </w:instrText>
          </w:r>
          <w:r>
            <w:fldChar w:fldCharType="separate"/>
          </w:r>
          <w:r>
            <w:rPr>
              <w:rStyle w:val="11"/>
              <w:rFonts w:ascii="Times New Roman" w:hAnsi="Times New Roman" w:cs="Times New Roman"/>
              <w:sz w:val="24"/>
              <w:szCs w:val="24"/>
            </w:rPr>
            <w:t>3.4.3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Tannins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_Toc203146316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A026E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"_Toc203146317" </w:instrText>
          </w:r>
          <w:r>
            <w:fldChar w:fldCharType="separate"/>
          </w:r>
          <w:r>
            <w:rPr>
              <w:rStyle w:val="11"/>
              <w:rFonts w:ascii="Times New Roman" w:hAnsi="Times New Roman" w:cs="Times New Roman"/>
              <w:sz w:val="24"/>
              <w:szCs w:val="24"/>
            </w:rPr>
            <w:t>3.4.4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Saponins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_Toc203146317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01C090">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"_Toc203146318" </w:instrText>
          </w:r>
          <w:r>
            <w:fldChar w:fldCharType="separate"/>
          </w:r>
          <w:r>
            <w:rPr>
              <w:rStyle w:val="11"/>
              <w:rFonts w:ascii="Times New Roman" w:hAnsi="Times New Roman" w:cs="Times New Roman"/>
              <w:sz w:val="24"/>
              <w:szCs w:val="24"/>
            </w:rPr>
            <w:t>3.4.5</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Phenolic Compounds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_Toc203146318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54130">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"_Toc203146319" </w:instrText>
          </w:r>
          <w:r>
            <w:fldChar w:fldCharType="separate"/>
          </w:r>
          <w:r>
            <w:rPr>
              <w:rStyle w:val="11"/>
              <w:rFonts w:ascii="Times New Roman" w:hAnsi="Times New Roman" w:cs="Times New Roman"/>
              <w:sz w:val="24"/>
              <w:szCs w:val="24"/>
            </w:rPr>
            <w:t>3.5</w:t>
          </w:r>
          <w:r>
            <w:rPr>
              <w:rFonts w:ascii="Times New Roman" w:hAnsi="Times New Roman" w:cs="Times New Roman" w:eastAsiaTheme="minorEastAsia"/>
              <w:sz w:val="24"/>
              <w:szCs w:val="24"/>
            </w:rPr>
            <w:tab/>
          </w:r>
          <w:r>
            <w:rPr>
              <w:rStyle w:val="11"/>
              <w:rFonts w:ascii="Times New Roman" w:hAnsi="Times New Roman" w:cs="Times New Roman"/>
              <w:sz w:val="24"/>
              <w:szCs w:val="24"/>
            </w:rPr>
            <w:t>Standardization of Bacterial Inoculum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_Toc203146319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295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"_Toc203146320" </w:instrText>
          </w:r>
          <w:r>
            <w:fldChar w:fldCharType="separate"/>
          </w:r>
          <w:r>
            <w:rPr>
              <w:rStyle w:val="11"/>
              <w:rFonts w:ascii="Times New Roman" w:hAnsi="Times New Roman" w:cs="Times New Roman"/>
              <w:sz w:val="24"/>
              <w:szCs w:val="24"/>
            </w:rPr>
            <w:t>3.6</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Susceptibility Testing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_Toc203146320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A11D0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"_Toc203146321" </w:instrText>
          </w:r>
          <w:r>
            <w:fldChar w:fldCharType="separate"/>
          </w:r>
          <w:r>
            <w:rPr>
              <w:rStyle w:val="11"/>
              <w:rFonts w:ascii="Times New Roman" w:hAnsi="Times New Roman" w:cs="Times New Roman"/>
              <w:sz w:val="24"/>
              <w:szCs w:val="24"/>
            </w:rPr>
            <w:t xml:space="preserve">3.6.1 </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_Toc203146321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E32A4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"_Toc203146322" </w:instrText>
          </w:r>
          <w:r>
            <w:fldChar w:fldCharType="separate"/>
          </w:r>
          <w:r>
            <w:rPr>
              <w:rStyle w:val="11"/>
              <w:rFonts w:ascii="Times New Roman" w:hAnsi="Times New Roman" w:cs="Times New Roman"/>
              <w:sz w:val="24"/>
              <w:szCs w:val="24"/>
            </w:rPr>
            <w:t>3.6.2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Minimum Inhibitory Concentration (MIC) Determination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DA8B8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"_Toc203146323" </w:instrText>
          </w:r>
          <w:r>
            <w:fldChar w:fldCharType="separate"/>
          </w:r>
          <w:r>
            <w:rPr>
              <w:rStyle w:val="11"/>
              <w:rFonts w:ascii="Times New Roman" w:hAnsi="Times New Roman" w:cs="Times New Roman"/>
              <w:sz w:val="24"/>
              <w:szCs w:val="24"/>
            </w:rPr>
            <w:t>CHAPTER FOUR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_Toc203146323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26FBA1">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"_Toc203146324" </w:instrText>
          </w:r>
          <w:r>
            <w:fldChar w:fldCharType="separate"/>
          </w:r>
          <w:r>
            <w:rPr>
              <w:rStyle w:val="11"/>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_Toc203146324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0291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"_Toc203146325" </w:instrText>
          </w:r>
          <w:r>
            <w:fldChar w:fldCharType="separate"/>
          </w:r>
          <w:r>
            <w:rPr>
              <w:rStyle w:val="11"/>
              <w:rFonts w:ascii="Times New Roman" w:hAnsi="Times New Roman" w:cs="Times New Roman"/>
              <w:sz w:val="24"/>
              <w:szCs w:val="24"/>
            </w:rPr>
            <w:t>4.1</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 of Eucalyptus globulus Leaf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_Toc203146325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843D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"_Toc203146326" </w:instrText>
          </w:r>
          <w:r>
            <w:fldChar w:fldCharType="separate"/>
          </w:r>
          <w:r>
            <w:rPr>
              <w:rStyle w:val="11"/>
              <w:rFonts w:ascii="Times New Roman" w:hAnsi="Times New Roman" w:cs="Times New Roman"/>
              <w:sz w:val="24"/>
              <w:szCs w:val="24"/>
            </w:rPr>
            <w:t>4.2</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Activity of Eucalyptus globulus Extracts Using 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C214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"_Toc203146327" </w:instrText>
          </w:r>
          <w:r>
            <w:fldChar w:fldCharType="separate"/>
          </w:r>
          <w:r>
            <w:rPr>
              <w:rStyle w:val="11"/>
              <w:rFonts w:ascii="Times New Roman" w:hAnsi="Times New Roman" w:cs="Times New Roman"/>
              <w:sz w:val="24"/>
              <w:szCs w:val="24"/>
            </w:rPr>
            <w:t>4.3</w:t>
          </w:r>
          <w:r>
            <w:rPr>
              <w:rFonts w:ascii="Times New Roman" w:hAnsi="Times New Roman" w:cs="Times New Roman" w:eastAsiaTheme="minorEastAsia"/>
              <w:sz w:val="24"/>
              <w:szCs w:val="24"/>
            </w:rPr>
            <w:tab/>
          </w:r>
          <w:r>
            <w:rPr>
              <w:rStyle w:val="11"/>
              <w:rFonts w:ascii="Times New Roman" w:hAnsi="Times New Roman" w:cs="Times New Roman"/>
              <w:sz w:val="24"/>
              <w:szCs w:val="24"/>
            </w:rPr>
            <w:t>Minimum Inhibitory Concentration (MIC) Determination of Ethanol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_Toc203146327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D55C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"_Toc203146328" </w:instrText>
          </w:r>
          <w:r>
            <w:fldChar w:fldCharType="separate"/>
          </w:r>
          <w:r>
            <w:rPr>
              <w:rStyle w:val="11"/>
              <w:rFonts w:ascii="Times New Roman" w:hAnsi="Times New Roman" w:cs="Times New Roman"/>
              <w:sz w:val="24"/>
              <w:szCs w:val="24"/>
            </w:rPr>
            <w:t>4.5</w:t>
          </w:r>
          <w:r>
            <w:rPr>
              <w:rFonts w:ascii="Times New Roman" w:hAnsi="Times New Roman" w:cs="Times New Roman" w:eastAsiaTheme="minorEastAsia"/>
              <w:sz w:val="24"/>
              <w:szCs w:val="24"/>
            </w:rPr>
            <w:tab/>
          </w:r>
          <w:r>
            <w:rPr>
              <w:rStyle w:val="11"/>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_Toc203146328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DBE6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"_Toc203146329" </w:instrText>
          </w:r>
          <w:r>
            <w:fldChar w:fldCharType="separate"/>
          </w:r>
          <w:r>
            <w:rPr>
              <w:rStyle w:val="11"/>
              <w:rFonts w:ascii="Times New Roman" w:hAnsi="Times New Roman" w:cs="Times New Roman"/>
              <w:sz w:val="24"/>
              <w:szCs w:val="24"/>
            </w:rPr>
            <w:t>CHAPTER FIVE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_Toc203146329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8D91EA">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"_Toc203146330" </w:instrText>
          </w:r>
          <w:r>
            <w:fldChar w:fldCharType="separate"/>
          </w:r>
          <w:r>
            <w:rPr>
              <w:rStyle w:val="11"/>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_Toc203146330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238F74">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"_Toc203146331" </w:instrText>
          </w:r>
          <w:r>
            <w:fldChar w:fldCharType="separate"/>
          </w:r>
          <w:r>
            <w:rPr>
              <w:rStyle w:val="11"/>
              <w:rFonts w:ascii="Times New Roman" w:hAnsi="Times New Roman" w:cs="Times New Roman"/>
              <w:sz w:val="24"/>
              <w:szCs w:val="24"/>
            </w:rPr>
            <w:t>5.1</w:t>
          </w:r>
          <w:r>
            <w:rPr>
              <w:rFonts w:ascii="Times New Roman" w:hAnsi="Times New Roman" w:cs="Times New Roman" w:eastAsiaTheme="minorEastAsia"/>
              <w:sz w:val="24"/>
              <w:szCs w:val="24"/>
            </w:rPr>
            <w:tab/>
          </w:r>
          <w:r>
            <w:rPr>
              <w:rStyle w:val="11"/>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_Toc203146331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433F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"_Toc203146332" </w:instrText>
          </w:r>
          <w:r>
            <w:fldChar w:fldCharType="separate"/>
          </w:r>
          <w:r>
            <w:rPr>
              <w:rStyle w:val="11"/>
              <w:rFonts w:ascii="Times New Roman" w:hAnsi="Times New Roman" w:cs="Times New Roman"/>
              <w:sz w:val="24"/>
              <w:szCs w:val="24"/>
            </w:rPr>
            <w:t>5.2</w:t>
          </w:r>
          <w:r>
            <w:rPr>
              <w:rFonts w:ascii="Times New Roman" w:hAnsi="Times New Roman" w:cs="Times New Roman" w:eastAsiaTheme="minorEastAsia"/>
              <w:sz w:val="24"/>
              <w:szCs w:val="24"/>
            </w:rPr>
            <w:tab/>
          </w:r>
          <w:r>
            <w:rPr>
              <w:rStyle w:val="11"/>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FAA781">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"_Toc203146333" </w:instrText>
          </w:r>
          <w:r>
            <w:fldChar w:fldCharType="separate"/>
          </w:r>
          <w:r>
            <w:rPr>
              <w:rStyle w:val="11"/>
              <w:rFonts w:ascii="Times New Roman" w:hAnsi="Times New Roman" w:cs="Times New Roman"/>
              <w:sz w:val="24"/>
              <w:szCs w:val="24"/>
            </w:rPr>
            <w:t>5.3</w:t>
          </w:r>
          <w:r>
            <w:rPr>
              <w:rFonts w:ascii="Times New Roman" w:hAnsi="Times New Roman" w:cs="Times New Roman" w:eastAsiaTheme="minorEastAsia"/>
              <w:sz w:val="24"/>
              <w:szCs w:val="24"/>
            </w:rPr>
            <w:tab/>
          </w:r>
          <w:r>
            <w:rPr>
              <w:rStyle w:val="11"/>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F8A42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"_Toc203146334" </w:instrText>
          </w:r>
          <w:r>
            <w:fldChar w:fldCharType="separate"/>
          </w:r>
          <w:r>
            <w:rPr>
              <w:rStyle w:val="11"/>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_Toc203146334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BD5C8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"_Toc203146335" </w:instrText>
          </w:r>
          <w:r>
            <w:fldChar w:fldCharType="separate"/>
          </w:r>
          <w:r>
            <w:rPr>
              <w:rStyle w:val="11"/>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_Toc203146335 \h </w:instrText>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24028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B2A39D8">
      <w:pPr>
        <w:pStyle w:val="12"/>
        <w:jc w:val="center"/>
        <w:rPr>
          <w:b/>
        </w:rPr>
      </w:pPr>
    </w:p>
    <w:p w14:paraId="4DF9FADF">
      <w:pPr>
        <w:pStyle w:val="12"/>
        <w:jc w:val="center"/>
        <w:rPr>
          <w:b/>
        </w:rPr>
      </w:pPr>
    </w:p>
    <w:p w14:paraId="1DC240EB">
      <w:pPr>
        <w:pStyle w:val="2"/>
        <w:spacing w:line="480" w:lineRule="auto"/>
        <w:jc w:val="center"/>
      </w:pPr>
      <w:bookmarkStart w:id="5" w:name="_Toc203146283"/>
      <w:r>
        <w:t>ABSTRACT</w:t>
      </w:r>
      <w:bookmarkEnd w:id="5"/>
    </w:p>
    <w:p w14:paraId="404148F8">
      <w:pPr>
        <w:pStyle w:val="12"/>
        <w:spacing w:before="0" w:beforeAutospacing="0" w:after="0" w:afterAutospacing="0"/>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pPr>
        <w:rPr>
          <w:rFonts w:ascii="Times New Roman" w:hAnsi="Times New Roman" w:cs="Times New Roman"/>
          <w:b/>
          <w:i/>
          <w:iCs/>
          <w:sz w:val="24"/>
          <w:szCs w:val="24"/>
        </w:rPr>
      </w:pPr>
    </w:p>
    <w:p w14:paraId="62A7E10D">
      <w:pPr>
        <w:spacing w:after="0" w:line="480" w:lineRule="auto"/>
        <w:rPr>
          <w:rFonts w:ascii="Times New Roman" w:hAnsi="Times New Roman" w:cs="Times New Roman"/>
          <w:b/>
          <w:sz w:val="24"/>
          <w:szCs w:val="24"/>
        </w:rPr>
        <w:sectPr>
          <w:footerReference r:id="rId5" w:type="default"/>
          <w:footerReference r:id="rId6" w:type="even"/>
          <w:pgSz w:w="12240" w:h="15840"/>
          <w:pgMar w:top="1440" w:right="1120" w:bottom="1440" w:left="1440" w:header="708" w:footer="708" w:gutter="0"/>
          <w:pgNumType w:fmt="lowerRoman" w:start="1"/>
          <w:cols w:space="708" w:num="1"/>
          <w:docGrid w:linePitch="360" w:charSpace="0"/>
        </w:sectPr>
      </w:pPr>
    </w:p>
    <w:p w14:paraId="4CA0C77C">
      <w:pPr>
        <w:jc w:val="center"/>
        <w:rPr>
          <w:rFonts w:ascii="Times New Roman" w:hAnsi="Times New Roman" w:eastAsia="Times New Roman" w:cs="Times New Roman"/>
          <w:b/>
          <w:sz w:val="24"/>
          <w:szCs w:val="24"/>
        </w:rPr>
      </w:pPr>
      <w:bookmarkStart w:id="6" w:name="_Toc203146284"/>
      <w:r>
        <w:rPr>
          <w:rFonts w:ascii="Times New Roman" w:hAnsi="Times New Roman" w:eastAsia="Times New Roman" w:cs="Times New Roman"/>
          <w:b/>
          <w:sz w:val="24"/>
          <w:szCs w:val="24"/>
        </w:rPr>
        <w:t>CHAPTER ONE</w:t>
      </w:r>
      <w:bookmarkEnd w:id="6"/>
    </w:p>
    <w:p w14:paraId="4F11B6F7">
      <w:pPr>
        <w:pStyle w:val="2"/>
        <w:spacing w:line="480" w:lineRule="auto"/>
        <w:jc w:val="center"/>
      </w:pPr>
      <w:bookmarkStart w:id="7" w:name="_Toc203146285"/>
      <w:r>
        <w:t>INTRODUCTION</w:t>
      </w:r>
      <w:bookmarkEnd w:id="7"/>
    </w:p>
    <w:p w14:paraId="75A4F02D">
      <w:pPr>
        <w:pStyle w:val="3"/>
        <w:spacing w:line="480" w:lineRule="auto"/>
      </w:pPr>
      <w:bookmarkStart w:id="8" w:name="_Toc203146286"/>
      <w:r>
        <w:t>1.1</w:t>
      </w:r>
      <w:r>
        <w:tab/>
      </w:r>
      <w:r>
        <w:t>Background to the Study</w:t>
      </w:r>
      <w:bookmarkEnd w:id="8"/>
    </w:p>
    <w:p w14:paraId="539EF5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MRSA is a major cause of hospital and community-acquired infections, while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have been linked to serious infections such as urinary tract infections and bloodstream infections (Prestinaci, Pezzotti, &amp; Pantosti, 2019).</w:t>
      </w:r>
    </w:p>
    <w:p w14:paraId="1437FD21">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Resistance in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14:paraId="42F696A2">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The essential oils extracted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Notably, 1,8-cineole has been shown to damage bacterial cell walls, disrupt membranes, and inhibit the growth of both Gram-positive and Gram-negative bacteria (Gomes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This makes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potential candidate for combating bacterial pathogens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w:t>
      </w:r>
    </w:p>
    <w:p w14:paraId="08FD8EC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Moreover, essential oils are generally considered safe, biodegradable, and less toxic compared to synthetic antibiotics when used appropriately (Júnior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2020).</w:t>
      </w:r>
    </w:p>
    <w:p w14:paraId="025C596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Traditionally,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hAnsi="Times New Roman" w:eastAsia="Times New Roman" w:cs="Times New Roman"/>
          <w:i/>
          <w:iCs/>
          <w:sz w:val="24"/>
          <w:szCs w:val="24"/>
        </w:rPr>
        <w:t>Eucalyptus</w:t>
      </w:r>
      <w:r>
        <w:rPr>
          <w:rFonts w:ascii="Times New Roman" w:hAnsi="Times New Roman" w:eastAsia="Times New Roman" w:cs="Times New Roman"/>
          <w:sz w:val="24"/>
          <w:szCs w:val="24"/>
        </w:rPr>
        <w:t xml:space="preserve"> extracts against a range of pathogens. For example, a study by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found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exhibited significant inhibitory effects against multidrug-resistant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isolated from clinical samples. Similarly, Elbehiry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reported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oil effectively inhibited the growth of MRSA isolates collected from food and clinical settings.</w:t>
      </w:r>
    </w:p>
    <w:p w14:paraId="2BDE22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these findings, there are still gaps in the literature regarding the specific effectiveness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pPr>
        <w:pStyle w:val="3"/>
        <w:spacing w:line="480" w:lineRule="auto"/>
        <w:rPr>
          <w:rFonts w:eastAsia="Times New Roman"/>
        </w:rPr>
      </w:pPr>
      <w:bookmarkStart w:id="9" w:name="_Toc203146287"/>
      <w:r>
        <w:rPr>
          <w:rFonts w:eastAsia="Times New Roman"/>
        </w:rPr>
        <w:t>1.1</w:t>
      </w:r>
      <w:r>
        <w:rPr>
          <w:rFonts w:eastAsia="Times New Roman"/>
        </w:rPr>
        <w:tab/>
      </w:r>
      <w:r>
        <w:rPr>
          <w:rFonts w:eastAsia="Times New Roman"/>
        </w:rPr>
        <w:t>Statement of Problem</w:t>
      </w:r>
      <w:bookmarkEnd w:id="9"/>
    </w:p>
    <w:p w14:paraId="4BA9D0F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rise of antibiotic-resistant bacteria, particularly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resistant strains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pPr>
        <w:spacing w:after="0"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under controlled laboratory conditions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hAnsi="Times New Roman" w:eastAsia="Times New Roman" w:cs="Times New Roman"/>
          <w:i/>
          <w:sz w:val="24"/>
          <w:szCs w:val="24"/>
        </w:rPr>
        <w:t>MRSA</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E. coli.</w:t>
      </w:r>
    </w:p>
    <w:p w14:paraId="2BD4D107">
      <w:pPr>
        <w:pStyle w:val="3"/>
        <w:spacing w:line="480" w:lineRule="auto"/>
        <w:rPr>
          <w:rFonts w:eastAsia="Times New Roman"/>
        </w:rPr>
      </w:pPr>
      <w:bookmarkStart w:id="10" w:name="_Toc203146288"/>
      <w:r>
        <w:rPr>
          <w:rFonts w:eastAsia="Times New Roman"/>
        </w:rPr>
        <w:t>1.1</w:t>
      </w:r>
      <w:r>
        <w:rPr>
          <w:rFonts w:eastAsia="Times New Roman"/>
        </w:rPr>
        <w:tab/>
      </w:r>
      <w:r>
        <w:rPr>
          <w:rFonts w:eastAsia="Times New Roman"/>
        </w:rPr>
        <w:t>Justification</w:t>
      </w:r>
      <w:bookmarkEnd w:id="10"/>
      <w:r>
        <w:rPr>
          <w:rFonts w:eastAsia="Times New Roman"/>
        </w:rPr>
        <w:tab/>
      </w:r>
    </w:p>
    <w:p w14:paraId="1E63C9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plant known for its medicinal properties, against two important resistant bacteria: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The study could contribute valuable knowledge to the search for new, plant-based therapies to combat resistant infections. If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p>
    <w:p w14:paraId="14EFF99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study will also add to the existing body of scientific knowledge by providing updated information on the antibacterial effects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specifically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pPr>
        <w:pStyle w:val="3"/>
        <w:spacing w:line="480" w:lineRule="auto"/>
        <w:rPr>
          <w:rFonts w:eastAsia="Times New Roman"/>
        </w:rPr>
      </w:pPr>
      <w:bookmarkStart w:id="11" w:name="_Toc203146289"/>
      <w:r>
        <w:rPr>
          <w:rFonts w:eastAsia="Times New Roman"/>
        </w:rPr>
        <w:t>1.3</w:t>
      </w:r>
      <w:r>
        <w:rPr>
          <w:rFonts w:eastAsia="Times New Roman"/>
        </w:rPr>
        <w:tab/>
      </w:r>
      <w:r>
        <w:rPr>
          <w:rFonts w:eastAsia="Times New Roman"/>
        </w:rPr>
        <w:t>Aim and Objectives of Study</w:t>
      </w:r>
      <w:bookmarkEnd w:id="11"/>
      <w:r>
        <w:rPr>
          <w:rFonts w:eastAsia="Times New Roman"/>
        </w:rPr>
        <w:t xml:space="preserve"> </w:t>
      </w:r>
    </w:p>
    <w:p w14:paraId="167E80E0">
      <w:pPr>
        <w:pStyle w:val="4"/>
        <w:spacing w:before="0" w:beforeAutospacing="0" w:after="0" w:afterAutospacing="0" w:line="480" w:lineRule="auto"/>
        <w:rPr>
          <w:szCs w:val="24"/>
        </w:rPr>
      </w:pPr>
      <w:bookmarkStart w:id="12" w:name="_Toc203146290"/>
      <w:r>
        <w:rPr>
          <w:szCs w:val="24"/>
        </w:rPr>
        <w:t>1.3.1</w:t>
      </w:r>
      <w:r>
        <w:rPr>
          <w:szCs w:val="24"/>
        </w:rPr>
        <w:tab/>
      </w:r>
      <w:r>
        <w:rPr>
          <w:szCs w:val="24"/>
        </w:rPr>
        <w:t>Aim of the Study</w:t>
      </w:r>
      <w:bookmarkEnd w:id="12"/>
    </w:p>
    <w:p w14:paraId="0E22C6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this study is to evaluate the antibacterial efficacy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w:t>
      </w:r>
    </w:p>
    <w:p w14:paraId="67344D60">
      <w:pPr>
        <w:pStyle w:val="4"/>
        <w:rPr>
          <w:bCs w:val="0"/>
          <w:szCs w:val="24"/>
        </w:rPr>
      </w:pPr>
      <w:bookmarkStart w:id="13" w:name="_Toc203146291"/>
      <w:r>
        <w:rPr>
          <w:bCs w:val="0"/>
          <w:szCs w:val="24"/>
        </w:rPr>
        <w:t>1.3.2</w:t>
      </w:r>
      <w:r>
        <w:rPr>
          <w:bCs w:val="0"/>
          <w:szCs w:val="24"/>
        </w:rPr>
        <w:tab/>
      </w:r>
      <w:r>
        <w:rPr>
          <w:bCs w:val="0"/>
          <w:szCs w:val="24"/>
        </w:rPr>
        <w:t>Specific Objectives</w:t>
      </w:r>
      <w:bookmarkEnd w:id="13"/>
    </w:p>
    <w:p w14:paraId="5C8939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objectives of the study are to:</w:t>
      </w:r>
    </w:p>
    <w:p w14:paraId="175FD956">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extract and prepare</w:t>
      </w:r>
      <w:r>
        <w:rPr>
          <w:rFonts w:ascii="Times New Roman" w:hAnsi="Times New Roman" w:eastAsia="Times New Roman" w:cs="Times New Roman"/>
          <w:sz w:val="24"/>
          <w:szCs w:val="24"/>
        </w:rPr>
        <w:t xml:space="preserve"> an extracts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w:t>
      </w:r>
    </w:p>
    <w:p w14:paraId="532171A3">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determine the antibacterial activity</w:t>
      </w:r>
      <w:r>
        <w:rPr>
          <w:rFonts w:ascii="Times New Roman" w:hAnsi="Times New Roman" w:eastAsia="Times New Roman" w:cs="Times New Roman"/>
          <w:sz w:val="24"/>
          <w:szCs w:val="24"/>
        </w:rPr>
        <w:t xml:space="preserve"> of </w:t>
      </w:r>
      <w:bookmarkStart w:id="14" w:name="_Hlk199157975"/>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t>
      </w:r>
      <w:bookmarkEnd w:id="14"/>
      <w:r>
        <w:rPr>
          <w:rFonts w:ascii="Times New Roman" w:hAnsi="Times New Roman" w:eastAsia="Times New Roman" w:cs="Times New Roman"/>
          <w:sz w:val="24"/>
          <w:szCs w:val="24"/>
        </w:rPr>
        <w:t xml:space="preserve">extract against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using standard microbiological methods.</w:t>
      </w:r>
    </w:p>
    <w:p w14:paraId="4511594D">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Check the phytochemical properties of </w:t>
      </w:r>
      <w:r>
        <w:rPr>
          <w:rFonts w:ascii="Times New Roman" w:hAnsi="Times New Roman" w:eastAsia="Times New Roman" w:cs="Times New Roman"/>
          <w:i/>
          <w:iCs/>
          <w:sz w:val="24"/>
          <w:szCs w:val="24"/>
        </w:rPr>
        <w:t>Eucalyptus globulus</w:t>
      </w:r>
    </w:p>
    <w:p w14:paraId="459BA5B4">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minimum inhibitory concentration (MIC)</w:t>
      </w:r>
      <w:r>
        <w:rPr>
          <w:rFonts w:ascii="Times New Roman" w:hAnsi="Times New Roman" w:eastAsia="Times New Roman" w:cs="Times New Roman"/>
          <w:sz w:val="24"/>
          <w:szCs w:val="24"/>
        </w:rPr>
        <w:t xml:space="preserve">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 against the two bacterial strains.</w:t>
      </w:r>
    </w:p>
    <w:p w14:paraId="213AC927">
      <w:pPr>
        <w:spacing w:after="0" w:line="480" w:lineRule="auto"/>
        <w:rPr>
          <w:rFonts w:ascii="Times New Roman" w:hAnsi="Times New Roman" w:eastAsia="Times New Roman" w:cs="Times New Roman"/>
          <w:b/>
          <w:sz w:val="24"/>
          <w:szCs w:val="24"/>
        </w:rPr>
      </w:pPr>
    </w:p>
    <w:p w14:paraId="05995D11">
      <w:pPr>
        <w:pStyle w:val="2"/>
        <w:spacing w:line="480" w:lineRule="auto"/>
        <w:jc w:val="center"/>
      </w:pPr>
      <w:bookmarkStart w:id="15" w:name="_Toc203146292"/>
    </w:p>
    <w:p w14:paraId="73A0AE27">
      <w:pPr>
        <w:pStyle w:val="2"/>
        <w:spacing w:line="480" w:lineRule="auto"/>
        <w:jc w:val="center"/>
      </w:pPr>
    </w:p>
    <w:p w14:paraId="30DF4803">
      <w:pPr>
        <w:pStyle w:val="2"/>
        <w:spacing w:line="480" w:lineRule="auto"/>
        <w:jc w:val="center"/>
      </w:pPr>
    </w:p>
    <w:p w14:paraId="04C24F8A">
      <w:pPr>
        <w:pStyle w:val="2"/>
        <w:spacing w:line="480" w:lineRule="auto"/>
        <w:jc w:val="center"/>
      </w:pPr>
    </w:p>
    <w:p w14:paraId="4C6D429B">
      <w:pPr>
        <w:pStyle w:val="2"/>
        <w:spacing w:line="480" w:lineRule="auto"/>
        <w:jc w:val="center"/>
      </w:pPr>
    </w:p>
    <w:p w14:paraId="07E1033C">
      <w:pPr>
        <w:pStyle w:val="2"/>
        <w:spacing w:line="480" w:lineRule="auto"/>
        <w:jc w:val="center"/>
      </w:pPr>
    </w:p>
    <w:p w14:paraId="557F6A0A">
      <w:pPr>
        <w:pStyle w:val="2"/>
        <w:spacing w:line="480" w:lineRule="auto"/>
        <w:jc w:val="center"/>
      </w:pPr>
    </w:p>
    <w:p w14:paraId="7F4AA2F4">
      <w:pPr>
        <w:pStyle w:val="2"/>
        <w:spacing w:line="480" w:lineRule="auto"/>
        <w:jc w:val="center"/>
      </w:pPr>
    </w:p>
    <w:p w14:paraId="660E8760">
      <w:pPr>
        <w:pStyle w:val="2"/>
        <w:spacing w:line="480" w:lineRule="auto"/>
        <w:jc w:val="center"/>
      </w:pPr>
    </w:p>
    <w:p w14:paraId="49BBB4D0">
      <w:pPr>
        <w:pStyle w:val="2"/>
        <w:spacing w:line="480" w:lineRule="auto"/>
        <w:jc w:val="center"/>
      </w:pPr>
    </w:p>
    <w:p w14:paraId="486305C2">
      <w:pPr>
        <w:pStyle w:val="2"/>
        <w:spacing w:line="480" w:lineRule="auto"/>
        <w:jc w:val="center"/>
      </w:pPr>
    </w:p>
    <w:p w14:paraId="10E680F4">
      <w:pPr>
        <w:pStyle w:val="2"/>
        <w:spacing w:line="480" w:lineRule="auto"/>
        <w:jc w:val="center"/>
      </w:pPr>
    </w:p>
    <w:p w14:paraId="5746502F">
      <w:pPr>
        <w:pStyle w:val="2"/>
        <w:spacing w:line="480" w:lineRule="auto"/>
        <w:jc w:val="center"/>
      </w:pPr>
    </w:p>
    <w:p w14:paraId="52CB68E2">
      <w:pPr>
        <w:pStyle w:val="2"/>
        <w:spacing w:line="480" w:lineRule="auto"/>
        <w:jc w:val="center"/>
      </w:pPr>
    </w:p>
    <w:p w14:paraId="7973E802">
      <w:pPr>
        <w:pStyle w:val="2"/>
        <w:spacing w:line="480" w:lineRule="auto"/>
        <w:jc w:val="center"/>
      </w:pPr>
    </w:p>
    <w:p w14:paraId="46D225FD">
      <w:pPr>
        <w:pStyle w:val="2"/>
        <w:spacing w:line="480" w:lineRule="auto"/>
        <w:jc w:val="center"/>
      </w:pPr>
    </w:p>
    <w:p w14:paraId="5645F3EF">
      <w:pPr>
        <w:pStyle w:val="2"/>
        <w:spacing w:line="480" w:lineRule="auto"/>
        <w:jc w:val="center"/>
      </w:pPr>
    </w:p>
    <w:p w14:paraId="258489F8">
      <w:pPr>
        <w:pStyle w:val="2"/>
        <w:spacing w:line="480" w:lineRule="auto"/>
        <w:jc w:val="center"/>
      </w:pPr>
      <w:r>
        <w:t>CHAPTER TWO</w:t>
      </w:r>
      <w:bookmarkEnd w:id="15"/>
    </w:p>
    <w:p w14:paraId="68ADC7CF">
      <w:pPr>
        <w:pStyle w:val="2"/>
        <w:spacing w:line="480" w:lineRule="auto"/>
        <w:jc w:val="center"/>
      </w:pPr>
      <w:bookmarkStart w:id="16" w:name="_Toc203146293"/>
      <w:r>
        <w:t>LITERATURE REVIEW</w:t>
      </w:r>
      <w:bookmarkEnd w:id="16"/>
    </w:p>
    <w:p w14:paraId="6DD72C6F">
      <w:pPr>
        <w:pStyle w:val="3"/>
        <w:spacing w:line="480" w:lineRule="auto"/>
      </w:pPr>
      <w:bookmarkStart w:id="17" w:name="_Toc203146294"/>
      <w:r>
        <w:t>2.1</w:t>
      </w:r>
      <w:r>
        <w:tab/>
      </w:r>
      <w:r>
        <w:t>Antibacterial Agents</w:t>
      </w:r>
      <w:bookmarkEnd w:id="17"/>
    </w:p>
    <w:p w14:paraId="72D08F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hAnsi="Times New Roman" w:cs="Times New Roman"/>
          <w:bCs/>
          <w:i/>
          <w:sz w:val="24"/>
          <w:szCs w:val="24"/>
        </w:rPr>
        <w:t>et al</w:t>
      </w:r>
      <w:r>
        <w:rPr>
          <w:rFonts w:ascii="Times New Roman" w:hAnsi="Times New Roman" w:cs="Times New Roman"/>
          <w:bCs/>
          <w:sz w:val="24"/>
          <w:szCs w:val="24"/>
        </w:rPr>
        <w:t>., 2020).</w:t>
      </w:r>
    </w:p>
    <w:p w14:paraId="46112D3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hAnsi="Times New Roman" w:cs="Times New Roman"/>
          <w:bCs/>
          <w:i/>
          <w:sz w:val="24"/>
          <w:szCs w:val="24"/>
        </w:rPr>
        <w:t>et al</w:t>
      </w:r>
      <w:r>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hAnsi="Times New Roman" w:cs="Times New Roman"/>
          <w:bCs/>
          <w:i/>
          <w:sz w:val="24"/>
          <w:szCs w:val="24"/>
        </w:rPr>
        <w:t>et al</w:t>
      </w:r>
      <w:r>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hAnsi="Times New Roman" w:cs="Times New Roman"/>
          <w:bCs/>
          <w:i/>
          <w:sz w:val="24"/>
          <w:szCs w:val="24"/>
        </w:rPr>
        <w:t>et al</w:t>
      </w:r>
      <w:r>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pPr>
        <w:pStyle w:val="4"/>
        <w:rPr>
          <w:bCs w:val="0"/>
          <w:szCs w:val="24"/>
        </w:rPr>
      </w:pPr>
      <w:bookmarkStart w:id="18" w:name="_Toc203146295"/>
      <w:r>
        <w:rPr>
          <w:bCs w:val="0"/>
          <w:szCs w:val="24"/>
        </w:rPr>
        <w:t>2.1.1</w:t>
      </w:r>
      <w:r>
        <w:rPr>
          <w:bCs w:val="0"/>
          <w:szCs w:val="24"/>
        </w:rPr>
        <w:tab/>
      </w:r>
      <w:r>
        <w:rPr>
          <w:bCs w:val="0"/>
          <w:szCs w:val="24"/>
        </w:rPr>
        <w:t>Types of Antibacterial Agents</w:t>
      </w:r>
      <w:bookmarkEnd w:id="18"/>
    </w:p>
    <w:p w14:paraId="2847F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Origin of Antibacterial Agents</w:t>
      </w:r>
    </w:p>
    <w:p w14:paraId="4A262B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Antibacterial Agents </w:t>
      </w:r>
    </w:p>
    <w:p w14:paraId="17A2FAC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hAnsi="Times New Roman" w:cs="Times New Roman"/>
          <w:bCs/>
          <w:i/>
          <w:sz w:val="24"/>
          <w:szCs w:val="24"/>
        </w:rPr>
        <w:t>et al</w:t>
      </w:r>
      <w:r>
        <w:rPr>
          <w:rFonts w:ascii="Times New Roman" w:hAnsi="Times New Roman" w:cs="Times New Roman"/>
          <w:bCs/>
          <w:sz w:val="24"/>
          <w:szCs w:val="24"/>
        </w:rPr>
        <w:t>., 2021).</w:t>
      </w:r>
    </w:p>
    <w:p w14:paraId="627C3D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Antibacterial Agents</w:t>
      </w:r>
    </w:p>
    <w:p w14:paraId="536164F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Synthetic Antibacterial Agents</w:t>
      </w:r>
    </w:p>
    <w:p w14:paraId="4649495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hAnsi="Times New Roman" w:cs="Times New Roman"/>
          <w:bCs/>
          <w:i/>
          <w:sz w:val="24"/>
          <w:szCs w:val="24"/>
        </w:rPr>
        <w:t>et al</w:t>
      </w:r>
      <w:r>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pPr>
        <w:pStyle w:val="4"/>
        <w:rPr>
          <w:bCs w:val="0"/>
          <w:szCs w:val="24"/>
        </w:rPr>
      </w:pPr>
      <w:bookmarkStart w:id="19" w:name="_Toc203146296"/>
      <w:r>
        <w:rPr>
          <w:bCs w:val="0"/>
          <w:szCs w:val="24"/>
        </w:rPr>
        <w:t>2.1.2</w:t>
      </w:r>
      <w:r>
        <w:rPr>
          <w:bCs w:val="0"/>
          <w:szCs w:val="24"/>
        </w:rPr>
        <w:tab/>
      </w:r>
      <w:r>
        <w:rPr>
          <w:bCs w:val="0"/>
          <w:szCs w:val="24"/>
        </w:rPr>
        <w:t>Spectrum of Activity</w:t>
      </w:r>
      <w:bookmarkEnd w:id="19"/>
    </w:p>
    <w:p w14:paraId="1609C2F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Narrow-Spectrum Antibacterial Agents</w:t>
      </w:r>
    </w:p>
    <w:p w14:paraId="29BF3F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Broad-Spectrum Antibacterial Agents</w:t>
      </w:r>
    </w:p>
    <w:p w14:paraId="4441DC5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hAnsi="Times New Roman" w:cs="Times New Roman"/>
          <w:bCs/>
          <w:i/>
          <w:sz w:val="24"/>
          <w:szCs w:val="24"/>
        </w:rPr>
        <w:t>et al</w:t>
      </w:r>
      <w:r>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pPr>
        <w:pStyle w:val="4"/>
      </w:pPr>
      <w:bookmarkStart w:id="20" w:name="_Toc203146297"/>
      <w:r>
        <w:t>2.1.3</w:t>
      </w:r>
      <w:r>
        <w:tab/>
      </w:r>
      <w:r>
        <w:t>Mechanisms of Action</w:t>
      </w:r>
      <w:bookmarkEnd w:id="20"/>
    </w:p>
    <w:p w14:paraId="151FA07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Cs/>
          <w:sz w:val="24"/>
          <w:szCs w:val="24"/>
        </w:rPr>
        <w:t>Cell Wall Synthesis Inhibitors</w:t>
      </w:r>
    </w:p>
    <w:p w14:paraId="5C55C1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Protein Synthesis Inhibitors</w:t>
      </w:r>
    </w:p>
    <w:p w14:paraId="2540CF1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hAnsi="Times New Roman" w:cs="Times New Roman"/>
          <w:bCs/>
          <w:i/>
          <w:sz w:val="24"/>
          <w:szCs w:val="24"/>
        </w:rPr>
        <w:t>et al</w:t>
      </w:r>
      <w:r>
        <w:rPr>
          <w:rFonts w:ascii="Times New Roman" w:hAnsi="Times New Roman" w:cs="Times New Roman"/>
          <w:bCs/>
          <w:sz w:val="24"/>
          <w:szCs w:val="24"/>
        </w:rPr>
        <w:t>., 2020).</w:t>
      </w:r>
    </w:p>
    <w:p w14:paraId="42547D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DNA Synthesis Inhibitors</w:t>
      </w:r>
    </w:p>
    <w:p w14:paraId="3E5D2FB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pPr>
        <w:spacing w:after="0" w:line="480" w:lineRule="auto"/>
        <w:jc w:val="both"/>
        <w:rPr>
          <w:rFonts w:ascii="Times New Roman" w:hAnsi="Times New Roman" w:cs="Times New Roman"/>
          <w:bCs/>
          <w:sz w:val="24"/>
          <w:szCs w:val="24"/>
        </w:rPr>
      </w:pPr>
    </w:p>
    <w:p w14:paraId="49F80E0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bCs/>
          <w:sz w:val="24"/>
          <w:szCs w:val="24"/>
        </w:rPr>
        <w:t>Cell Membrane Disruptors</w:t>
      </w:r>
    </w:p>
    <w:p w14:paraId="4C403F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hAnsi="Times New Roman" w:cs="Times New Roman"/>
          <w:bCs/>
          <w:i/>
          <w:sz w:val="24"/>
          <w:szCs w:val="24"/>
        </w:rPr>
        <w:t>et al</w:t>
      </w:r>
      <w:r>
        <w:rPr>
          <w:rFonts w:ascii="Times New Roman" w:hAnsi="Times New Roman" w:cs="Times New Roman"/>
          <w:bCs/>
          <w:sz w:val="24"/>
          <w:szCs w:val="24"/>
        </w:rPr>
        <w:t>., 2021).</w:t>
      </w:r>
    </w:p>
    <w:p w14:paraId="57C460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Metabolic Pathway Inhibitors</w:t>
      </w:r>
    </w:p>
    <w:p w14:paraId="23A900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hAnsi="Times New Roman" w:cs="Times New Roman"/>
          <w:bCs/>
          <w:i/>
          <w:sz w:val="24"/>
          <w:szCs w:val="24"/>
        </w:rPr>
        <w:t>et al</w:t>
      </w:r>
      <w:r>
        <w:rPr>
          <w:rFonts w:ascii="Times New Roman" w:hAnsi="Times New Roman" w:cs="Times New Roman"/>
          <w:bCs/>
          <w:sz w:val="24"/>
          <w:szCs w:val="24"/>
        </w:rPr>
        <w:t>., 2015).</w:t>
      </w:r>
    </w:p>
    <w:p w14:paraId="25906309">
      <w:pPr>
        <w:pStyle w:val="4"/>
      </w:pPr>
      <w:bookmarkStart w:id="21" w:name="_Toc203146298"/>
      <w:r>
        <w:t>2.1.4</w:t>
      </w:r>
      <w:r>
        <w:tab/>
      </w:r>
      <w:r>
        <w:t>Combination Therapy</w:t>
      </w:r>
      <w:bookmarkEnd w:id="21"/>
    </w:p>
    <w:p w14:paraId="2F340A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pPr>
        <w:pStyle w:val="3"/>
      </w:pPr>
      <w:bookmarkStart w:id="22" w:name="_Toc203146299"/>
      <w:r>
        <w:t>2.2</w:t>
      </w:r>
      <w:r>
        <w:tab/>
      </w:r>
      <w:r>
        <w:t>Overview of Eucalyptus globulus</w:t>
      </w:r>
      <w:bookmarkEnd w:id="22"/>
    </w:p>
    <w:p w14:paraId="3B24E73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hAnsi="Times New Roman" w:cs="Times New Roman"/>
          <w:bCs/>
          <w:i/>
          <w:sz w:val="24"/>
          <w:szCs w:val="24"/>
        </w:rPr>
        <w:t>et al</w:t>
      </w:r>
      <w:r>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hAnsi="Times New Roman" w:cs="Times New Roman"/>
          <w:bCs/>
          <w:i/>
          <w:sz w:val="24"/>
          <w:szCs w:val="24"/>
        </w:rPr>
        <w:t>et al</w:t>
      </w:r>
      <w:r>
        <w:rPr>
          <w:rFonts w:ascii="Times New Roman" w:hAnsi="Times New Roman" w:cs="Times New Roman"/>
          <w:bCs/>
          <w:sz w:val="24"/>
          <w:szCs w:val="24"/>
        </w:rPr>
        <w:t>., 2020).</w:t>
      </w:r>
    </w:p>
    <w:p w14:paraId="11C718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hAnsi="Times New Roman" w:cs="Times New Roman"/>
          <w:bCs/>
          <w:i/>
          <w:sz w:val="24"/>
          <w:szCs w:val="24"/>
        </w:rPr>
        <w:t>et al</w:t>
      </w:r>
      <w:r>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hAnsi="Times New Roman" w:cs="Times New Roman"/>
          <w:bCs/>
          <w:i/>
          <w:sz w:val="24"/>
          <w:szCs w:val="24"/>
        </w:rPr>
        <w:t>et al</w:t>
      </w:r>
      <w:r>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hAnsi="Times New Roman" w:cs="Times New Roman"/>
          <w:bCs/>
          <w:i/>
          <w:sz w:val="24"/>
          <w:szCs w:val="24"/>
        </w:rPr>
        <w:t>et al</w:t>
      </w:r>
      <w:r>
        <w:rPr>
          <w:rFonts w:ascii="Times New Roman" w:hAnsi="Times New Roman" w:cs="Times New Roman"/>
          <w:bCs/>
          <w:sz w:val="24"/>
          <w:szCs w:val="24"/>
        </w:rPr>
        <w:t xml:space="preserve">., 2018; Silva </w:t>
      </w:r>
      <w:r>
        <w:rPr>
          <w:rFonts w:ascii="Times New Roman" w:hAnsi="Times New Roman" w:cs="Times New Roman"/>
          <w:bCs/>
          <w:i/>
          <w:sz w:val="24"/>
          <w:szCs w:val="24"/>
        </w:rPr>
        <w:t>et al</w:t>
      </w:r>
      <w:r>
        <w:rPr>
          <w:rFonts w:ascii="Times New Roman" w:hAnsi="Times New Roman" w:cs="Times New Roman"/>
          <w:bCs/>
          <w:sz w:val="24"/>
          <w:szCs w:val="24"/>
        </w:rPr>
        <w:t>., 2020).</w:t>
      </w:r>
    </w:p>
    <w:p w14:paraId="1DFA1EFA">
      <w:pPr>
        <w:pStyle w:val="3"/>
        <w:spacing w:line="480" w:lineRule="auto"/>
      </w:pPr>
      <w:bookmarkStart w:id="23" w:name="_Toc203146300"/>
      <w:r>
        <w:t>2.3</w:t>
      </w:r>
      <w:r>
        <w:tab/>
      </w:r>
      <w:r>
        <w:t xml:space="preserve">Methicillin -Resistant Staphylococcus </w:t>
      </w:r>
      <w:r>
        <w:rPr>
          <w:i/>
        </w:rPr>
        <w:t>aureus</w:t>
      </w:r>
      <w:r>
        <w:t xml:space="preserve"> (MRSA)</w:t>
      </w:r>
      <w:bookmarkEnd w:id="23"/>
    </w:p>
    <w:p w14:paraId="1F831A7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hAnsi="Times New Roman" w:cs="Times New Roman"/>
          <w:bCs/>
          <w:i/>
          <w:sz w:val="24"/>
          <w:szCs w:val="24"/>
        </w:rPr>
        <w:t>et al</w:t>
      </w:r>
      <w:r>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hAnsi="Times New Roman" w:cs="Times New Roman"/>
          <w:bCs/>
          <w:i/>
          <w:sz w:val="24"/>
          <w:szCs w:val="24"/>
        </w:rPr>
        <w:t>et al</w:t>
      </w:r>
      <w:r>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10E0B5AE">
      <w:pPr>
        <w:pStyle w:val="4"/>
      </w:pPr>
      <w:bookmarkStart w:id="24" w:name="_Toc203146301"/>
      <w:r>
        <w:t>2.3.1</w:t>
      </w:r>
      <w:r>
        <w:tab/>
      </w:r>
      <w:r>
        <w:t>Mechanisms of Resistance</w:t>
      </w:r>
      <w:bookmarkEnd w:id="24"/>
    </w:p>
    <w:p w14:paraId="17A688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hAnsi="Times New Roman" w:cs="Times New Roman"/>
          <w:bCs/>
          <w:i/>
          <w:sz w:val="24"/>
          <w:szCs w:val="24"/>
        </w:rPr>
        <w:t>et al</w:t>
      </w:r>
      <w:r>
        <w:rPr>
          <w:rFonts w:ascii="Times New Roman" w:hAnsi="Times New Roman" w:cs="Times New Roman"/>
          <w:bCs/>
          <w:sz w:val="24"/>
          <w:szCs w:val="24"/>
        </w:rPr>
        <w:t>., 2020).</w:t>
      </w:r>
    </w:p>
    <w:p w14:paraId="6AD59AED">
      <w:pPr>
        <w:pStyle w:val="4"/>
      </w:pPr>
      <w:bookmarkStart w:id="25" w:name="_Toc203146302"/>
      <w:r>
        <w:t>2.3.2</w:t>
      </w:r>
      <w:r>
        <w:tab/>
      </w:r>
      <w:r>
        <w:t>Epidemiology and Clinical Impact</w:t>
      </w:r>
      <w:bookmarkEnd w:id="25"/>
    </w:p>
    <w:p w14:paraId="1FA566A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hAnsi="Times New Roman" w:cs="Times New Roman"/>
          <w:bCs/>
          <w:i/>
          <w:sz w:val="24"/>
          <w:szCs w:val="24"/>
        </w:rPr>
        <w:t>et al</w:t>
      </w:r>
      <w:r>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275F74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hAnsi="Times New Roman" w:cs="Times New Roman"/>
          <w:bCs/>
          <w:i/>
          <w:sz w:val="24"/>
          <w:szCs w:val="24"/>
        </w:rPr>
        <w:t>et al</w:t>
      </w:r>
      <w:r>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pPr>
        <w:pStyle w:val="3"/>
        <w:spacing w:line="480" w:lineRule="auto"/>
      </w:pPr>
      <w:bookmarkStart w:id="26" w:name="_Toc203146303"/>
      <w:r>
        <w:t>2.4</w:t>
      </w:r>
      <w:r>
        <w:tab/>
      </w:r>
      <w:r>
        <w:rPr>
          <w:i/>
        </w:rPr>
        <w:t>Escherichia coli</w:t>
      </w:r>
      <w:r>
        <w:t xml:space="preserve"> Infections and Resistance</w:t>
      </w:r>
      <w:bookmarkEnd w:id="26"/>
    </w:p>
    <w:p w14:paraId="24FE38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Escherichia coli (</w:t>
      </w:r>
      <w:r>
        <w:rPr>
          <w:rFonts w:ascii="Times New Roman" w:hAnsi="Times New Roman" w:cs="Times New Roman"/>
          <w:bCs/>
          <w:i/>
          <w:sz w:val="24"/>
          <w:szCs w:val="24"/>
        </w:rPr>
        <w:t>E. coli</w:t>
      </w:r>
      <w:r>
        <w:rPr>
          <w:rFonts w:ascii="Times New Roman" w:hAnsi="Times New Roman" w:cs="Times New Roman"/>
          <w:bCs/>
          <w:sz w:val="24"/>
          <w:szCs w:val="24"/>
        </w:rPr>
        <w:t xml:space="preserve">) is a gram-negative bacterium commonly found in the intestines of humans and animals. While many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hAnsi="Times New Roman" w:cs="Times New Roman"/>
          <w:bCs/>
          <w:i/>
          <w:sz w:val="24"/>
          <w:szCs w:val="24"/>
        </w:rPr>
        <w:t>et al</w:t>
      </w:r>
      <w:r>
        <w:rPr>
          <w:rFonts w:ascii="Times New Roman" w:hAnsi="Times New Roman" w:cs="Times New Roman"/>
          <w:bCs/>
          <w:sz w:val="24"/>
          <w:szCs w:val="24"/>
        </w:rPr>
        <w:t xml:space="preserve">., 2021). In recent years, the increasing resistance of </w:t>
      </w:r>
      <w:r>
        <w:rPr>
          <w:rFonts w:ascii="Times New Roman" w:hAnsi="Times New Roman" w:cs="Times New Roman"/>
          <w:bCs/>
          <w:i/>
          <w:sz w:val="24"/>
          <w:szCs w:val="24"/>
        </w:rPr>
        <w:t>E. coli</w:t>
      </w:r>
      <w:r>
        <w:rPr>
          <w:rFonts w:ascii="Times New Roman" w:hAnsi="Times New Roman" w:cs="Times New Roman"/>
          <w:bCs/>
          <w:sz w:val="24"/>
          <w:szCs w:val="24"/>
        </w:rPr>
        <w:t xml:space="preserve"> to multiple antibiotics has become a significant public health concern.</w:t>
      </w:r>
    </w:p>
    <w:p w14:paraId="47D30A71">
      <w:pPr>
        <w:pStyle w:val="4"/>
      </w:pPr>
      <w:bookmarkStart w:id="27" w:name="_Toc203146304"/>
      <w:r>
        <w:t>2.4.1</w:t>
      </w:r>
      <w:r>
        <w:tab/>
      </w:r>
      <w:r>
        <w:t xml:space="preserve">Pathogenic Strains of </w:t>
      </w:r>
      <w:r>
        <w:rPr>
          <w:i/>
          <w:iCs/>
        </w:rPr>
        <w:t>Escherichia coli</w:t>
      </w:r>
      <w:bookmarkEnd w:id="27"/>
    </w:p>
    <w:p w14:paraId="064466D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are caused by specific pathogenic strains. Among the most notable of these are Enterotoxigenic </w:t>
      </w:r>
      <w:r>
        <w:rPr>
          <w:rFonts w:ascii="Times New Roman" w:hAnsi="Times New Roman" w:cs="Times New Roman"/>
          <w:bCs/>
          <w:i/>
          <w:sz w:val="24"/>
          <w:szCs w:val="24"/>
        </w:rPr>
        <w:t>E. coli</w:t>
      </w:r>
      <w:r>
        <w:rPr>
          <w:rFonts w:ascii="Times New Roman" w:hAnsi="Times New Roman" w:cs="Times New Roman"/>
          <w:bCs/>
          <w:sz w:val="24"/>
          <w:szCs w:val="24"/>
        </w:rPr>
        <w:t xml:space="preserve"> (ETEC), which is commonly associated with traveler's diarrhea, and Enteropathogenic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(EPEC), a major cause of infant diarrhea. Another significant pathogenic strain, Enterohemorrhagic </w:t>
      </w:r>
      <w:r>
        <w:rPr>
          <w:rFonts w:ascii="Times New Roman" w:hAnsi="Times New Roman" w:cs="Times New Roman"/>
          <w:bCs/>
          <w:i/>
          <w:sz w:val="24"/>
          <w:szCs w:val="24"/>
        </w:rPr>
        <w:t>E. coli</w:t>
      </w:r>
      <w:r>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(UPEC) is another key strain, primarily responsible for UTIs, both in community settings and healthcare facilities (Zong </w:t>
      </w:r>
      <w:r>
        <w:rPr>
          <w:rFonts w:ascii="Times New Roman" w:hAnsi="Times New Roman" w:cs="Times New Roman"/>
          <w:bCs/>
          <w:i/>
          <w:sz w:val="24"/>
          <w:szCs w:val="24"/>
        </w:rPr>
        <w:t>et al</w:t>
      </w:r>
      <w:r>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pPr>
        <w:pStyle w:val="4"/>
      </w:pPr>
      <w:bookmarkStart w:id="28" w:name="_Toc203146305"/>
      <w:r>
        <w:t>2.4.2</w:t>
      </w:r>
      <w:r>
        <w:tab/>
      </w:r>
      <w:r>
        <w:t xml:space="preserve">Mechanisms of Antibiotic Resistance in </w:t>
      </w:r>
      <w:r>
        <w:rPr>
          <w:i/>
          <w:iCs/>
        </w:rPr>
        <w:t>Escherichia coli</w:t>
      </w:r>
      <w:bookmarkEnd w:id="28"/>
    </w:p>
    <w:p w14:paraId="35B877C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significant concern regarding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is the growing problem of antibiotic resistance. Several mechanisms contribute to the ability of </w:t>
      </w:r>
      <w:r>
        <w:rPr>
          <w:rFonts w:ascii="Times New Roman" w:hAnsi="Times New Roman" w:cs="Times New Roman"/>
          <w:bCs/>
          <w:i/>
          <w:sz w:val="24"/>
          <w:szCs w:val="24"/>
        </w:rPr>
        <w:t>E. coli</w:t>
      </w:r>
      <w:r>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hAnsi="Times New Roman" w:cs="Times New Roman"/>
          <w:bCs/>
          <w:i/>
          <w:sz w:val="24"/>
          <w:szCs w:val="24"/>
        </w:rPr>
        <w:t>E. coli</w:t>
      </w:r>
      <w:r>
        <w:rPr>
          <w:rFonts w:ascii="Times New Roman" w:hAnsi="Times New Roman" w:cs="Times New Roman"/>
          <w:bCs/>
          <w:sz w:val="24"/>
          <w:szCs w:val="24"/>
        </w:rPr>
        <w:t xml:space="preserve"> (Paterson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beta-lactam resistance, </w:t>
      </w:r>
      <w:r>
        <w:rPr>
          <w:rFonts w:ascii="Times New Roman" w:hAnsi="Times New Roman" w:cs="Times New Roman"/>
          <w:bCs/>
          <w:i/>
          <w:sz w:val="24"/>
          <w:szCs w:val="24"/>
        </w:rPr>
        <w:t>E. coli</w:t>
      </w:r>
      <w:r>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hAnsi="Times New Roman" w:cs="Times New Roman"/>
          <w:bCs/>
          <w:i/>
          <w:sz w:val="24"/>
          <w:szCs w:val="24"/>
        </w:rPr>
        <w:t>et al</w:t>
      </w:r>
      <w:r>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hAnsi="Times New Roman" w:cs="Times New Roman"/>
          <w:bCs/>
          <w:i/>
          <w:sz w:val="24"/>
          <w:szCs w:val="24"/>
        </w:rPr>
        <w:t>E. coli</w:t>
      </w:r>
      <w:r>
        <w:rPr>
          <w:rFonts w:ascii="Times New Roman" w:hAnsi="Times New Roman" w:cs="Times New Roman"/>
          <w:bCs/>
          <w:sz w:val="24"/>
          <w:szCs w:val="24"/>
        </w:rPr>
        <w:t xml:space="preserve"> strains. The emergence of carbapenemases, such as New Delhi metallo-beta-lactamase (NDM) and Klebsiella pneumoniae carbapenemase (KPC), in </w:t>
      </w:r>
      <w:r>
        <w:rPr>
          <w:rFonts w:ascii="Times New Roman" w:hAnsi="Times New Roman" w:cs="Times New Roman"/>
          <w:bCs/>
          <w:i/>
          <w:sz w:val="24"/>
          <w:szCs w:val="24"/>
        </w:rPr>
        <w:t>E. coli</w:t>
      </w:r>
      <w:r>
        <w:rPr>
          <w:rFonts w:ascii="Times New Roman" w:hAnsi="Times New Roman" w:cs="Times New Roman"/>
          <w:bCs/>
          <w:sz w:val="24"/>
          <w:szCs w:val="24"/>
        </w:rPr>
        <w:t xml:space="preserve"> poses a serious threat to public health by rendering these antibiotics ineffective and limiting treatment options (Tucker </w:t>
      </w:r>
      <w:r>
        <w:rPr>
          <w:rFonts w:ascii="Times New Roman" w:hAnsi="Times New Roman" w:cs="Times New Roman"/>
          <w:bCs/>
          <w:i/>
          <w:sz w:val="24"/>
          <w:szCs w:val="24"/>
        </w:rPr>
        <w:t>et al</w:t>
      </w:r>
      <w:r>
        <w:rPr>
          <w:rFonts w:ascii="Times New Roman" w:hAnsi="Times New Roman" w:cs="Times New Roman"/>
          <w:bCs/>
          <w:sz w:val="24"/>
          <w:szCs w:val="24"/>
        </w:rPr>
        <w:t xml:space="preserve">., 2019). The increasing prevalence of multidrug-resistant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hAnsi="Times New Roman" w:cs="Times New Roman"/>
          <w:bCs/>
          <w:i/>
          <w:sz w:val="24"/>
          <w:szCs w:val="24"/>
        </w:rPr>
        <w:t>et al</w:t>
      </w:r>
      <w:r>
        <w:rPr>
          <w:rFonts w:ascii="Times New Roman" w:hAnsi="Times New Roman" w:cs="Times New Roman"/>
          <w:bCs/>
          <w:sz w:val="24"/>
          <w:szCs w:val="24"/>
        </w:rPr>
        <w:t>., 2020).</w:t>
      </w:r>
    </w:p>
    <w:p w14:paraId="00D8871C">
      <w:pPr>
        <w:pStyle w:val="4"/>
      </w:pPr>
      <w:bookmarkStart w:id="29" w:name="_Toc203146306"/>
      <w:r>
        <w:t>2.4.3</w:t>
      </w:r>
      <w:r>
        <w:tab/>
      </w:r>
      <w:r>
        <w:t xml:space="preserve">Clinical Impact of </w:t>
      </w:r>
      <w:r>
        <w:rPr>
          <w:i/>
          <w:iCs/>
        </w:rPr>
        <w:t xml:space="preserve">E. coli </w:t>
      </w:r>
      <w:r>
        <w:t>Resistance</w:t>
      </w:r>
      <w:bookmarkEnd w:id="29"/>
    </w:p>
    <w:p w14:paraId="0DC3E0E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rise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within healthcare settings can lead to outbreaks, further complicating infection control efforts. For example, resistant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hAnsi="Times New Roman" w:cs="Times New Roman"/>
          <w:bCs/>
          <w:i/>
          <w:sz w:val="24"/>
          <w:szCs w:val="24"/>
        </w:rPr>
        <w:t>et al</w:t>
      </w:r>
      <w:r>
        <w:rPr>
          <w:rFonts w:ascii="Times New Roman" w:hAnsi="Times New Roman" w:cs="Times New Roman"/>
          <w:bCs/>
          <w:sz w:val="24"/>
          <w:szCs w:val="24"/>
        </w:rPr>
        <w:t>., 2019).</w:t>
      </w:r>
    </w:p>
    <w:p w14:paraId="2E983D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combat the increasing prevalence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in hospitals and other healthcare environments.</w:t>
      </w:r>
    </w:p>
    <w:p w14:paraId="216E3B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Research into alternative therapies is also underway to provide new options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hAnsi="Times New Roman" w:cs="Times New Roman"/>
          <w:bCs/>
          <w:i/>
          <w:sz w:val="24"/>
          <w:szCs w:val="24"/>
        </w:rPr>
        <w:t>E. coli</w:t>
      </w:r>
      <w:r>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(Wu </w:t>
      </w:r>
      <w:r>
        <w:rPr>
          <w:rFonts w:ascii="Times New Roman" w:hAnsi="Times New Roman" w:cs="Times New Roman"/>
          <w:bCs/>
          <w:i/>
          <w:sz w:val="24"/>
          <w:szCs w:val="24"/>
        </w:rPr>
        <w:t>et al</w:t>
      </w:r>
      <w:r>
        <w:rPr>
          <w:rFonts w:ascii="Times New Roman" w:hAnsi="Times New Roman" w:cs="Times New Roman"/>
          <w:bCs/>
          <w:sz w:val="24"/>
          <w:szCs w:val="24"/>
        </w:rPr>
        <w:t>., 2020).</w:t>
      </w:r>
    </w:p>
    <w:p w14:paraId="01109CF6">
      <w:pPr>
        <w:spacing w:after="0" w:line="480" w:lineRule="auto"/>
        <w:jc w:val="both"/>
        <w:rPr>
          <w:rFonts w:ascii="Times New Roman" w:hAnsi="Times New Roman" w:cs="Times New Roman"/>
          <w:bCs/>
          <w:sz w:val="24"/>
          <w:szCs w:val="24"/>
        </w:rPr>
      </w:pPr>
    </w:p>
    <w:p w14:paraId="53DF067D">
      <w:pPr>
        <w:spacing w:after="0" w:line="480" w:lineRule="auto"/>
        <w:jc w:val="both"/>
        <w:rPr>
          <w:rFonts w:ascii="Times New Roman" w:hAnsi="Times New Roman" w:cs="Times New Roman"/>
          <w:bCs/>
          <w:sz w:val="24"/>
          <w:szCs w:val="24"/>
        </w:rPr>
      </w:pPr>
    </w:p>
    <w:p w14:paraId="2ABA0A7A">
      <w:pPr>
        <w:jc w:val="both"/>
        <w:rPr>
          <w:rFonts w:ascii="Times New Roman" w:hAnsi="Times New Roman" w:cs="Times New Roman"/>
          <w:b/>
          <w:sz w:val="24"/>
          <w:szCs w:val="24"/>
        </w:rPr>
      </w:pPr>
    </w:p>
    <w:p w14:paraId="6D5837F6">
      <w:pPr>
        <w:rPr>
          <w:rFonts w:ascii="Times New Roman" w:hAnsi="Times New Roman" w:cs="Times New Roman"/>
          <w:b/>
          <w:sz w:val="24"/>
          <w:szCs w:val="24"/>
        </w:rPr>
      </w:pPr>
    </w:p>
    <w:p w14:paraId="31AD43ED">
      <w:pPr>
        <w:pStyle w:val="2"/>
        <w:jc w:val="both"/>
      </w:pPr>
      <w:bookmarkStart w:id="30" w:name="_Toc203146307"/>
    </w:p>
    <w:p w14:paraId="0E7C4B81"/>
    <w:p w14:paraId="23AC8A98"/>
    <w:p w14:paraId="29422E37"/>
    <w:p w14:paraId="430D4C35">
      <w:pPr>
        <w:pStyle w:val="2"/>
        <w:jc w:val="center"/>
      </w:pPr>
    </w:p>
    <w:p w14:paraId="6BFFE44E"/>
    <w:p w14:paraId="73887740"/>
    <w:p w14:paraId="69E1D025"/>
    <w:p w14:paraId="0A160790"/>
    <w:p w14:paraId="0E11372F"/>
    <w:p w14:paraId="5790618B"/>
    <w:p w14:paraId="1FA9178D"/>
    <w:p w14:paraId="2C4C68EF"/>
    <w:p w14:paraId="41E21877"/>
    <w:p w14:paraId="2D5E0311">
      <w:pPr>
        <w:pStyle w:val="2"/>
        <w:jc w:val="both"/>
      </w:pPr>
    </w:p>
    <w:p w14:paraId="1955D91B">
      <w:pPr>
        <w:pStyle w:val="2"/>
        <w:ind w:left="2880" w:leftChars="0" w:firstLine="720" w:firstLineChars="0"/>
        <w:jc w:val="both"/>
      </w:pPr>
      <w:r>
        <w:t>CHAPTER THREE</w:t>
      </w:r>
      <w:bookmarkEnd w:id="30"/>
    </w:p>
    <w:p w14:paraId="0D769FD4">
      <w:pPr>
        <w:pStyle w:val="2"/>
        <w:spacing w:line="480" w:lineRule="auto"/>
        <w:jc w:val="center"/>
      </w:pPr>
      <w:bookmarkStart w:id="31" w:name="_Toc203146308"/>
      <w:r>
        <w:t>MATERIALS AND METHODS</w:t>
      </w:r>
      <w:bookmarkEnd w:id="31"/>
    </w:p>
    <w:p w14:paraId="1ADE3247">
      <w:pPr>
        <w:pStyle w:val="3"/>
        <w:spacing w:line="480" w:lineRule="auto"/>
        <w:rPr>
          <w:rFonts w:eastAsia="Times New Roman"/>
        </w:rPr>
      </w:pPr>
      <w:bookmarkStart w:id="32" w:name="_Toc203146309"/>
      <w:r>
        <w:rPr>
          <w:rFonts w:eastAsia="Times New Roman"/>
        </w:rPr>
        <w:t>3.1</w:t>
      </w:r>
      <w:r>
        <w:rPr>
          <w:rFonts w:eastAsia="Times New Roman"/>
        </w:rPr>
        <w:tab/>
      </w:r>
      <w:r>
        <w:rPr>
          <w:rFonts w:eastAsia="Times New Roman"/>
        </w:rPr>
        <w:t>Study Area and Sample Collection</w:t>
      </w:r>
      <w:bookmarkEnd w:id="32"/>
    </w:p>
    <w:p w14:paraId="593B925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was conducted in the Microbiology Laboratory Unit of Kwara State Polytechnic, Ilorin, Nigeria. The clinical isolates of </w:t>
      </w:r>
      <w:r>
        <w:rPr>
          <w:rFonts w:ascii="Times New Roman" w:hAnsi="Times New Roman" w:eastAsia="Times New Roman" w:cs="Times New Roman"/>
          <w:i/>
          <w:iCs/>
          <w:sz w:val="24"/>
          <w:szCs w:val="24"/>
        </w:rPr>
        <w:t>Methicillin-Resistant 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E. coli</w:t>
      </w:r>
      <w:r>
        <w:rPr>
          <w:rFonts w:ascii="Times New Roman" w:hAnsi="Times New Roman" w:eastAsia="Times New Roman" w:cs="Times New Roman"/>
          <w:sz w:val="24"/>
          <w:szCs w:val="24"/>
        </w:rPr>
        <w:t xml:space="preserve"> ) were obtained from the University of Ilorin Teaching Hospital (UITH), Ilorin, Kwara State. These isolates were selected for their clinical significance and resistance patterns.</w:t>
      </w:r>
    </w:p>
    <w:p w14:paraId="5D6A6840">
      <w:pPr>
        <w:pStyle w:val="3"/>
      </w:pPr>
      <w:bookmarkStart w:id="33" w:name="_Toc203146310"/>
      <w:r>
        <w:t>3.2</w:t>
      </w:r>
      <w:r>
        <w:tab/>
      </w:r>
      <w:r>
        <w:t>Collection and Preparation of Plant Material</w:t>
      </w:r>
      <w:bookmarkEnd w:id="33"/>
    </w:p>
    <w:p w14:paraId="562E4C1F">
      <w:pPr>
        <w:pStyle w:val="12"/>
        <w:spacing w:line="480" w:lineRule="auto"/>
        <w:jc w:val="both"/>
      </w:pPr>
      <w:r>
        <w:t xml:space="preserve">Fresh leaves of </w:t>
      </w:r>
      <w:r>
        <w:rPr>
          <w:rStyle w:val="8"/>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p w14:paraId="492B182E">
      <w:pPr>
        <w:pStyle w:val="3"/>
      </w:pPr>
      <w:bookmarkStart w:id="34" w:name="_Toc203146311"/>
      <w:r>
        <w:t>3.3</w:t>
      </w:r>
      <w:r>
        <w:tab/>
      </w:r>
      <w:r>
        <w:t>Preparation of Plant Extracts</w:t>
      </w:r>
      <w:bookmarkEnd w:id="34"/>
    </w:p>
    <w:p w14:paraId="154B6B2A">
      <w:pPr>
        <w:pStyle w:val="4"/>
        <w:rPr>
          <w:rFonts w:eastAsiaTheme="minorHAnsi"/>
        </w:rPr>
      </w:pPr>
      <w:bookmarkStart w:id="35" w:name="_Toc203146312"/>
      <w:r>
        <w:rPr>
          <w:rFonts w:eastAsiaTheme="minorHAnsi"/>
        </w:rPr>
        <w:t>3.3.1</w:t>
      </w:r>
      <w:r>
        <w:rPr>
          <w:rFonts w:eastAsiaTheme="minorHAnsi"/>
        </w:rPr>
        <w:tab/>
      </w:r>
      <w:r>
        <w:rPr>
          <w:rFonts w:eastAsiaTheme="minorHAnsi"/>
        </w:rPr>
        <w:t>Ethanol Extraction</w:t>
      </w:r>
      <w:bookmarkEnd w:id="35"/>
    </w:p>
    <w:p w14:paraId="095AE48E">
      <w:pPr>
        <w:pStyle w:val="12"/>
        <w:spacing w:before="0" w:beforeAutospacing="0" w:after="0" w:afterAutospacing="0" w:line="480" w:lineRule="auto"/>
        <w:jc w:val="both"/>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pPr>
        <w:pStyle w:val="4"/>
        <w:spacing w:before="0"/>
        <w:rPr>
          <w:bCs w:val="0"/>
          <w:szCs w:val="24"/>
        </w:rPr>
      </w:pPr>
    </w:p>
    <w:p w14:paraId="7EFEDB32">
      <w:pPr>
        <w:pStyle w:val="3"/>
        <w:rPr>
          <w:bCs/>
        </w:rPr>
      </w:pPr>
      <w:bookmarkStart w:id="36" w:name="_Toc203146313"/>
      <w:r>
        <w:t>3.4</w:t>
      </w:r>
      <w:r>
        <w:tab/>
      </w:r>
      <w:r>
        <w:t>Phytochemical Screening</w:t>
      </w:r>
      <w:bookmarkEnd w:id="36"/>
    </w:p>
    <w:p w14:paraId="122C1589">
      <w:pPr>
        <w:pStyle w:val="12"/>
        <w:spacing w:before="0" w:beforeAutospacing="0" w:line="480" w:lineRule="auto"/>
        <w:jc w:val="both"/>
      </w:pPr>
      <w:r>
        <w:t xml:space="preserve">Preliminary phytochemical screening was conducted, ethanol extracts of </w:t>
      </w:r>
      <w:r>
        <w:rPr>
          <w:rStyle w:val="8"/>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p w14:paraId="4042F2B9">
      <w:pPr>
        <w:pStyle w:val="4"/>
      </w:pPr>
      <w:bookmarkStart w:id="37" w:name="_Toc203146314"/>
      <w:r>
        <w:t>3.4.1</w:t>
      </w:r>
      <w:r>
        <w:tab/>
      </w:r>
      <w:r>
        <w:t>Test for Alkaloids</w:t>
      </w:r>
      <w:bookmarkEnd w:id="37"/>
    </w:p>
    <w:p w14:paraId="636687C2">
      <w:pPr>
        <w:pStyle w:val="12"/>
        <w:spacing w:before="0" w:beforeAutospacing="0" w:line="480" w:lineRule="auto"/>
        <w:jc w:val="both"/>
      </w:pPr>
      <w:r>
        <w:t>Two drops of Mayer’s reagent were added to 2 ml of each extract . The formation of a cream-colored precipitate indicated the presence of alkaloids in the extract.</w:t>
      </w:r>
    </w:p>
    <w:p w14:paraId="6F731489">
      <w:pPr>
        <w:pStyle w:val="4"/>
      </w:pPr>
      <w:bookmarkStart w:id="38" w:name="_Toc203146315"/>
      <w:r>
        <w:t>3.4.2</w:t>
      </w:r>
      <w:r>
        <w:tab/>
      </w:r>
      <w:r>
        <w:t>Test for Flavonoids</w:t>
      </w:r>
      <w:bookmarkEnd w:id="38"/>
    </w:p>
    <w:p w14:paraId="2CE7BDA9">
      <w:pPr>
        <w:pStyle w:val="12"/>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pPr>
        <w:pStyle w:val="4"/>
      </w:pPr>
      <w:bookmarkStart w:id="39" w:name="_Toc203146316"/>
      <w:r>
        <w:t>3.4.3</w:t>
      </w:r>
      <w:r>
        <w:tab/>
      </w:r>
      <w:r>
        <w:t>Test for Tannins</w:t>
      </w:r>
      <w:bookmarkEnd w:id="39"/>
    </w:p>
    <w:p w14:paraId="7EA88742">
      <w:pPr>
        <w:pStyle w:val="12"/>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pPr>
        <w:pStyle w:val="4"/>
      </w:pPr>
      <w:bookmarkStart w:id="40" w:name="_Toc203146317"/>
      <w:r>
        <w:t>3.4.4</w:t>
      </w:r>
      <w:r>
        <w:tab/>
      </w:r>
      <w:r>
        <w:t>Test for Saponins</w:t>
      </w:r>
      <w:bookmarkEnd w:id="40"/>
    </w:p>
    <w:p w14:paraId="6E425494">
      <w:pPr>
        <w:pStyle w:val="12"/>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pPr>
        <w:pStyle w:val="4"/>
      </w:pPr>
      <w:bookmarkStart w:id="41" w:name="_Toc203146318"/>
      <w:r>
        <w:t>3.4.5</w:t>
      </w:r>
      <w:r>
        <w:tab/>
      </w:r>
      <w:r>
        <w:t>Test for Phenolic Compounds</w:t>
      </w:r>
      <w:bookmarkEnd w:id="41"/>
    </w:p>
    <w:p w14:paraId="62584FF3">
      <w:pPr>
        <w:pStyle w:val="12"/>
        <w:spacing w:before="0" w:beforeAutospacing="0" w:after="0" w:afterAutospacing="0" w:line="480" w:lineRule="auto"/>
        <w:jc w:val="both"/>
      </w:pPr>
      <w:r>
        <w:t xml:space="preserve">Two millilitres of the extract were treated with a few drops of 5% ferric chloride solution. The appearance of a deep blue or dark green coloration confirmed the presence of phenolic compounds. </w:t>
      </w:r>
    </w:p>
    <w:p w14:paraId="71000BB9">
      <w:pPr>
        <w:pStyle w:val="3"/>
        <w:spacing w:line="480" w:lineRule="auto"/>
      </w:pPr>
      <w:bookmarkStart w:id="42" w:name="_Toc203146319"/>
      <w:r>
        <w:t>3.5</w:t>
      </w:r>
      <w:r>
        <w:tab/>
      </w:r>
      <w:r>
        <w:t>Standardization of Bacterial Inoculum</w:t>
      </w:r>
      <w:bookmarkEnd w:id="42"/>
      <w:r>
        <w:t xml:space="preserve"> </w:t>
      </w:r>
    </w:p>
    <w:p w14:paraId="29CE9F03">
      <w:pPr>
        <w:pStyle w:val="12"/>
        <w:spacing w:before="0" w:beforeAutospacing="0" w:after="0" w:afterAutospacing="0" w:line="480" w:lineRule="auto"/>
        <w:jc w:val="both"/>
      </w:pPr>
      <w:r>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pPr>
        <w:pStyle w:val="3"/>
        <w:spacing w:line="480" w:lineRule="auto"/>
      </w:pPr>
      <w:bookmarkStart w:id="43" w:name="_Toc203146320"/>
      <w:r>
        <w:t>3.6</w:t>
      </w:r>
      <w:r>
        <w:tab/>
      </w:r>
      <w:r>
        <w:t>Antibacterial Susceptibility Testing</w:t>
      </w:r>
      <w:bookmarkEnd w:id="43"/>
    </w:p>
    <w:p w14:paraId="6361A361">
      <w:pPr>
        <w:pStyle w:val="4"/>
        <w:spacing w:line="480" w:lineRule="auto"/>
        <w:rPr>
          <w:rFonts w:eastAsiaTheme="minorHAnsi"/>
        </w:rPr>
      </w:pPr>
      <w:bookmarkStart w:id="44" w:name="_Toc203146321"/>
      <w:r>
        <w:rPr>
          <w:rFonts w:eastAsiaTheme="minorHAnsi"/>
        </w:rPr>
        <w:t xml:space="preserve">3.6.1 </w:t>
      </w:r>
      <w:r>
        <w:rPr>
          <w:rFonts w:eastAsiaTheme="minorHAnsi"/>
        </w:rPr>
        <w:tab/>
      </w:r>
      <w:r>
        <w:rPr>
          <w:rFonts w:eastAsiaTheme="minorHAnsi"/>
        </w:rPr>
        <w:t>Agar Well Diffusion Method</w:t>
      </w:r>
      <w:bookmarkEnd w:id="44"/>
    </w:p>
    <w:p w14:paraId="33C5A8EA">
      <w:pPr>
        <w:pStyle w:val="12"/>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pPr>
        <w:pStyle w:val="4"/>
        <w:rPr>
          <w:rFonts w:eastAsiaTheme="minorHAnsi"/>
        </w:rPr>
      </w:pPr>
      <w:bookmarkStart w:id="45" w:name="_Toc203146322"/>
      <w:r>
        <w:rPr>
          <w:rFonts w:eastAsiaTheme="minorHAnsi"/>
        </w:rPr>
        <w:t>3.6.2</w:t>
      </w:r>
      <w:r>
        <w:rPr>
          <w:rFonts w:eastAsiaTheme="minorHAnsi"/>
        </w:rPr>
        <w:tab/>
      </w:r>
      <w:r>
        <w:rPr>
          <w:rFonts w:eastAsiaTheme="minorHAnsi"/>
        </w:rPr>
        <w:t>Minimum Inhibitory Concentration (MIC) Determination</w:t>
      </w:r>
      <w:bookmarkEnd w:id="45"/>
    </w:p>
    <w:p w14:paraId="021D30EF">
      <w:pPr>
        <w:pStyle w:val="12"/>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8"/>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pPr>
        <w:rPr>
          <w:rFonts w:ascii="Times New Roman" w:hAnsi="Times New Roman" w:eastAsia="Times New Roman" w:cs="Times New Roman"/>
          <w:sz w:val="24"/>
          <w:szCs w:val="24"/>
        </w:rPr>
      </w:pPr>
      <w:r>
        <w:br w:type="page"/>
      </w:r>
    </w:p>
    <w:p w14:paraId="328BB817">
      <w:pPr>
        <w:pStyle w:val="2"/>
        <w:spacing w:line="480" w:lineRule="auto"/>
        <w:jc w:val="center"/>
        <w:rPr>
          <w:rFonts w:eastAsia="Times New Roman"/>
          <w:szCs w:val="24"/>
        </w:rPr>
      </w:pPr>
      <w:bookmarkStart w:id="46" w:name="_Toc203146323"/>
      <w:r>
        <w:t>CHAPTER FOUR</w:t>
      </w:r>
      <w:bookmarkEnd w:id="46"/>
    </w:p>
    <w:p w14:paraId="35222000">
      <w:pPr>
        <w:pStyle w:val="2"/>
        <w:spacing w:line="480" w:lineRule="auto"/>
        <w:jc w:val="center"/>
      </w:pPr>
      <w:bookmarkStart w:id="47" w:name="_Toc203146324"/>
      <w:r>
        <w:t>RESULTS</w:t>
      </w:r>
      <w:bookmarkEnd w:id="47"/>
    </w:p>
    <w:p w14:paraId="79326B13">
      <w:pPr>
        <w:pStyle w:val="3"/>
      </w:pPr>
      <w:bookmarkStart w:id="48" w:name="_Toc203146325"/>
      <w:r>
        <w:t>4.1</w:t>
      </w:r>
      <w:r>
        <w:tab/>
      </w:r>
      <w:r>
        <w:t>Phytochemical Screening of Eucalyptus globulus Leaf Extracts</w:t>
      </w:r>
      <w:bookmarkEnd w:id="48"/>
    </w:p>
    <w:p w14:paraId="1E42B842">
      <w:pPr>
        <w:pStyle w:val="12"/>
        <w:spacing w:line="480" w:lineRule="auto"/>
        <w:jc w:val="both"/>
      </w:pPr>
      <w:r>
        <w:t xml:space="preserve">The phytochemical analysis of  ethanol extracts of </w:t>
      </w:r>
      <w:r>
        <w:rPr>
          <w:rStyle w:val="8"/>
        </w:rPr>
        <w:t>Eucalyptus globulus</w:t>
      </w:r>
      <w:r>
        <w:t xml:space="preserve"> revealed the presence of several bioactive compounds known for their antimicrobial properties. The results are summarized in Table 4.1 below.</w:t>
      </w:r>
    </w:p>
    <w:p w14:paraId="00A3754D">
      <w:pPr>
        <w:pStyle w:val="12"/>
      </w:pPr>
      <w:r>
        <w:rPr>
          <w:rStyle w:val="14"/>
        </w:rPr>
        <w:t xml:space="preserve">Table 4.1: Phytochemical Constituents of Ethanol Extracts of </w:t>
      </w:r>
      <w:r>
        <w:rPr>
          <w:rStyle w:val="8"/>
        </w:rPr>
        <w:t>Eucalyptus globulus</w:t>
      </w:r>
    </w:p>
    <w:tbl>
      <w:tblPr>
        <w:tblStyle w:val="22"/>
        <w:tblW w:w="58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238"/>
        <w:gridCol w:w="2650"/>
      </w:tblGrid>
      <w:tr w14:paraId="564D842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bottom w:val="single" w:color="000000" w:themeColor="text1" w:sz="4" w:space="0"/>
              <w:insideH w:val="single" w:sz="4" w:space="0"/>
            </w:tcBorders>
            <w:shd w:val="clear" w:color="auto" w:fill="FFFFFF" w:themeFill="background1"/>
          </w:tcPr>
          <w:p w14:paraId="19D7BCBA">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Phytochemical</w:t>
            </w:r>
          </w:p>
        </w:tc>
        <w:tc>
          <w:tcPr>
            <w:tcW w:w="0" w:type="auto"/>
            <w:tcBorders>
              <w:bottom w:val="single" w:color="000000" w:themeColor="text1" w:sz="4" w:space="0"/>
              <w:insideH w:val="single" w:sz="4" w:space="0"/>
            </w:tcBorders>
            <w:shd w:val="clear" w:color="auto" w:fill="FFFFFF" w:themeFill="background1"/>
          </w:tcPr>
          <w:p w14:paraId="046FF66E">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Ethanol Extract</w:t>
            </w:r>
          </w:p>
        </w:tc>
      </w:tr>
      <w:tr w14:paraId="18313DA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shd w:val="clear" w:color="auto" w:fill="FFFFFF" w:themeFill="background1"/>
          </w:tcPr>
          <w:p w14:paraId="76D4D354">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A4E90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shd w:val="clear" w:color="auto" w:fill="FFFFFF" w:themeFill="background1"/>
          </w:tcPr>
          <w:p w14:paraId="34182603">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C875F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shd w:val="clear" w:color="auto" w:fill="FFFFFF" w:themeFill="background1"/>
          </w:tcPr>
          <w:p w14:paraId="33158D0B">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D3CA4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7B630A4D">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1ABBFB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shd w:val="clear" w:color="auto" w:fill="FFFFFF" w:themeFill="background1"/>
          </w:tcPr>
          <w:p w14:paraId="6A8F3531">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pPr>
        <w:pStyle w:val="12"/>
        <w:spacing w:before="0" w:beforeAutospacing="0" w:after="0" w:afterAutospacing="0"/>
        <w:rPr>
          <w:i/>
        </w:rPr>
      </w:pPr>
      <w:r>
        <w:rPr>
          <w:rStyle w:val="14"/>
        </w:rPr>
        <w:t>Key:</w:t>
      </w:r>
      <w:r>
        <w:rPr>
          <w:i/>
        </w:rPr>
        <w:t xml:space="preserve"> (+) = Present</w:t>
      </w:r>
    </w:p>
    <w:p w14:paraId="07893124">
      <w:pPr>
        <w:pStyle w:val="12"/>
        <w:spacing w:before="0" w:beforeAutospacing="0" w:after="0" w:afterAutospacing="0"/>
        <w:rPr>
          <w:i/>
        </w:rPr>
      </w:pPr>
      <w:r>
        <w:rPr>
          <w:i/>
        </w:rPr>
        <w:t xml:space="preserve">        (-) = Absent</w:t>
      </w:r>
    </w:p>
    <w:p w14:paraId="352ED6DE">
      <w:pPr>
        <w:pStyle w:val="12"/>
        <w:spacing w:before="0" w:beforeAutospacing="0" w:after="0" w:afterAutospacing="0" w:line="480" w:lineRule="auto"/>
        <w:jc w:val="both"/>
        <w:rPr>
          <w:b/>
        </w:rPr>
      </w:pPr>
    </w:p>
    <w:p w14:paraId="60F5E39B">
      <w:pPr>
        <w:pStyle w:val="3"/>
      </w:pPr>
      <w:bookmarkStart w:id="49" w:name="_Toc203146326"/>
      <w:r>
        <w:t>4.2</w:t>
      </w:r>
      <w:r>
        <w:tab/>
      </w:r>
      <w:r>
        <w:t>Antibacterial Activity of Eucalyptus globulus Extracts Using Agar Well Diffusion Method</w:t>
      </w:r>
      <w:bookmarkEnd w:id="49"/>
    </w:p>
    <w:p w14:paraId="54298CCC">
      <w:pPr>
        <w:pStyle w:val="12"/>
        <w:spacing w:line="480" w:lineRule="auto"/>
        <w:jc w:val="both"/>
      </w:pPr>
      <w:r>
        <w:t xml:space="preserve">The antibacterial effects of both aqueous and ethanol extracts of </w:t>
      </w:r>
      <w:r>
        <w:rPr>
          <w:rStyle w:val="8"/>
        </w:rPr>
        <w:t>Eucalyptus globulus</w:t>
      </w:r>
      <w:r>
        <w:t xml:space="preserve"> leaves were evaluated against MRSA and </w:t>
      </w:r>
      <w:r>
        <w:rPr>
          <w:rStyle w:val="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pPr>
        <w:spacing w:before="100" w:beforeAutospacing="1" w:after="100" w:afterAutospacing="1" w:line="240" w:lineRule="auto"/>
        <w:rPr>
          <w:rFonts w:ascii="Times New Roman" w:hAnsi="Times New Roman" w:cs="Times New Roman"/>
          <w:b/>
          <w:sz w:val="24"/>
          <w:szCs w:val="24"/>
        </w:rPr>
      </w:pPr>
    </w:p>
    <w:p w14:paraId="1F94F54F">
      <w:p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4.2: Zones of Inhibition (mm) of Eucalyptus globulus Extracts Against MRSA and E. coli Using Agar Well Diffusion</w:t>
      </w:r>
    </w:p>
    <w:p w14:paraId="309387CE">
      <w:pPr>
        <w:spacing w:after="0" w:line="240" w:lineRule="auto"/>
        <w:rPr>
          <w:rFonts w:ascii="Times New Roman" w:hAnsi="Times New Roman" w:eastAsia="Times New Roman" w:cs="Times New Roman"/>
          <w:sz w:val="24"/>
          <w:szCs w:val="24"/>
        </w:rPr>
      </w:pP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725"/>
        <w:gridCol w:w="1312"/>
        <w:gridCol w:w="2793"/>
        <w:gridCol w:w="2746"/>
      </w:tblGrid>
      <w:tr w14:paraId="7BC516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26CDB4D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FFFFFF" w:themeFill="background1"/>
          </w:tcPr>
          <w:p w14:paraId="3C9F6F20">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Volume (µl)</w:t>
            </w:r>
          </w:p>
        </w:tc>
        <w:tc>
          <w:tcPr>
            <w:tcW w:w="0" w:type="auto"/>
            <w:tcBorders>
              <w:bottom w:val="single" w:color="000000" w:themeColor="text1" w:sz="4" w:space="0"/>
              <w:insideH w:val="single" w:sz="4" w:space="0"/>
            </w:tcBorders>
            <w:shd w:val="clear" w:color="auto" w:fill="FFFFFF" w:themeFill="background1"/>
          </w:tcPr>
          <w:p w14:paraId="4B77025B">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Zone of Inhibition (mm) MRSA</w:t>
            </w:r>
          </w:p>
        </w:tc>
        <w:tc>
          <w:tcPr>
            <w:tcW w:w="0" w:type="auto"/>
            <w:tcBorders>
              <w:bottom w:val="single" w:color="000000" w:themeColor="text1" w:sz="4" w:space="0"/>
              <w:insideH w:val="single" w:sz="4" w:space="0"/>
            </w:tcBorders>
            <w:shd w:val="clear" w:color="auto" w:fill="FFFFFF" w:themeFill="background1"/>
          </w:tcPr>
          <w:p w14:paraId="2FA22DD5">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Zone of Inhibition (mm) </w:t>
            </w:r>
            <w:r>
              <w:rPr>
                <w:rFonts w:ascii="Times New Roman" w:hAnsi="Times New Roman" w:eastAsia="Times New Roman" w:cs="Times New Roman"/>
                <w:b/>
                <w:bCs/>
                <w:i/>
                <w:iCs/>
                <w:color w:val="000000" w:themeColor="text1"/>
                <w:sz w:val="24"/>
                <w:szCs w:val="24"/>
                <w14:textFill>
                  <w14:solidFill>
                    <w14:schemeClr w14:val="tx1"/>
                  </w14:solidFill>
                </w14:textFill>
              </w:rPr>
              <w:t>E. coli</w:t>
            </w:r>
          </w:p>
        </w:tc>
      </w:tr>
      <w:tr w14:paraId="3FF472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530B68B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Extract</w:t>
            </w:r>
          </w:p>
        </w:tc>
        <w:tc>
          <w:tcPr>
            <w:tcW w:w="0" w:type="auto"/>
            <w:shd w:val="clear" w:color="auto" w:fill="FFFFFF" w:themeFill="background1"/>
          </w:tcPr>
          <w:p w14:paraId="77BC158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593DED4">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0.30 ± 0.03</w:t>
            </w:r>
          </w:p>
        </w:tc>
        <w:tc>
          <w:tcPr>
            <w:tcW w:w="0" w:type="auto"/>
            <w:shd w:val="clear" w:color="auto" w:fill="FFFFFF" w:themeFill="background1"/>
          </w:tcPr>
          <w:p w14:paraId="14D81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0.35 ± 0.04</w:t>
            </w:r>
          </w:p>
        </w:tc>
      </w:tr>
      <w:tr w14:paraId="33C3C53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FC6EC9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D6EBD8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C6A0D7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0.45 ± 0.04</w:t>
            </w:r>
          </w:p>
        </w:tc>
        <w:tc>
          <w:tcPr>
            <w:tcW w:w="0" w:type="auto"/>
            <w:shd w:val="clear" w:color="auto" w:fill="FFFFFF" w:themeFill="background1"/>
          </w:tcPr>
          <w:p w14:paraId="5B930F6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0.03</w:t>
            </w:r>
          </w:p>
        </w:tc>
      </w:tr>
      <w:tr w14:paraId="7483452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8713859">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A8BB41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C8845F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0.60 ± 0.05</w:t>
            </w:r>
          </w:p>
        </w:tc>
        <w:tc>
          <w:tcPr>
            <w:tcW w:w="0" w:type="auto"/>
            <w:shd w:val="clear" w:color="auto" w:fill="FFFFFF" w:themeFill="background1"/>
          </w:tcPr>
          <w:p w14:paraId="22F0373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0.04</w:t>
            </w:r>
          </w:p>
        </w:tc>
      </w:tr>
      <w:tr w14:paraId="13F8A4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B017D0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Extract</w:t>
            </w:r>
          </w:p>
        </w:tc>
        <w:tc>
          <w:tcPr>
            <w:tcW w:w="0" w:type="auto"/>
            <w:shd w:val="clear" w:color="auto" w:fill="FFFFFF" w:themeFill="background1"/>
          </w:tcPr>
          <w:p w14:paraId="3327544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6D9320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0.04</w:t>
            </w:r>
          </w:p>
        </w:tc>
        <w:tc>
          <w:tcPr>
            <w:tcW w:w="0" w:type="auto"/>
            <w:shd w:val="clear" w:color="auto" w:fill="FFFFFF" w:themeFill="background1"/>
          </w:tcPr>
          <w:p w14:paraId="556161F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0.55 ± 0.03</w:t>
            </w:r>
          </w:p>
        </w:tc>
      </w:tr>
      <w:tr w14:paraId="0DCCAA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44C936C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76464A53">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19E458C">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0.03</w:t>
            </w:r>
          </w:p>
        </w:tc>
        <w:tc>
          <w:tcPr>
            <w:tcW w:w="0" w:type="auto"/>
            <w:shd w:val="clear" w:color="auto" w:fill="FFFFFF" w:themeFill="background1"/>
          </w:tcPr>
          <w:p w14:paraId="2FDEB4D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0.70 ± 0.02</w:t>
            </w:r>
          </w:p>
        </w:tc>
      </w:tr>
      <w:tr w14:paraId="24F2DA1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FA3683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3AE1880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92CD48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0.04</w:t>
            </w:r>
          </w:p>
        </w:tc>
        <w:tc>
          <w:tcPr>
            <w:tcW w:w="0" w:type="auto"/>
            <w:shd w:val="clear" w:color="auto" w:fill="FFFFFF" w:themeFill="background1"/>
          </w:tcPr>
          <w:p w14:paraId="47E12FC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0.03</w:t>
            </w:r>
          </w:p>
        </w:tc>
      </w:tr>
      <w:tr w14:paraId="315DF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3A61E78">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Control</w:t>
            </w:r>
          </w:p>
        </w:tc>
        <w:tc>
          <w:tcPr>
            <w:tcW w:w="0" w:type="auto"/>
            <w:shd w:val="clear" w:color="auto" w:fill="FFFFFF" w:themeFill="background1"/>
          </w:tcPr>
          <w:p w14:paraId="66EBA13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8945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6CD7E44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r w14:paraId="290D3A4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CAE6A1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Control (Ionized Water)</w:t>
            </w:r>
          </w:p>
        </w:tc>
        <w:tc>
          <w:tcPr>
            <w:tcW w:w="0" w:type="auto"/>
            <w:shd w:val="clear" w:color="auto" w:fill="FFFFFF" w:themeFill="background1"/>
          </w:tcPr>
          <w:p w14:paraId="4A29CF4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1018A1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731C8AF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bl>
    <w:p w14:paraId="7B81369D">
      <w:pPr>
        <w:spacing w:before="100" w:beforeAutospacing="1" w:after="100" w:afterAutospacing="1" w:line="240" w:lineRule="auto"/>
        <w:rPr>
          <w:rFonts w:ascii="Times New Roman" w:hAnsi="Times New Roman" w:cs="Times New Roman"/>
          <w:b/>
          <w:sz w:val="24"/>
          <w:szCs w:val="24"/>
        </w:rPr>
      </w:pPr>
    </w:p>
    <w:p w14:paraId="2719252A">
      <w:pPr>
        <w:pStyle w:val="3"/>
        <w:spacing w:line="480" w:lineRule="auto"/>
      </w:pPr>
      <w:bookmarkStart w:id="50" w:name="_Toc203146327"/>
      <w:r>
        <w:t>4.3</w:t>
      </w:r>
      <w:r>
        <w:tab/>
      </w:r>
      <w:r>
        <w:t>Minimum Inhibitory Concentration (MIC) Determination of Ethanol Extract</w:t>
      </w:r>
      <w:bookmarkEnd w:id="50"/>
    </w:p>
    <w:p w14:paraId="0AB386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Pr>
          <w:rFonts w:ascii="Times New Roman" w:hAnsi="Times New Roman" w:cs="Times New Roman"/>
          <w:i/>
          <w:iCs/>
          <w:sz w:val="24"/>
          <w:szCs w:val="24"/>
        </w:rPr>
        <w:t>E. coli</w:t>
      </w:r>
      <w:r>
        <w:rPr>
          <w:rFonts w:ascii="Times New Roman" w:hAnsi="Times New Roman" w:cs="Times New Roman"/>
          <w:sz w:val="24"/>
          <w:szCs w:val="24"/>
        </w:rPr>
        <w:t>.</w:t>
      </w:r>
    </w:p>
    <w:p w14:paraId="244D68E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4.3: MIC of Ethanol Extract of </w:t>
      </w:r>
      <w:r>
        <w:rPr>
          <w:rFonts w:ascii="Times New Roman" w:hAnsi="Times New Roman" w:eastAsia="Times New Roman" w:cs="Times New Roman"/>
          <w:b/>
          <w:bCs/>
          <w:i/>
          <w:iCs/>
          <w:sz w:val="24"/>
          <w:szCs w:val="24"/>
        </w:rPr>
        <w:t>Eucalyptus globulus</w:t>
      </w:r>
      <w:r>
        <w:rPr>
          <w:rFonts w:ascii="Times New Roman" w:hAnsi="Times New Roman" w:eastAsia="Times New Roman" w:cs="Times New Roman"/>
          <w:b/>
          <w:bCs/>
          <w:sz w:val="24"/>
          <w:szCs w:val="24"/>
        </w:rPr>
        <w:t xml:space="preserve"> Against MRSA and </w:t>
      </w:r>
      <w:r>
        <w:rPr>
          <w:rFonts w:ascii="Times New Roman" w:hAnsi="Times New Roman" w:eastAsia="Times New Roman" w:cs="Times New Roman"/>
          <w:b/>
          <w:bCs/>
          <w:i/>
          <w:iCs/>
          <w:sz w:val="24"/>
          <w:szCs w:val="24"/>
        </w:rPr>
        <w:t>E. coli</w:t>
      </w: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56"/>
        <w:gridCol w:w="1783"/>
        <w:gridCol w:w="1716"/>
      </w:tblGrid>
      <w:tr w14:paraId="65257B0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8BD4D9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Concentration (v/v)</w:t>
            </w:r>
          </w:p>
        </w:tc>
        <w:tc>
          <w:tcPr>
            <w:tcW w:w="0" w:type="auto"/>
            <w:tcBorders>
              <w:bottom w:val="single" w:color="000000" w:themeColor="text1" w:sz="4" w:space="0"/>
              <w:insideH w:val="single" w:sz="4" w:space="0"/>
            </w:tcBorders>
            <w:shd w:val="clear" w:color="auto" w:fill="FFFFFF" w:themeFill="background1"/>
          </w:tcPr>
          <w:p w14:paraId="21566922">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MRSA Growth</w:t>
            </w:r>
          </w:p>
        </w:tc>
        <w:tc>
          <w:tcPr>
            <w:tcW w:w="0" w:type="auto"/>
            <w:tcBorders>
              <w:bottom w:val="single" w:color="000000" w:themeColor="text1" w:sz="4" w:space="0"/>
              <w:insideH w:val="single" w:sz="4" w:space="0"/>
            </w:tcBorders>
            <w:shd w:val="clear" w:color="auto" w:fill="FFFFFF" w:themeFill="background1"/>
          </w:tcPr>
          <w:p w14:paraId="0B0BF793">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i/>
                <w:iCs/>
                <w:color w:val="000000" w:themeColor="text1"/>
                <w:sz w:val="24"/>
                <w:szCs w:val="24"/>
                <w14:textFill>
                  <w14:solidFill>
                    <w14:schemeClr w14:val="tx1"/>
                  </w14:solidFill>
                </w14:textFill>
              </w:rPr>
              <w:t>E. coli</w:t>
            </w:r>
            <w:r>
              <w:rPr>
                <w:rFonts w:ascii="Times New Roman" w:hAnsi="Times New Roman" w:eastAsia="Times New Roman" w:cs="Times New Roman"/>
                <w:b/>
                <w:bCs/>
                <w:color w:val="000000" w:themeColor="text1"/>
                <w:sz w:val="24"/>
                <w:szCs w:val="24"/>
                <w14:textFill>
                  <w14:solidFill>
                    <w14:schemeClr w14:val="tx1"/>
                  </w14:solidFill>
                </w14:textFill>
              </w:rPr>
              <w:t xml:space="preserve"> Growth</w:t>
            </w:r>
          </w:p>
        </w:tc>
      </w:tr>
      <w:tr w14:paraId="471C3AB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9EE617C">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0.15</w:t>
            </w:r>
          </w:p>
        </w:tc>
        <w:tc>
          <w:tcPr>
            <w:tcW w:w="0" w:type="auto"/>
            <w:shd w:val="clear" w:color="auto" w:fill="FFFFFF" w:themeFill="background1"/>
          </w:tcPr>
          <w:p w14:paraId="791EC1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p w14:paraId="2C04EE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shd w:val="clear" w:color="auto" w:fill="FFFFFF" w:themeFill="background1"/>
          </w:tcPr>
          <w:p w14:paraId="54511EE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r w14:paraId="5475DB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21058FC5">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0.20</w:t>
            </w:r>
          </w:p>
        </w:tc>
        <w:tc>
          <w:tcPr>
            <w:tcW w:w="0" w:type="auto"/>
            <w:shd w:val="clear" w:color="auto" w:fill="FFFFFF" w:themeFill="background1"/>
          </w:tcPr>
          <w:p w14:paraId="6D6933C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Total Inhibition</w:t>
            </w:r>
          </w:p>
        </w:tc>
        <w:tc>
          <w:tcPr>
            <w:tcW w:w="0" w:type="auto"/>
            <w:shd w:val="clear" w:color="auto" w:fill="FFFFFF" w:themeFill="background1"/>
          </w:tcPr>
          <w:p w14:paraId="77F3865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bl>
    <w:p w14:paraId="486BD4A5">
      <w:pPr>
        <w:spacing w:after="0" w:line="480" w:lineRule="auto"/>
        <w:jc w:val="both"/>
        <w:rPr>
          <w:rFonts w:ascii="Times New Roman" w:hAnsi="Times New Roman" w:cs="Times New Roman"/>
          <w:sz w:val="24"/>
          <w:szCs w:val="24"/>
        </w:rPr>
      </w:pPr>
    </w:p>
    <w:p w14:paraId="6BC9A172">
      <w:pPr>
        <w:spacing w:after="0" w:line="480" w:lineRule="auto"/>
        <w:jc w:val="both"/>
        <w:rPr>
          <w:rFonts w:ascii="Times New Roman" w:hAnsi="Times New Roman" w:cs="Times New Roman"/>
          <w:b/>
          <w:sz w:val="24"/>
          <w:szCs w:val="24"/>
        </w:rPr>
      </w:pPr>
    </w:p>
    <w:p w14:paraId="314374A5">
      <w:pPr>
        <w:spacing w:after="0" w:line="480" w:lineRule="auto"/>
        <w:jc w:val="both"/>
        <w:rPr>
          <w:rFonts w:ascii="Times New Roman" w:hAnsi="Times New Roman" w:cs="Times New Roman"/>
          <w:b/>
          <w:sz w:val="24"/>
          <w:szCs w:val="24"/>
        </w:rPr>
      </w:pPr>
    </w:p>
    <w:p w14:paraId="03DEBCE1">
      <w:pPr>
        <w:spacing w:after="0" w:line="480" w:lineRule="auto"/>
        <w:jc w:val="both"/>
        <w:rPr>
          <w:rFonts w:ascii="Times New Roman" w:hAnsi="Times New Roman" w:cs="Times New Roman"/>
          <w:b/>
          <w:sz w:val="24"/>
          <w:szCs w:val="24"/>
        </w:rPr>
      </w:pPr>
    </w:p>
    <w:p w14:paraId="1300BC89">
      <w:pPr>
        <w:spacing w:after="0" w:line="480" w:lineRule="auto"/>
        <w:jc w:val="both"/>
        <w:rPr>
          <w:rFonts w:ascii="Times New Roman" w:hAnsi="Times New Roman" w:cs="Times New Roman"/>
          <w:b/>
          <w:sz w:val="24"/>
          <w:szCs w:val="24"/>
        </w:rPr>
      </w:pPr>
    </w:p>
    <w:p w14:paraId="39E57A5E">
      <w:pPr>
        <w:spacing w:after="0" w:line="480" w:lineRule="auto"/>
        <w:jc w:val="both"/>
        <w:rPr>
          <w:rFonts w:ascii="Times New Roman" w:hAnsi="Times New Roman" w:cs="Times New Roman"/>
          <w:b/>
          <w:sz w:val="24"/>
          <w:szCs w:val="24"/>
        </w:rPr>
      </w:pPr>
    </w:p>
    <w:p w14:paraId="2338604C">
      <w:pPr>
        <w:pStyle w:val="3"/>
        <w:spacing w:line="480" w:lineRule="auto"/>
      </w:pPr>
      <w:bookmarkStart w:id="51" w:name="_Toc203146328"/>
      <w:r>
        <w:t>4.5</w:t>
      </w:r>
      <w:r>
        <w:tab/>
      </w:r>
      <w:r>
        <w:t>Discussion</w:t>
      </w:r>
      <w:bookmarkEnd w:id="51"/>
    </w:p>
    <w:p w14:paraId="44D30612">
      <w:pPr>
        <w:pStyle w:val="12"/>
        <w:spacing w:before="0" w:beforeAutospacing="0" w:after="0" w:afterAutospacing="0" w:line="480" w:lineRule="auto"/>
        <w:jc w:val="both"/>
      </w:pPr>
      <w:r>
        <w:t xml:space="preserve">This study was carried out to evaluate the antibacterial efficacy of </w:t>
      </w:r>
      <w:r>
        <w:rPr>
          <w:rStyle w:val="8"/>
        </w:rPr>
        <w:t>Eucalyptus globulus</w:t>
      </w:r>
      <w:r>
        <w:t xml:space="preserve"> leaf extracts against two clinically significant bacteria: Methicillin-Resistant </w:t>
      </w:r>
      <w:r>
        <w:rPr>
          <w:rStyle w:val="8"/>
        </w:rPr>
        <w:t>Staphylococcus aureus</w:t>
      </w:r>
      <w:r>
        <w:t xml:space="preserve"> (MRSA) alkaloids,and </w:t>
      </w:r>
      <w:r>
        <w:rPr>
          <w:rStyle w:val="8"/>
        </w:rPr>
        <w:t>Escherichia coli</w:t>
      </w:r>
      <w:r>
        <w:t xml:space="preserve">. These organisms were selected due to their public health importance, particularly MRSA, which is resistant to multiple antibiotics, and </w:t>
      </w:r>
      <w:r>
        <w:rPr>
          <w:rStyle w:val="8"/>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pPr>
        <w:pStyle w:val="12"/>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8"/>
        </w:rPr>
        <w:t>Eucalyptus globulus</w:t>
      </w:r>
      <w:r>
        <w:t xml:space="preserve"> may explain the observed antibacterial activity.</w:t>
      </w:r>
    </w:p>
    <w:p w14:paraId="0E508549">
      <w:pPr>
        <w:pStyle w:val="12"/>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Pr>
          <w:rStyle w:val="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8"/>
        </w:rPr>
        <w:t>Eucalyptus globulus</w:t>
      </w:r>
      <w:r>
        <w:t xml:space="preserve"> against multidrug-resistant </w:t>
      </w:r>
      <w:r>
        <w:rPr>
          <w:rStyle w:val="8"/>
        </w:rPr>
        <w:t>Staphylococcus aureus</w:t>
      </w:r>
      <w:r>
        <w:t xml:space="preserve"> and other Gram-negative pathogens.</w:t>
      </w:r>
    </w:p>
    <w:p w14:paraId="743EB094">
      <w:pPr>
        <w:pStyle w:val="12"/>
        <w:spacing w:before="0" w:beforeAutospacing="0" w:after="0" w:afterAutospacing="0" w:line="480" w:lineRule="auto"/>
        <w:ind w:firstLine="720"/>
        <w:jc w:val="both"/>
      </w:pPr>
      <w:r>
        <w:t xml:space="preserve">The difference in activity between MRSA (Gram-positive) and </w:t>
      </w:r>
      <w:r>
        <w:rPr>
          <w:rStyle w:val="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bookmarkStart w:id="52" w:name="_Toc203146329"/>
    </w:p>
    <w:p w14:paraId="11911F21">
      <w:pPr>
        <w:pStyle w:val="12"/>
        <w:spacing w:before="0" w:beforeAutospacing="0" w:after="0" w:afterAutospacing="0" w:line="480" w:lineRule="auto"/>
        <w:ind w:firstLine="720"/>
        <w:jc w:val="both"/>
      </w:pPr>
    </w:p>
    <w:p w14:paraId="5F1489A7">
      <w:pPr>
        <w:pStyle w:val="12"/>
        <w:spacing w:before="0" w:beforeAutospacing="0" w:after="0" w:afterAutospacing="0" w:line="480" w:lineRule="auto"/>
        <w:ind w:firstLine="720"/>
        <w:jc w:val="center"/>
        <w:rPr>
          <w:b/>
          <w:bCs/>
        </w:rPr>
      </w:pPr>
      <w:r>
        <w:rPr>
          <w:b/>
          <w:bCs/>
        </w:rPr>
        <w:t>CHAPTER FIVE</w:t>
      </w:r>
      <w:bookmarkEnd w:id="52"/>
    </w:p>
    <w:p w14:paraId="31F1BB03">
      <w:pPr>
        <w:pStyle w:val="2"/>
        <w:spacing w:line="480" w:lineRule="auto"/>
        <w:jc w:val="center"/>
      </w:pPr>
      <w:bookmarkStart w:id="53" w:name="_Toc203146330"/>
      <w:r>
        <w:t>SUMMARY, CONCLUSION AND RECOMMENDATION</w:t>
      </w:r>
      <w:bookmarkEnd w:id="53"/>
    </w:p>
    <w:p w14:paraId="21A038C9">
      <w:pPr>
        <w:pStyle w:val="3"/>
        <w:spacing w:line="480" w:lineRule="auto"/>
        <w:rPr>
          <w:rFonts w:eastAsiaTheme="minorHAnsi"/>
        </w:rPr>
      </w:pPr>
      <w:bookmarkStart w:id="54" w:name="_Toc203146331"/>
      <w:r>
        <w:rPr>
          <w:rFonts w:eastAsiaTheme="minorHAnsi"/>
        </w:rPr>
        <w:t>5.1</w:t>
      </w:r>
      <w:r>
        <w:rPr>
          <w:rFonts w:eastAsiaTheme="minorHAnsi"/>
        </w:rPr>
        <w:tab/>
      </w:r>
      <w:r>
        <w:rPr>
          <w:rFonts w:eastAsiaTheme="minorHAnsi"/>
        </w:rPr>
        <w:t>Summary</w:t>
      </w:r>
      <w:bookmarkEnd w:id="54"/>
    </w:p>
    <w:p w14:paraId="1AAF3091">
      <w:pPr>
        <w:pStyle w:val="12"/>
        <w:spacing w:line="480" w:lineRule="auto"/>
        <w:jc w:val="both"/>
      </w:pPr>
      <w:r>
        <w:t xml:space="preserve">This study evaluated the antibacterial efficacy of aqueous and ethanol extracts of </w:t>
      </w:r>
      <w:r>
        <w:rPr>
          <w:rStyle w:val="8"/>
          <w:rFonts w:eastAsiaTheme="majorEastAsia"/>
        </w:rPr>
        <w:t>Eucalyptus globulus</w:t>
      </w:r>
      <w:r>
        <w:t xml:space="preserve"> leaves against clinically important bacterial isolates of Methicillin-Resistant </w:t>
      </w:r>
      <w:r>
        <w:rPr>
          <w:rStyle w:val="8"/>
          <w:rFonts w:eastAsiaTheme="majorEastAsia"/>
        </w:rPr>
        <w:t>Staphylococcus aureus</w:t>
      </w:r>
      <w:r>
        <w:t xml:space="preserve"> (MRSA) and </w:t>
      </w:r>
      <w:r>
        <w:rPr>
          <w:rStyle w:val="8"/>
          <w:rFonts w:eastAsiaTheme="majorEastAsia"/>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pPr>
        <w:pStyle w:val="3"/>
        <w:spacing w:line="480" w:lineRule="auto"/>
      </w:pPr>
      <w:bookmarkStart w:id="55" w:name="_Toc203146332"/>
      <w:r>
        <w:t>5.2</w:t>
      </w:r>
      <w:r>
        <w:tab/>
      </w:r>
      <w:r>
        <w:t>Conclusion</w:t>
      </w:r>
      <w:bookmarkEnd w:id="55"/>
    </w:p>
    <w:p w14:paraId="2FC52EBC">
      <w:pPr>
        <w:pStyle w:val="12"/>
        <w:spacing w:before="0" w:beforeAutospacing="0" w:after="0" w:afterAutospacing="0" w:line="480" w:lineRule="auto"/>
        <w:jc w:val="both"/>
      </w:pPr>
      <w:r>
        <w:t xml:space="preserve">The findings revealed that </w:t>
      </w:r>
      <w:r>
        <w:rPr>
          <w:rStyle w:val="8"/>
          <w:rFonts w:eastAsiaTheme="majorEastAsia"/>
        </w:rPr>
        <w:t>Eucalyptus globulus</w:t>
      </w:r>
      <w:r>
        <w:t xml:space="preserve"> leaf extracts, especially the ethanol extract, possess significant antibacterial activity against MRSA and </w:t>
      </w:r>
      <w:r>
        <w:rPr>
          <w:rStyle w:val="8"/>
          <w:rFonts w:eastAsiaTheme="majorEastAsia"/>
        </w:rPr>
        <w:t>E. coli</w:t>
      </w:r>
      <w:r>
        <w:t xml:space="preserve">. The presence of bioactive phytochemicals (flavonoids, tannins, and phenolic compounds) in the extracts contributes to this effect. These results support the potential use of </w:t>
      </w:r>
      <w:r>
        <w:rPr>
          <w:rStyle w:val="8"/>
          <w:rFonts w:eastAsiaTheme="majorEastAsia"/>
        </w:rPr>
        <w:t>Eucalyptus globulus</w:t>
      </w:r>
      <w:r>
        <w:t xml:space="preserve"> as a natural source of antibacterial agents, particularly in combating resistant bacterial strains.</w:t>
      </w:r>
    </w:p>
    <w:p w14:paraId="42CE7EF2">
      <w:pPr>
        <w:pStyle w:val="12"/>
        <w:spacing w:before="0" w:beforeAutospacing="0" w:after="0" w:afterAutospacing="0" w:line="480" w:lineRule="auto"/>
        <w:jc w:val="both"/>
        <w:rPr>
          <w:b/>
        </w:rPr>
      </w:pPr>
    </w:p>
    <w:p w14:paraId="2E3FC2C1">
      <w:pPr>
        <w:pStyle w:val="12"/>
        <w:spacing w:before="0" w:beforeAutospacing="0" w:after="0" w:afterAutospacing="0" w:line="480" w:lineRule="auto"/>
        <w:jc w:val="both"/>
        <w:rPr>
          <w:b/>
        </w:rPr>
      </w:pPr>
    </w:p>
    <w:p w14:paraId="4A89A078">
      <w:pPr>
        <w:pStyle w:val="12"/>
        <w:spacing w:before="0" w:beforeAutospacing="0" w:after="0" w:afterAutospacing="0" w:line="480" w:lineRule="auto"/>
        <w:jc w:val="both"/>
        <w:rPr>
          <w:b/>
        </w:rPr>
      </w:pPr>
    </w:p>
    <w:p w14:paraId="3A9EA881">
      <w:pPr>
        <w:pStyle w:val="3"/>
        <w:spacing w:line="480" w:lineRule="auto"/>
      </w:pPr>
      <w:bookmarkStart w:id="56" w:name="_Toc203146333"/>
      <w:r>
        <w:t>5.3</w:t>
      </w:r>
      <w:r>
        <w:tab/>
      </w:r>
      <w:r>
        <w:t>Recommendations</w:t>
      </w:r>
      <w:bookmarkEnd w:id="56"/>
    </w:p>
    <w:p w14:paraId="73B33E44">
      <w:pPr>
        <w:pStyle w:val="12"/>
        <w:spacing w:before="0" w:beforeAutospacing="0" w:line="480" w:lineRule="auto"/>
        <w:jc w:val="both"/>
      </w:pPr>
      <w:r>
        <w:t>Based on the findings of this study, the following recommendations are made:</w:t>
      </w:r>
    </w:p>
    <w:p w14:paraId="3E68BC00">
      <w:pPr>
        <w:pStyle w:val="12"/>
        <w:numPr>
          <w:ilvl w:val="0"/>
          <w:numId w:val="2"/>
        </w:numPr>
        <w:spacing w:line="480" w:lineRule="auto"/>
        <w:jc w:val="both"/>
      </w:pPr>
      <w:r>
        <w:t>Further research should be conducted to isolate and characterize the specific bioactive compounds responsible for the antibacterial effects observed.</w:t>
      </w:r>
    </w:p>
    <w:p w14:paraId="53012B3C">
      <w:pPr>
        <w:pStyle w:val="12"/>
        <w:numPr>
          <w:ilvl w:val="0"/>
          <w:numId w:val="2"/>
        </w:numPr>
        <w:spacing w:line="480" w:lineRule="auto"/>
        <w:jc w:val="both"/>
      </w:pPr>
      <w:r>
        <w:t xml:space="preserve">In vivo studies and toxicity evaluations are necessary to assess the safety and efficacy of </w:t>
      </w:r>
      <w:r>
        <w:rPr>
          <w:rStyle w:val="8"/>
          <w:rFonts w:eastAsiaTheme="majorEastAsia"/>
        </w:rPr>
        <w:t>Eucalyptus globulus</w:t>
      </w:r>
      <w:r>
        <w:t xml:space="preserve"> extracts before clinical applications.</w:t>
      </w:r>
    </w:p>
    <w:p w14:paraId="6EE47177">
      <w:pPr>
        <w:pStyle w:val="12"/>
        <w:numPr>
          <w:ilvl w:val="0"/>
          <w:numId w:val="2"/>
        </w:numPr>
        <w:spacing w:line="480" w:lineRule="auto"/>
        <w:jc w:val="both"/>
      </w:pPr>
      <w:r>
        <w:t xml:space="preserve">Development of formulations using </w:t>
      </w:r>
      <w:r>
        <w:rPr>
          <w:rStyle w:val="8"/>
          <w:rFonts w:eastAsiaTheme="majorEastAsia"/>
        </w:rPr>
        <w:t>Eucalyptus globulus</w:t>
      </w:r>
      <w:r>
        <w:t xml:space="preserve"> extracts for topical or systemic antibacterial therapy could be explored.</w:t>
      </w:r>
    </w:p>
    <w:p w14:paraId="4CE1C5CF">
      <w:pPr>
        <w:pStyle w:val="12"/>
        <w:numPr>
          <w:ilvl w:val="0"/>
          <w:numId w:val="2"/>
        </w:numPr>
        <w:spacing w:line="480" w:lineRule="auto"/>
        <w:jc w:val="both"/>
      </w:pPr>
      <w:r>
        <w:t>Continuous monitoring of resistance patterns in clinical isolates is essential to evaluate the long-term effectiveness of plant-based antibacterial agents.</w:t>
      </w:r>
    </w:p>
    <w:p w14:paraId="0C6E7F7A"/>
    <w:p w14:paraId="061D26AB">
      <w:pPr>
        <w:pStyle w:val="12"/>
        <w:spacing w:line="480" w:lineRule="auto"/>
        <w:jc w:val="both"/>
      </w:pPr>
    </w:p>
    <w:p w14:paraId="27611C34">
      <w:pPr>
        <w:pStyle w:val="12"/>
        <w:spacing w:line="480" w:lineRule="auto"/>
        <w:jc w:val="both"/>
      </w:pPr>
    </w:p>
    <w:p w14:paraId="5383C591">
      <w:pPr>
        <w:pStyle w:val="12"/>
        <w:spacing w:line="480" w:lineRule="auto"/>
        <w:jc w:val="both"/>
      </w:pPr>
    </w:p>
    <w:p w14:paraId="013F1AE1">
      <w:pPr>
        <w:pStyle w:val="12"/>
        <w:spacing w:line="480" w:lineRule="auto"/>
        <w:jc w:val="both"/>
      </w:pPr>
    </w:p>
    <w:p w14:paraId="6CF6DCFD">
      <w:pPr>
        <w:pStyle w:val="12"/>
        <w:spacing w:line="480" w:lineRule="auto"/>
        <w:jc w:val="both"/>
      </w:pPr>
    </w:p>
    <w:p w14:paraId="5588B90A">
      <w:pPr>
        <w:pStyle w:val="12"/>
        <w:spacing w:line="480" w:lineRule="auto"/>
        <w:jc w:val="both"/>
      </w:pPr>
    </w:p>
    <w:p w14:paraId="792FA5D9">
      <w:pPr>
        <w:pStyle w:val="12"/>
        <w:spacing w:line="480" w:lineRule="auto"/>
        <w:jc w:val="both"/>
      </w:pPr>
    </w:p>
    <w:p w14:paraId="13FEB399">
      <w:pPr>
        <w:spacing w:after="100" w:afterAutospacing="1" w:line="480" w:lineRule="auto"/>
        <w:jc w:val="both"/>
        <w:rPr>
          <w:rFonts w:ascii="Times New Roman" w:hAnsi="Times New Roman" w:cs="Times New Roman"/>
          <w:b/>
          <w:sz w:val="24"/>
          <w:szCs w:val="24"/>
        </w:rPr>
      </w:pPr>
    </w:p>
    <w:p w14:paraId="7A264B39">
      <w:pPr>
        <w:pStyle w:val="2"/>
      </w:pPr>
      <w:bookmarkStart w:id="57" w:name="_Toc203146334"/>
      <w:r>
        <w:t>REFERENCES</w:t>
      </w:r>
      <w:bookmarkEnd w:id="57"/>
    </w:p>
    <w:p w14:paraId="2A20C99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Abdallah, A. M., Al-Omar, M. S., &amp; El-Sayed, 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bioactive compounds: An overview. </w:t>
      </w:r>
      <w:r>
        <w:rPr>
          <w:rFonts w:ascii="Times New Roman" w:hAnsi="Times New Roman" w:eastAsia="Times New Roman" w:cs="Times New Roman"/>
          <w:i/>
          <w:iCs/>
          <w:sz w:val="24"/>
          <w:szCs w:val="24"/>
        </w:rPr>
        <w:t>Antioxidants, 10</w:t>
      </w:r>
      <w:r>
        <w:rPr>
          <w:rFonts w:ascii="Times New Roman" w:hAnsi="Times New Roman" w:eastAsia="Times New Roman" w:cs="Times New Roman"/>
          <w:sz w:val="24"/>
          <w:szCs w:val="24"/>
        </w:rPr>
        <w:t>(11), 1746.</w:t>
      </w:r>
    </w:p>
    <w:p w14:paraId="46E341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1074. https://doi.org/10.3390/antibiotics10091074</w:t>
      </w:r>
    </w:p>
    <w:p w14:paraId="1764522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S., Khan, M. S., &amp; Khan, M. S. (2021). Plant-derived antimicrobials: A potential solution to combat antibiotic resistance. </w:t>
      </w:r>
      <w:r>
        <w:rPr>
          <w:rFonts w:ascii="Times New Roman" w:hAnsi="Times New Roman" w:eastAsia="Times New Roman" w:cs="Times New Roman"/>
          <w:i/>
          <w:iCs/>
          <w:sz w:val="24"/>
          <w:szCs w:val="24"/>
        </w:rPr>
        <w:t>Saudi Journal of Biological Sciences</w:t>
      </w:r>
      <w:r>
        <w:rPr>
          <w:rFonts w:ascii="Times New Roman" w:hAnsi="Times New Roman" w:eastAsia="Times New Roman" w:cs="Times New Roman"/>
          <w:sz w:val="24"/>
          <w:szCs w:val="24"/>
        </w:rPr>
        <w:t>, 28(9), 4913–4920. https://doi.org/10.1016/j.sjbs.2021.04.053</w:t>
      </w:r>
    </w:p>
    <w:p w14:paraId="7EAF5E3A">
      <w:pPr>
        <w:pStyle w:val="12"/>
        <w:ind w:left="567" w:hanging="567"/>
        <w:jc w:val="both"/>
      </w:pPr>
      <w:r>
        <w:t xml:space="preserve">Akinmoladun, F. O., Olaleye, T. M., &amp; Obuotor, E. M. (2020). Antibacterial activity of </w:t>
      </w:r>
      <w:r>
        <w:rPr>
          <w:rStyle w:val="8"/>
        </w:rPr>
        <w:t>Eucalyptus globulus</w:t>
      </w:r>
      <w:r>
        <w:t xml:space="preserve"> leaf extracts against clinical pathogens. </w:t>
      </w:r>
      <w:r>
        <w:rPr>
          <w:rStyle w:val="8"/>
        </w:rPr>
        <w:t>Journal of Medicinal Plants Research</w:t>
      </w:r>
      <w:r>
        <w:t>, 14(4), 156-164.</w:t>
      </w:r>
    </w:p>
    <w:p w14:paraId="28BED7A6">
      <w:pPr>
        <w:pStyle w:val="12"/>
        <w:ind w:left="567" w:hanging="567"/>
        <w:jc w:val="both"/>
      </w:pPr>
      <w:r>
        <w:t xml:space="preserve">Alabi, O. J., Ogunlade, B. O., &amp; Salami, A. A. (2019). Comparative evaluation of antibacterial effects of aqueous and ethanol extracts of </w:t>
      </w:r>
      <w:r>
        <w:rPr>
          <w:rStyle w:val="8"/>
        </w:rPr>
        <w:t>Eucalyptus</w:t>
      </w:r>
      <w:r>
        <w:t xml:space="preserve"> species. </w:t>
      </w:r>
      <w:r>
        <w:rPr>
          <w:rStyle w:val="8"/>
        </w:rPr>
        <w:t>African Journal of Biotechnology</w:t>
      </w:r>
      <w:r>
        <w:t>, 18(6), 185-191.</w:t>
      </w:r>
    </w:p>
    <w:p w14:paraId="3C63C97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Aljaafari, M. N., AlAli, A. A., Badulla, W. F. A. R., &amp; Venkatesan, T. (2022). Essential oils as a novel alternative to combat bacterial resistance: A review.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(1), 145. https://doi.org/10.3390/molecules27010145</w:t>
      </w:r>
    </w:p>
    <w:p w14:paraId="5B3452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Ameen, M., Arora, S., &amp; Parvez, M. (2021).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essential oil: A review. </w:t>
      </w:r>
      <w:r>
        <w:rPr>
          <w:rFonts w:ascii="Times New Roman" w:hAnsi="Times New Roman" w:eastAsia="Times New Roman" w:cs="Times New Roman"/>
          <w:i/>
          <w:iCs/>
          <w:sz w:val="24"/>
          <w:szCs w:val="24"/>
        </w:rPr>
        <w:t>International Journal of Microbiological Research, 12</w:t>
      </w:r>
      <w:r>
        <w:rPr>
          <w:rFonts w:ascii="Times New Roman" w:hAnsi="Times New Roman" w:eastAsia="Times New Roman" w:cs="Times New Roman"/>
          <w:sz w:val="24"/>
          <w:szCs w:val="24"/>
        </w:rPr>
        <w:t>(3), 85-92.</w:t>
      </w:r>
    </w:p>
    <w:p w14:paraId="0145B0F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Blair, J. M., Webber, M. A., Baylay, A. J., &amp; Piddock, L. J. (2015). Molecular mechanisms of antibiotic resistance. </w:t>
      </w:r>
      <w:r>
        <w:rPr>
          <w:rFonts w:ascii="Times New Roman" w:hAnsi="Times New Roman" w:eastAsia="Times New Roman" w:cs="Times New Roman"/>
          <w:i/>
          <w:iCs/>
          <w:sz w:val="24"/>
          <w:szCs w:val="24"/>
        </w:rPr>
        <w:t>Nature Reviews Microbiology, 13</w:t>
      </w:r>
      <w:r>
        <w:rPr>
          <w:rFonts w:ascii="Times New Roman" w:hAnsi="Times New Roman" w:eastAsia="Times New Roman" w:cs="Times New Roman"/>
          <w:sz w:val="24"/>
          <w:szCs w:val="24"/>
        </w:rPr>
        <w:t>(1), 42-51.</w:t>
      </w:r>
    </w:p>
    <w:p w14:paraId="69A36DB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hAnsi="Times New Roman" w:eastAsia="Times New Roman" w:cs="Times New Roman"/>
          <w:i/>
          <w:iCs/>
          <w:sz w:val="24"/>
          <w:szCs w:val="24"/>
        </w:rPr>
        <w:t>Molecules</w:t>
      </w:r>
      <w:r>
        <w:rPr>
          <w:rFonts w:ascii="Times New Roman" w:hAnsi="Times New Roman" w:eastAsia="Times New Roman" w:cs="Times New Roman"/>
          <w:sz w:val="24"/>
          <w:szCs w:val="24"/>
        </w:rPr>
        <w:t>, 25(13), 3204. https://doi.org/10.3390/molecules25133204</w:t>
      </w:r>
    </w:p>
    <w:p w14:paraId="3DB3F758">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Bouchiat, C., Bornet, C., &amp; Lemaître, N. (2019). Molecular epidemiology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its management. </w:t>
      </w:r>
      <w:r>
        <w:rPr>
          <w:rFonts w:ascii="Times New Roman" w:hAnsi="Times New Roman" w:eastAsia="Times New Roman" w:cs="Times New Roman"/>
          <w:i/>
          <w:iCs/>
          <w:sz w:val="24"/>
          <w:szCs w:val="24"/>
        </w:rPr>
        <w:t>Clinical Microbiology and Infection, 25</w:t>
      </w:r>
      <w:r>
        <w:rPr>
          <w:rFonts w:ascii="Times New Roman" w:hAnsi="Times New Roman" w:eastAsia="Times New Roman" w:cs="Times New Roman"/>
          <w:sz w:val="24"/>
          <w:szCs w:val="24"/>
        </w:rPr>
        <w:t>(3), 299-307.</w:t>
      </w:r>
    </w:p>
    <w:p w14:paraId="3C24BA5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Aboud, M., &amp; Ferhat, M. (2020). Eucalyptus essential oil and its antimicrobial properties. </w:t>
      </w:r>
      <w:r>
        <w:rPr>
          <w:rFonts w:ascii="Times New Roman" w:hAnsi="Times New Roman" w:eastAsia="Times New Roman" w:cs="Times New Roman"/>
          <w:i/>
          <w:iCs/>
          <w:sz w:val="24"/>
          <w:szCs w:val="24"/>
        </w:rPr>
        <w:t>Pharmacognosy Reviews, 14</w:t>
      </w:r>
      <w:r>
        <w:rPr>
          <w:rFonts w:ascii="Times New Roman" w:hAnsi="Times New Roman" w:eastAsia="Times New Roman" w:cs="Times New Roman"/>
          <w:sz w:val="24"/>
          <w:szCs w:val="24"/>
        </w:rPr>
        <w:t>(28), 69-77.</w:t>
      </w:r>
    </w:p>
    <w:p w14:paraId="680C9CF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Eucalyptus essential oils: Biological activities and therapeutic potential. </w:t>
      </w:r>
      <w:r>
        <w:rPr>
          <w:rFonts w:ascii="Times New Roman" w:hAnsi="Times New Roman" w:eastAsia="Times New Roman" w:cs="Times New Roman"/>
          <w:i/>
          <w:iCs/>
          <w:sz w:val="24"/>
          <w:szCs w:val="24"/>
        </w:rPr>
        <w:t>Natural Product Research</w:t>
      </w:r>
      <w:r>
        <w:rPr>
          <w:rFonts w:ascii="Times New Roman" w:hAnsi="Times New Roman" w:eastAsia="Times New Roman" w:cs="Times New Roman"/>
          <w:sz w:val="24"/>
          <w:szCs w:val="24"/>
        </w:rPr>
        <w:t>, 34(18), 2607–2620. https://doi.org/10.1080/14786419.2018.1550070</w:t>
      </w:r>
    </w:p>
    <w:p w14:paraId="46EEFDB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Centers for Disease Control and Prevention (CDC). (2022). </w:t>
      </w:r>
      <w:r>
        <w:rPr>
          <w:rFonts w:ascii="Times New Roman" w:hAnsi="Times New Roman" w:eastAsia="Times New Roman" w:cs="Times New Roman"/>
          <w:i/>
          <w:iCs/>
          <w:sz w:val="24"/>
          <w:szCs w:val="24"/>
        </w:rPr>
        <w:t>Antibiotic Resistance Threats in the United States, 2022</w:t>
      </w:r>
      <w:r>
        <w:rPr>
          <w:rFonts w:ascii="Times New Roman" w:hAnsi="Times New Roman" w:eastAsia="Times New Roman" w:cs="Times New Roman"/>
          <w:sz w:val="24"/>
          <w:szCs w:val="24"/>
        </w:rPr>
        <w:t xml:space="preserve">. Retrieved from </w:t>
      </w:r>
      <w:r>
        <w:fldChar w:fldCharType="begin"/>
      </w:r>
      <w:r>
        <w:instrText xml:space="preserve"> HYPERLINK "https://www.cdc.gov" \t "_new" </w:instrText>
      </w:r>
      <w:r>
        <w:fldChar w:fldCharType="separate"/>
      </w:r>
      <w:r>
        <w:rPr>
          <w:rFonts w:ascii="Times New Roman" w:hAnsi="Times New Roman" w:eastAsia="Times New Roman" w:cs="Times New Roman"/>
          <w:color w:val="0000FF"/>
          <w:sz w:val="24"/>
          <w:szCs w:val="24"/>
          <w:u w:val="single"/>
        </w:rPr>
        <w:t>https://www.cdc.gov</w:t>
      </w:r>
      <w:r>
        <w:rPr>
          <w:rFonts w:ascii="Times New Roman" w:hAnsi="Times New Roman" w:eastAsia="Times New Roman" w:cs="Times New Roman"/>
          <w:color w:val="0000FF"/>
          <w:sz w:val="24"/>
          <w:szCs w:val="24"/>
          <w:u w:val="single"/>
        </w:rPr>
        <w:fldChar w:fldCharType="end"/>
      </w:r>
    </w:p>
    <w:p w14:paraId="5987EF4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Cohen, M. L. (2019). Epidemiology of drug resistance: implications for a post-antimicrobial era. </w:t>
      </w:r>
      <w:r>
        <w:rPr>
          <w:rFonts w:ascii="Times New Roman" w:hAnsi="Times New Roman" w:eastAsia="Times New Roman" w:cs="Times New Roman"/>
          <w:i/>
          <w:iCs/>
          <w:sz w:val="24"/>
          <w:szCs w:val="24"/>
        </w:rPr>
        <w:t>Science, 257</w:t>
      </w:r>
      <w:r>
        <w:rPr>
          <w:rFonts w:ascii="Times New Roman" w:hAnsi="Times New Roman" w:eastAsia="Times New Roman" w:cs="Times New Roman"/>
          <w:sz w:val="24"/>
          <w:szCs w:val="24"/>
        </w:rPr>
        <w:t>(5073), 1050-1055.</w:t>
      </w:r>
    </w:p>
    <w:p w14:paraId="4EF27D0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 Silva, J. K. R., Figueiredo, P. L. B., Byler, K. G., Setzer, W. N. (2020). Essential oils as antibacterial agents: A review.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(6), 292. https://doi.org/10.3390/antibiotics9060292</w:t>
      </w:r>
    </w:p>
    <w:p w14:paraId="47B395B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Morais, J. D., Silva, J. P., &amp; Fonseca, S. G. (2020). Eucalyptus essential oil: Industrial production and antimicrobial properties. </w:t>
      </w:r>
      <w:r>
        <w:rPr>
          <w:rFonts w:ascii="Times New Roman" w:hAnsi="Times New Roman" w:eastAsia="Times New Roman" w:cs="Times New Roman"/>
          <w:i/>
          <w:iCs/>
          <w:sz w:val="24"/>
          <w:szCs w:val="24"/>
        </w:rPr>
        <w:t>Journal of Essential Oil Research, 32</w:t>
      </w:r>
      <w:r>
        <w:rPr>
          <w:rFonts w:ascii="Times New Roman" w:hAnsi="Times New Roman" w:eastAsia="Times New Roman" w:cs="Times New Roman"/>
          <w:sz w:val="24"/>
          <w:szCs w:val="24"/>
        </w:rPr>
        <w:t>(5), 417-426.</w:t>
      </w:r>
    </w:p>
    <w:p w14:paraId="4F845AD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Deo, S. S., Bhat, R. V., &amp; Jayaraj, R. (2018). Antibacterial properties of fluoroquinolones. </w:t>
      </w:r>
      <w:r>
        <w:rPr>
          <w:rFonts w:ascii="Times New Roman" w:hAnsi="Times New Roman" w:eastAsia="Times New Roman" w:cs="Times New Roman"/>
          <w:i/>
          <w:iCs/>
          <w:sz w:val="24"/>
          <w:szCs w:val="24"/>
        </w:rPr>
        <w:t>Journal of Microbiology and Infectious Diseases, 12</w:t>
      </w:r>
      <w:r>
        <w:rPr>
          <w:rFonts w:ascii="Times New Roman" w:hAnsi="Times New Roman" w:eastAsia="Times New Roman" w:cs="Times New Roman"/>
          <w:sz w:val="24"/>
          <w:szCs w:val="24"/>
        </w:rPr>
        <w:t>(2), 87-92.</w:t>
      </w:r>
    </w:p>
    <w:p w14:paraId="239DA22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J., &amp; Albuquerque, R. D. D. G. (2020). Antimicrobial and antioxidant activities of plants extracts. </w:t>
      </w:r>
      <w:r>
        <w:rPr>
          <w:rFonts w:ascii="Times New Roman" w:hAnsi="Times New Roman" w:eastAsia="Times New Roman" w:cs="Times New Roman"/>
          <w:i/>
          <w:iCs/>
          <w:sz w:val="24"/>
          <w:szCs w:val="24"/>
        </w:rPr>
        <w:t>Pharmaceuticals</w:t>
      </w:r>
      <w:r>
        <w:rPr>
          <w:rFonts w:ascii="Times New Roman" w:hAnsi="Times New Roman" w:eastAsia="Times New Roman" w:cs="Times New Roman"/>
          <w:sz w:val="24"/>
          <w:szCs w:val="24"/>
        </w:rPr>
        <w:t>, 13(5), 88. https://doi.org/10.3390/ph13050088</w:t>
      </w:r>
    </w:p>
    <w:p w14:paraId="716286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M. L., &amp; Albuquerque, T. M. (2020). Antibiotics: Mechanisms of action and antibacterial resistance. </w:t>
      </w:r>
      <w:r>
        <w:rPr>
          <w:rFonts w:ascii="Times New Roman" w:hAnsi="Times New Roman" w:eastAsia="Times New Roman" w:cs="Times New Roman"/>
          <w:i/>
          <w:iCs/>
          <w:sz w:val="24"/>
          <w:szCs w:val="24"/>
        </w:rPr>
        <w:t>Antimicrobial Agents and Chemotherapy, 64</w:t>
      </w:r>
      <w:r>
        <w:rPr>
          <w:rFonts w:ascii="Times New Roman" w:hAnsi="Times New Roman" w:eastAsia="Times New Roman" w:cs="Times New Roman"/>
          <w:sz w:val="24"/>
          <w:szCs w:val="24"/>
        </w:rPr>
        <w:t>(8), e02123-19.</w:t>
      </w:r>
    </w:p>
    <w:p w14:paraId="6BDE833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&amp; El-Gedawy, A. (2022). Resistance patterns and genetic characterization of multidrug-resistant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isolated from clinical and food samples.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11(1), 66. https://doi.org/10.3390/antibiotics11010066</w:t>
      </w:r>
    </w:p>
    <w:p w14:paraId="525BD3E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hAnsi="Times New Roman" w:eastAsia="Times New Roman" w:cs="Times New Roman"/>
          <w:i/>
          <w:iCs/>
          <w:sz w:val="24"/>
          <w:szCs w:val="24"/>
        </w:rPr>
        <w:t>Antibiotics, 11</w:t>
      </w:r>
      <w:r>
        <w:rPr>
          <w:rFonts w:ascii="Times New Roman" w:hAnsi="Times New Roman" w:eastAsia="Times New Roman" w:cs="Times New Roman"/>
          <w:sz w:val="24"/>
          <w:szCs w:val="24"/>
        </w:rPr>
        <w:t>(8), 1069. https://doi.org/10.3390/antibiotics11081069</w:t>
      </w:r>
    </w:p>
    <w:p w14:paraId="27DC39E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Fadeyi, O. O., Sobowale, S. F., &amp; Olaniyi, O. E. (2018).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systematic review. </w:t>
      </w:r>
      <w:r>
        <w:rPr>
          <w:rFonts w:ascii="Times New Roman" w:hAnsi="Times New Roman" w:eastAsia="Times New Roman" w:cs="Times New Roman"/>
          <w:i/>
          <w:iCs/>
          <w:sz w:val="24"/>
          <w:szCs w:val="24"/>
        </w:rPr>
        <w:t>Pharmacognosy Reviews, 12</w:t>
      </w:r>
      <w:r>
        <w:rPr>
          <w:rFonts w:ascii="Times New Roman" w:hAnsi="Times New Roman" w:eastAsia="Times New Roman" w:cs="Times New Roman"/>
          <w:sz w:val="24"/>
          <w:szCs w:val="24"/>
        </w:rPr>
        <w:t>(24), 77-82.</w:t>
      </w:r>
    </w:p>
    <w:p w14:paraId="46A7151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Antibacterial resistance: from molecular mechanisms to clinical applications.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(8), 510.</w:t>
      </w:r>
    </w:p>
    <w:p w14:paraId="12E1AF1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The continuing threat of antibiotic resistance: The role of natural compounds and plants in overcoming the problem.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9(8), 473. https://doi.org/10.3390/antibiotics9080473</w:t>
      </w:r>
    </w:p>
    <w:p w14:paraId="77079A2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Saavedra, M. J., &amp; Henriques, M. (2021). Bacterial biofilms in endodontic infections: An update on their resistance and treatment strategies. </w:t>
      </w:r>
      <w:r>
        <w:rPr>
          <w:rFonts w:ascii="Times New Roman" w:hAnsi="Times New Roman" w:eastAsia="Times New Roman" w:cs="Times New Roman"/>
          <w:i/>
          <w:iCs/>
          <w:sz w:val="24"/>
          <w:szCs w:val="24"/>
        </w:rPr>
        <w:t>Critical Reviews in Microbiology</w:t>
      </w:r>
      <w:r>
        <w:rPr>
          <w:rFonts w:ascii="Times New Roman" w:hAnsi="Times New Roman" w:eastAsia="Times New Roman" w:cs="Times New Roman"/>
          <w:sz w:val="24"/>
          <w:szCs w:val="24"/>
        </w:rPr>
        <w:t>, 47(4), 401–411. https://doi.org/10.1080/1040841X.2020.1868913</w:t>
      </w:r>
    </w:p>
    <w:p w14:paraId="79B1302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Teixeira, P., &amp; Ceri, H. (2021). Using essential oils to fight multidrug-resistant bacterial biofilms: Current research and future perspectives. </w:t>
      </w:r>
      <w:r>
        <w:rPr>
          <w:rFonts w:ascii="Times New Roman" w:hAnsi="Times New Roman" w:eastAsia="Times New Roman" w:cs="Times New Roman"/>
          <w:i/>
          <w:iCs/>
          <w:sz w:val="24"/>
          <w:szCs w:val="24"/>
        </w:rPr>
        <w:t>Pathogens, 10</w:t>
      </w:r>
      <w:r>
        <w:rPr>
          <w:rFonts w:ascii="Times New Roman" w:hAnsi="Times New Roman" w:eastAsia="Times New Roman" w:cs="Times New Roman"/>
          <w:sz w:val="24"/>
          <w:szCs w:val="24"/>
        </w:rPr>
        <w:t>(2), 248. https://doi.org/10.3390/pathogens10020248</w:t>
      </w:r>
    </w:p>
    <w:p w14:paraId="1D91BA6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Gorib, M. S., Haque, M. A., &amp; Ali, S. (2021). The clinical relevance of polymyxin antibiotics in multidrug-resistant bacteria. </w:t>
      </w:r>
      <w:r>
        <w:rPr>
          <w:rFonts w:ascii="Times New Roman" w:hAnsi="Times New Roman" w:eastAsia="Times New Roman" w:cs="Times New Roman"/>
          <w:i/>
          <w:iCs/>
          <w:sz w:val="24"/>
          <w:szCs w:val="24"/>
        </w:rPr>
        <w:t>Journal of Antimicrobial Chemotherapy, 76</w:t>
      </w:r>
      <w:r>
        <w:rPr>
          <w:rFonts w:ascii="Times New Roman" w:hAnsi="Times New Roman" w:eastAsia="Times New Roman" w:cs="Times New Roman"/>
          <w:sz w:val="24"/>
          <w:szCs w:val="24"/>
        </w:rPr>
        <w:t>(1), 44-56.</w:t>
      </w:r>
    </w:p>
    <w:p w14:paraId="7AA9316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Guerra, B., &amp; Alves, D. (2020).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antibiotic resistance and its epidemiological implications. </w:t>
      </w:r>
      <w:r>
        <w:rPr>
          <w:rFonts w:ascii="Times New Roman" w:hAnsi="Times New Roman" w:eastAsia="Times New Roman" w:cs="Times New Roman"/>
          <w:i/>
          <w:iCs/>
          <w:sz w:val="24"/>
          <w:szCs w:val="24"/>
        </w:rPr>
        <w:t>Antimicrobial Resistance and Infection Control, 9</w:t>
      </w:r>
      <w:r>
        <w:rPr>
          <w:rFonts w:ascii="Times New Roman" w:hAnsi="Times New Roman" w:eastAsia="Times New Roman" w:cs="Times New Roman"/>
          <w:sz w:val="24"/>
          <w:szCs w:val="24"/>
        </w:rPr>
        <w:t>(1), 135-144.</w:t>
      </w:r>
    </w:p>
    <w:p w14:paraId="47D9EFE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Lefroy, T. E., Aylward, D., &amp; Smith, M. (2019).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Ecology and commercial potential. </w:t>
      </w:r>
      <w:r>
        <w:rPr>
          <w:rFonts w:ascii="Times New Roman" w:hAnsi="Times New Roman" w:eastAsia="Times New Roman" w:cs="Times New Roman"/>
          <w:i/>
          <w:iCs/>
          <w:sz w:val="24"/>
          <w:szCs w:val="24"/>
        </w:rPr>
        <w:t>Journal of Environmental Management, 45</w:t>
      </w:r>
      <w:r>
        <w:rPr>
          <w:rFonts w:ascii="Times New Roman" w:hAnsi="Times New Roman" w:eastAsia="Times New Roman" w:cs="Times New Roman"/>
          <w:sz w:val="24"/>
          <w:szCs w:val="24"/>
        </w:rPr>
        <w:t>(3), 1502-1511.</w:t>
      </w:r>
    </w:p>
    <w:p w14:paraId="0ED61BF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Livermore, D. M. (2020). Antibiotic resistance in the era of antimicrobial stewardship. </w:t>
      </w:r>
      <w:r>
        <w:rPr>
          <w:rFonts w:ascii="Times New Roman" w:hAnsi="Times New Roman" w:eastAsia="Times New Roman" w:cs="Times New Roman"/>
          <w:i/>
          <w:iCs/>
          <w:sz w:val="24"/>
          <w:szCs w:val="24"/>
        </w:rPr>
        <w:t>Clinical Microbiology and Infection, 26</w:t>
      </w:r>
      <w:r>
        <w:rPr>
          <w:rFonts w:ascii="Times New Roman" w:hAnsi="Times New Roman" w:eastAsia="Times New Roman" w:cs="Times New Roman"/>
          <w:sz w:val="24"/>
          <w:szCs w:val="24"/>
        </w:rPr>
        <w:t>(6), 722-730.</w:t>
      </w:r>
    </w:p>
    <w:p w14:paraId="46FB5D1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Mackenzie, K. M., Popham, P. L., &amp; Westwood, T. J. (2019). Medicinal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components. </w:t>
      </w:r>
      <w:r>
        <w:rPr>
          <w:rFonts w:ascii="Times New Roman" w:hAnsi="Times New Roman" w:eastAsia="Times New Roman" w:cs="Times New Roman"/>
          <w:i/>
          <w:iCs/>
          <w:sz w:val="24"/>
          <w:szCs w:val="24"/>
        </w:rPr>
        <w:t>Journal of Medicinal Plants, 31</w:t>
      </w:r>
      <w:r>
        <w:rPr>
          <w:rFonts w:ascii="Times New Roman" w:hAnsi="Times New Roman" w:eastAsia="Times New Roman" w:cs="Times New Roman"/>
          <w:sz w:val="24"/>
          <w:szCs w:val="24"/>
        </w:rPr>
        <w:t>(7), 890-902.</w:t>
      </w:r>
    </w:p>
    <w:p w14:paraId="342E57ED">
      <w:pPr>
        <w:pStyle w:val="12"/>
        <w:ind w:left="567" w:hanging="567"/>
        <w:jc w:val="both"/>
      </w:pPr>
      <w:r>
        <w:t xml:space="preserve">Mohamed, A. S., El-Sayed, H. A., &amp; Hassan, M. F. (2020). Antibacterial and antioxidant activities of </w:t>
      </w:r>
      <w:r>
        <w:rPr>
          <w:rStyle w:val="8"/>
        </w:rPr>
        <w:t>Eucalyptus globulus</w:t>
      </w:r>
      <w:r>
        <w:t xml:space="preserve"> extracts against multi-drug resistant bacteria. </w:t>
      </w:r>
      <w:r>
        <w:rPr>
          <w:rStyle w:val="8"/>
        </w:rPr>
        <w:t>Journal of Herbal Medicine</w:t>
      </w:r>
      <w:r>
        <w:t>, 21, 100-107.</w:t>
      </w:r>
    </w:p>
    <w:p w14:paraId="70EFF7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Nash, K. A., Piddock, L. J. V., &amp; Giske, C. G. (2019). Emergence of multidrug-resistant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strains in hospital and community settings. </w:t>
      </w:r>
      <w:r>
        <w:rPr>
          <w:rFonts w:ascii="Times New Roman" w:hAnsi="Times New Roman" w:eastAsia="Times New Roman" w:cs="Times New Roman"/>
          <w:i/>
          <w:iCs/>
          <w:sz w:val="24"/>
          <w:szCs w:val="24"/>
        </w:rPr>
        <w:t>Journal of Antimicrobial Chemotherapy, 74</w:t>
      </w:r>
      <w:r>
        <w:rPr>
          <w:rFonts w:ascii="Times New Roman" w:hAnsi="Times New Roman" w:eastAsia="Times New Roman" w:cs="Times New Roman"/>
          <w:sz w:val="24"/>
          <w:szCs w:val="24"/>
        </w:rPr>
        <w:t>(5), 1219-1229.</w:t>
      </w:r>
    </w:p>
    <w:p w14:paraId="40F7435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Nataro, J. P., &amp; Kaper, J. B. (2019). Diarrheagenic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Clinical Microbiology Reviews, 32</w:t>
      </w:r>
      <w:r>
        <w:rPr>
          <w:rFonts w:ascii="Times New Roman" w:hAnsi="Times New Roman" w:eastAsia="Times New Roman" w:cs="Times New Roman"/>
          <w:sz w:val="24"/>
          <w:szCs w:val="24"/>
        </w:rPr>
        <w:t>(1), e00001-19.</w:t>
      </w:r>
    </w:p>
    <w:p w14:paraId="68DE5576">
      <w:pPr>
        <w:pStyle w:val="12"/>
        <w:ind w:left="567" w:hanging="567"/>
        <w:jc w:val="both"/>
      </w:pPr>
      <w:r>
        <w:t xml:space="preserve">Ogunyemi, T. S., Adewale, O. A., &amp; Ajayi, O. A. (2022). Phytochemical and antimicrobial evaluation of ethanol and aqueous extracts of </w:t>
      </w:r>
      <w:r>
        <w:rPr>
          <w:rStyle w:val="8"/>
        </w:rPr>
        <w:t>Eucalyptus globulus</w:t>
      </w:r>
      <w:r>
        <w:t xml:space="preserve">. </w:t>
      </w:r>
      <w:r>
        <w:rPr>
          <w:rStyle w:val="8"/>
        </w:rPr>
        <w:t>Journal of Applied Pharmaceutical Science</w:t>
      </w:r>
      <w:r>
        <w:t>, 12(3), 45-52.</w:t>
      </w:r>
    </w:p>
    <w:p w14:paraId="3481844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beta-lactamases: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(3), e00052-19.</w:t>
      </w:r>
    </w:p>
    <w:p w14:paraId="67BD88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β-lactamases: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e00010-19.</w:t>
      </w:r>
    </w:p>
    <w:p w14:paraId="6D2B042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Lee, C. C., &amp; Chang, F. Y. (2020). The evolving challenge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Infection, 48</w:t>
      </w:r>
      <w:r>
        <w:rPr>
          <w:rFonts w:ascii="Times New Roman" w:hAnsi="Times New Roman" w:eastAsia="Times New Roman" w:cs="Times New Roman"/>
          <w:sz w:val="24"/>
          <w:szCs w:val="24"/>
        </w:rPr>
        <w:t>(2), 145-155.</w:t>
      </w:r>
    </w:p>
    <w:p w14:paraId="264BEC1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Prestinaci, F., Pezzotti, P., &amp; Pantosti, A. (2019). Antimicrobial resistance: A global multifaceted phenomenon. </w:t>
      </w:r>
      <w:r>
        <w:rPr>
          <w:rFonts w:ascii="Times New Roman" w:hAnsi="Times New Roman" w:eastAsia="Times New Roman" w:cs="Times New Roman"/>
          <w:i/>
          <w:iCs/>
          <w:sz w:val="24"/>
          <w:szCs w:val="24"/>
        </w:rPr>
        <w:t>Pathogens and Global Health, 113</w:t>
      </w:r>
      <w:r>
        <w:rPr>
          <w:rFonts w:ascii="Times New Roman" w:hAnsi="Times New Roman" w:eastAsia="Times New Roman" w:cs="Times New Roman"/>
          <w:sz w:val="24"/>
          <w:szCs w:val="24"/>
        </w:rPr>
        <w:t>(7), 349–358. https://doi.org/10.1080/20477724.2019.1699494</w:t>
      </w:r>
    </w:p>
    <w:p w14:paraId="49AE168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Fokou, P. V. T., &amp; Badii, F. (2021). The antimicrobial properties of Eucalyptus essential oils: A systematic review.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1090.</w:t>
      </w:r>
    </w:p>
    <w:p w14:paraId="36A3653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&amp; Sharopov, F. (2021). Therapeutic potential of essential oils in bacterial infections: A review.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(17), 4984. https://doi.org/10.3390/molecules26174984</w:t>
      </w:r>
    </w:p>
    <w:p w14:paraId="356F4BA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LD Jayaweera, S., Dias, D. A., ... &amp; Sharifi-Rad, J. (2021). Therapeutic potential of Eucalyptus species phytochemicals: A review. </w:t>
      </w:r>
      <w:r>
        <w:rPr>
          <w:rFonts w:ascii="Times New Roman" w:hAnsi="Times New Roman" w:eastAsia="Times New Roman" w:cs="Times New Roman"/>
          <w:i/>
          <w:iCs/>
          <w:sz w:val="24"/>
          <w:szCs w:val="24"/>
        </w:rPr>
        <w:t>Food and Chemical Toxicology</w:t>
      </w:r>
      <w:r>
        <w:rPr>
          <w:rFonts w:ascii="Times New Roman" w:hAnsi="Times New Roman" w:eastAsia="Times New Roman" w:cs="Times New Roman"/>
          <w:sz w:val="24"/>
          <w:szCs w:val="24"/>
        </w:rPr>
        <w:t>, 148, 111974. https://doi.org/10.1016/j.fct.2021.111974</w:t>
      </w:r>
    </w:p>
    <w:p w14:paraId="09B5D02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Sani, A., Sahid, I., &amp; Madenda, S. M. (2020). Phytochemical and antibacterial activities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w:t>
      </w:r>
      <w:r>
        <w:rPr>
          <w:rFonts w:ascii="Times New Roman" w:hAnsi="Times New Roman" w:eastAsia="Times New Roman" w:cs="Times New Roman"/>
          <w:i/>
          <w:iCs/>
          <w:sz w:val="24"/>
          <w:szCs w:val="24"/>
        </w:rPr>
        <w:t>Journal of Applied Microbiology, 129</w:t>
      </w:r>
      <w:r>
        <w:rPr>
          <w:rFonts w:ascii="Times New Roman" w:hAnsi="Times New Roman" w:eastAsia="Times New Roman" w:cs="Times New Roman"/>
          <w:sz w:val="24"/>
          <w:szCs w:val="24"/>
        </w:rPr>
        <w:t>(5), 1241-1252.</w:t>
      </w:r>
    </w:p>
    <w:p w14:paraId="1EFF78D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Serrato, L., Pereira, J., &amp; Almeida, M. S. (2020).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inhibit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biofilm formation and planktonic growth. </w:t>
      </w:r>
      <w:r>
        <w:rPr>
          <w:rFonts w:ascii="Times New Roman" w:hAnsi="Times New Roman" w:eastAsia="Times New Roman" w:cs="Times New Roman"/>
          <w:i/>
          <w:iCs/>
          <w:sz w:val="24"/>
          <w:szCs w:val="24"/>
        </w:rPr>
        <w:t>Microorganisms, 8</w:t>
      </w:r>
      <w:r>
        <w:rPr>
          <w:rFonts w:ascii="Times New Roman" w:hAnsi="Times New Roman" w:eastAsia="Times New Roman" w:cs="Times New Roman"/>
          <w:sz w:val="24"/>
          <w:szCs w:val="24"/>
        </w:rPr>
        <w:t>(11), 1759.</w:t>
      </w:r>
    </w:p>
    <w:p w14:paraId="49CC39B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D. M., Souza, R. A., &amp; Silva, M. F. (2020). Antibacterial activity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clinical bacterial isolates. </w:t>
      </w:r>
      <w:r>
        <w:rPr>
          <w:rFonts w:ascii="Times New Roman" w:hAnsi="Times New Roman" w:eastAsia="Times New Roman" w:cs="Times New Roman"/>
          <w:i/>
          <w:iCs/>
          <w:sz w:val="24"/>
          <w:szCs w:val="24"/>
        </w:rPr>
        <w:t>Brazilian Journal of Pharmacognosy, 30</w:t>
      </w:r>
      <w:r>
        <w:rPr>
          <w:rFonts w:ascii="Times New Roman" w:hAnsi="Times New Roman" w:eastAsia="Times New Roman" w:cs="Times New Roman"/>
          <w:sz w:val="24"/>
          <w:szCs w:val="24"/>
        </w:rPr>
        <w:t>(6), 763-770.</w:t>
      </w:r>
    </w:p>
    <w:p w14:paraId="3ACFA26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J. K. R., Figueiredo, P. L. B., &amp; Setzer, W. N. (2020). Essential oils from the Myrtaceae family and their antimicrobial activity against resistant pathogens. </w:t>
      </w:r>
      <w:r>
        <w:rPr>
          <w:rFonts w:ascii="Times New Roman" w:hAnsi="Times New Roman" w:eastAsia="Times New Roman" w:cs="Times New Roman"/>
          <w:i/>
          <w:iCs/>
          <w:sz w:val="24"/>
          <w:szCs w:val="24"/>
        </w:rPr>
        <w:t>Molecules, 25</w:t>
      </w:r>
      <w:r>
        <w:rPr>
          <w:rFonts w:ascii="Times New Roman" w:hAnsi="Times New Roman" w:eastAsia="Times New Roman" w:cs="Times New Roman"/>
          <w:sz w:val="24"/>
          <w:szCs w:val="24"/>
        </w:rPr>
        <w:t>(14), 3276. https://doi.org/10.3390/molecules25143276</w:t>
      </w:r>
    </w:p>
    <w:p w14:paraId="4A966A10">
      <w:pPr>
        <w:pStyle w:val="12"/>
        <w:ind w:left="567" w:hanging="567"/>
        <w:jc w:val="both"/>
      </w:pPr>
      <w:r>
        <w:t xml:space="preserve">Singh, P., Kaur, N., &amp; Kaur, G. (2021). Role of phytochemicals in combating antibiotic resistance: A review. </w:t>
      </w:r>
      <w:r>
        <w:rPr>
          <w:rStyle w:val="8"/>
        </w:rPr>
        <w:t>Biomedicine &amp; Pharmacotherapy</w:t>
      </w:r>
      <w:r>
        <w:t>, 134, 111121.</w:t>
      </w:r>
    </w:p>
    <w:p w14:paraId="076FD270">
      <w:pPr>
        <w:pStyle w:val="12"/>
        <w:ind w:left="567" w:hanging="567"/>
        <w:jc w:val="both"/>
      </w:pPr>
      <w:r>
        <w:t xml:space="preserve">Taiwo, A. O., Lawal, O. A., &amp; Adeyemi, O. A. (2021). Antibacterial effects of </w:t>
      </w:r>
      <w:r>
        <w:rPr>
          <w:rStyle w:val="8"/>
        </w:rPr>
        <w:t>Eucalyptus globulus</w:t>
      </w:r>
      <w:r>
        <w:t xml:space="preserve"> ethanol extracts on multidrug-resistant clinical isolates. </w:t>
      </w:r>
      <w:r>
        <w:rPr>
          <w:rStyle w:val="8"/>
        </w:rPr>
        <w:t>International Journal of Microbiology</w:t>
      </w:r>
      <w:r>
        <w:t>, 2021, Article ID 8887653.</w:t>
      </w:r>
    </w:p>
    <w:p w14:paraId="67E8D85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Tucker, M. T., Diaz, G. J., &amp; Hernandez, L. (2019). Antibiotic resistance mechanisms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 review. </w:t>
      </w:r>
      <w:r>
        <w:rPr>
          <w:rFonts w:ascii="Times New Roman" w:hAnsi="Times New Roman" w:eastAsia="Times New Roman" w:cs="Times New Roman"/>
          <w:i/>
          <w:iCs/>
          <w:sz w:val="24"/>
          <w:szCs w:val="24"/>
        </w:rPr>
        <w:t>Microorganisms, 7</w:t>
      </w:r>
      <w:r>
        <w:rPr>
          <w:rFonts w:ascii="Times New Roman" w:hAnsi="Times New Roman" w:eastAsia="Times New Roman" w:cs="Times New Roman"/>
          <w:sz w:val="24"/>
          <w:szCs w:val="24"/>
        </w:rPr>
        <w:t>(2), 69-80.</w:t>
      </w:r>
    </w:p>
    <w:p w14:paraId="6AC18B8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Health Organization (WHO). (2020). </w:t>
      </w:r>
      <w:r>
        <w:rPr>
          <w:rFonts w:ascii="Times New Roman" w:hAnsi="Times New Roman" w:eastAsia="Times New Roman" w:cs="Times New Roman"/>
          <w:i/>
          <w:iCs/>
          <w:sz w:val="24"/>
          <w:szCs w:val="24"/>
        </w:rPr>
        <w:t>Antibacterial agents in clinical development: An analysis of the antibacterial clinical development pipeline</w:t>
      </w:r>
      <w:r>
        <w:rPr>
          <w:rFonts w:ascii="Times New Roman" w:hAnsi="Times New Roman" w:eastAsia="Times New Roman" w:cs="Times New Roman"/>
          <w:sz w:val="24"/>
          <w:szCs w:val="24"/>
        </w:rPr>
        <w:t xml:space="preserve">. Retrieved from </w:t>
      </w:r>
      <w:r>
        <w:fldChar w:fldCharType="begin"/>
      </w:r>
      <w:r>
        <w:instrText xml:space="preserve"> HYPERLINK "https://www.who.int/publications/i/item/9789240000193" \t "_new" </w:instrText>
      </w:r>
      <w:r>
        <w:fldChar w:fldCharType="separate"/>
      </w:r>
      <w:r>
        <w:rPr>
          <w:rFonts w:ascii="Times New Roman" w:hAnsi="Times New Roman" w:eastAsia="Times New Roman" w:cs="Times New Roman"/>
          <w:color w:val="0000FF"/>
          <w:sz w:val="24"/>
          <w:szCs w:val="24"/>
          <w:u w:val="single"/>
        </w:rPr>
        <w:t>https://www.who.int/publications/i/item/9789240000193</w:t>
      </w:r>
      <w:r>
        <w:rPr>
          <w:rFonts w:ascii="Times New Roman" w:hAnsi="Times New Roman" w:eastAsia="Times New Roman" w:cs="Times New Roman"/>
          <w:color w:val="0000FF"/>
          <w:sz w:val="24"/>
          <w:szCs w:val="24"/>
          <w:u w:val="single"/>
        </w:rPr>
        <w:fldChar w:fldCharType="end"/>
      </w:r>
    </w:p>
    <w:p w14:paraId="1E11A9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 Q., Zhang, Y., &amp; Wang, X. (2020). The epidemiology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infections and its antibiotic resistance. </w:t>
      </w:r>
      <w:r>
        <w:rPr>
          <w:rFonts w:ascii="Times New Roman" w:hAnsi="Times New Roman" w:eastAsia="Times New Roman" w:cs="Times New Roman"/>
          <w:i/>
          <w:iCs/>
          <w:sz w:val="24"/>
          <w:szCs w:val="24"/>
        </w:rPr>
        <w:t>Infection Control and Hospital Epidemiology, 41</w:t>
      </w:r>
      <w:r>
        <w:rPr>
          <w:rFonts w:ascii="Times New Roman" w:hAnsi="Times New Roman" w:eastAsia="Times New Roman" w:cs="Times New Roman"/>
          <w:sz w:val="24"/>
          <w:szCs w:val="24"/>
        </w:rPr>
        <w:t>(10), 1211-1218.</w:t>
      </w:r>
    </w:p>
    <w:p w14:paraId="26980BB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Xie, Y., &amp; Zhang, H. (2020). Molecular mechanisms of antimicrobial resistance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Antimicrobial Agents, 56</w:t>
      </w:r>
      <w:r>
        <w:rPr>
          <w:rFonts w:ascii="Times New Roman" w:hAnsi="Times New Roman" w:eastAsia="Times New Roman" w:cs="Times New Roman"/>
          <w:sz w:val="24"/>
          <w:szCs w:val="24"/>
        </w:rPr>
        <w:t>(2), 188-199.</w:t>
      </w:r>
    </w:p>
    <w:p w14:paraId="32056BA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Zhang, H., &amp; Xie, S. (2020).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its resistance mechanisms.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e00094-19.</w:t>
      </w:r>
    </w:p>
    <w:p w14:paraId="3FBECDCB">
      <w:pPr>
        <w:jc w:val="center"/>
        <w:rPr>
          <w:rFonts w:ascii="Times New Roman" w:hAnsi="Times New Roman" w:cs="Times New Roman"/>
          <w:sz w:val="24"/>
          <w:szCs w:val="24"/>
        </w:rPr>
      </w:pPr>
    </w:p>
    <w:p w14:paraId="40057769">
      <w:pPr>
        <w:jc w:val="center"/>
        <w:rPr>
          <w:rFonts w:ascii="Times New Roman" w:hAnsi="Times New Roman" w:cs="Times New Roman"/>
          <w:sz w:val="24"/>
          <w:szCs w:val="24"/>
        </w:rPr>
      </w:pPr>
    </w:p>
    <w:p w14:paraId="486AEA22">
      <w:pPr>
        <w:jc w:val="center"/>
        <w:rPr>
          <w:rFonts w:ascii="Times New Roman" w:hAnsi="Times New Roman" w:cs="Times New Roman"/>
          <w:sz w:val="24"/>
          <w:szCs w:val="24"/>
        </w:rPr>
      </w:pPr>
    </w:p>
    <w:p w14:paraId="4F8E9077">
      <w:pPr>
        <w:jc w:val="both"/>
        <w:rPr>
          <w:rFonts w:ascii="Times New Roman" w:hAnsi="Times New Roman" w:cs="Times New Roman"/>
          <w:sz w:val="24"/>
          <w:szCs w:val="24"/>
        </w:rPr>
      </w:pPr>
    </w:p>
    <w:p w14:paraId="4410892A">
      <w:pPr>
        <w:pStyle w:val="2"/>
        <w:jc w:val="center"/>
      </w:pPr>
      <w:bookmarkStart w:id="58" w:name="_Toc203146335"/>
      <w:r>
        <w:t>APPENDIX</w:t>
      </w:r>
      <w:bookmarkEnd w:id="58"/>
    </w:p>
    <w:p w14:paraId="41B7D2CC">
      <w:pPr>
        <w:jc w:val="center"/>
        <w:rPr>
          <w:rFonts w:ascii="Times New Roman" w:hAnsi="Times New Roman" w:cs="Times New Roman"/>
          <w:sz w:val="24"/>
          <w:szCs w:val="24"/>
        </w:rPr>
      </w:pPr>
    </w:p>
    <w:p w14:paraId="660C616B">
      <w:pPr>
        <w:jc w:val="center"/>
        <w:rPr>
          <w:rFonts w:ascii="Times New Roman" w:hAnsi="Times New Roman" w:cs="Times New Roman"/>
          <w:sz w:val="24"/>
          <w:szCs w:val="24"/>
        </w:rPr>
      </w:pPr>
      <w: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19275" cy="2057400"/>
                    </a:xfrm>
                    <a:prstGeom prst="rect">
                      <a:avLst/>
                    </a:prstGeom>
                    <a:noFill/>
                    <a:ln>
                      <a:noFill/>
                    </a:ln>
                  </pic:spPr>
                </pic:pic>
              </a:graphicData>
            </a:graphic>
          </wp:anchor>
        </w:drawing>
      </w:r>
    </w:p>
    <w:p w14:paraId="6225482A">
      <w:pPr>
        <w:jc w:val="center"/>
        <w:rPr>
          <w:rFonts w:ascii="Times New Roman" w:hAnsi="Times New Roman" w:cs="Times New Roman"/>
          <w:sz w:val="24"/>
          <w:szCs w:val="24"/>
        </w:rPr>
      </w:pPr>
    </w:p>
    <w:p w14:paraId="15053A92">
      <w:pPr>
        <w:rPr>
          <w:rFonts w:ascii="Times New Roman" w:hAnsi="Times New Roman" w:cs="Times New Roman"/>
          <w:sz w:val="24"/>
          <w:szCs w:val="24"/>
        </w:rPr>
      </w:pPr>
      <w:r>
        <w:rPr>
          <w:rFonts w:ascii="Times New Roman" w:hAnsi="Times New Roman" w:cs="Times New Roman"/>
          <w:sz w:val="24"/>
          <w:szCs w:val="24"/>
        </w:rPr>
        <w:t xml:space="preserve">                                      </w:t>
      </w:r>
      <w: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6945" cy="1612023"/>
                    </a:xfrm>
                    <a:prstGeom prst="rect">
                      <a:avLst/>
                    </a:prstGeom>
                    <a:noFill/>
                    <a:ln>
                      <a:noFill/>
                    </a:ln>
                  </pic:spPr>
                </pic:pic>
              </a:graphicData>
            </a:graphic>
          </wp:inline>
        </w:drawing>
      </w:r>
    </w:p>
    <w:p w14:paraId="2A86CE11">
      <w:pP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-3218180</wp:posOffset>
                </wp:positionH>
                <wp:positionV relativeFrom="paragraph">
                  <wp:posOffset>246380</wp:posOffset>
                </wp:positionV>
                <wp:extent cx="76200" cy="76200"/>
                <wp:effectExtent l="6350" t="6350" r="12700" b="12700"/>
                <wp:wrapNone/>
                <wp:docPr id="4" name="Rectangle 4"/>
                <wp:cNvGraphicFramePr/>
                <a:graphic xmlns:a="http://schemas.openxmlformats.org/drawingml/2006/main">
                  <a:graphicData uri="http://schemas.microsoft.com/office/word/2010/wordprocessingShape">
                    <wps:wsp>
                      <wps:cNvSpPr/>
                      <wps:spPr>
                        <a:xfrm flipH="1" flipV="1">
                          <a:off x="0" y="0"/>
                          <a:ext cx="762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flip:x y;margin-left:-253.4pt;margin-top:19.4pt;height:6pt;width:6pt;z-index:251665408;v-text-anchor:middle;mso-width-relative:page;mso-height-relative:page;" fillcolor="#FFFFFF [3212]" filled="t" stroked="t" coordsize="21600,21600" o:gfxdata="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Ne9tgAAAALAQAADwAAAAAAAAABACAAAAAiAAAAZHJzL2Rvd25yZXYu&#10;eG1sUEsBAhQAFAAAAAgAh07iQFS+0NltAgAAEwUAAA4AAAAAAAAAAQAgAAAAJwEAAGRycy9lMm9E&#10;b2MueG1sUEsFBgAAAAAGAAYAWQEAAAYGAAAAAA==&#10;">
                <v:fill on="t" focussize="0,0"/>
                <v:stroke weight="1pt" color="#000000 [3213]" miterlimit="8" joinstyle="miter"/>
                <v:imagedata o:title=""/>
                <o:lock v:ext="edit" aspectratio="f"/>
                <v:textbo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v:textbox>
              </v:rect>
            </w:pict>
          </mc:Fallback>
        </mc:AlternateContent>
      </w:r>
      <w:r>
        <w:rPr>
          <w:rFonts w:ascii="Times New Roman" w:hAnsi="Times New Roman" w:cs="Times New Roman"/>
          <w:sz w:val="24"/>
          <w:szCs w:val="24"/>
        </w:rPr>
        <w:t xml:space="preserve">                          Plate 2: MIC result of </w:t>
      </w:r>
      <w:r>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pPr>
        <w:rPr>
          <w:rFonts w:ascii="Times New Roman" w:hAnsi="Times New Roman" w:cs="Times New Roman"/>
          <w:sz w:val="24"/>
          <w:szCs w:val="24"/>
        </w:rPr>
      </w:pPr>
    </w:p>
    <w:p w14:paraId="45E8B16A">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3666490</wp:posOffset>
            </wp:positionH>
            <wp:positionV relativeFrom="paragraph">
              <wp:posOffset>11430</wp:posOffset>
            </wp:positionV>
            <wp:extent cx="2216785" cy="2534920"/>
            <wp:effectExtent l="0" t="0" r="12065" b="17780"/>
            <wp:wrapNone/>
            <wp:docPr id="7" name="Picture 7" descr="PHOTO-2025-07-11-19-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2025-07-11-19-34-06"/>
                    <pic:cNvPicPr>
                      <a:picLocks noChangeAspect="1"/>
                    </pic:cNvPicPr>
                  </pic:nvPicPr>
                  <pic:blipFill>
                    <a:blip r:embed="rId11"/>
                    <a:stretch>
                      <a:fillRect/>
                    </a:stretch>
                  </pic:blipFill>
                  <pic:spPr>
                    <a:xfrm>
                      <a:off x="0" y="0"/>
                      <a:ext cx="2216785" cy="2534920"/>
                    </a:xfrm>
                    <a:prstGeom prst="rect">
                      <a:avLst/>
                    </a:prstGeom>
                  </pic:spPr>
                </pic:pic>
              </a:graphicData>
            </a:graphic>
          </wp:anchor>
        </w:drawing>
      </w:r>
    </w:p>
    <w:p w14:paraId="6DAFAA2B">
      <w:r>
        <w:drawing>
          <wp:inline distT="0" distB="0" distL="0" distR="0">
            <wp:extent cx="2254885" cy="2345690"/>
            <wp:effectExtent l="0" t="0" r="1206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56968" cy="2347391"/>
                    </a:xfrm>
                    <a:prstGeom prst="rect">
                      <a:avLst/>
                    </a:prstGeom>
                    <a:noFill/>
                    <a:ln>
                      <a:noFill/>
                    </a:ln>
                  </pic:spPr>
                </pic:pic>
              </a:graphicData>
            </a:graphic>
          </wp:inline>
        </w:drawing>
      </w:r>
    </w:p>
    <w:p w14:paraId="563277F3">
      <w:pPr>
        <w:rPr>
          <w:rFonts w:hint="default" w:ascii="Times New Roman" w:hAnsi="Times New Roman" w:cs="Times New Roman"/>
          <w:sz w:val="24"/>
          <w:szCs w:val="24"/>
          <w:lang w:val="en-US"/>
        </w:rPr>
      </w:pPr>
      <w:r>
        <w:rPr>
          <w:rFonts w:ascii="Times New Roman" w:hAnsi="Times New Roman" w:cs="Times New Roman"/>
          <w:sz w:val="24"/>
          <w:szCs w:val="24"/>
        </w:rPr>
        <w:t>PLATE 3: MIC result of MRSA at 0.15 concentration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PLATE </w:t>
      </w:r>
      <w:r>
        <w:rPr>
          <w:rFonts w:hint="default" w:ascii="Times New Roman" w:hAnsi="Times New Roman" w:cs="Times New Roman"/>
          <w:sz w:val="24"/>
          <w:szCs w:val="24"/>
          <w:lang w:val="en-US"/>
        </w:rPr>
        <w:t>4</w:t>
      </w:r>
      <w:r>
        <w:rPr>
          <w:rFonts w:ascii="Times New Roman" w:hAnsi="Times New Roman" w:cs="Times New Roman"/>
          <w:sz w:val="24"/>
          <w:szCs w:val="24"/>
        </w:rPr>
        <w:t>: MIC result of MRSA at 0.</w:t>
      </w:r>
      <w:r>
        <w:rPr>
          <w:rFonts w:hint="default" w:ascii="Times New Roman" w:hAnsi="Times New Roman" w:cs="Times New Roman"/>
          <w:sz w:val="24"/>
          <w:szCs w:val="24"/>
          <w:lang w:val="en-US"/>
        </w:rPr>
        <w:t>2</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concentration</w:t>
      </w:r>
    </w:p>
    <w:p w14:paraId="4CDAD534">
      <w:pPr>
        <w:rPr>
          <w:rFonts w:ascii="Times New Roman" w:hAnsi="Times New Roman" w:cs="Times New Roman"/>
          <w:sz w:val="24"/>
          <w:szCs w:val="24"/>
        </w:rPr>
      </w:pPr>
      <w:r>
        <w:rPr>
          <w:rFonts w:ascii="Times New Roman" w:hAnsi="Times New Roman" w:cs="Times New Roman"/>
          <w:sz w:val="24"/>
          <w:szCs w:val="24"/>
        </w:rPr>
        <w:t xml:space="preserve"> </w:t>
      </w:r>
    </w:p>
    <w:p w14:paraId="34DA4E36">
      <w:pPr>
        <w:rPr>
          <w:rFonts w:ascii="Times New Roman" w:hAnsi="Times New Roman" w:cs="Times New Roman"/>
          <w:sz w:val="24"/>
          <w:szCs w:val="24"/>
        </w:rPr>
      </w:pPr>
    </w:p>
    <w:p w14:paraId="5D7868CB">
      <w:pPr>
        <w:rPr>
          <w:rFonts w:ascii="Times New Roman" w:hAnsi="Times New Roman" w:cs="Times New Roman"/>
          <w:sz w:val="24"/>
          <w:szCs w:val="24"/>
        </w:rPr>
      </w:pPr>
    </w:p>
    <w:p w14:paraId="2479C2D4">
      <w:pPr>
        <w:rPr>
          <w:rFonts w:ascii="Times New Roman" w:hAnsi="Times New Roman" w:cs="Times New Roman"/>
          <w:sz w:val="24"/>
          <w:szCs w:val="24"/>
        </w:rPr>
      </w:pPr>
    </w:p>
    <w:p w14:paraId="1FF6FCF4">
      <w:pPr>
        <w:rPr>
          <w:rFonts w:ascii="Times New Roman" w:hAnsi="Times New Roman" w:cs="Times New Roman"/>
          <w:sz w:val="24"/>
          <w:szCs w:val="24"/>
        </w:rPr>
      </w:pPr>
    </w:p>
    <w:p w14:paraId="42220D34">
      <w:pPr>
        <w:rPr>
          <w:rFonts w:ascii="Times New Roman" w:hAnsi="Times New Roman" w:cs="Times New Roman"/>
          <w:sz w:val="24"/>
          <w:szCs w:val="24"/>
        </w:rPr>
      </w:pPr>
      <w:bookmarkStart w:id="59" w:name="_GoBack"/>
      <w:bookmarkEnd w:id="59"/>
    </w:p>
    <w:p w14:paraId="64A2C287">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-528320</wp:posOffset>
            </wp:positionH>
            <wp:positionV relativeFrom="paragraph">
              <wp:posOffset>-414020</wp:posOffset>
            </wp:positionV>
            <wp:extent cx="7080885" cy="9515475"/>
            <wp:effectExtent l="0" t="0" r="5715" b="9525"/>
            <wp:wrapNone/>
            <wp:docPr id="6" name="Picture 6" descr="IMG_20250717_11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250717_114752"/>
                    <pic:cNvPicPr>
                      <a:picLocks noChangeAspect="1"/>
                    </pic:cNvPicPr>
                  </pic:nvPicPr>
                  <pic:blipFill>
                    <a:blip r:embed="rId13"/>
                    <a:stretch>
                      <a:fillRect/>
                    </a:stretch>
                  </pic:blipFill>
                  <pic:spPr>
                    <a:xfrm>
                      <a:off x="0" y="0"/>
                      <a:ext cx="7080885" cy="9515475"/>
                    </a:xfrm>
                    <a:prstGeom prst="rect">
                      <a:avLst/>
                    </a:prstGeom>
                  </pic:spPr>
                </pic:pic>
              </a:graphicData>
            </a:graphic>
          </wp:anchor>
        </w:drawing>
      </w:r>
    </w:p>
    <w:p w14:paraId="006F96B1">
      <w:pPr>
        <w:rPr>
          <w:rFonts w:ascii="Times New Roman" w:hAnsi="Times New Roman" w:cs="Times New Roman"/>
          <w:sz w:val="24"/>
          <w:szCs w:val="24"/>
        </w:rPr>
      </w:pPr>
    </w:p>
    <w:p w14:paraId="2DAE13D0">
      <w:pPr>
        <w:rPr>
          <w:rFonts w:ascii="Times New Roman" w:hAnsi="Times New Roman" w:cs="Times New Roman"/>
          <w:sz w:val="24"/>
          <w:szCs w:val="24"/>
        </w:rPr>
      </w:pPr>
    </w:p>
    <w:p w14:paraId="72DEBD51">
      <w:pPr>
        <w:rPr>
          <w:rFonts w:ascii="Times New Roman" w:hAnsi="Times New Roman" w:cs="Times New Roman"/>
          <w:sz w:val="24"/>
          <w:szCs w:val="24"/>
        </w:rPr>
      </w:pPr>
    </w:p>
    <w:p w14:paraId="7A244A3C">
      <w:pPr>
        <w:rPr>
          <w:rFonts w:ascii="Times New Roman" w:hAnsi="Times New Roman" w:cs="Times New Roman"/>
          <w:sz w:val="24"/>
          <w:szCs w:val="24"/>
        </w:rPr>
      </w:pPr>
    </w:p>
    <w:p w14:paraId="044B3AE2">
      <w:pPr>
        <w:rPr>
          <w:rFonts w:ascii="Times New Roman" w:hAnsi="Times New Roman" w:cs="Times New Roman"/>
          <w:sz w:val="24"/>
          <w:szCs w:val="24"/>
        </w:rPr>
      </w:pPr>
    </w:p>
    <w:p w14:paraId="606BEA02">
      <w:pPr>
        <w:rPr>
          <w:rFonts w:hint="default" w:ascii="Times New Roman" w:hAnsi="Times New Roman" w:cs="Times New Roman"/>
          <w:sz w:val="24"/>
          <w:szCs w:val="24"/>
          <w:lang w:val="en-US"/>
        </w:rPr>
      </w:pPr>
    </w:p>
    <w:p w14:paraId="7AE43102">
      <w:pPr>
        <w:rPr>
          <w:rFonts w:ascii="Times New Roman" w:hAnsi="Times New Roman" w:cs="Times New Roman"/>
          <w:sz w:val="24"/>
          <w:szCs w:val="24"/>
        </w:rPr>
      </w:pPr>
    </w:p>
    <w:p w14:paraId="689E3194">
      <w:pPr>
        <w:jc w:val="center"/>
        <w:rPr>
          <w:rFonts w:ascii="Times New Roman" w:hAnsi="Times New Roman" w:cs="Times New Roman"/>
          <w:sz w:val="24"/>
          <w:szCs w:val="24"/>
        </w:rPr>
      </w:pPr>
    </w:p>
    <w:p w14:paraId="5696E6A9">
      <w:pPr>
        <w:jc w:val="center"/>
        <w:rPr>
          <w:rFonts w:hint="default" w:ascii="Times New Roman" w:hAnsi="Times New Roman" w:cs="Times New Roman"/>
          <w:sz w:val="24"/>
          <w:szCs w:val="24"/>
          <w:lang w:val="en-US"/>
        </w:rPr>
      </w:pPr>
    </w:p>
    <w:p w14:paraId="15A77BB5">
      <w:pPr>
        <w:jc w:val="center"/>
        <w:rPr>
          <w:rFonts w:hint="default" w:ascii="Times New Roman" w:hAnsi="Times New Roman" w:cs="Times New Roman"/>
          <w:sz w:val="24"/>
          <w:szCs w:val="24"/>
          <w:lang w:val="en-US"/>
        </w:rPr>
      </w:pPr>
    </w:p>
    <w:p w14:paraId="12580CBF">
      <w:pPr>
        <w:jc w:val="center"/>
        <w:rPr>
          <w:rFonts w:hint="default" w:ascii="Times New Roman" w:hAnsi="Times New Roman" w:cs="Times New Roman"/>
          <w:sz w:val="24"/>
          <w:szCs w:val="24"/>
          <w:lang w:val="en-US"/>
        </w:rPr>
      </w:pPr>
    </w:p>
    <w:sectPr>
      <w:pgSz w:w="12240" w:h="15840"/>
      <w:pgMar w:top="1000" w:right="1440" w:bottom="1440"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41146"/>
      <w:docPartObj>
        <w:docPartGallery w:val="autotext"/>
      </w:docPartObj>
    </w:sdtPr>
    <w:sdtContent>
      <w:p w14:paraId="099A2B7B">
        <w:pPr>
          <w:pStyle w:val="9"/>
          <w:jc w:val="center"/>
        </w:pPr>
        <w:r>
          <w:fldChar w:fldCharType="begin"/>
        </w:r>
        <w:r>
          <w:instrText xml:space="preserve"> PAGE   \* MERGEFORMAT </w:instrText>
        </w:r>
        <w:r>
          <w:fldChar w:fldCharType="separate"/>
        </w:r>
        <w:r>
          <w:t>20</w:t>
        </w:r>
        <w:r>
          <w:fldChar w:fldCharType="end"/>
        </w:r>
      </w:p>
    </w:sdtContent>
  </w:sdt>
  <w:p w14:paraId="7592A5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60390140"/>
      <w:docPartObj>
        <w:docPartGallery w:val="autotext"/>
      </w:docPartObj>
    </w:sdtPr>
    <w:sdtEndPr>
      <w:rPr>
        <w:rStyle w:val="13"/>
      </w:rPr>
    </w:sdtEndPr>
    <w:sdtContent>
      <w:p w14:paraId="29A6EA86">
        <w:pPr>
          <w:pStyle w:val="9"/>
          <w:framePr w:wrap="auto" w:vAnchor="text" w:hAnchor="margin" w:xAlign="center" w:y="1"/>
          <w:jc w:val="center"/>
          <w:rPr>
            <w:rStyle w:val="13"/>
          </w:rPr>
        </w:pPr>
        <w:r>
          <w:rPr>
            <w:rStyle w:val="13"/>
          </w:rPr>
          <w:fldChar w:fldCharType="begin"/>
        </w:r>
        <w:r>
          <w:rPr>
            <w:rStyle w:val="13"/>
          </w:rPr>
          <w:instrText xml:space="preserve"> PAGE </w:instrText>
        </w:r>
        <w:r>
          <w:rPr>
            <w:rStyle w:val="13"/>
          </w:rPr>
          <w:fldChar w:fldCharType="end"/>
        </w:r>
      </w:p>
    </w:sdtContent>
  </w:sdt>
  <w:p w14:paraId="60E7380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D073C"/>
    <w:multiLevelType w:val="multilevel"/>
    <w:tmpl w:val="6C9D073C"/>
    <w:lvl w:ilvl="0" w:tentative="0">
      <w:start w:val="1"/>
      <w:numFmt w:val="decimal"/>
      <w:lvlText w:val="%1."/>
      <w:lvlJc w:val="left"/>
      <w:pPr>
        <w:tabs>
          <w:tab w:val="left" w:pos="720"/>
        </w:tabs>
        <w:ind w:left="720" w:hanging="360"/>
      </w:p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EF21A5"/>
    <w:multiLevelType w:val="multilevel"/>
    <w:tmpl w:val="79EF21A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12BC692C"/>
    <w:rsid w:val="16671185"/>
    <w:rsid w:val="1A5C1176"/>
    <w:rsid w:val="36FD3D78"/>
    <w:rsid w:val="389941D8"/>
    <w:rsid w:val="436F658A"/>
    <w:rsid w:val="4FDF55DD"/>
    <w:rsid w:val="51E576F7"/>
    <w:rsid w:val="6A95007F"/>
    <w:rsid w:val="7D1B2258"/>
    <w:rsid w:val="7E8B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4"/>
      <w:szCs w:val="27"/>
    </w:rPr>
  </w:style>
  <w:style w:type="paragraph" w:styleId="5">
    <w:name w:val="heading 5"/>
    <w:basedOn w:val="1"/>
    <w:next w:val="1"/>
    <w:link w:val="1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5"/>
    <w:unhideWhenUsed/>
    <w:qFormat/>
    <w:uiPriority w:val="99"/>
    <w:pPr>
      <w:tabs>
        <w:tab w:val="center" w:pos="4680"/>
        <w:tab w:val="right" w:pos="9360"/>
      </w:tabs>
      <w:spacing w:after="0" w:line="240" w:lineRule="auto"/>
    </w:pPr>
  </w:style>
  <w:style w:type="paragraph" w:styleId="10">
    <w:name w:val="header"/>
    <w:basedOn w:val="1"/>
    <w:link w:val="24"/>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page number"/>
    <w:basedOn w:val="6"/>
    <w:semiHidden/>
    <w:unhideWhenUsed/>
    <w:qFormat/>
    <w:uiPriority w:val="99"/>
  </w:style>
  <w:style w:type="character" w:styleId="14">
    <w:name w:val="Strong"/>
    <w:basedOn w:val="6"/>
    <w:qFormat/>
    <w:uiPriority w:val="22"/>
    <w:rPr>
      <w:b/>
      <w:bCs/>
    </w:r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character" w:customStyle="1" w:styleId="18">
    <w:name w:val="Heading 3 Char"/>
    <w:basedOn w:val="6"/>
    <w:link w:val="4"/>
    <w:qFormat/>
    <w:uiPriority w:val="9"/>
    <w:rPr>
      <w:rFonts w:ascii="Times New Roman" w:hAnsi="Times New Roman" w:eastAsia="Times New Roman" w:cs="Times New Roman"/>
      <w:b/>
      <w:bCs/>
      <w:sz w:val="24"/>
      <w:szCs w:val="27"/>
    </w:rPr>
  </w:style>
  <w:style w:type="character" w:customStyle="1" w:styleId="19">
    <w:name w:val="Heading 5 Char"/>
    <w:basedOn w:val="6"/>
    <w:link w:val="5"/>
    <w:semiHidden/>
    <w:qFormat/>
    <w:uiPriority w:val="9"/>
    <w:rPr>
      <w:rFonts w:asciiTheme="majorHAnsi" w:hAnsiTheme="majorHAnsi" w:eastAsiaTheme="majorEastAsia" w:cstheme="majorBidi"/>
      <w:color w:val="2E75B6" w:themeColor="accent1" w:themeShade="BF"/>
    </w:rPr>
  </w:style>
  <w:style w:type="table" w:customStyle="1" w:styleId="20">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1">
    <w:name w:val="List Paragraph"/>
    <w:basedOn w:val="1"/>
    <w:qFormat/>
    <w:uiPriority w:val="34"/>
    <w:pPr>
      <w:ind w:left="720"/>
      <w:contextualSpacing/>
    </w:pPr>
  </w:style>
  <w:style w:type="table" w:customStyle="1" w:styleId="22">
    <w:name w:val="List Table 6 Colorful1"/>
    <w:basedOn w:val="7"/>
    <w:qFormat/>
    <w:uiPriority w:val="51"/>
    <w:pPr>
      <w:spacing w:after="0" w:line="240" w:lineRule="auto"/>
    </w:pPr>
    <w:rPr>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3">
    <w:name w:val="Heading 1 Char"/>
    <w:basedOn w:val="6"/>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paragraph" w:customStyle="1" w:styleId="27">
    <w:name w:val="TOC Heading"/>
    <w:basedOn w:val="2"/>
    <w:next w:val="1"/>
    <w:unhideWhenUsed/>
    <w:qFormat/>
    <w:uiPriority w:val="39"/>
    <w:pPr>
      <w:outlineLvl w:val="9"/>
    </w:pPr>
    <w:rPr>
      <w:rFonts w:asciiTheme="majorHAnsi" w:hAnsiTheme="majorHAnsi"/>
      <w:b w:val="0"/>
      <w:color w:val="2E75B6"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DE7F2-A323-40B2-ACBF-4A191C31B4E4}">
  <ds:schemaRefs/>
</ds:datastoreItem>
</file>

<file path=docProps/app.xml><?xml version="1.0" encoding="utf-8"?>
<Properties xmlns="http://schemas.openxmlformats.org/officeDocument/2006/extended-properties" xmlns:vt="http://schemas.openxmlformats.org/officeDocument/2006/docPropsVTypes">
  <Template>Normal</Template>
  <Pages>39</Pages>
  <Words>7860</Words>
  <Characters>48570</Characters>
  <Lines>430</Lines>
  <Paragraphs>121</Paragraphs>
  <TotalTime>30</TotalTime>
  <ScaleCrop>false</ScaleCrop>
  <LinksUpToDate>false</LinksUpToDate>
  <CharactersWithSpaces>56851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2025-07-11T16:07:00Z</dcterms:created>
  <dc:creator>Hassan Musa</dc:creator>
  <cp:lastModifiedBy>kehinde1630</cp:lastModifiedBy>
  <dcterms:modified xsi:type="dcterms:W3CDTF">2025-07-17T10:54:25Z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594DDE7F164B446DACEA9BA905F5D600_13</vt:lpwstr>
  </property>
</Properties>
</file>