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jpeg" ContentType="image/jpeg"/>
  <Default Extension="rels" ContentType="application/vnd.openxmlformats-package.relationships+xml"/>
  <Default Extension="emf" ContentType="image/x-emf"/>
  <Override PartName="/word/theme/theme1.xml" ContentType="application/vnd.openxmlformats-officedocument.theme+xml"/>
  <Override PartName="/word/footer4.xml" ContentType="application/vnd.openxmlformats-officedocument.wordprocessingml.footer+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charts/chart1.xml" ContentType="application/vnd.openxmlformats-officedocument.drawingml.chart+xml"/>
  <Override PartName="/word/numbering.xml" ContentType="application/vnd.openxmlformats-officedocument.wordprocessingml.numbering+xml"/>
  <Override PartName="/word/settings.xml" ContentType="application/vnd.openxmlformats-officedocument.wordprocessingml.settings+xml"/>
  <Override PartName="/docProps/custom.xml" ContentType="application/vnd.openxmlformats-officedocument.custom-properties+xml"/>
  <Override PartName="/word/footer3.xml" ContentType="application/vnd.openxmlformats-officedocument.wordprocessingml.footer+xml"/>
  <Override PartName="/word/document.xml" ContentType="application/vnd.openxmlformats-officedocument.wordprocessingml.document.main+xml"/>
  <Override PartName="/customXml/itemProps1.xml" ContentType="application/vnd.openxmlformats-officedocument.customXmlProperties+xml"/>
  <Override PartName="/word/footer2.xml" ContentType="application/vnd.openxmlformats-officedocument.wordprocessingml.footer+xml"/>
  <Override PartName="/word/styles.xml" ContentType="application/vnd.openxmlformats-officedocument.wordprocessingml.styles+xml"/>
  <Override PartName="/docProps/app.xml" ContentType="application/vnd.openxmlformats-officedocument.extended-properties+xml"/>
</Types>
</file>

<file path=_rels/.rels><?xml version="1.0" encoding="UTF-8"?>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body>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AMELIORATIVE POTENTIAL OF </w:t>
      </w:r>
      <w:r>
        <w:rPr>
          <w:rFonts w:ascii="Times New Roman" w:hAnsi="Times New Roman"/>
          <w:b/>
          <w:bCs/>
          <w:i/>
          <w:sz w:val="24"/>
          <w:szCs w:val="24"/>
        </w:rPr>
        <w:t>Phyllanthus amarus</w:t>
      </w:r>
      <w:r>
        <w:rPr>
          <w:rFonts w:ascii="Times New Roman" w:hAnsi="Times New Roman"/>
          <w:b/>
          <w:bCs/>
          <w:sz w:val="24"/>
          <w:szCs w:val="24"/>
        </w:rPr>
        <w:t xml:space="preserve"> LEAVES EXTRACT ON BLOOD GLUCOSE, OXIDATIVE STATUS AND SERUM ELECTROLYTES OF STREPTOZOTOCIN- INDUCED  DIABETES WISTAR RATS</w:t>
      </w:r>
    </w:p>
    <w:p>
      <w:pPr>
        <w:pStyle w:val="style0"/>
        <w:spacing w:lineRule="auto" w:line="480"/>
        <w:ind w:left="2880" w:firstLine="720"/>
        <w:rPr>
          <w:rFonts w:ascii="Times New Roman" w:hAnsi="Times New Roman"/>
          <w:sz w:val="24"/>
          <w:szCs w:val="24"/>
        </w:rPr>
      </w:pPr>
    </w:p>
    <w:p>
      <w:pPr>
        <w:pStyle w:val="style0"/>
        <w:spacing w:lineRule="auto" w:line="480"/>
        <w:ind w:left="1898" w:firstLine="2422" w:firstLineChars="1009"/>
        <w:rPr>
          <w:rFonts w:ascii="Times New Roman" w:hAnsi="Times New Roman"/>
          <w:b/>
          <w:bCs/>
          <w:sz w:val="24"/>
          <w:szCs w:val="24"/>
        </w:rPr>
      </w:pPr>
      <w:r>
        <w:rPr>
          <w:rFonts w:ascii="Times New Roman" w:hAnsi="Times New Roman"/>
          <w:sz w:val="24"/>
          <w:szCs w:val="24"/>
        </w:rPr>
        <w:t>BY</w:t>
      </w:r>
    </w:p>
    <w:p>
      <w:pPr>
        <w:pStyle w:val="style0"/>
        <w:spacing w:lineRule="auto" w:line="480"/>
        <w:ind w:left="1898"/>
        <w:jc w:val="left"/>
        <w:rPr>
          <w:rFonts w:ascii="Times New Roman" w:hAnsi="Times New Roman"/>
          <w:b/>
          <w:bCs/>
          <w:sz w:val="24"/>
          <w:szCs w:val="24"/>
        </w:rPr>
      </w:pPr>
      <w:r>
        <w:rPr>
          <w:rFonts w:ascii="Times New Roman" w:hAnsi="Times New Roman"/>
          <w:b/>
          <w:bCs/>
          <w:sz w:val="24"/>
          <w:szCs w:val="24"/>
          <w:lang w:val="en-US"/>
        </w:rPr>
        <w:t xml:space="preserve">                    OWOYEMI AYOMIDE IDOWU </w:t>
      </w:r>
    </w:p>
    <w:p>
      <w:pPr>
        <w:pStyle w:val="style0"/>
        <w:spacing w:lineRule="auto" w:line="480"/>
        <w:jc w:val="center"/>
        <w:rPr>
          <w:rFonts w:ascii="Times New Roman" w:hAnsi="Times New Roman"/>
          <w:sz w:val="24"/>
          <w:szCs w:val="24"/>
        </w:rPr>
      </w:pPr>
      <w:r>
        <w:rPr>
          <w:rFonts w:ascii="Times New Roman" w:hAnsi="Times New Roman"/>
          <w:b/>
          <w:bCs/>
          <w:sz w:val="24"/>
          <w:szCs w:val="24"/>
          <w:lang w:val="en-US"/>
        </w:rPr>
        <w:t>HND/23/SLT/FT/0549</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r>
        <w:rPr>
          <w:rFonts w:ascii="Times New Roman" w:hAnsi="Times New Roman"/>
          <w:b/>
          <w:bCs/>
          <w:sz w:val="24"/>
          <w:szCs w:val="24"/>
        </w:rPr>
        <w:t>BEING A RESEARCH PROJECT SUBMITTED TO THE DEPARTMENT OF SCIENCE LABORATORY TECHNOLOGY, BIOCHEMISTRY UNIT, INSTITUTE OF APPLIED SCIENCE, KWARA STATE POLYTECHNIC, ILORIN, KWARA STATE, NIGERIA</w:t>
      </w:r>
    </w:p>
    <w:p>
      <w:pPr>
        <w:pStyle w:val="style0"/>
        <w:spacing w:lineRule="auto" w:line="480"/>
        <w:jc w:val="center"/>
        <w:rPr>
          <w:rFonts w:ascii="Times New Roman" w:hAnsi="Times New Roman"/>
          <w:b/>
          <w:bCs/>
          <w:sz w:val="24"/>
          <w:szCs w:val="24"/>
        </w:rPr>
      </w:pPr>
      <w:r>
        <w:rPr>
          <w:rFonts w:ascii="Times New Roman" w:hAnsi="Times New Roman"/>
          <w:b/>
          <w:bCs/>
          <w:sz w:val="24"/>
          <w:szCs w:val="24"/>
        </w:rPr>
        <w:t xml:space="preserve">IN PARTIAL FULFILLMENT OF THE REQUIREMENT FOR THE AWARD OF HIGHER NATIONAL DIPLOMA (HND) IN THE DEPARTMENT OF </w:t>
      </w:r>
      <w:r>
        <w:rPr>
          <w:rFonts w:ascii="Times New Roman" w:hAnsi="Times New Roman"/>
          <w:b/>
          <w:bCs/>
          <w:sz w:val="24"/>
          <w:szCs w:val="24"/>
          <w:lang w:val="en-US"/>
        </w:rPr>
        <w:t xml:space="preserve">SCIENCE LABORATORY TECHNOLOGY </w:t>
      </w: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sz w:val="24"/>
          <w:szCs w:val="24"/>
        </w:rPr>
      </w:pPr>
    </w:p>
    <w:p>
      <w:pPr>
        <w:pStyle w:val="style0"/>
        <w:spacing w:lineRule="auto" w:line="480"/>
        <w:ind w:left="6480" w:firstLine="720"/>
        <w:rPr>
          <w:rFonts w:ascii="Times New Roman" w:hAnsi="Times New Roman"/>
          <w:b/>
          <w:bCs/>
          <w:sz w:val="24"/>
          <w:szCs w:val="24"/>
        </w:rPr>
      </w:pPr>
      <w:r>
        <w:rPr>
          <w:rFonts w:ascii="Times New Roman" w:hAnsi="Times New Roman"/>
          <w:sz w:val="24"/>
          <w:szCs w:val="24"/>
        </w:rPr>
        <w:t>JULY, 2025</w:t>
      </w:r>
    </w:p>
    <w:p>
      <w:pPr>
        <w:pStyle w:val="style0"/>
        <w:spacing w:lineRule="auto" w:line="480"/>
        <w:ind w:left="2160" w:firstLine="720"/>
        <w:rPr>
          <w:rFonts w:ascii="Times New Roman" w:hAnsi="Times New Roman"/>
          <w:b/>
          <w:bCs/>
          <w:sz w:val="24"/>
          <w:szCs w:val="24"/>
        </w:rPr>
      </w:pPr>
    </w:p>
    <w:p>
      <w:pPr>
        <w:pStyle w:val="style0"/>
        <w:spacing w:lineRule="auto" w:line="480"/>
        <w:rPr>
          <w:rFonts w:ascii="Times New Roman" w:hAnsi="Times New Roman"/>
          <w:b/>
          <w:bCs/>
          <w:sz w:val="24"/>
          <w:szCs w:val="24"/>
        </w:rPr>
      </w:pPr>
    </w:p>
    <w:p>
      <w:pPr>
        <w:pStyle w:val="style0"/>
        <w:spacing w:lineRule="auto" w:line="480"/>
        <w:ind w:left="2160" w:firstLine="720"/>
        <w:rPr>
          <w:rFonts w:ascii="Times New Roman" w:hAnsi="Times New Roman"/>
          <w:sz w:val="24"/>
          <w:szCs w:val="24"/>
        </w:rPr>
      </w:pPr>
      <w:r>
        <w:rPr>
          <w:rFonts w:ascii="Times New Roman" w:hAnsi="Times New Roman"/>
          <w:b/>
          <w:bCs/>
          <w:sz w:val="24"/>
          <w:szCs w:val="24"/>
        </w:rPr>
        <w:t>CERTIFICATION</w:t>
      </w:r>
    </w:p>
    <w:p>
      <w:pPr>
        <w:pStyle w:val="style0"/>
        <w:spacing w:lineRule="auto" w:line="360"/>
        <w:rPr>
          <w:rFonts w:ascii="Times New Roman" w:hAnsi="Times New Roman"/>
          <w:sz w:val="24"/>
          <w:szCs w:val="24"/>
        </w:rPr>
      </w:pPr>
      <w:r>
        <w:rPr>
          <w:rFonts w:ascii="Times New Roman" w:hAnsi="Times New Roman"/>
          <w:sz w:val="24"/>
          <w:szCs w:val="24"/>
        </w:rPr>
        <w:t>This is to certify that this project was carried out by</w:t>
      </w:r>
      <w:r>
        <w:rPr>
          <w:rFonts w:ascii="Times New Roman" w:hAnsi="Times New Roman"/>
          <w:b/>
          <w:bCs/>
          <w:sz w:val="24"/>
          <w:szCs w:val="24"/>
          <w:lang w:val="en-US"/>
        </w:rPr>
        <w:t xml:space="preserve">   OWOYEMI AYOMIDE IDOWU  </w:t>
      </w:r>
      <w:r>
        <w:rPr>
          <w:rFonts w:ascii="Times New Roman" w:hAnsi="Times New Roman"/>
          <w:sz w:val="24"/>
          <w:szCs w:val="24"/>
        </w:rPr>
        <w:t>with matriculation number</w:t>
      </w:r>
      <w:r>
        <w:rPr>
          <w:rFonts w:ascii="Times New Roman" w:hAnsi="Times New Roman"/>
          <w:sz w:val="24"/>
          <w:szCs w:val="24"/>
          <w:lang w:val="en-US"/>
        </w:rPr>
        <w:t xml:space="preserve"> </w:t>
      </w:r>
      <w:r>
        <w:rPr>
          <w:rFonts w:ascii="Times New Roman" w:hAnsi="Times New Roman"/>
          <w:b/>
          <w:bCs/>
          <w:sz w:val="24"/>
          <w:szCs w:val="24"/>
          <w:lang w:val="en-US"/>
        </w:rPr>
        <w:t xml:space="preserve">HND/23/SLT/FT/0549 </w:t>
      </w:r>
      <w:r>
        <w:rPr>
          <w:rFonts w:ascii="Times New Roman" w:hAnsi="Times New Roman"/>
          <w:sz w:val="24"/>
          <w:szCs w:val="24"/>
        </w:rPr>
        <w:t>submitted to the department of science  laboratory technology, biochemistry unit, institute of applied science (IAS), kwara state polytechnic, ilorin, in partial fulfilment for the requirement of award of Higher National Diploma(HND) in Science Lab Technology (SLT)</w:t>
      </w:r>
    </w:p>
    <w:p>
      <w:pPr>
        <w:pStyle w:val="style0"/>
        <w:spacing w:lineRule="auto" w:line="360"/>
        <w:rPr>
          <w:rFonts w:ascii="Times New Roman" w:hAnsi="Times New Roman"/>
          <w:sz w:val="24"/>
          <w:szCs w:val="24"/>
        </w:rPr>
      </w:pPr>
    </w:p>
    <w:p>
      <w:pPr>
        <w:pStyle w:val="style0"/>
        <w:spacing w:lineRule="auto" w:line="48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(Project Supervisor)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 xml:space="preserve"> ________________</w:t>
      </w:r>
    </w:p>
    <w:p>
      <w:pPr>
        <w:pStyle w:val="style0"/>
        <w:spacing w:lineRule="auto" w:line="420"/>
        <w:rPr>
          <w:rFonts w:ascii="Times New Roman" w:hAnsi="Times New Roman"/>
          <w:sz w:val="24"/>
          <w:szCs w:val="24"/>
        </w:rPr>
      </w:pPr>
      <w:r>
        <w:rPr>
          <w:rFonts w:ascii="Times New Roman" w:hAnsi="Times New Roman"/>
          <w:sz w:val="24"/>
          <w:szCs w:val="24"/>
        </w:rPr>
        <w:t>MRS SALAUDEEN K.A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r>
        <w:rPr>
          <w:rFonts w:ascii="Times New Roman" w:hAnsi="Times New Roman"/>
          <w:sz w:val="24"/>
          <w:szCs w:val="24"/>
        </w:rPr>
        <w:br/>
      </w:r>
      <w:r>
        <w:rPr>
          <w:rFonts w:ascii="Times New Roman" w:hAnsi="Times New Roman"/>
          <w:sz w:val="24"/>
          <w:szCs w:val="24"/>
        </w:rPr>
        <w:t>(HOU</w:t>
      </w:r>
      <w:r>
        <w:rPr>
          <w:rFonts w:ascii="Times New Roman" w:hAnsi="Times New Roman"/>
          <w:sz w:val="24"/>
          <w:szCs w:val="24"/>
        </w:rPr>
        <w:t xml:space="preserve"> Biochemistry)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p>
    <w:p>
      <w:pPr>
        <w:pStyle w:val="style0"/>
        <w:spacing w:lineRule="auto" w:line="420"/>
        <w:rPr>
          <w:rFonts w:ascii="Times New Roman" w:hAnsi="Times New Roman"/>
          <w:sz w:val="24"/>
          <w:szCs w:val="24"/>
        </w:rPr>
      </w:pPr>
      <w:r>
        <w:rPr>
          <w:rFonts w:ascii="Times New Roman" w:hAnsi="Times New Roman"/>
          <w:noProof/>
          <w:sz w:val="24"/>
          <w:szCs w:val="24"/>
          <w:lang w:eastAsia="en-US"/>
        </w:rPr>
        <w:pict>
          <v:shapetype id="_x0000_t32" coordsize="21600,21600" o:spt="32" o:oned="t" path="m,l21600,21600e">
            <v:path arrowok="t" fillok="f" o:connecttype="none"/>
            <o:lock v:ext="edit" shapetype="t"/>
          </v:shapetype>
          <v:shape id="1027" type="#_x0000_t32" filled="f" style="position:absolute;margin-left:337.9pt;margin-top:5.9pt;width:103.65pt;height:0.0pt;z-index:2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 xml:space="preserve"> ________________</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p>
    <w:p>
      <w:pPr>
        <w:pStyle w:val="style0"/>
        <w:spacing w:lineRule="auto" w:line="420"/>
        <w:rPr>
          <w:rFonts w:ascii="Times New Roman" w:hAnsi="Times New Roman"/>
          <w:sz w:val="24"/>
          <w:szCs w:val="24"/>
        </w:rPr>
      </w:pPr>
      <w:r>
        <w:rPr>
          <w:rFonts w:ascii="Times New Roman" w:hAnsi="Times New Roman"/>
          <w:sz w:val="24"/>
          <w:szCs w:val="24"/>
        </w:rPr>
        <w:t>DR</w:t>
      </w:r>
      <w:r>
        <w:rPr>
          <w:rFonts w:ascii="Times New Roman" w:hAnsi="Times New Roman"/>
          <w:sz w:val="24"/>
          <w:szCs w:val="24"/>
        </w:rPr>
        <w:t xml:space="preserve">. </w:t>
      </w:r>
      <w:r>
        <w:rPr>
          <w:rFonts w:ascii="Times New Roman" w:hAnsi="Times New Roman"/>
          <w:sz w:val="24"/>
          <w:szCs w:val="24"/>
        </w:rPr>
        <w:t xml:space="preserve"> </w:t>
      </w:r>
      <w:r>
        <w:rPr>
          <w:rFonts w:ascii="Times New Roman" w:hAnsi="Times New Roman"/>
          <w:sz w:val="24"/>
          <w:szCs w:val="24"/>
        </w:rPr>
        <w:t>ABDULKAREEM USMAN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Date</w:t>
      </w:r>
    </w:p>
    <w:p>
      <w:pPr>
        <w:pStyle w:val="style0"/>
        <w:spacing w:lineRule="auto" w:line="420"/>
        <w:rPr>
          <w:rFonts w:ascii="Times New Roman" w:hAnsi="Times New Roman"/>
          <w:b/>
          <w:bCs/>
          <w:sz w:val="24"/>
          <w:szCs w:val="24"/>
        </w:rPr>
      </w:pPr>
      <w:r>
        <w:rPr>
          <w:rFonts w:ascii="Times New Roman" w:hAnsi="Times New Roman"/>
          <w:sz w:val="24"/>
          <w:szCs w:val="24"/>
        </w:rPr>
        <w:t>(Head of SLT Department)</w:t>
      </w:r>
    </w:p>
    <w:p>
      <w:pPr>
        <w:pStyle w:val="style0"/>
        <w:spacing w:lineRule="auto" w:line="480"/>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b/>
          <w:bCs/>
          <w:sz w:val="24"/>
          <w:szCs w:val="24"/>
        </w:rPr>
      </w:pPr>
    </w:p>
    <w:p>
      <w:pPr>
        <w:pStyle w:val="style0"/>
        <w:spacing w:lineRule="auto" w:line="480"/>
        <w:jc w:val="center"/>
        <w:rPr>
          <w:rFonts w:ascii="Times New Roman" w:hAnsi="Times New Roman"/>
          <w:sz w:val="24"/>
          <w:szCs w:val="24"/>
        </w:rPr>
      </w:pPr>
      <w:r>
        <w:rPr>
          <w:rFonts w:ascii="Times New Roman" w:hAnsi="Times New Roman"/>
          <w:b/>
          <w:bCs/>
          <w:sz w:val="24"/>
          <w:szCs w:val="24"/>
        </w:rPr>
        <w:t>DEDICATION</w:t>
      </w:r>
    </w:p>
    <w:p>
      <w:pPr>
        <w:pStyle w:val="style0"/>
        <w:spacing w:lineRule="auto" w:line="480"/>
        <w:rPr>
          <w:rFonts w:ascii="Times New Roman" w:hAnsi="Times New Roman"/>
          <w:sz w:val="24"/>
          <w:szCs w:val="24"/>
        </w:rPr>
      </w:pPr>
      <w:r>
        <w:rPr>
          <w:rFonts w:ascii="Times New Roman" w:hAnsi="Times New Roman"/>
          <w:sz w:val="24"/>
          <w:szCs w:val="24"/>
        </w:rPr>
        <w:t>I dedicate this project to the Father of all Grace, the Almighty God, the owner and the administrator of the universe</w:t>
      </w: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hAnsi="Times New Roman"/>
          <w:b/>
          <w:bCs/>
          <w:sz w:val="24"/>
          <w:szCs w:val="24"/>
        </w:rPr>
      </w:pPr>
    </w:p>
    <w:p>
      <w:pPr>
        <w:pStyle w:val="style0"/>
        <w:spacing w:lineRule="auto" w:line="480"/>
        <w:ind w:left="2160" w:firstLine="720"/>
        <w:rPr>
          <w:rFonts w:ascii="Times New Roman" w:eastAsia="sans-serif" w:hAnsi="Times New Roman"/>
          <w:color w:val="000000"/>
          <w:sz w:val="24"/>
          <w:szCs w:val="24"/>
        </w:rPr>
      </w:pPr>
      <w:r>
        <w:rPr>
          <w:rFonts w:ascii="Times New Roman" w:hAnsi="Times New Roman"/>
          <w:b/>
          <w:bCs/>
          <w:sz w:val="24"/>
          <w:szCs w:val="24"/>
        </w:rPr>
        <w:t>ACKNOWLEDGEMENTS</w:t>
      </w:r>
    </w:p>
    <w:p>
      <w:pPr>
        <w:pStyle w:val="style0"/>
        <w:spacing w:lineRule="auto" w:line="480"/>
        <w:ind w:firstLine="720"/>
        <w:rPr>
          <w:rFonts w:ascii="Times New Roman" w:eastAsia="sans-serif" w:hAnsi="Times New Roman"/>
          <w:color w:val="000000"/>
          <w:sz w:val="24"/>
          <w:szCs w:val="24"/>
        </w:rPr>
      </w:pPr>
      <w:r>
        <w:rPr>
          <w:rFonts w:ascii="Times New Roman" w:eastAsia="sans-serif" w:hAnsi="Times New Roman"/>
          <w:color w:val="000000"/>
          <w:sz w:val="24"/>
          <w:szCs w:val="24"/>
        </w:rPr>
        <w:t>I thank Almighty God who made it possible for me to achieve one of my desired academic heights in life. To my project supervisor, Mrs. SALAUDEEN K.A ,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To all my lecturers in the Biochemistry unit, Kwara State Polytechnic, Ilorin, may the Lord bless you all abundantly. My deep appreciation goes to my caring parents, I pray you will live long to eat the fruit of your labour .</w:t>
      </w:r>
    </w:p>
    <w:p>
      <w:pPr>
        <w:pStyle w:val="style0"/>
        <w:spacing w:lineRule="auto" w:line="480"/>
        <w:rPr>
          <w:rFonts w:ascii="Times New Roman" w:hAnsi="Times New Roman"/>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ind w:left="2160" w:firstLine="720"/>
        <w:rPr>
          <w:rStyle w:val="style87"/>
          <w:rFonts w:ascii="Times New Roman" w:hAnsi="Times New Roman" w:hint="default"/>
          <w:b/>
          <w:bCs/>
          <w:sz w:val="24"/>
          <w:szCs w:val="24"/>
        </w:rPr>
      </w:pPr>
    </w:p>
    <w:p>
      <w:pPr>
        <w:pStyle w:val="style3"/>
        <w:rPr>
          <w:rStyle w:val="style87"/>
          <w:rFonts w:ascii="Times New Roman" w:hAnsi="Times New Roman" w:hint="default"/>
          <w:b/>
          <w:bCs/>
          <w:sz w:val="24"/>
          <w:szCs w:val="24"/>
        </w:rPr>
      </w:pPr>
    </w:p>
    <w:p>
      <w:pPr>
        <w:pStyle w:val="style3"/>
        <w:spacing w:lineRule="auto" w:line="480"/>
        <w:ind w:left="2160" w:firstLine="72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3"/>
        <w:spacing w:lineRule="auto" w:line="480"/>
        <w:rPr>
          <w:rStyle w:val="style87"/>
          <w:rFonts w:ascii="Times New Roman" w:hAnsi="Times New Roman" w:hint="default"/>
          <w:b/>
          <w:bCs/>
          <w:sz w:val="24"/>
          <w:szCs w:val="24"/>
        </w:rPr>
      </w:pPr>
    </w:p>
    <w:p>
      <w:pPr>
        <w:pStyle w:val="style0"/>
        <w:rPr>
          <w:rStyle w:val="style87"/>
          <w:rFonts w:ascii="Times New Roman" w:hAnsi="Times New Roman"/>
          <w:sz w:val="24"/>
          <w:szCs w:val="24"/>
        </w:rPr>
      </w:pPr>
    </w:p>
    <w:p>
      <w:pPr>
        <w:pStyle w:val="style0"/>
        <w:rPr/>
      </w:pPr>
    </w:p>
    <w:p>
      <w:pPr>
        <w:pStyle w:val="style3"/>
        <w:spacing w:lineRule="auto" w:line="480"/>
        <w:ind w:left="216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TABLE OF CONTENT</w:t>
      </w:r>
    </w:p>
    <w:p>
      <w:pPr>
        <w:pStyle w:val="style0"/>
        <w:spacing w:lineRule="auto" w:line="360"/>
        <w:jc w:val="both"/>
        <w:rPr>
          <w:rFonts w:ascii="Times New Roman" w:hAnsi="Times New Roman"/>
        </w:rPr>
      </w:pPr>
      <w:r>
        <w:rPr>
          <w:rFonts w:ascii="Times New Roman" w:hAnsi="Times New Roman"/>
        </w:rPr>
        <w:t>Title page</w:t>
      </w:r>
      <w:r>
        <w:rPr>
          <w:rFonts w:ascii="Times New Roman" w:hAnsi="Times New Roman"/>
          <w:lang w:val="en-US"/>
        </w:rPr>
        <w:t xml:space="preserve">                                                                                                                               i</w:t>
      </w:r>
    </w:p>
    <w:p>
      <w:pPr>
        <w:pStyle w:val="style0"/>
        <w:spacing w:lineRule="auto" w:line="360"/>
        <w:jc w:val="both"/>
        <w:rPr>
          <w:rFonts w:ascii="Times New Roman" w:hAnsi="Times New Roman"/>
        </w:rPr>
      </w:pPr>
      <w:r>
        <w:rPr>
          <w:rFonts w:ascii="Times New Roman" w:hAnsi="Times New Roman"/>
        </w:rPr>
        <w:t xml:space="preserve">Certification </w:t>
      </w:r>
      <w:r>
        <w:rPr>
          <w:rFonts w:ascii="Times New Roman" w:hAnsi="Times New Roman"/>
          <w:lang w:val="en-US"/>
        </w:rPr>
        <w:t xml:space="preserve">                                                                                                                         ii</w:t>
      </w:r>
    </w:p>
    <w:p>
      <w:pPr>
        <w:pStyle w:val="style0"/>
        <w:spacing w:lineRule="auto" w:line="360"/>
        <w:jc w:val="both"/>
        <w:rPr>
          <w:rFonts w:ascii="Times New Roman" w:hAnsi="Times New Roman"/>
        </w:rPr>
      </w:pPr>
      <w:r>
        <w:rPr>
          <w:rFonts w:ascii="Times New Roman" w:hAnsi="Times New Roman"/>
        </w:rPr>
        <w:t xml:space="preserve">Dedication </w:t>
      </w:r>
      <w:r>
        <w:rPr>
          <w:rFonts w:ascii="Times New Roman" w:hAnsi="Times New Roman"/>
          <w:lang w:val="en-US"/>
        </w:rPr>
        <w:t xml:space="preserve">                                                                                                                            iii</w:t>
      </w:r>
    </w:p>
    <w:p>
      <w:pPr>
        <w:pStyle w:val="style0"/>
        <w:spacing w:lineRule="auto" w:line="360"/>
        <w:jc w:val="both"/>
        <w:rPr>
          <w:rFonts w:ascii="Times New Roman" w:hAnsi="Times New Roman"/>
        </w:rPr>
      </w:pPr>
      <w:r>
        <w:rPr>
          <w:rFonts w:ascii="Times New Roman" w:hAnsi="Times New Roman"/>
        </w:rPr>
        <w:t>Acknowledgement</w:t>
      </w:r>
      <w:r>
        <w:rPr>
          <w:rFonts w:ascii="Times New Roman" w:hAnsi="Times New Roman"/>
          <w:lang w:val="en-US"/>
        </w:rPr>
        <w:t xml:space="preserve">                                                                                                               iv</w:t>
      </w:r>
    </w:p>
    <w:p>
      <w:pPr>
        <w:pStyle w:val="style0"/>
        <w:spacing w:lineRule="auto" w:line="360"/>
        <w:jc w:val="both"/>
        <w:rPr>
          <w:rFonts w:ascii="Times New Roman" w:hAnsi="Times New Roman"/>
        </w:rPr>
      </w:pPr>
      <w:r>
        <w:rPr>
          <w:rFonts w:ascii="Times New Roman" w:hAnsi="Times New Roman"/>
        </w:rPr>
        <w:t xml:space="preserve">Table of Content </w:t>
      </w:r>
      <w:r>
        <w:rPr>
          <w:rFonts w:ascii="Times New Roman" w:hAnsi="Times New Roman"/>
          <w:lang w:val="en-US"/>
        </w:rPr>
        <w:t xml:space="preserve">                                                                                                                v-vii</w:t>
      </w:r>
    </w:p>
    <w:p>
      <w:pPr>
        <w:pStyle w:val="style0"/>
        <w:spacing w:lineRule="auto" w:line="360"/>
        <w:jc w:val="both"/>
        <w:rPr>
          <w:rFonts w:ascii="Times New Roman" w:hAnsi="Times New Roman"/>
        </w:rPr>
      </w:pPr>
      <w:r>
        <w:rPr>
          <w:rFonts w:ascii="Times New Roman" w:hAnsi="Times New Roman"/>
          <w:lang w:val="en-US"/>
        </w:rPr>
        <w:t>List of figures                                                                                                                        viii</w:t>
      </w:r>
    </w:p>
    <w:p>
      <w:pPr>
        <w:pStyle w:val="style0"/>
        <w:spacing w:lineRule="auto" w:line="360"/>
        <w:jc w:val="both"/>
        <w:rPr>
          <w:rFonts w:ascii="Times New Roman" w:hAnsi="Times New Roman"/>
        </w:rPr>
      </w:pPr>
      <w:r>
        <w:rPr>
          <w:rFonts w:ascii="Times New Roman" w:hAnsi="Times New Roman"/>
          <w:lang w:val="en-US"/>
        </w:rPr>
        <w:t>List of Tables                                                                                                                        ix</w:t>
      </w:r>
    </w:p>
    <w:p>
      <w:pPr>
        <w:pStyle w:val="style0"/>
        <w:spacing w:lineRule="auto" w:line="360"/>
        <w:jc w:val="both"/>
        <w:rPr>
          <w:rStyle w:val="style87"/>
          <w:rFonts w:ascii="Times New Roman" w:hAnsi="Times New Roman"/>
          <w:b w:val="false"/>
          <w:bCs w:val="false"/>
        </w:rPr>
      </w:pPr>
      <w:r>
        <w:rPr>
          <w:rFonts w:ascii="Times New Roman" w:hAnsi="Times New Roman"/>
        </w:rPr>
        <w:t>Abstract</w:t>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rPr>
        <w:tab/>
      </w:r>
      <w:r>
        <w:rPr>
          <w:rStyle w:val="style87"/>
          <w:rFonts w:ascii="Times New Roman" w:hAnsi="Times New Roman"/>
          <w:b w:val="false"/>
          <w:bCs w:val="false"/>
          <w:sz w:val="24"/>
          <w:szCs w:val="24"/>
          <w:lang w:val="en-US"/>
        </w:rPr>
        <w:t xml:space="preserve">                                                             x</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ONE: INTRODUCTION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numPr>
          <w:ilvl w:val="1"/>
          <w:numId w:val="1"/>
        </w:numPr>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Background to the Study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1.2.  Justification of Study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1.3.  Aims of Study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5-6</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TWO: LITERATURE REVIEW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2.1Overview of Diabetes Mellitus              </w:t>
      </w:r>
      <w:r>
        <w:rPr>
          <w:rStyle w:val="style87"/>
          <w:rFonts w:ascii="Times New Roman" w:hAnsi="Times New Roman" w:hint="default"/>
          <w:sz w:val="24"/>
          <w:szCs w:val="24"/>
          <w:lang w:val="en-US"/>
        </w:rPr>
        <w:t xml:space="preserve">                                                       7-8</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2.1.1Epidemiology of Diabetes                               </w:t>
      </w:r>
      <w:r>
        <w:rPr>
          <w:rStyle w:val="style87"/>
          <w:rFonts w:ascii="Times New Roman" w:hAnsi="Times New Roman" w:hint="default"/>
          <w:sz w:val="24"/>
          <w:szCs w:val="24"/>
          <w:lang w:val="en-US"/>
        </w:rPr>
        <w:t xml:space="preserve">                                          10</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 Types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11</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2.2.1 Type 1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12</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2.2.2 Type 2 Diabetes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13</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2.2.3 Gestational Diabetes                                 </w:t>
      </w:r>
      <w:r>
        <w:rPr>
          <w:rStyle w:val="style87"/>
          <w:rFonts w:ascii="Times New Roman" w:hAnsi="Times New Roman" w:hint="default"/>
          <w:sz w:val="24"/>
          <w:szCs w:val="24"/>
          <w:lang w:val="en-US"/>
        </w:rPr>
        <w:t xml:space="preserve">                                               14</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2.3 Glucose Metabolism and Its Regulation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15-17</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2.4 Role of Oxidative Stress in the Pathophysiology of Diabetes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18-19</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2.5 Mechanism of Streptozotocin in the Induction of Diabetes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20</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2.6 Antidiabetic Drugs             </w:t>
      </w:r>
      <w:r>
        <w:rPr>
          <w:rStyle w:val="style87"/>
          <w:rFonts w:ascii="Times New Roman" w:hAnsi="Times New Roman" w:hint="default"/>
          <w:sz w:val="24"/>
          <w:szCs w:val="24"/>
          <w:lang w:val="en-US"/>
        </w:rPr>
        <w:t xml:space="preserve">                                                                     21-31</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2.7</w:t>
      </w:r>
      <w:r>
        <w:rPr>
          <w:rStyle w:val="style87"/>
          <w:rFonts w:ascii="Times New Roman" w:hAnsi="Times New Roman" w:hint="default"/>
          <w:i/>
          <w:iCs/>
          <w:sz w:val="24"/>
          <w:szCs w:val="24"/>
        </w:rPr>
        <w:t>Phyllanthus amarus</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CHAPTER THREE: MATERIALS AND METHODS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3.1 Chemicals and Reagents                                    </w:t>
      </w:r>
      <w:r>
        <w:rPr>
          <w:rStyle w:val="style87"/>
          <w:rFonts w:ascii="Times New Roman" w:hAnsi="Times New Roman" w:hint="default"/>
          <w:sz w:val="24"/>
          <w:szCs w:val="24"/>
          <w:lang w:val="en-US"/>
        </w:rPr>
        <w:t xml:space="preserve">                                      32</w:t>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3.2 Apparatus and Equipment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32</w:t>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3.3Plant Material Collection           </w:t>
      </w:r>
      <w:r>
        <w:rPr>
          <w:rStyle w:val="style87"/>
          <w:rFonts w:ascii="Times New Roman" w:hAnsi="Times New Roman" w:hint="default"/>
          <w:sz w:val="24"/>
          <w:szCs w:val="24"/>
          <w:lang w:val="en-US"/>
        </w:rPr>
        <w:t xml:space="preserve">                                                                33</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3.4 Experimental Animals                                       </w:t>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3.5     Animal grouping and schedule</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34</w:t>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3.6 Qualitative Phytochemical Screening                    </w:t>
      </w:r>
      <w:r>
        <w:rPr>
          <w:rStyle w:val="style87"/>
          <w:rFonts w:ascii="Times New Roman" w:hAnsi="Times New Roman" w:hint="default"/>
          <w:sz w:val="24"/>
          <w:szCs w:val="24"/>
          <w:lang w:val="en-US"/>
        </w:rPr>
        <w:t xml:space="preserve">                                35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3.7 Antidiabetic Study on Extract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lang w:val="en-US"/>
        </w:rPr>
        <w:t>36</w:t>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3.8 Antidiabetic Biomarkers                                </w:t>
      </w:r>
      <w:r>
        <w:rPr>
          <w:rStyle w:val="style87"/>
          <w:rFonts w:ascii="Times New Roman" w:hAnsi="Times New Roman" w:hint="default"/>
          <w:sz w:val="24"/>
          <w:szCs w:val="24"/>
          <w:lang w:val="en-US"/>
        </w:rPr>
        <w:t xml:space="preserve">                                           37</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120"/>
        <w:rPr>
          <w:rStyle w:val="style87"/>
          <w:rFonts w:ascii="Times New Roman" w:hAnsi="Times New Roman" w:hint="default"/>
          <w:sz w:val="24"/>
          <w:szCs w:val="24"/>
        </w:rPr>
      </w:pPr>
      <w:r>
        <w:rPr>
          <w:rStyle w:val="style87"/>
          <w:rFonts w:ascii="Times New Roman" w:hAnsi="Times New Roman" w:hint="default"/>
          <w:sz w:val="24"/>
          <w:szCs w:val="24"/>
        </w:rPr>
        <w:t xml:space="preserve"> 3.9 Antioxidant Assays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FOUR: RESULTS                                               </w:t>
      </w:r>
      <w:r>
        <w:rPr>
          <w:rStyle w:val="style87"/>
          <w:rFonts w:ascii="Times New Roman" w:hAnsi="Times New Roman" w:hint="default"/>
          <w:sz w:val="24"/>
          <w:szCs w:val="24"/>
          <w:lang w:val="en-US"/>
        </w:rPr>
        <w:t xml:space="preserve">                </w:t>
      </w:r>
      <w:r>
        <w:rPr>
          <w:rStyle w:val="style87"/>
          <w:rFonts w:ascii="Times New Roman" w:hAnsi="Times New Roman" w:hint="default"/>
          <w:sz w:val="24"/>
          <w:szCs w:val="24"/>
        </w:rPr>
        <w:t xml:space="preserve">               </w:t>
      </w:r>
      <w:r>
        <w:rPr>
          <w:rStyle w:val="style87"/>
          <w:rFonts w:ascii="Times New Roman" w:hAnsi="Times New Roman" w:hint="default"/>
          <w:sz w:val="24"/>
          <w:szCs w:val="24"/>
          <w:lang w:val="en-US"/>
        </w:rPr>
        <w:t>38-43</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CHAPTER FIVE: DISCUSSION AND CONCLUSION                       </w:t>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5.1 Discussion                                             </w:t>
      </w:r>
      <w:r>
        <w:rPr>
          <w:rStyle w:val="style87"/>
          <w:rFonts w:ascii="Times New Roman" w:hAnsi="Times New Roman" w:hint="default"/>
          <w:sz w:val="24"/>
          <w:szCs w:val="24"/>
          <w:lang w:val="en-US"/>
        </w:rPr>
        <w:t xml:space="preserve">                                                        47-50      </w:t>
      </w:r>
      <w:r>
        <w:rPr>
          <w:rStyle w:val="style87"/>
          <w:rFonts w:ascii="Times New Roman" w:hAnsi="Times New Roman" w:hint="default"/>
          <w:sz w:val="24"/>
          <w:szCs w:val="24"/>
        </w:rPr>
        <w:t xml:space="preserve">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sz w:val="24"/>
          <w:szCs w:val="24"/>
        </w:rPr>
      </w:pPr>
      <w:r>
        <w:rPr>
          <w:rStyle w:val="style87"/>
          <w:rFonts w:ascii="Times New Roman" w:hAnsi="Times New Roman" w:hint="default"/>
          <w:sz w:val="24"/>
          <w:szCs w:val="24"/>
        </w:rPr>
        <w:t xml:space="preserve"> 5.2 Conclusion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3"/>
        <w:spacing w:lineRule="auto" w:line="240"/>
        <w:rPr>
          <w:rStyle w:val="style87"/>
          <w:rFonts w:ascii="Times New Roman" w:hAnsi="Times New Roman" w:hint="default"/>
          <w:b/>
          <w:bCs/>
          <w:sz w:val="24"/>
          <w:szCs w:val="24"/>
        </w:rPr>
      </w:pPr>
      <w:r>
        <w:rPr>
          <w:rStyle w:val="style87"/>
          <w:rFonts w:ascii="Times New Roman" w:hAnsi="Times New Roman" w:hint="default"/>
          <w:sz w:val="24"/>
          <w:szCs w:val="24"/>
        </w:rPr>
        <w:t xml:space="preserve">  References                                                    </w:t>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r>
        <w:rPr>
          <w:rStyle w:val="style87"/>
          <w:rFonts w:ascii="Times New Roman" w:hAnsi="Times New Roman" w:hint="default"/>
          <w:sz w:val="24"/>
          <w:szCs w:val="24"/>
        </w:rPr>
        <w:tab/>
      </w:r>
    </w:p>
    <w:p>
      <w:pPr>
        <w:pStyle w:val="style0"/>
        <w:numPr>
          <w:ilvl w:val="0"/>
          <w:numId w:val="0"/>
        </w:numPr>
        <w:rPr>
          <w:rStyle w:val="style87"/>
          <w:rFonts w:ascii="Times New Roman" w:hAnsi="Times New Roman" w:hint="default"/>
          <w:b/>
          <w:bCs/>
          <w:sz w:val="24"/>
          <w:szCs w:val="24"/>
        </w:rPr>
      </w:pPr>
    </w:p>
    <w:p>
      <w:pPr>
        <w:pStyle w:val="style0"/>
        <w:numPr>
          <w:ilvl w:val="0"/>
          <w:numId w:val="0"/>
        </w:numPr>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r>
        <w:rPr>
          <w:rStyle w:val="style87"/>
          <w:rFonts w:ascii="Times New Roman" w:hAnsi="Times New Roman" w:hint="default"/>
          <w:b/>
          <w:bCs/>
          <w:sz w:val="24"/>
          <w:szCs w:val="24"/>
        </w:rPr>
        <w:t>LIST OF FIGURES</w:t>
      </w:r>
    </w:p>
    <w:p>
      <w:pPr>
        <w:pStyle w:val="style0"/>
        <w:spacing w:lineRule="auto" w:line="240"/>
        <w:rPr>
          <w:rFonts w:ascii="Times New Roman" w:hAnsi="Times New Roman"/>
          <w:sz w:val="24"/>
          <w:szCs w:val="24"/>
        </w:rPr>
      </w:pPr>
      <w:r>
        <w:rPr>
          <w:rFonts w:ascii="Times New Roman" w:hAnsi="Times New Roman"/>
          <w:sz w:val="24"/>
          <w:szCs w:val="24"/>
        </w:rPr>
        <w:t>Figure1</w:t>
      </w:r>
      <w:r>
        <w:rPr>
          <w:rFonts w:ascii="Times New Roman" w:hAnsi="Times New Roman"/>
          <w:sz w:val="24"/>
          <w:szCs w:val="24"/>
        </w:rPr>
        <w:t xml:space="preserve">: </w:t>
      </w:r>
      <w:r>
        <w:rPr>
          <w:rFonts w:ascii="Times New Roman" w:hAnsi="Times New Roman"/>
          <w:sz w:val="24"/>
          <w:szCs w:val="24"/>
        </w:rPr>
        <w:t>Estimates of the global prevalence of diabetes worldwide (20–79-yearagegroup).</w:t>
      </w:r>
      <w:r>
        <w:rPr>
          <w:rFonts w:ascii="Times New Roman" w:hAnsi="Times New Roman"/>
          <w:sz w:val="24"/>
          <w:szCs w:val="24"/>
          <w:lang w:val="en-US"/>
        </w:rPr>
        <w:t xml:space="preserve">                                                                                                       Pg 6</w:t>
      </w:r>
    </w:p>
    <w:p>
      <w:pPr>
        <w:pStyle w:val="style0"/>
        <w:spacing w:lineRule="auto" w:line="240"/>
        <w:rPr>
          <w:rFonts w:ascii="Times New Roman" w:hAnsi="Times New Roman"/>
          <w:sz w:val="24"/>
          <w:szCs w:val="24"/>
        </w:rPr>
      </w:pPr>
      <w:r>
        <w:rPr>
          <w:rFonts w:ascii="Times New Roman" w:hAnsi="Times New Roman"/>
          <w:sz w:val="24"/>
          <w:szCs w:val="24"/>
        </w:rPr>
        <w:t>Fig2:</w:t>
      </w:r>
      <w:r>
        <w:rPr>
          <w:rFonts w:ascii="Times New Roman" w:hAnsi="Times New Roman"/>
          <w:sz w:val="24"/>
          <w:szCs w:val="24"/>
        </w:rPr>
        <w:t xml:space="preserve"> </w:t>
      </w:r>
      <w:r>
        <w:rPr>
          <w:rFonts w:ascii="Times New Roman" w:hAnsi="Times New Roman"/>
          <w:sz w:val="24"/>
          <w:szCs w:val="24"/>
        </w:rPr>
        <w:t xml:space="preserve">Glycolysis Diagram: Overview of the aerobic glycolysis pathway </w:t>
      </w:r>
      <w:r>
        <w:rPr>
          <w:rFonts w:ascii="Times New Roman" w:hAnsi="Times New Roman"/>
          <w:sz w:val="24"/>
          <w:szCs w:val="24"/>
          <w:lang w:val="en-US"/>
        </w:rPr>
        <w:t xml:space="preserve">        pg 11</w:t>
      </w:r>
    </w:p>
    <w:p>
      <w:pPr>
        <w:pStyle w:val="style0"/>
        <w:spacing w:lineRule="auto" w:line="240"/>
        <w:rPr>
          <w:rFonts w:ascii="Times New Roman" w:hAnsi="Times New Roman"/>
          <w:sz w:val="24"/>
          <w:szCs w:val="24"/>
        </w:rPr>
      </w:pPr>
      <w:r>
        <w:rPr>
          <w:rFonts w:ascii="Times New Roman" w:hAnsi="Times New Roman"/>
          <w:sz w:val="24"/>
          <w:szCs w:val="24"/>
        </w:rPr>
        <w:t>Fig3:</w:t>
      </w:r>
      <w:r>
        <w:rPr>
          <w:rFonts w:ascii="Times New Roman" w:hAnsi="Times New Roman"/>
          <w:sz w:val="24"/>
          <w:szCs w:val="24"/>
        </w:rPr>
        <w:t xml:space="preserve"> </w:t>
      </w:r>
      <w:r>
        <w:rPr>
          <w:rFonts w:ascii="Times New Roman" w:hAnsi="Times New Roman"/>
          <w:sz w:val="24"/>
          <w:szCs w:val="24"/>
        </w:rPr>
        <w:t xml:space="preserve">Gluconeogenesis pathway </w:t>
      </w:r>
      <w:r>
        <w:rPr>
          <w:rFonts w:ascii="Times New Roman" w:hAnsi="Times New Roman"/>
          <w:sz w:val="24"/>
          <w:szCs w:val="24"/>
          <w:lang w:val="en-US"/>
        </w:rPr>
        <w:t xml:space="preserve">                                                                         pg 14</w:t>
      </w:r>
    </w:p>
    <w:p>
      <w:pPr>
        <w:pStyle w:val="style0"/>
        <w:spacing w:lineRule="auto" w:line="240"/>
        <w:rPr>
          <w:rFonts w:ascii="Times New Roman" w:hAnsi="Times New Roman"/>
          <w:sz w:val="24"/>
          <w:szCs w:val="24"/>
        </w:rPr>
      </w:pPr>
      <w:r>
        <w:rPr>
          <w:rFonts w:ascii="Times New Roman" w:hAnsi="Times New Roman"/>
          <w:sz w:val="24"/>
          <w:szCs w:val="24"/>
        </w:rPr>
        <w:t>Figur</w:t>
      </w:r>
      <w:r>
        <w:rPr>
          <w:rFonts w:ascii="Times New Roman" w:hAnsi="Times New Roman"/>
          <w:sz w:val="24"/>
          <w:szCs w:val="24"/>
        </w:rPr>
        <w:t xml:space="preserve">e4: Effect Of </w:t>
      </w:r>
      <w:r>
        <w:rPr>
          <w:rFonts w:ascii="Times New Roman" w:hAnsi="Times New Roman"/>
          <w:i/>
          <w:sz w:val="24"/>
          <w:szCs w:val="24"/>
        </w:rPr>
        <w:t>Phyllanthus amarus</w:t>
      </w:r>
      <w:r>
        <w:rPr>
          <w:rFonts w:ascii="Times New Roman" w:hAnsi="Times New Roman"/>
          <w:sz w:val="24"/>
          <w:szCs w:val="24"/>
        </w:rPr>
        <w:t xml:space="preserve"> </w:t>
      </w:r>
      <w:r>
        <w:rPr>
          <w:rFonts w:ascii="Times New Roman" w:hAnsi="Times New Roman"/>
          <w:sz w:val="24"/>
          <w:szCs w:val="24"/>
        </w:rPr>
        <w:t xml:space="preserve">Extract On The ALT Specific </w:t>
      </w:r>
      <w:r>
        <w:rPr>
          <w:rFonts w:ascii="Times New Roman" w:hAnsi="Times New Roman"/>
          <w:sz w:val="24"/>
          <w:szCs w:val="24"/>
          <w:lang w:val="en-US"/>
        </w:rPr>
        <w:t xml:space="preserve">           </w:t>
      </w:r>
      <w:r>
        <w:rPr>
          <w:rFonts w:ascii="Times New Roman" w:hAnsi="Times New Roman"/>
          <w:sz w:val="24"/>
          <w:szCs w:val="24"/>
        </w:rPr>
        <w:t xml:space="preserve">Activity(mmol/min/mg </w:t>
      </w:r>
      <w:r>
        <w:rPr>
          <w:rFonts w:ascii="Times New Roman" w:hAnsi="Times New Roman"/>
          <w:sz w:val="24"/>
          <w:szCs w:val="24"/>
          <w:lang w:val="en-US"/>
        </w:rPr>
        <w:t xml:space="preserve">                                                                                          pg 37</w:t>
      </w:r>
    </w:p>
    <w:p>
      <w:pPr>
        <w:pStyle w:val="style0"/>
        <w:spacing w:lineRule="auto" w:line="240"/>
        <w:rPr>
          <w:rFonts w:ascii="Times New Roman" w:hAnsi="Times New Roman"/>
          <w:sz w:val="24"/>
          <w:szCs w:val="24"/>
        </w:rPr>
      </w:pPr>
      <w:r>
        <w:rPr>
          <w:rFonts w:ascii="Times New Roman" w:hAnsi="Times New Roman"/>
          <w:sz w:val="24"/>
          <w:szCs w:val="24"/>
        </w:rPr>
        <w:t xml:space="preserve">Protein) Of STZ Induced Diabetic Rats After 14 Days Of Treatment </w:t>
      </w:r>
    </w:p>
    <w:p>
      <w:pPr>
        <w:pStyle w:val="style0"/>
        <w:spacing w:lineRule="auto" w:line="240"/>
        <w:rPr>
          <w:rFonts w:ascii="Times New Roman" w:hAnsi="Times New Roman"/>
          <w:sz w:val="24"/>
          <w:szCs w:val="24"/>
        </w:rPr>
      </w:pPr>
      <w:r>
        <w:rPr>
          <w:rFonts w:ascii="Times New Roman" w:hAnsi="Times New Roman"/>
          <w:sz w:val="24"/>
          <w:szCs w:val="24"/>
        </w:rPr>
        <w:t>Figu</w:t>
      </w:r>
      <w:r>
        <w:rPr>
          <w:rFonts w:ascii="Times New Roman" w:hAnsi="Times New Roman"/>
          <w:sz w:val="24"/>
          <w:szCs w:val="24"/>
        </w:rPr>
        <w:t xml:space="preserve">re5: Effect Of </w:t>
      </w:r>
      <w:r>
        <w:rPr>
          <w:rFonts w:ascii="Times New Roman" w:hAnsi="Times New Roman"/>
          <w:i/>
          <w:sz w:val="24"/>
          <w:szCs w:val="24"/>
        </w:rPr>
        <w:t>Phyllanthus amarus</w:t>
      </w:r>
      <w:r>
        <w:rPr>
          <w:rFonts w:ascii="Times New Roman" w:hAnsi="Times New Roman"/>
          <w:sz w:val="24"/>
          <w:szCs w:val="24"/>
        </w:rPr>
        <w:t xml:space="preserve"> Extract On The AST Specific Activity</w:t>
      </w:r>
      <w:r>
        <w:rPr>
          <w:rFonts w:ascii="Times New Roman" w:hAnsi="Times New Roman"/>
          <w:sz w:val="24"/>
          <w:szCs w:val="24"/>
          <w:lang w:val="en-US"/>
        </w:rPr>
        <w:t xml:space="preserve">    pg 38</w:t>
      </w:r>
    </w:p>
    <w:p>
      <w:pPr>
        <w:pStyle w:val="style0"/>
        <w:spacing w:lineRule="auto" w:line="240"/>
        <w:rPr>
          <w:rFonts w:ascii="Times New Roman" w:hAnsi="Times New Roman"/>
          <w:sz w:val="24"/>
          <w:szCs w:val="24"/>
        </w:rPr>
      </w:pPr>
      <w:r>
        <w:rPr>
          <w:rFonts w:ascii="Times New Roman" w:hAnsi="Times New Roman"/>
          <w:sz w:val="24"/>
          <w:szCs w:val="24"/>
        </w:rPr>
        <w:t>(mmol/min/mgProtein)Of</w:t>
      </w:r>
      <w:r>
        <w:rPr>
          <w:rFonts w:ascii="Times New Roman" w:hAnsi="Times New Roman"/>
          <w:sz w:val="24"/>
          <w:szCs w:val="24"/>
        </w:rPr>
        <w:t xml:space="preserve"> </w:t>
      </w:r>
      <w:r>
        <w:rPr>
          <w:rFonts w:ascii="Times New Roman" w:hAnsi="Times New Roman"/>
          <w:sz w:val="24"/>
          <w:szCs w:val="24"/>
        </w:rPr>
        <w:t>STZ</w:t>
      </w:r>
      <w:r>
        <w:rPr>
          <w:rFonts w:ascii="Times New Roman" w:hAnsi="Times New Roman"/>
          <w:sz w:val="24"/>
          <w:szCs w:val="24"/>
        </w:rPr>
        <w:t xml:space="preserve"> </w:t>
      </w:r>
      <w:r>
        <w:rPr>
          <w:rFonts w:ascii="Times New Roman" w:hAnsi="Times New Roman"/>
          <w:sz w:val="24"/>
          <w:szCs w:val="24"/>
        </w:rPr>
        <w:t>Induced</w:t>
      </w:r>
      <w:r>
        <w:rPr>
          <w:rFonts w:ascii="Times New Roman" w:hAnsi="Times New Roman"/>
          <w:sz w:val="24"/>
          <w:szCs w:val="24"/>
        </w:rPr>
        <w:t xml:space="preserve"> </w:t>
      </w:r>
      <w:r>
        <w:rPr>
          <w:rFonts w:ascii="Times New Roman" w:hAnsi="Times New Roman"/>
          <w:sz w:val="24"/>
          <w:szCs w:val="24"/>
        </w:rPr>
        <w:t xml:space="preserve">DiabeticRatsAfter14DaysOfTreatment </w:t>
      </w:r>
    </w:p>
    <w:p>
      <w:pPr>
        <w:pStyle w:val="style0"/>
        <w:spacing w:lineRule="auto" w:line="240"/>
        <w:rPr>
          <w:rFonts w:ascii="Times New Roman" w:hAnsi="Times New Roman"/>
          <w:sz w:val="24"/>
          <w:szCs w:val="24"/>
        </w:rPr>
      </w:pPr>
      <w:r>
        <w:rPr>
          <w:rFonts w:ascii="Times New Roman" w:hAnsi="Times New Roman"/>
          <w:sz w:val="24"/>
          <w:szCs w:val="24"/>
        </w:rPr>
        <w:t xml:space="preserve">Figure6: Effect Of </w:t>
      </w:r>
      <w:r>
        <w:rPr>
          <w:rFonts w:ascii="Times New Roman" w:hAnsi="Times New Roman"/>
          <w:i/>
          <w:sz w:val="24"/>
          <w:szCs w:val="24"/>
        </w:rPr>
        <w:t>Phyllant</w:t>
      </w:r>
      <w:r>
        <w:rPr>
          <w:rFonts w:ascii="Times New Roman" w:hAnsi="Times New Roman"/>
          <w:i/>
          <w:sz w:val="24"/>
          <w:szCs w:val="24"/>
        </w:rPr>
        <w:t>hus a</w:t>
      </w:r>
      <w:r>
        <w:rPr>
          <w:rFonts w:ascii="Times New Roman" w:hAnsi="Times New Roman"/>
          <w:i/>
          <w:sz w:val="24"/>
          <w:szCs w:val="24"/>
        </w:rPr>
        <w:t>marus</w:t>
      </w:r>
      <w:r>
        <w:rPr>
          <w:rFonts w:ascii="Times New Roman" w:hAnsi="Times New Roman"/>
          <w:sz w:val="24"/>
          <w:szCs w:val="24"/>
        </w:rPr>
        <w:t xml:space="preserve"> Extract On The ALP Specific Activity(mmol/min/mg </w:t>
      </w:r>
    </w:p>
    <w:p>
      <w:pPr>
        <w:pStyle w:val="style0"/>
        <w:spacing w:lineRule="auto" w:line="240"/>
        <w:rPr>
          <w:rFonts w:ascii="Times New Roman" w:hAnsi="Times New Roman"/>
          <w:sz w:val="24"/>
          <w:szCs w:val="24"/>
        </w:rPr>
      </w:pPr>
      <w:r>
        <w:rPr>
          <w:rFonts w:ascii="Times New Roman" w:hAnsi="Times New Roman"/>
          <w:sz w:val="24"/>
          <w:szCs w:val="24"/>
        </w:rPr>
        <w:t>Protein) Of STZ Induced Diabetic Rats After 14Days Of Treatment</w:t>
      </w:r>
      <w:r>
        <w:rPr>
          <w:rFonts w:ascii="Times New Roman" w:hAnsi="Times New Roman"/>
          <w:sz w:val="24"/>
          <w:szCs w:val="24"/>
          <w:lang w:val="en-US"/>
        </w:rPr>
        <w:t>.                Pg 39</w:t>
      </w:r>
    </w:p>
    <w:p>
      <w:pPr>
        <w:pStyle w:val="style0"/>
        <w:rPr>
          <w:rFonts w:ascii="Times New Roman" w:hAnsi="Times New Roman"/>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left="2880" w:firstLine="720"/>
        <w:rPr>
          <w:rStyle w:val="style87"/>
          <w:rFonts w:ascii="Times New Roman" w:hAnsi="Times New Roman" w:hint="default"/>
          <w:b/>
          <w:bCs/>
          <w:sz w:val="24"/>
          <w:szCs w:val="24"/>
        </w:rPr>
      </w:pPr>
    </w:p>
    <w:p>
      <w:pPr>
        <w:pStyle w:val="style3"/>
        <w:ind w:firstLine="3253" w:firstLineChars="1350"/>
        <w:rPr>
          <w:rStyle w:val="style87"/>
          <w:rFonts w:ascii="Times New Roman" w:hAnsi="Times New Roman" w:hint="default"/>
          <w:b/>
          <w:bCs/>
          <w:sz w:val="24"/>
          <w:szCs w:val="24"/>
        </w:rPr>
        <w:sectPr>
          <w:headerReference w:type="default" r:id="rId2"/>
          <w:footerReference w:type="default" r:id="rId3"/>
          <w:pgSz w:w="12240" w:h="15840" w:orient="portrait"/>
          <w:pgMar w:top="1440" w:right="1440" w:bottom="1440" w:left="1440" w:header="720" w:footer="720" w:gutter="0"/>
          <w:pgNumType w:fmt="decimal" w:start="1"/>
          <w:cols w:space="720"/>
          <w:docGrid w:linePitch="360"/>
        </w:sectPr>
      </w:pPr>
    </w:p>
    <w:p>
      <w:pPr>
        <w:pStyle w:val="style3"/>
        <w:ind w:firstLine="3253" w:firstLineChars="1350"/>
        <w:rPr>
          <w:rStyle w:val="style87"/>
          <w:rFonts w:ascii="Times New Roman" w:hAnsi="Times New Roman" w:hint="default"/>
          <w:b/>
          <w:bCs/>
          <w:sz w:val="24"/>
          <w:szCs w:val="24"/>
        </w:rPr>
      </w:pPr>
      <w:r>
        <w:rPr>
          <w:rStyle w:val="style87"/>
          <w:rFonts w:ascii="Times New Roman" w:hAnsi="Times New Roman" w:hint="default"/>
          <w:b/>
          <w:bCs/>
          <w:sz w:val="24"/>
          <w:szCs w:val="24"/>
        </w:rPr>
        <w:t>LIST OF TABLES</w:t>
      </w:r>
    </w:p>
    <w:p>
      <w:pPr>
        <w:pStyle w:val="style0"/>
        <w:rPr>
          <w:rFonts w:ascii="Times New Roman" w:hAnsi="Times New Roman"/>
          <w:sz w:val="24"/>
          <w:szCs w:val="24"/>
        </w:rPr>
      </w:pPr>
      <w:r>
        <w:rPr>
          <w:rFonts w:ascii="Times New Roman" w:hAnsi="Times New Roman"/>
          <w:sz w:val="24"/>
          <w:szCs w:val="24"/>
        </w:rPr>
        <w:t xml:space="preserve">Table 1: Antidabetic study on extract                              </w:t>
      </w:r>
      <w:r>
        <w:rPr>
          <w:rFonts w:ascii="Times New Roman" w:hAnsi="Times New Roman"/>
          <w:sz w:val="24"/>
          <w:szCs w:val="24"/>
          <w:lang w:val="en-US"/>
        </w:rPr>
        <w:t xml:space="preserve">                              </w:t>
      </w:r>
      <w:r>
        <w:rPr>
          <w:rFonts w:ascii="Times New Roman" w:hAnsi="Times New Roman"/>
          <w:sz w:val="24"/>
          <w:szCs w:val="24"/>
        </w:rPr>
        <w:t xml:space="preserve">            </w:t>
      </w:r>
      <w:r>
        <w:rPr>
          <w:rFonts w:ascii="Times New Roman" w:hAnsi="Times New Roman"/>
          <w:sz w:val="24"/>
          <w:szCs w:val="24"/>
          <w:lang w:val="en-US"/>
        </w:rPr>
        <w:t>24</w:t>
      </w:r>
    </w:p>
    <w:p>
      <w:pPr>
        <w:pStyle w:val="style0"/>
        <w:rPr>
          <w:rStyle w:val="style87"/>
          <w:rFonts w:ascii="Times New Roman" w:hAnsi="Times New Roman"/>
          <w:sz w:val="24"/>
          <w:szCs w:val="24"/>
        </w:rPr>
      </w:pPr>
      <w:r>
        <w:rPr>
          <w:rFonts w:ascii="Times New Roman" w:hAnsi="Times New Roman"/>
          <w:sz w:val="24"/>
          <w:szCs w:val="24"/>
        </w:rPr>
        <w:t>Table2:  Timeline of Blood Glucose Monitoring and Treatment Schedule</w:t>
      </w:r>
      <w:r>
        <w:rPr>
          <w:rFonts w:ascii="Times New Roman" w:hAnsi="Times New Roman"/>
          <w:sz w:val="24"/>
          <w:szCs w:val="24"/>
          <w:lang w:val="en-US"/>
        </w:rPr>
        <w:t>.          26</w:t>
      </w:r>
    </w:p>
    <w:p>
      <w:pPr>
        <w:pStyle w:val="style0"/>
        <w:rPr>
          <w:rFonts w:ascii="Times New Roman" w:hAnsi="Times New Roman"/>
          <w:sz w:val="24"/>
          <w:szCs w:val="24"/>
        </w:rPr>
      </w:pPr>
      <w:r>
        <w:rPr>
          <w:rFonts w:ascii="Times New Roman" w:hAnsi="Times New Roman"/>
          <w:sz w:val="24"/>
          <w:szCs w:val="24"/>
        </w:rPr>
        <w:t>Table 3: Conclusion on Biomarker Relevance</w:t>
      </w:r>
      <w:r>
        <w:rPr>
          <w:rFonts w:ascii="Times New Roman" w:hAnsi="Times New Roman"/>
          <w:sz w:val="24"/>
          <w:szCs w:val="24"/>
          <w:lang w:val="en-US"/>
        </w:rPr>
        <w:t>.                                                          30</w:t>
      </w:r>
    </w:p>
    <w:p>
      <w:pPr>
        <w:pStyle w:val="style0"/>
        <w:rPr>
          <w:rFonts w:ascii="Times New Roman" w:hAnsi="Times New Roman"/>
          <w:sz w:val="24"/>
          <w:szCs w:val="24"/>
        </w:rPr>
      </w:pPr>
      <w:r>
        <w:rPr>
          <w:rFonts w:ascii="Times New Roman" w:hAnsi="Times New Roman"/>
          <w:sz w:val="24"/>
          <w:szCs w:val="24"/>
        </w:rPr>
        <w:t xml:space="preserve">Table 4: Summary Table of Antioxidant Biomarkers in Diabetes vs. Treated/Normal </w:t>
      </w:r>
      <w:r>
        <w:rPr>
          <w:rFonts w:ascii="Times New Roman" w:hAnsi="Times New Roman"/>
          <w:sz w:val="24"/>
          <w:szCs w:val="24"/>
          <w:lang w:val="en-US"/>
        </w:rPr>
        <w:t xml:space="preserve"> </w:t>
      </w:r>
      <w:r>
        <w:rPr>
          <w:rFonts w:ascii="Times New Roman" w:hAnsi="Times New Roman"/>
          <w:sz w:val="24"/>
          <w:szCs w:val="24"/>
        </w:rPr>
        <w:t>States</w:t>
      </w:r>
      <w:r>
        <w:rPr>
          <w:rFonts w:ascii="Times New Roman" w:hAnsi="Times New Roman"/>
          <w:sz w:val="24"/>
          <w:szCs w:val="24"/>
          <w:lang w:val="en-US"/>
        </w:rPr>
        <w:t xml:space="preserve">.      </w:t>
      </w: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0"/>
        <w:rPr>
          <w:rStyle w:val="style87"/>
          <w:rFonts w:ascii="Times New Roman" w:hAnsi="Times New Roman"/>
          <w:sz w:val="24"/>
          <w:szCs w:val="24"/>
        </w:rPr>
      </w:pPr>
    </w:p>
    <w:p>
      <w:pPr>
        <w:pStyle w:val="style3"/>
        <w:ind w:left="2880" w:firstLine="720"/>
        <w:rPr>
          <w:rFonts w:ascii="Times New Roman" w:hAnsi="Times New Roman" w:hint="default"/>
          <w:sz w:val="24"/>
          <w:szCs w:val="24"/>
        </w:rPr>
      </w:pPr>
      <w:r>
        <w:rPr>
          <w:rStyle w:val="style87"/>
          <w:rFonts w:ascii="Times New Roman" w:hAnsi="Times New Roman" w:hint="default"/>
          <w:b/>
          <w:bCs/>
          <w:sz w:val="24"/>
          <w:szCs w:val="24"/>
        </w:rPr>
        <w:t>ABSTRACT</w:t>
      </w:r>
    </w:p>
    <w:p>
      <w:pPr>
        <w:pStyle w:val="style94"/>
        <w:jc w:val="both"/>
        <w:rPr/>
      </w:pPr>
      <w:r>
        <w:t xml:space="preserve">Diabetes mellitus is a chronic metabolic disorder marked by persistent hyperglycemia and associated complications such as oxidative stress and electrolyte imbalances. This study is to investigate theameliorative potential of </w:t>
      </w:r>
      <w:r>
        <w:rPr>
          <w:i/>
          <w:iCs/>
        </w:rPr>
        <w:t>Phyllanthus amarus</w:t>
      </w:r>
      <w:r>
        <w:t xml:space="preserve"> leaf extract on blood glucose levels, oxidative status, and serum electrolytes in streptozotocin-induced diabetic Wistar rats. The extract was evaluated for its anti-hyperglycemic, antioxidant, and electrolyte-modulating properties. Rats were divided into five groups and treated with different doses of the extract or metformin over 14 days. Biochemical parameters including blood glucose, serum insulin, total protein, creatinine, electrolytes, and oxidative stress biomarkers (GSH, SOD, CAT, GPx, MDA) were analyzed. Results indicated that the extract significantly reduced blood glucose, improved antioxidant enzyme activities, restored electrolyte balance, and increased insulin levels in a dose-dependent manner. Furthermore, the dose-dependent improvements observed imply that higher concentrations of the extract may provide enhanced therapeutic benefits. The study adds to the growing body of evidence supporting the medicinal value of Phyllanthus amarus and highlights its potential for integration into affordable, plant-based interventions, especially in regions where conventional drugs are less accessible. The findings suggest that </w:t>
      </w:r>
      <w:r>
        <w:rPr>
          <w:rStyle w:val="style88"/>
        </w:rPr>
        <w:t>Phyllanthus amarus</w:t>
      </w:r>
      <w:r>
        <w:t xml:space="preserve"> possesses antidiabetic and antioxidative properties, supporting its use as a complementary therapy for diabetes </w:t>
      </w: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2771" w:firstLineChars="1150"/>
        <w:rPr>
          <w:rFonts w:ascii="Times New Roman" w:hAnsi="Times New Roman"/>
          <w:b/>
          <w:bCs/>
          <w:sz w:val="24"/>
          <w:szCs w:val="24"/>
        </w:rPr>
      </w:pPr>
    </w:p>
    <w:p>
      <w:pPr>
        <w:pStyle w:val="style0"/>
        <w:ind w:firstLine="3253" w:firstLineChars="1350"/>
        <w:rPr>
          <w:rFonts w:ascii="Times New Roman" w:hAnsi="Times New Roman"/>
          <w:b/>
          <w:bCs/>
          <w:sz w:val="24"/>
          <w:szCs w:val="24"/>
        </w:rPr>
        <w:sectPr>
          <w:footerReference w:type="default" r:id="rId4"/>
          <w:pgSz w:w="12240" w:h="15840" w:orient="portrait"/>
          <w:pgMar w:top="1440" w:right="1440" w:bottom="1440" w:left="1440" w:header="720" w:footer="720" w:gutter="0"/>
          <w:pgNumType w:fmt="decimal" w:start="1"/>
          <w:cols w:space="720"/>
          <w:docGrid w:linePitch="360"/>
        </w:sectPr>
      </w:pPr>
    </w:p>
    <w:p>
      <w:pPr>
        <w:pStyle w:val="style0"/>
        <w:spacing w:lineRule="auto" w:line="480"/>
        <w:ind w:firstLine="3253" w:firstLineChars="1350"/>
        <w:jc w:val="both"/>
        <w:rPr>
          <w:rFonts w:ascii="Times New Roman" w:hAnsi="Times New Roman"/>
          <w:b/>
          <w:bCs/>
          <w:sz w:val="24"/>
          <w:szCs w:val="24"/>
        </w:rPr>
      </w:pPr>
      <w:r>
        <w:rPr>
          <w:rFonts w:ascii="Times New Roman" w:hAnsi="Times New Roman"/>
          <w:b/>
          <w:bCs/>
          <w:sz w:val="24"/>
          <w:szCs w:val="24"/>
        </w:rPr>
        <w:t>CHAPTER ONE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INTRODUCTION </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long-term metabolic condition marked by high blood sugar levels, impacting millions globally. Phyllanthus amarus, a herbal remedy, has historically been utilized to treat various health issues, including diabetes. This research aims to assess the antidiabetic effects of ethanolic extract from Phyllanthus amarus in streptozotocin (STZ)-induced diabetic rats. The study will evaluate the extract's effectiveness in lowering blood glucose levels and investigate its possible therapeutic advantages.</w:t>
      </w:r>
    </w:p>
    <w:p>
      <w:pPr>
        <w:pStyle w:val="style0"/>
        <w:spacing w:lineRule="auto" w:line="480"/>
        <w:jc w:val="both"/>
        <w:rPr>
          <w:rFonts w:ascii="Times New Roman" w:hAnsi="Times New Roman"/>
          <w:sz w:val="24"/>
          <w:szCs w:val="24"/>
        </w:rPr>
      </w:pPr>
      <w:r>
        <w:rPr>
          <w:rFonts w:ascii="Times New Roman" w:hAnsi="Times New Roman"/>
          <w:b/>
          <w:bCs/>
          <w:sz w:val="24"/>
          <w:szCs w:val="24"/>
        </w:rPr>
        <w:t>1.1 BACKGROUND TO THE STUDY</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(DM) is a chronic metabolic disorder characterized by persistent hyperglycemia resulting from defects in insulin secretion, insulin action, or both (American Diabetes Association, 2022). It is one of the most pressing public health challenges globally, affecting over 500 million people and accounting for millions of deaths annually, largely due to its associated complications such as cardiovascular disease, neuropathy, nephropathy, and retinopathy (International Diabetes Federation, 2021). In sub-Saharan Africa, including Nigeria, the burden of diabetes is rising rapidly due to urbanization, sedentary lifestyles, and dietary changes (Ogunmola</w:t>
      </w:r>
      <w:r>
        <w:rPr>
          <w:rFonts w:ascii="Times New Roman" w:hAnsi="Times New Roman"/>
          <w:i/>
          <w:iCs/>
          <w:sz w:val="24"/>
          <w:szCs w:val="24"/>
        </w:rPr>
        <w:t xml:space="preserve"> et al., </w:t>
      </w:r>
      <w:r>
        <w:rPr>
          <w:rFonts w:ascii="Times New Roman" w:hAnsi="Times New Roman"/>
          <w:sz w:val="24"/>
          <w:szCs w:val="24"/>
        </w:rPr>
        <w:t>2019).</w:t>
      </w:r>
    </w:p>
    <w:p>
      <w:pPr>
        <w:pStyle w:val="style0"/>
        <w:spacing w:lineRule="auto" w:line="480"/>
        <w:jc w:val="both"/>
        <w:rPr>
          <w:rFonts w:ascii="Times New Roman" w:hAnsi="Times New Roman"/>
          <w:sz w:val="24"/>
          <w:szCs w:val="24"/>
        </w:rPr>
      </w:pPr>
      <w:r>
        <w:rPr>
          <w:rFonts w:ascii="Times New Roman" w:hAnsi="Times New Roman"/>
          <w:sz w:val="24"/>
          <w:szCs w:val="24"/>
        </w:rPr>
        <w:t>One major complication of diabetes is oxidative stress, which results from an imbalance between the production of reactive oxygen species (ROS) and the body's antioxidant defense mechanisms. In diabetic states, hyperglycemia stimulates excessive production of free radicals, leading to cellular damage, inflammation, and the progression of complications (Baynes &amp; Thorpe, 2024). Oxidative stress also impairs insulin signaling, exacerbating metabolic dysregulation (Maritim</w:t>
      </w:r>
      <w:r>
        <w:rPr>
          <w:rFonts w:ascii="Times New Roman" w:hAnsi="Times New Roman"/>
          <w:i/>
          <w:iCs/>
          <w:sz w:val="24"/>
          <w:szCs w:val="24"/>
        </w:rPr>
        <w:t xml:space="preserve"> et </w:t>
      </w:r>
      <w:r>
        <w:rPr>
          <w:rFonts w:ascii="Times New Roman" w:hAnsi="Times New Roman"/>
          <w:i/>
          <w:iCs/>
          <w:sz w:val="24"/>
          <w:szCs w:val="24"/>
        </w:rPr>
        <w:t>al.,</w:t>
      </w:r>
      <w:r>
        <w:rPr>
          <w:rFonts w:ascii="Times New Roman" w:hAnsi="Times New Roman"/>
          <w:sz w:val="24"/>
          <w:szCs w:val="24"/>
        </w:rPr>
        <w:t xml:space="preserve"> 2023). [Insert Diagram 1: Relationship between hyperglycemia, oxidative stress, and diabetic complications].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Another critical but often overlooked complication of diabetes is electrolyte imbalance. Alterations in serum electrolytes such as sodium, potassium, chloride, calcium, and bicarbonate are common in poorly controlled diabetes and may contribute to morbidity and mortality (Kavitha &amp; Shobha, 2020). These imbalances are often associated with osmotic diuresis, renal dysfunction, and acidosis seen in diabetic states (Kitabchi </w:t>
      </w:r>
      <w:r>
        <w:rPr>
          <w:rFonts w:ascii="Times New Roman" w:hAnsi="Times New Roman"/>
          <w:i/>
          <w:iCs/>
          <w:sz w:val="24"/>
          <w:szCs w:val="24"/>
        </w:rPr>
        <w:t>et al.,</w:t>
      </w:r>
      <w:r>
        <w:rPr>
          <w:rFonts w:ascii="Times New Roman" w:hAnsi="Times New Roman"/>
          <w:sz w:val="24"/>
          <w:szCs w:val="24"/>
        </w:rPr>
        <w:t xml:space="preserve"> 2022).</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search for alternative therapies that are affordable, effective, and with fewer side effects than synthetic drugs has led researchers to explore medicinal plants. Phyllanthus amarus is a widely distributed herb in tropical and subtropical regions, traditionally used in Nigerian and Indian ethnomedicine to manage various ailments, including diabetes, jaundice, and liver disorders (Iwu, 2020). Phytochemical studies have revealed that P. amarus is rich in flavonoids, tannins, lignans, and polyphenols, which possess potent antioxidant, hepatoprotective, and anti-inflammatory properties (Akinmoladun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b/>
          <w:bCs/>
          <w:sz w:val="24"/>
          <w:szCs w:val="24"/>
        </w:rPr>
      </w:pPr>
      <w:r>
        <w:rPr>
          <w:rFonts w:ascii="Times New Roman" w:hAnsi="Times New Roman"/>
          <w:sz w:val="24"/>
          <w:szCs w:val="24"/>
        </w:rPr>
        <w:t>Preliminary studies suggest that extracts of Phyllanthus amarus may exert antihyperglycemic effects by enhancing insulin secretion, improving glucose uptake, and reducing oxidative damage (Soman</w:t>
      </w:r>
      <w:r>
        <w:rPr>
          <w:rFonts w:ascii="Times New Roman" w:hAnsi="Times New Roman"/>
          <w:i/>
          <w:iCs/>
          <w:sz w:val="24"/>
          <w:szCs w:val="24"/>
        </w:rPr>
        <w:t xml:space="preserve"> et al., </w:t>
      </w:r>
      <w:r>
        <w:rPr>
          <w:rFonts w:ascii="Times New Roman" w:hAnsi="Times New Roman"/>
          <w:sz w:val="24"/>
          <w:szCs w:val="24"/>
        </w:rPr>
        <w:t>2022). However, data on its impact on serum electrolytes and oxidative status in diabetic models remain limited and inconclusive. Hence, this study aims to evaluate the effect of Phyllanthus amarus leaf extract on blood glucose, oxidative stress biomarkers, and serum electrolyte concentrations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1.2 JUSTIFICATION OF STUDY </w:t>
      </w:r>
    </w:p>
    <w:p>
      <w:pPr>
        <w:pStyle w:val="style0"/>
        <w:spacing w:lineRule="auto" w:line="480"/>
        <w:jc w:val="both"/>
        <w:rPr>
          <w:rFonts w:ascii="Times New Roman" w:hAnsi="Times New Roman"/>
          <w:sz w:val="24"/>
          <w:szCs w:val="24"/>
        </w:rPr>
      </w:pPr>
      <w:r>
        <w:rPr>
          <w:rFonts w:ascii="Times New Roman" w:hAnsi="Times New Roman"/>
          <w:sz w:val="24"/>
          <w:szCs w:val="24"/>
        </w:rPr>
        <w:t>Despite the availability of various antidiabetic drugs, the management of diabetes mellitus remains a global challenge due to issues such as high cost, limited accessibility, adverse side effects, and inadequate glycemic control in many patients (Rang</w:t>
      </w:r>
      <w:r>
        <w:rPr>
          <w:rFonts w:ascii="Times New Roman" w:hAnsi="Times New Roman"/>
          <w:i/>
          <w:iCs/>
          <w:sz w:val="24"/>
          <w:szCs w:val="24"/>
        </w:rPr>
        <w:t xml:space="preserve"> et al.</w:t>
      </w:r>
      <w:r>
        <w:rPr>
          <w:rFonts w:ascii="Times New Roman" w:hAnsi="Times New Roman"/>
          <w:sz w:val="24"/>
          <w:szCs w:val="24"/>
        </w:rPr>
        <w:t>, 2019). These limitations have spurred increasing interest in natural remedies, particularly medicinal plants that are locally available, cost-effective, and culturally accepted.</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Phyllanthus amarus is one such plant widely used in traditional medicine across Nigeria and other tropical regions. While existing studies suggest that P. amarus has hypoglycemic and antioxidant properties (Soman </w:t>
      </w:r>
      <w:r>
        <w:rPr>
          <w:rFonts w:ascii="Times New Roman" w:hAnsi="Times New Roman"/>
          <w:i/>
          <w:iCs/>
          <w:sz w:val="24"/>
          <w:szCs w:val="24"/>
        </w:rPr>
        <w:t>et al.,</w:t>
      </w:r>
      <w:r>
        <w:rPr>
          <w:rFonts w:ascii="Times New Roman" w:hAnsi="Times New Roman"/>
          <w:sz w:val="24"/>
          <w:szCs w:val="24"/>
        </w:rPr>
        <w:t xml:space="preserve"> 2022), comprehensive evaluation of its effect on serum electrolytes in diabetic models is scarce. Since electrolyte imbalances are common complications of diabetes and can significantly affect prognosis, it is important to understand whether P. amarus could offer broader therapeutic benefits beyond glycemic control.</w:t>
      </w:r>
    </w:p>
    <w:p>
      <w:pPr>
        <w:pStyle w:val="style0"/>
        <w:spacing w:lineRule="auto" w:line="480"/>
        <w:jc w:val="both"/>
        <w:rPr>
          <w:rFonts w:ascii="Times New Roman" w:hAnsi="Times New Roman"/>
          <w:sz w:val="24"/>
          <w:szCs w:val="24"/>
        </w:rPr>
      </w:pPr>
      <w:r>
        <w:rPr>
          <w:rFonts w:ascii="Times New Roman" w:hAnsi="Times New Roman"/>
          <w:sz w:val="24"/>
          <w:szCs w:val="24"/>
        </w:rPr>
        <w:t>Moreover, oxidative stress plays a key role in the pathogenesis and progression of diabetes and its complications. If Phyllanthus amarus can attenuate oxidative damage, it may serve as a useful adjunct in diabetes management by improving redox balance and reducing the risk of long-term complications.</w:t>
      </w:r>
    </w:p>
    <w:p>
      <w:pPr>
        <w:pStyle w:val="style0"/>
        <w:spacing w:lineRule="auto" w:line="480"/>
        <w:jc w:val="both"/>
        <w:rPr>
          <w:rFonts w:ascii="Times New Roman" w:hAnsi="Times New Roman"/>
          <w:sz w:val="24"/>
          <w:szCs w:val="24"/>
        </w:rPr>
      </w:pPr>
      <w:r>
        <w:rPr>
          <w:rFonts w:ascii="Times New Roman" w:hAnsi="Times New Roman"/>
          <w:sz w:val="24"/>
          <w:szCs w:val="24"/>
        </w:rPr>
        <w:t>This study is therefore justified as it will contribute to the scientific understanding of the pharmacological potential of Phyllanthus amarus in diabetes treatment. It may also provide a basis for further pharmacological standardization, drug development, and validation of its use in ethnomedicine. In the long term, such research could support public health efforts to integrate effective plant-based therapies into diabetes care, especially in resource-limited settings.</w:t>
      </w:r>
    </w:p>
    <w:p>
      <w:pPr>
        <w:pStyle w:val="style0"/>
        <w:spacing w:lineRule="auto" w:line="480"/>
        <w:jc w:val="both"/>
        <w:rPr>
          <w:rFonts w:ascii="Times New Roman" w:hAnsi="Times New Roman"/>
          <w:b/>
          <w:bCs/>
          <w:sz w:val="24"/>
          <w:szCs w:val="24"/>
        </w:rPr>
      </w:pPr>
      <w:r>
        <w:rPr>
          <w:rFonts w:ascii="Times New Roman" w:hAnsi="Times New Roman"/>
          <w:b/>
          <w:bCs/>
          <w:sz w:val="24"/>
          <w:szCs w:val="24"/>
        </w:rPr>
        <w:t>1.3 AIMS OF STUDY</w:t>
      </w:r>
    </w:p>
    <w:p>
      <w:pPr>
        <w:pStyle w:val="style0"/>
        <w:spacing w:lineRule="auto" w:line="480"/>
        <w:jc w:val="both"/>
        <w:rPr>
          <w:rFonts w:ascii="Times New Roman" w:hAnsi="Times New Roman"/>
          <w:sz w:val="24"/>
          <w:szCs w:val="24"/>
        </w:rPr>
      </w:pPr>
      <w:r>
        <w:rPr>
          <w:rFonts w:ascii="Times New Roman" w:hAnsi="Times New Roman"/>
          <w:sz w:val="24"/>
          <w:szCs w:val="24"/>
        </w:rPr>
        <w:t>The aim of this study is to investigate the ameliorative potential of Phyllanthus amarus leaf extract on blood glucose levels, oxidative status, and serum electrolytes in streptozotocin-induced diabetic Wistar rats.</w:t>
      </w:r>
    </w:p>
    <w:p>
      <w:pPr>
        <w:pStyle w:val="style0"/>
        <w:spacing w:lineRule="auto" w:line="480"/>
        <w:jc w:val="both"/>
        <w:rPr>
          <w:rFonts w:ascii="Times New Roman" w:hAnsi="Times New Roman"/>
          <w:sz w:val="24"/>
          <w:szCs w:val="24"/>
        </w:rPr>
      </w:pPr>
      <w:r>
        <w:rPr>
          <w:rFonts w:ascii="Times New Roman" w:hAnsi="Times New Roman"/>
          <w:b/>
          <w:bCs/>
          <w:sz w:val="24"/>
          <w:szCs w:val="24"/>
        </w:rPr>
        <w:t>Specific Objectives</w:t>
      </w:r>
    </w:p>
    <w:p>
      <w:pPr>
        <w:pStyle w:val="style0"/>
        <w:spacing w:lineRule="auto" w:line="480"/>
        <w:jc w:val="both"/>
        <w:rPr>
          <w:rFonts w:ascii="Times New Roman" w:hAnsi="Times New Roman"/>
          <w:sz w:val="24"/>
          <w:szCs w:val="24"/>
        </w:rPr>
      </w:pPr>
      <w:r>
        <w:rPr>
          <w:rFonts w:ascii="Times New Roman" w:hAnsi="Times New Roman"/>
          <w:sz w:val="24"/>
          <w:szCs w:val="24"/>
        </w:rPr>
        <w:t>The specific objectives of the study are to:</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1. Evaluate the effect of </w:t>
      </w:r>
      <w:r>
        <w:rPr>
          <w:rFonts w:ascii="Times New Roman" w:hAnsi="Times New Roman"/>
          <w:i/>
          <w:sz w:val="24"/>
          <w:szCs w:val="24"/>
        </w:rPr>
        <w:t>Phyllanthus amarus</w:t>
      </w:r>
      <w:r>
        <w:rPr>
          <w:rFonts w:ascii="Times New Roman" w:hAnsi="Times New Roman"/>
          <w:sz w:val="24"/>
          <w:szCs w:val="24"/>
        </w:rPr>
        <w:t xml:space="preserve"> leaf extract on fasting blood glucose levels in diabetic Wistar rats.</w:t>
      </w:r>
    </w:p>
    <w:p>
      <w:pPr>
        <w:pStyle w:val="style0"/>
        <w:spacing w:lineRule="auto" w:line="480"/>
        <w:jc w:val="both"/>
        <w:rPr>
          <w:rFonts w:ascii="Times New Roman" w:hAnsi="Times New Roman"/>
          <w:sz w:val="24"/>
          <w:szCs w:val="24"/>
        </w:rPr>
      </w:pPr>
      <w:r>
        <w:rPr>
          <w:rFonts w:ascii="Times New Roman" w:hAnsi="Times New Roman"/>
          <w:sz w:val="24"/>
          <w:szCs w:val="24"/>
        </w:rPr>
        <w:t>2. Assess the impact of Phyllanthus amarus on oxidative stress markers such as malondialdehyde (MDA), catalase (CAT), superoxide dismutase (SOD), and glutathione (GSH) in diabetic rats.</w:t>
      </w:r>
    </w:p>
    <w:p>
      <w:pPr>
        <w:pStyle w:val="style0"/>
        <w:spacing w:lineRule="auto" w:line="480"/>
        <w:jc w:val="both"/>
        <w:rPr>
          <w:rFonts w:ascii="Times New Roman" w:hAnsi="Times New Roman"/>
          <w:sz w:val="24"/>
          <w:szCs w:val="24"/>
        </w:rPr>
      </w:pPr>
      <w:r>
        <w:rPr>
          <w:rFonts w:ascii="Times New Roman" w:hAnsi="Times New Roman"/>
          <w:sz w:val="24"/>
          <w:szCs w:val="24"/>
        </w:rPr>
        <w:t>3. Determine the effect of Phyllanthus amarus leaf extract on serum electrolyte levels (e.g., sodium, potassium, chloride, bicarbonate) in diabetic rats.</w:t>
      </w:r>
    </w:p>
    <w:p>
      <w:pPr>
        <w:pStyle w:val="style0"/>
        <w:spacing w:lineRule="auto" w:line="48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b/>
          <w:bCs/>
          <w:sz w:val="24"/>
          <w:szCs w:val="24"/>
        </w:rPr>
      </w:pPr>
    </w:p>
    <w:p>
      <w:pPr>
        <w:pStyle w:val="style0"/>
        <w:spacing w:lineRule="auto" w:line="480"/>
        <w:ind w:firstLine="3735" w:firstLineChars="1550"/>
        <w:jc w:val="both"/>
        <w:rPr>
          <w:rFonts w:ascii="Times New Roman" w:hAnsi="Times New Roman"/>
          <w:sz w:val="24"/>
          <w:szCs w:val="24"/>
        </w:rPr>
      </w:pPr>
      <w:r>
        <w:rPr>
          <w:rFonts w:ascii="Times New Roman" w:hAnsi="Times New Roman"/>
          <w:b/>
          <w:bCs/>
          <w:sz w:val="24"/>
          <w:szCs w:val="24"/>
        </w:rPr>
        <w:t xml:space="preserve">CHAPTER TWO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2.0 LITERATURE REVIEW </w:t>
      </w:r>
    </w:p>
    <w:p>
      <w:pPr>
        <w:pStyle w:val="style0"/>
        <w:spacing w:lineRule="auto" w:line="480"/>
        <w:jc w:val="both"/>
        <w:rPr>
          <w:rFonts w:ascii="Times New Roman" w:hAnsi="Times New Roman"/>
          <w:sz w:val="24"/>
          <w:szCs w:val="24"/>
        </w:rPr>
      </w:pPr>
      <w:r>
        <w:rPr>
          <w:rFonts w:ascii="Times New Roman" w:hAnsi="Times New Roman"/>
          <w:b/>
          <w:bCs/>
          <w:sz w:val="24"/>
          <w:szCs w:val="24"/>
        </w:rPr>
        <w:t>Antidiabetic Potential</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Research indicates that extracts from P. amarus can help lower blood glucose levels in diabetic rats induced by STZ, suggesting possible antidiabetic effects. The alkaloid extract derived from the leaves of P. amarus has been shown to reduce blood glucose levels in diabetic rats, indicating its potential role as an antidiabetic agent.  </w:t>
      </w:r>
    </w:p>
    <w:p>
      <w:pPr>
        <w:pStyle w:val="style0"/>
        <w:spacing w:lineRule="auto" w:line="480"/>
        <w:jc w:val="both"/>
        <w:rPr>
          <w:rFonts w:ascii="Times New Roman" w:hAnsi="Times New Roman"/>
          <w:sz w:val="24"/>
          <w:szCs w:val="24"/>
        </w:rPr>
      </w:pPr>
      <w:r>
        <w:rPr>
          <w:rFonts w:ascii="Times New Roman" w:hAnsi="Times New Roman"/>
          <w:b/>
          <w:bCs/>
          <w:sz w:val="24"/>
          <w:szCs w:val="24"/>
        </w:rPr>
        <w:t>Hepatoprotective Effects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 amarus has been found to have hepatoprotective properties, safeguarding the liver from damage inflicted by toxins such as carbon tetrachloride (CCl4). The nanoemulsified ethanolic extract of P. amarus has been demonstrated to alleviate hepatotoxicity induced by CCl4 in Wistar rats.  </w:t>
      </w:r>
    </w:p>
    <w:p>
      <w:pPr>
        <w:pStyle w:val="style0"/>
        <w:spacing w:lineRule="auto" w:line="480"/>
        <w:jc w:val="both"/>
        <w:rPr>
          <w:rFonts w:ascii="Times New Roman" w:hAnsi="Times New Roman"/>
          <w:sz w:val="24"/>
          <w:szCs w:val="24"/>
        </w:rPr>
      </w:pPr>
      <w:r>
        <w:rPr>
          <w:rFonts w:ascii="Times New Roman" w:hAnsi="Times New Roman"/>
          <w:b/>
          <w:bCs/>
          <w:sz w:val="24"/>
          <w:szCs w:val="24"/>
        </w:rPr>
        <w:t>Safety Evaluation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Studies on biosafety have evaluated the impact of the ethanolic extract of P. amarus on liver and kidney functions in Wistar rats. The median lethal dose (LD50) for the crude ethanolic leaf extract of P. amarus has been established, and sub-chronic oral toxicity studies have been carried out in experimental mice (Bukola et al., 2023).  </w:t>
      </w:r>
    </w:p>
    <w:p>
      <w:pPr>
        <w:pStyle w:val="style0"/>
        <w:spacing w:lineRule="auto" w:line="480"/>
        <w:jc w:val="both"/>
        <w:rPr>
          <w:rFonts w:ascii="Times New Roman" w:hAnsi="Times New Roman"/>
          <w:sz w:val="24"/>
          <w:szCs w:val="24"/>
        </w:rPr>
      </w:pPr>
      <w:r>
        <w:rPr>
          <w:rFonts w:ascii="Times New Roman" w:hAnsi="Times New Roman"/>
          <w:sz w:val="24"/>
          <w:szCs w:val="24"/>
        </w:rPr>
        <w:t>These investigations emphasize the potential therapeutic advantages of P. amarus, especially in diabetes management and liver protection. Additional research is necessary to thoroughly investigate its antidiabetic capabilities and the underlying mechanisms of action.</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 OVERVIEW OF DIABETES MELLITUS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a metabolic disorder characterized by chronic hyperglycemia due to defective insulin secretion, insulin action, or both (American Diabetes Association, 2022). It is broadly classified into type 1, type 2, and gestational diabetes. Streptozotocin (STZ) is frequently used in experimental models to induce diabetes, particularly resembling type 1 diabetes, by selectively destroying pancreatic β-cells (Lenzen, 2019). Chronic hyperglycemia is associated with long-term damage to multiple organs, especially the eyes, kidneys, nerves, heart, and blood vessels.</w:t>
      </w: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2.1.1 EPIDEMIOLOGY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According to the International Diabetes Federation (IDF, 2021), over 537 million adults were living with diabetes globally in 2021, with a projected increase to 643 million by 2030. In sub-Saharan Africa, the burden is rising rapidly, driven by urbanization, lifestyle changes, and poor access to healthcare. Nigeria has the highest number of people living with diabetes in Africa, with a prevalence estimated at 5.3% among adults (Ogunmola</w:t>
      </w:r>
      <w:r>
        <w:rPr>
          <w:rFonts w:ascii="Times New Roman" w:hAnsi="Times New Roman"/>
          <w:i/>
          <w:iCs/>
          <w:sz w:val="24"/>
          <w:szCs w:val="24"/>
        </w:rPr>
        <w:t xml:space="preserve"> etal., </w:t>
      </w:r>
      <w:r>
        <w:rPr>
          <w:rFonts w:ascii="Times New Roman" w:hAnsi="Times New Roman"/>
          <w:sz w:val="24"/>
          <w:szCs w:val="24"/>
        </w:rPr>
        <w:t>2019).</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5418455" cy="3373120"/>
            <wp:effectExtent l="0" t="0" r="0" b="0"/>
            <wp:docPr id="1028"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0" name="Image1"/>
                    <pic:cNvPicPr/>
                  </pic:nvPicPr>
                  <pic:blipFill>
                    <a:blip r:embed="rId5" cstate="print"/>
                    <a:srcRect l="0" t="0" r="0" b="0"/>
                    <a:stretch/>
                  </pic:blipFill>
                  <pic:spPr>
                    <a:xfrm rot="0">
                      <a:off x="0" y="0"/>
                      <a:ext cx="5418455" cy="3373120"/>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Figure 1 Estimates of the global prevalence of diabetes worldwide (20–79-year age group). Results from the International Diabetes Federation Atlas, 10th edition.</w:t>
      </w:r>
    </w:p>
    <w:p>
      <w:pPr>
        <w:pStyle w:val="style0"/>
        <w:spacing w:lineRule="auto" w:line="480"/>
        <w:jc w:val="both"/>
        <w:rPr>
          <w:rFonts w:ascii="Times New Roman" w:hAnsi="Times New Roman"/>
          <w:sz w:val="24"/>
          <w:szCs w:val="24"/>
        </w:rPr>
      </w:pPr>
      <w:r>
        <w:rPr>
          <w:rFonts w:ascii="Times New Roman" w:hAnsi="Times New Roman"/>
          <w:b/>
          <w:bCs/>
          <w:sz w:val="24"/>
          <w:szCs w:val="24"/>
        </w:rPr>
        <w:t>2.2 TYPES OF DIABETES</w:t>
      </w:r>
    </w:p>
    <w:p>
      <w:pPr>
        <w:pStyle w:val="style0"/>
        <w:spacing w:lineRule="auto" w:line="480"/>
        <w:jc w:val="both"/>
        <w:rPr>
          <w:rFonts w:ascii="Times New Roman" w:hAnsi="Times New Roman"/>
          <w:sz w:val="24"/>
          <w:szCs w:val="24"/>
        </w:rPr>
      </w:pPr>
      <w:r>
        <w:rPr>
          <w:rFonts w:ascii="Times New Roman" w:hAnsi="Times New Roman"/>
          <w:sz w:val="24"/>
          <w:szCs w:val="24"/>
        </w:rPr>
        <w:t>Diabetes mellitus is broadly classified into the following:</w:t>
      </w:r>
    </w:p>
    <w:p>
      <w:pPr>
        <w:pStyle w:val="style0"/>
        <w:spacing w:lineRule="auto" w:line="480"/>
        <w:jc w:val="both"/>
        <w:rPr>
          <w:rFonts w:ascii="Times New Roman" w:hAnsi="Times New Roman"/>
          <w:sz w:val="24"/>
          <w:szCs w:val="24"/>
        </w:rPr>
      </w:pPr>
      <w:r>
        <w:rPr>
          <w:rFonts w:ascii="Times New Roman" w:hAnsi="Times New Roman"/>
          <w:b/>
          <w:bCs/>
          <w:sz w:val="24"/>
          <w:szCs w:val="24"/>
        </w:rPr>
        <w:t>2.2.1 TYPE 1 DIABETES</w:t>
      </w:r>
    </w:p>
    <w:p>
      <w:pPr>
        <w:pStyle w:val="style0"/>
        <w:spacing w:lineRule="auto" w:line="480"/>
        <w:jc w:val="both"/>
        <w:rPr>
          <w:rFonts w:ascii="Times New Roman" w:hAnsi="Times New Roman"/>
          <w:sz w:val="24"/>
          <w:szCs w:val="24"/>
        </w:rPr>
      </w:pPr>
      <w:r>
        <w:rPr>
          <w:rFonts w:ascii="Times New Roman" w:hAnsi="Times New Roman"/>
          <w:sz w:val="24"/>
          <w:szCs w:val="24"/>
        </w:rPr>
        <w:t>This form results from autoimmune destruction of pancreatic β-cells, leading to an absolute deficiency of insulin. It typically develops in children and young adults.</w:t>
      </w:r>
    </w:p>
    <w:p>
      <w:pPr>
        <w:pStyle w:val="style0"/>
        <w:spacing w:lineRule="auto" w:line="480"/>
        <w:jc w:val="both"/>
        <w:rPr>
          <w:rFonts w:ascii="Times New Roman" w:hAnsi="Times New Roman"/>
          <w:sz w:val="24"/>
          <w:szCs w:val="24"/>
        </w:rPr>
      </w:pPr>
      <w:r>
        <w:rPr>
          <w:rFonts w:ascii="Times New Roman" w:hAnsi="Times New Roman"/>
          <w:b/>
          <w:bCs/>
          <w:sz w:val="24"/>
          <w:szCs w:val="24"/>
        </w:rPr>
        <w:t>2.2.1.1 PATHOPHYSIOLOGY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In genetically predisposed individuals, autoimmune attacks mediated by T-cells lead to β-cell apoptosis. This reduces insulin production, leading to elevated blood glucose and metabolic derangements such as ketosis and acidosis (Atkinson</w:t>
      </w:r>
      <w:r>
        <w:rPr>
          <w:rFonts w:ascii="Times New Roman" w:hAnsi="Times New Roman"/>
          <w:i/>
          <w:iCs/>
          <w:sz w:val="24"/>
          <w:szCs w:val="24"/>
        </w:rPr>
        <w:t xml:space="preserve"> et al.,</w:t>
      </w:r>
      <w:r>
        <w:rPr>
          <w:rFonts w:ascii="Times New Roman" w:hAnsi="Times New Roman"/>
          <w:sz w:val="24"/>
          <w:szCs w:val="24"/>
        </w:rPr>
        <w:t xml:space="preserve"> 2021).</w:t>
      </w:r>
    </w:p>
    <w:p>
      <w:pPr>
        <w:pStyle w:val="style0"/>
        <w:spacing w:lineRule="auto" w:line="480"/>
        <w:jc w:val="both"/>
        <w:rPr>
          <w:rFonts w:ascii="Times New Roman" w:hAnsi="Times New Roman"/>
          <w:sz w:val="24"/>
          <w:szCs w:val="24"/>
        </w:rPr>
      </w:pPr>
      <w:r>
        <w:rPr>
          <w:rFonts w:ascii="Times New Roman" w:hAnsi="Times New Roman"/>
          <w:b/>
          <w:bCs/>
          <w:sz w:val="24"/>
          <w:szCs w:val="24"/>
        </w:rPr>
        <w:t>2.2.1.2 SYMPTOMS AND DIAGNOSIS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Common symptoms include polyuria, polydipsia, polyphagia, weight loss, fatigue, and blurred vision. Diagnosis is based on fasting plasma glucose ≥126 mg/dL, 2-hour OGTT ≥200 mg/dL, or HbA1c ≥6.5% (ADA, 2022).</w:t>
      </w:r>
    </w:p>
    <w:p>
      <w:pPr>
        <w:pStyle w:val="style0"/>
        <w:spacing w:lineRule="auto" w:line="480"/>
        <w:jc w:val="both"/>
        <w:rPr>
          <w:rFonts w:ascii="Times New Roman" w:hAnsi="Times New Roman"/>
          <w:sz w:val="24"/>
          <w:szCs w:val="24"/>
        </w:rPr>
      </w:pPr>
      <w:r>
        <w:rPr>
          <w:rFonts w:ascii="Times New Roman" w:hAnsi="Times New Roman"/>
          <w:b/>
          <w:bCs/>
          <w:sz w:val="24"/>
          <w:szCs w:val="24"/>
        </w:rPr>
        <w:t>2.2.1.3 MANAGEMENT OF TYPE 1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involves lifelong insulin therapy, blood glucose monitoring, dietary planning, and physical activity. Emerging strategies include β-cell transplantation and immunotherapy.</w:t>
      </w:r>
    </w:p>
    <w:p>
      <w:pPr>
        <w:pStyle w:val="style0"/>
        <w:spacing w:lineRule="auto" w:line="480"/>
        <w:jc w:val="both"/>
        <w:rPr>
          <w:rFonts w:ascii="Times New Roman" w:hAnsi="Times New Roman"/>
          <w:sz w:val="24"/>
          <w:szCs w:val="24"/>
        </w:rPr>
      </w:pPr>
      <w:r>
        <w:rPr>
          <w:rFonts w:ascii="Times New Roman" w:hAnsi="Times New Roman"/>
          <w:b/>
          <w:bCs/>
          <w:sz w:val="24"/>
          <w:szCs w:val="24"/>
        </w:rPr>
        <w:t>2.2.2 TYPE 2 DIABETES</w:t>
      </w:r>
    </w:p>
    <w:p>
      <w:pPr>
        <w:pStyle w:val="style0"/>
        <w:spacing w:lineRule="auto" w:line="480"/>
        <w:jc w:val="both"/>
        <w:rPr>
          <w:rFonts w:ascii="Times New Roman" w:hAnsi="Times New Roman"/>
          <w:sz w:val="24"/>
          <w:szCs w:val="24"/>
        </w:rPr>
      </w:pPr>
      <w:r>
        <w:rPr>
          <w:rFonts w:ascii="Times New Roman" w:hAnsi="Times New Roman"/>
          <w:sz w:val="24"/>
          <w:szCs w:val="24"/>
        </w:rPr>
        <w:t>Type 2 diabetes results from insulin resistance and relative insulin deficiency. It accounts for over 90% of diabetes cases globally.</w:t>
      </w:r>
    </w:p>
    <w:p>
      <w:pPr>
        <w:pStyle w:val="style0"/>
        <w:spacing w:lineRule="auto" w:line="480"/>
        <w:jc w:val="both"/>
        <w:rPr>
          <w:rFonts w:ascii="Times New Roman" w:hAnsi="Times New Roman"/>
          <w:sz w:val="24"/>
          <w:szCs w:val="24"/>
        </w:rPr>
      </w:pPr>
      <w:r>
        <w:rPr>
          <w:rFonts w:ascii="Times New Roman" w:hAnsi="Times New Roman"/>
          <w:b/>
          <w:bCs/>
          <w:sz w:val="24"/>
          <w:szCs w:val="24"/>
        </w:rPr>
        <w:t>2.2.2.1 PATHOPHYSIOLOGY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Insulin resistance in peripheral tissues—especially skeletal muscles, adipose tissue, and the liver—coupled with impaired insulin secretion from β-cells, leads to chronic hyperglycemia. Over time, β-cell function declines further due to glucotoxicity and lipotoxicity (DeFronzo</w:t>
      </w:r>
      <w:r>
        <w:rPr>
          <w:rFonts w:ascii="Times New Roman" w:hAnsi="Times New Roman"/>
          <w:i/>
          <w:iCs/>
          <w:sz w:val="24"/>
          <w:szCs w:val="24"/>
        </w:rPr>
        <w:t xml:space="preserve"> 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b/>
          <w:bCs/>
          <w:sz w:val="24"/>
          <w:szCs w:val="24"/>
        </w:rPr>
        <w:t>2.2.2.2 SYMPTOMS AND DIAGNOSIS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Symptoms are often mild or asymptomatic in early stages. When present, they resemble those of type 1. Diagnosis criteria are the same as for type 1 diabetes.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2.2.2.3 MANAGEMENT OF TYPE 2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lifestyle modification, oral hypoglycemic agents (e.g., metformin, sulfonylureas), and in some cases, insulin therapy. Newer agents include SGLT2 inhibitors and GLP-1 receptor agonists.</w:t>
      </w:r>
    </w:p>
    <w:p>
      <w:pPr>
        <w:pStyle w:val="style0"/>
        <w:spacing w:lineRule="auto" w:line="480"/>
        <w:jc w:val="both"/>
        <w:rPr>
          <w:rFonts w:ascii="Times New Roman" w:hAnsi="Times New Roman"/>
          <w:sz w:val="24"/>
          <w:szCs w:val="24"/>
        </w:rPr>
      </w:pPr>
      <w:r>
        <w:rPr>
          <w:rFonts w:ascii="Times New Roman" w:hAnsi="Times New Roman"/>
          <w:b/>
          <w:bCs/>
          <w:sz w:val="24"/>
          <w:szCs w:val="24"/>
        </w:rPr>
        <w:t>2.2.3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Gestational diabetes mellitus (GDM) is glucose intolerance first recognized during pregnancy, typically resolving after delivery but increasing the risk of type 2 diabetes later.</w:t>
      </w:r>
    </w:p>
    <w:p>
      <w:pPr>
        <w:pStyle w:val="style0"/>
        <w:spacing w:lineRule="auto" w:line="480"/>
        <w:jc w:val="both"/>
        <w:rPr>
          <w:rFonts w:ascii="Times New Roman" w:hAnsi="Times New Roman"/>
          <w:sz w:val="24"/>
          <w:szCs w:val="24"/>
        </w:rPr>
      </w:pPr>
      <w:r>
        <w:rPr>
          <w:rFonts w:ascii="Times New Roman" w:hAnsi="Times New Roman"/>
          <w:b/>
          <w:bCs/>
          <w:sz w:val="24"/>
          <w:szCs w:val="24"/>
        </w:rPr>
        <w:t>2.2.3.1 PATHOPHYSIOLOGY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Hormonal changes during pregnancy (e.g., human placental lactogen, cortisol) lead to insulin resistance. In women with inadequate β-cell function, this results in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2.2.3.2 SYMPTOMS AND DIAGNOSIS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Most cases are asymptomatic and diagnosed using an oral glucose tolerance test (OGTT) between 24–28 weeks of gestation. Thresholds for diagnosis vary by guidelines (e.g., ADA, WHO).</w:t>
      </w:r>
    </w:p>
    <w:p>
      <w:pPr>
        <w:pStyle w:val="style0"/>
        <w:spacing w:lineRule="auto" w:line="480"/>
        <w:jc w:val="both"/>
        <w:rPr>
          <w:rFonts w:ascii="Times New Roman" w:hAnsi="Times New Roman"/>
          <w:sz w:val="24"/>
          <w:szCs w:val="24"/>
        </w:rPr>
      </w:pPr>
      <w:r>
        <w:rPr>
          <w:rFonts w:ascii="Times New Roman" w:hAnsi="Times New Roman"/>
          <w:b/>
          <w:bCs/>
          <w:sz w:val="24"/>
          <w:szCs w:val="24"/>
        </w:rPr>
        <w:t>2.2.3.3 MANAGEMENT OF GESTATIONAL DIABETES</w:t>
      </w:r>
    </w:p>
    <w:p>
      <w:pPr>
        <w:pStyle w:val="style0"/>
        <w:spacing w:lineRule="auto" w:line="480"/>
        <w:jc w:val="both"/>
        <w:rPr>
          <w:rFonts w:ascii="Times New Roman" w:hAnsi="Times New Roman"/>
          <w:sz w:val="24"/>
          <w:szCs w:val="24"/>
        </w:rPr>
      </w:pPr>
      <w:r>
        <w:rPr>
          <w:rFonts w:ascii="Times New Roman" w:hAnsi="Times New Roman"/>
          <w:sz w:val="24"/>
          <w:szCs w:val="24"/>
        </w:rPr>
        <w:t>Management includes medical nutrition therapy, exercise, blood glucose monitoring, and insulin if lifestyle changes are insufficient. Tight glycemic control is essential to prevent complications such as macrosomia and neonatal hypoglycemia.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2.3 GLUCOSE METABOLISM AND ITS REGULATION</w:t>
      </w:r>
    </w:p>
    <w:p>
      <w:pPr>
        <w:pStyle w:val="style0"/>
        <w:spacing w:lineRule="auto" w:line="480"/>
        <w:jc w:val="both"/>
        <w:rPr>
          <w:rFonts w:ascii="Times New Roman" w:hAnsi="Times New Roman"/>
          <w:sz w:val="24"/>
          <w:szCs w:val="24"/>
        </w:rPr>
      </w:pPr>
      <w:r>
        <w:rPr>
          <w:rFonts w:ascii="Times New Roman" w:hAnsi="Times New Roman"/>
          <w:sz w:val="24"/>
          <w:szCs w:val="24"/>
        </w:rPr>
        <w:t>Glucose metabolism is a tightly regulated process essential for energy production and cellular function. It involves the uptake, utilization, storage, and release of glucose under hormonal control—primarily by insulin and glucagon.</w:t>
      </w:r>
    </w:p>
    <w:p>
      <w:pPr>
        <w:pStyle w:val="style0"/>
        <w:spacing w:lineRule="auto" w:line="480"/>
        <w:jc w:val="both"/>
        <w:rPr>
          <w:rFonts w:ascii="Times New Roman" w:hAnsi="Times New Roman"/>
          <w:sz w:val="24"/>
          <w:szCs w:val="24"/>
        </w:rPr>
      </w:pPr>
      <w:r>
        <w:rPr>
          <w:rFonts w:ascii="Times New Roman" w:hAnsi="Times New Roman"/>
          <w:sz w:val="24"/>
          <w:szCs w:val="24"/>
        </w:rPr>
        <w:t>After a meal, blood glucose levels rise, prompting pancreatic β-cells to secrete insulin. Insulin facilitates glucose uptake into muscle and adipose tissue via the GLUT4 transporter, promotes glycogenesis (formation of glycogen), and inhibits gluconeogenesis and glycogenolysis in the liver (Saltiel &amp; Kahn, 2020). Conversely, during fasting, glucagon is secreted by α-cells of the pancreas to stimulate hepatic glucose output through glycogenolysis and gluconeogenesis.</w:t>
      </w:r>
    </w:p>
    <w:p>
      <w:pPr>
        <w:pStyle w:val="style0"/>
        <w:spacing w:lineRule="auto" w:line="480"/>
        <w:jc w:val="both"/>
        <w:rPr>
          <w:rFonts w:ascii="Times New Roman" w:hAnsi="Times New Roman"/>
          <w:sz w:val="24"/>
          <w:szCs w:val="24"/>
        </w:rPr>
      </w:pPr>
      <w:r>
        <w:rPr>
          <w:rFonts w:ascii="Times New Roman" w:hAnsi="Times New Roman"/>
          <w:sz w:val="24"/>
          <w:szCs w:val="24"/>
        </w:rPr>
        <w:t>Disruption in these processes—either due to insulin deficiency or resistance—leads to elevated blood glucose levels, the hallmark of diabetes mellitus.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drawing>
          <wp:inline distL="0" distT="0" distB="0" distR="0">
            <wp:extent cx="3294380" cy="3033395"/>
            <wp:effectExtent l="0" t="0" r="0" b="0"/>
            <wp:docPr id="1029"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1" name="Image1"/>
                    <pic:cNvPicPr/>
                  </pic:nvPicPr>
                  <pic:blipFill>
                    <a:blip r:embed="rId6" cstate="print"/>
                    <a:srcRect l="0" t="0" r="0" b="0"/>
                    <a:stretch/>
                  </pic:blipFill>
                  <pic:spPr>
                    <a:xfrm rot="0">
                      <a:off x="0" y="0"/>
                      <a:ext cx="3294380" cy="303339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2: Glucose regulation </w:t>
      </w:r>
    </w:p>
    <w:p>
      <w:pPr>
        <w:pStyle w:val="style0"/>
        <w:spacing w:lineRule="auto" w:line="480"/>
        <w:jc w:val="both"/>
        <w:rPr>
          <w:rFonts w:ascii="Times New Roman" w:hAnsi="Times New Roman"/>
          <w:sz w:val="24"/>
          <w:szCs w:val="24"/>
        </w:rPr>
      </w:pPr>
      <w:r>
        <w:rPr>
          <w:rFonts w:ascii="Times New Roman" w:hAnsi="Times New Roman"/>
          <w:sz w:val="24"/>
          <w:szCs w:val="24"/>
        </w:rPr>
        <w:t>Source: (Norman, 2022)</w:t>
      </w:r>
    </w:p>
    <w:p>
      <w:pPr>
        <w:pStyle w:val="style0"/>
        <w:spacing w:lineRule="auto" w:line="480"/>
        <w:jc w:val="both"/>
        <w:rPr>
          <w:rFonts w:ascii="Times New Roman" w:hAnsi="Times New Roman"/>
          <w:sz w:val="24"/>
          <w:szCs w:val="24"/>
        </w:rPr>
      </w:pPr>
      <w:r>
        <w:rPr>
          <w:rFonts w:ascii="Times New Roman" w:hAnsi="Times New Roman"/>
          <w:b/>
          <w:bCs/>
          <w:sz w:val="24"/>
          <w:szCs w:val="24"/>
        </w:rPr>
        <w:t>2.4 ROLE OF OXIDATIVE STRESS IN THE PATHOPHYSIOLOGY OF DIABETES</w:t>
      </w:r>
    </w:p>
    <w:p>
      <w:pPr>
        <w:pStyle w:val="style0"/>
        <w:spacing w:lineRule="auto" w:line="480"/>
        <w:jc w:val="both"/>
        <w:rPr>
          <w:rFonts w:ascii="Times New Roman" w:hAnsi="Times New Roman"/>
          <w:sz w:val="24"/>
          <w:szCs w:val="24"/>
        </w:rPr>
      </w:pPr>
      <w:r>
        <w:rPr>
          <w:rFonts w:ascii="Times New Roman" w:hAnsi="Times New Roman"/>
          <w:sz w:val="24"/>
          <w:szCs w:val="24"/>
        </w:rPr>
        <w:t>Oxidative stress refers to a condition in which the generation of reactive oxygen species (ROS) exceeds the capacity of antioxidant defense systems. In diabetes, persistent hyperglycemia increases the production of ROS through multiple mechanisms, including:</w:t>
      </w:r>
    </w:p>
    <w:p>
      <w:pPr>
        <w:pStyle w:val="style0"/>
        <w:spacing w:lineRule="auto" w:line="480"/>
        <w:jc w:val="both"/>
        <w:rPr>
          <w:rFonts w:ascii="Times New Roman" w:hAnsi="Times New Roman"/>
          <w:sz w:val="24"/>
          <w:szCs w:val="24"/>
        </w:rPr>
      </w:pPr>
      <w:r>
        <w:rPr>
          <w:rFonts w:ascii="Times New Roman" w:hAnsi="Times New Roman"/>
          <w:sz w:val="24"/>
          <w:szCs w:val="24"/>
        </w:rPr>
        <w:t>Glucose autoxidation</w:t>
      </w:r>
    </w:p>
    <w:p>
      <w:pPr>
        <w:pStyle w:val="style0"/>
        <w:spacing w:lineRule="auto" w:line="480"/>
        <w:jc w:val="both"/>
        <w:rPr>
          <w:rFonts w:ascii="Times New Roman" w:hAnsi="Times New Roman"/>
          <w:sz w:val="24"/>
          <w:szCs w:val="24"/>
        </w:rPr>
      </w:pPr>
      <w:r>
        <w:rPr>
          <w:rFonts w:ascii="Times New Roman" w:hAnsi="Times New Roman"/>
          <w:sz w:val="24"/>
          <w:szCs w:val="24"/>
        </w:rPr>
        <w:t>Activation of the polyol pathway</w:t>
      </w:r>
    </w:p>
    <w:p>
      <w:pPr>
        <w:pStyle w:val="style0"/>
        <w:spacing w:lineRule="auto" w:line="480"/>
        <w:jc w:val="both"/>
        <w:rPr>
          <w:rFonts w:ascii="Times New Roman" w:hAnsi="Times New Roman"/>
          <w:sz w:val="24"/>
          <w:szCs w:val="24"/>
        </w:rPr>
      </w:pPr>
      <w:r>
        <w:rPr>
          <w:rFonts w:ascii="Times New Roman" w:hAnsi="Times New Roman"/>
          <w:sz w:val="24"/>
          <w:szCs w:val="24"/>
        </w:rPr>
        <w:t>Protein glycation and advanced glycation end products (AGEs)</w:t>
      </w:r>
    </w:p>
    <w:p>
      <w:pPr>
        <w:pStyle w:val="style0"/>
        <w:spacing w:lineRule="auto" w:line="480"/>
        <w:jc w:val="both"/>
        <w:rPr>
          <w:rFonts w:ascii="Times New Roman" w:hAnsi="Times New Roman"/>
          <w:sz w:val="24"/>
          <w:szCs w:val="24"/>
        </w:rPr>
      </w:pPr>
      <w:r>
        <w:rPr>
          <w:rFonts w:ascii="Times New Roman" w:hAnsi="Times New Roman"/>
          <w:sz w:val="24"/>
          <w:szCs w:val="24"/>
        </w:rPr>
        <w:t>Mitochondrial dysfunction</w:t>
      </w:r>
    </w:p>
    <w:p>
      <w:pPr>
        <w:pStyle w:val="style0"/>
        <w:spacing w:lineRule="auto" w:line="480"/>
        <w:jc w:val="both"/>
        <w:rPr>
          <w:rFonts w:ascii="Times New Roman" w:hAnsi="Times New Roman"/>
          <w:sz w:val="24"/>
          <w:szCs w:val="24"/>
        </w:rPr>
      </w:pPr>
      <w:r>
        <w:rPr>
          <w:rFonts w:ascii="Times New Roman" w:hAnsi="Times New Roman"/>
          <w:sz w:val="24"/>
          <w:szCs w:val="24"/>
        </w:rPr>
        <w:t>(Brownlee, 2019)</w:t>
      </w:r>
    </w:p>
    <w:p>
      <w:pPr>
        <w:pStyle w:val="style0"/>
        <w:spacing w:lineRule="auto" w:line="480"/>
        <w:jc w:val="both"/>
        <w:rPr>
          <w:rFonts w:ascii="Times New Roman" w:hAnsi="Times New Roman"/>
          <w:sz w:val="24"/>
          <w:szCs w:val="24"/>
        </w:rPr>
      </w:pPr>
      <w:r>
        <w:rPr>
          <w:rFonts w:ascii="Times New Roman" w:hAnsi="Times New Roman"/>
          <w:sz w:val="24"/>
          <w:szCs w:val="24"/>
        </w:rPr>
        <w:t>These ROS damage cellular macromolecules, disrupt signaling pathways, and contribute to β-cell dysfunction, insulin resistance, and the onset of microvascular and macrovascular complications.</w:t>
      </w:r>
    </w:p>
    <w:p>
      <w:pPr>
        <w:pStyle w:val="style0"/>
        <w:spacing w:lineRule="auto" w:line="480"/>
        <w:jc w:val="both"/>
        <w:rPr>
          <w:rFonts w:ascii="Times New Roman" w:hAnsi="Times New Roman"/>
          <w:sz w:val="24"/>
          <w:szCs w:val="24"/>
        </w:rPr>
      </w:pPr>
      <w:r>
        <w:rPr>
          <w:rFonts w:ascii="Times New Roman" w:hAnsi="Times New Roman"/>
          <w:sz w:val="24"/>
          <w:szCs w:val="24"/>
        </w:rPr>
        <w:t>Antioxidant Defenses in Diabetes</w:t>
      </w:r>
    </w:p>
    <w:p>
      <w:pPr>
        <w:pStyle w:val="style0"/>
        <w:spacing w:lineRule="auto" w:line="480"/>
        <w:jc w:val="both"/>
        <w:rPr>
          <w:rFonts w:ascii="Times New Roman" w:hAnsi="Times New Roman"/>
          <w:sz w:val="24"/>
          <w:szCs w:val="24"/>
        </w:rPr>
      </w:pPr>
      <w:r>
        <w:rPr>
          <w:rFonts w:ascii="Times New Roman" w:hAnsi="Times New Roman"/>
          <w:sz w:val="24"/>
          <w:szCs w:val="24"/>
        </w:rPr>
        <w:t>The body’s endogenous antioxidant systems include enzymatic components such as:</w:t>
      </w:r>
    </w:p>
    <w:p>
      <w:pPr>
        <w:pStyle w:val="style0"/>
        <w:spacing w:lineRule="auto" w:line="480"/>
        <w:jc w:val="both"/>
        <w:rPr>
          <w:rFonts w:ascii="Times New Roman" w:hAnsi="Times New Roman"/>
          <w:sz w:val="24"/>
          <w:szCs w:val="24"/>
        </w:rPr>
      </w:pPr>
      <w:r>
        <w:rPr>
          <w:rFonts w:ascii="Times New Roman" w:hAnsi="Times New Roman"/>
          <w:sz w:val="24"/>
          <w:szCs w:val="24"/>
        </w:rPr>
        <w:t>Superoxide Dismutase (SOD)</w:t>
      </w:r>
    </w:p>
    <w:p>
      <w:pPr>
        <w:pStyle w:val="style0"/>
        <w:spacing w:lineRule="auto" w:line="480"/>
        <w:jc w:val="both"/>
        <w:rPr>
          <w:rFonts w:ascii="Times New Roman" w:hAnsi="Times New Roman"/>
          <w:sz w:val="24"/>
          <w:szCs w:val="24"/>
        </w:rPr>
      </w:pPr>
      <w:r>
        <w:rPr>
          <w:rFonts w:ascii="Times New Roman" w:hAnsi="Times New Roman"/>
          <w:sz w:val="24"/>
          <w:szCs w:val="24"/>
        </w:rPr>
        <w:t>Catalase (CAT)</w:t>
      </w:r>
    </w:p>
    <w:p>
      <w:pPr>
        <w:pStyle w:val="style0"/>
        <w:spacing w:lineRule="auto" w:line="480"/>
        <w:jc w:val="both"/>
        <w:rPr>
          <w:rFonts w:ascii="Times New Roman" w:hAnsi="Times New Roman"/>
          <w:sz w:val="24"/>
          <w:szCs w:val="24"/>
        </w:rPr>
      </w:pPr>
      <w:r>
        <w:rPr>
          <w:rFonts w:ascii="Times New Roman" w:hAnsi="Times New Roman"/>
          <w:sz w:val="24"/>
          <w:szCs w:val="24"/>
        </w:rPr>
        <w:t>Glutathione Peroxidase (GPx)</w:t>
      </w:r>
    </w:p>
    <w:p>
      <w:pPr>
        <w:pStyle w:val="style0"/>
        <w:spacing w:lineRule="auto" w:line="480"/>
        <w:jc w:val="both"/>
        <w:rPr>
          <w:rFonts w:ascii="Times New Roman" w:hAnsi="Times New Roman"/>
          <w:sz w:val="24"/>
          <w:szCs w:val="24"/>
        </w:rPr>
      </w:pPr>
      <w:r>
        <w:rPr>
          <w:rFonts w:ascii="Times New Roman" w:hAnsi="Times New Roman"/>
          <w:sz w:val="24"/>
          <w:szCs w:val="24"/>
        </w:rPr>
        <w:t>and non-enzymatic antioxidants like:</w:t>
      </w:r>
    </w:p>
    <w:p>
      <w:pPr>
        <w:pStyle w:val="style0"/>
        <w:spacing w:lineRule="auto" w:line="480"/>
        <w:jc w:val="both"/>
        <w:rPr>
          <w:rFonts w:ascii="Times New Roman" w:hAnsi="Times New Roman"/>
          <w:sz w:val="24"/>
          <w:szCs w:val="24"/>
        </w:rPr>
      </w:pPr>
      <w:r>
        <w:rPr>
          <w:rFonts w:ascii="Times New Roman" w:hAnsi="Times New Roman"/>
          <w:sz w:val="24"/>
          <w:szCs w:val="24"/>
        </w:rPr>
        <w:t>Glutathione (GSH)</w:t>
      </w:r>
    </w:p>
    <w:p>
      <w:pPr>
        <w:pStyle w:val="style0"/>
        <w:spacing w:lineRule="auto" w:line="480"/>
        <w:jc w:val="both"/>
        <w:rPr>
          <w:rFonts w:ascii="Times New Roman" w:hAnsi="Times New Roman"/>
          <w:sz w:val="24"/>
          <w:szCs w:val="24"/>
        </w:rPr>
      </w:pPr>
      <w:r>
        <w:rPr>
          <w:rFonts w:ascii="Times New Roman" w:hAnsi="Times New Roman"/>
          <w:sz w:val="24"/>
          <w:szCs w:val="24"/>
        </w:rPr>
        <w:t>Vitamin C</w:t>
      </w:r>
    </w:p>
    <w:p>
      <w:pPr>
        <w:pStyle w:val="style0"/>
        <w:spacing w:lineRule="auto" w:line="480"/>
        <w:jc w:val="both"/>
        <w:rPr>
          <w:rFonts w:ascii="Times New Roman" w:hAnsi="Times New Roman"/>
          <w:sz w:val="24"/>
          <w:szCs w:val="24"/>
        </w:rPr>
      </w:pPr>
      <w:r>
        <w:rPr>
          <w:rFonts w:ascii="Times New Roman" w:hAnsi="Times New Roman"/>
          <w:sz w:val="24"/>
          <w:szCs w:val="24"/>
        </w:rPr>
        <w:t>Vitamin 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In diabetic states, these systems are often overwhelmed or depleted, intensifying oxidative damage (Maritim et al., 2023). Targeting oxidative stress with antioxidants—either through diet, supplementation, or phytotherapeutics like Phyllanthus amarus—is being explored as </w:t>
      </w:r>
      <w:r>
        <w:rPr>
          <w:rFonts w:ascii="Times New Roman" w:hAnsi="Times New Roman"/>
          <w:sz w:val="24"/>
          <w:szCs w:val="24"/>
        </w:rPr>
        <w:t>complementary approach in diabetesmanagement</w:t>
      </w:r>
      <w:r>
        <w:rPr>
          <w:rFonts w:ascii="Times New Roman" w:hAnsi="Times New Roman"/>
          <w:noProof/>
          <w:sz w:val="24"/>
          <w:szCs w:val="24"/>
          <w:lang w:eastAsia="en-US"/>
        </w:rPr>
        <w:drawing>
          <wp:inline distL="0" distT="0" distB="0" distR="0">
            <wp:extent cx="6141720" cy="5254625"/>
            <wp:effectExtent l="0" t="0" r="0" b="0"/>
            <wp:docPr id="1030"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picture">
                <pic:pic xmlns:pic="http://schemas.openxmlformats.org/drawingml/2006/picture">
                  <pic:nvPicPr>
                    <pic:cNvPr id="2" name="Image1"/>
                    <pic:cNvPicPr/>
                  </pic:nvPicPr>
                  <pic:blipFill>
                    <a:blip r:embed="rId7" cstate="print"/>
                    <a:srcRect l="0" t="0" r="0" b="0"/>
                    <a:stretch/>
                  </pic:blipFill>
                  <pic:spPr>
                    <a:xfrm rot="0">
                      <a:off x="0" y="0"/>
                      <a:ext cx="6141720" cy="5254625"/>
                    </a:xfrm>
                    <a:prstGeom prst="rect"/>
                  </pic:spPr>
                </pic:pic>
              </a:graphicData>
            </a:graphic>
          </wp:inline>
        </w:drawing>
      </w:r>
      <w:r>
        <w:rPr>
          <w:rFonts w:ascii="Times New Roman" w:hAnsi="Times New Roman"/>
          <w:noProof/>
          <w:sz w:val="24"/>
          <w:szCs w:val="24"/>
          <w:lang w:eastAsia="en-US"/>
        </w:rPr>
        <w:t xml:space="preserve">.   </w:t>
      </w:r>
      <w:r>
        <w:rPr>
          <w:rFonts w:ascii="Times New Roman" w:hAnsi="Times New Roman"/>
          <w:sz w:val="24"/>
          <w:szCs w:val="24"/>
        </w:rPr>
        <w:t xml:space="preserve">Fig 3: Oxidative stress pathways in diabetes </w:t>
      </w:r>
    </w:p>
    <w:p>
      <w:pPr>
        <w:pStyle w:val="style0"/>
        <w:spacing w:lineRule="auto" w:line="480"/>
        <w:jc w:val="both"/>
        <w:rPr>
          <w:rFonts w:ascii="Times New Roman" w:hAnsi="Times New Roman"/>
          <w:b/>
          <w:bCs/>
          <w:sz w:val="24"/>
          <w:szCs w:val="24"/>
        </w:rPr>
      </w:pPr>
      <w:r>
        <w:rPr>
          <w:rFonts w:ascii="Times New Roman" w:hAnsi="Times New Roman"/>
          <w:sz w:val="24"/>
          <w:szCs w:val="24"/>
        </w:rPr>
        <w:t>Source: (Mary Luisa, 2020)</w:t>
      </w:r>
    </w:p>
    <w:p>
      <w:pPr>
        <w:pStyle w:val="style0"/>
        <w:spacing w:lineRule="auto" w:line="480"/>
        <w:jc w:val="both"/>
        <w:rPr>
          <w:rFonts w:ascii="Times New Roman" w:hAnsi="Times New Roman"/>
          <w:sz w:val="24"/>
          <w:szCs w:val="24"/>
        </w:rPr>
      </w:pPr>
      <w:r>
        <w:rPr>
          <w:rFonts w:ascii="Times New Roman" w:hAnsi="Times New Roman"/>
          <w:b/>
          <w:bCs/>
          <w:sz w:val="24"/>
          <w:szCs w:val="24"/>
        </w:rPr>
        <w:t>2.5 MECHANISM OF STREPTOZOTOCIN (STZ) IN THE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is a nitrosourea compound derived from Streptomyces achromogenes. It is commonly used in experimental models to induce diabetes in animals, particularly Type 1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Mechanism of Action: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STZ selectively targets pancreatic β-cells due to its affinity for the glucose transporter 2 (GLUT2), which is abundantly expressed in these cells (Szkudelski </w:t>
      </w:r>
      <w:r>
        <w:rPr>
          <w:rFonts w:ascii="Times New Roman" w:hAnsi="Times New Roman"/>
          <w:i/>
          <w:iCs/>
          <w:sz w:val="24"/>
          <w:szCs w:val="24"/>
        </w:rPr>
        <w:t>et al.,</w:t>
      </w:r>
      <w:r>
        <w:rPr>
          <w:rFonts w:ascii="Times New Roman" w:hAnsi="Times New Roman"/>
          <w:sz w:val="24"/>
          <w:szCs w:val="24"/>
        </w:rPr>
        <w:t xml:space="preserve"> 2019).</w:t>
      </w:r>
    </w:p>
    <w:p>
      <w:pPr>
        <w:pStyle w:val="style0"/>
        <w:spacing w:lineRule="auto" w:line="480"/>
        <w:jc w:val="both"/>
        <w:rPr>
          <w:rFonts w:ascii="Times New Roman" w:hAnsi="Times New Roman"/>
          <w:sz w:val="24"/>
          <w:szCs w:val="24"/>
        </w:rPr>
      </w:pPr>
      <w:r>
        <w:rPr>
          <w:rFonts w:ascii="Times New Roman" w:hAnsi="Times New Roman"/>
          <w:sz w:val="24"/>
          <w:szCs w:val="24"/>
        </w:rPr>
        <w:t>Once inside the β-cells, STZ causes alkylation of DNA, leading to DNA fragmentation and activation of poly ADP-ribose polymerase (PARP), which depletes NAD+ and ATP.</w:t>
      </w:r>
    </w:p>
    <w:p>
      <w:pPr>
        <w:pStyle w:val="style0"/>
        <w:spacing w:lineRule="auto" w:line="480"/>
        <w:jc w:val="both"/>
        <w:rPr>
          <w:rFonts w:ascii="Times New Roman" w:hAnsi="Times New Roman"/>
          <w:sz w:val="24"/>
          <w:szCs w:val="24"/>
        </w:rPr>
      </w:pPr>
      <w:r>
        <w:rPr>
          <w:rFonts w:ascii="Times New Roman" w:hAnsi="Times New Roman"/>
          <w:sz w:val="24"/>
          <w:szCs w:val="24"/>
        </w:rPr>
        <w:t>The process generates reactive oxygen species (ROS), contributing to oxidative stress and apoptosis of β-cells.</w:t>
      </w:r>
    </w:p>
    <w:p>
      <w:pPr>
        <w:pStyle w:val="style0"/>
        <w:spacing w:lineRule="auto" w:line="480"/>
        <w:jc w:val="both"/>
        <w:rPr>
          <w:rFonts w:ascii="Times New Roman" w:hAnsi="Times New Roman"/>
          <w:sz w:val="24"/>
          <w:szCs w:val="24"/>
        </w:rPr>
      </w:pPr>
      <w:r>
        <w:rPr>
          <w:rFonts w:ascii="Times New Roman" w:hAnsi="Times New Roman"/>
          <w:sz w:val="24"/>
          <w:szCs w:val="24"/>
        </w:rPr>
        <w:t>This β-cell destruction leads to insulin deficiency and persistent hyperglycemia, mimicking Type 1 diabetes in humans.</w:t>
      </w:r>
    </w:p>
    <w:p>
      <w:pPr>
        <w:pStyle w:val="style0"/>
        <w:spacing w:lineRule="auto" w:line="480"/>
        <w:jc w:val="both"/>
        <w:rPr>
          <w:rFonts w:ascii="Times New Roman" w:hAnsi="Times New Roman"/>
          <w:sz w:val="24"/>
          <w:szCs w:val="24"/>
        </w:rPr>
      </w:pPr>
      <w:r>
        <w:rPr>
          <w:rFonts w:ascii="Times New Roman" w:hAnsi="Times New Roman"/>
          <w:b/>
          <w:bCs/>
          <w:sz w:val="24"/>
          <w:szCs w:val="24"/>
        </w:rPr>
        <w:t>2.6 ANTIDIABETIC DRUGS</w:t>
      </w:r>
    </w:p>
    <w:p>
      <w:pPr>
        <w:pStyle w:val="style0"/>
        <w:spacing w:lineRule="auto" w:line="480"/>
        <w:jc w:val="both"/>
        <w:rPr>
          <w:rFonts w:ascii="Times New Roman" w:hAnsi="Times New Roman"/>
          <w:sz w:val="24"/>
          <w:szCs w:val="24"/>
        </w:rPr>
      </w:pPr>
      <w:r>
        <w:rPr>
          <w:rFonts w:ascii="Times New Roman" w:hAnsi="Times New Roman"/>
          <w:sz w:val="24"/>
          <w:szCs w:val="24"/>
        </w:rPr>
        <w:t>Conventional therapy for diabetes includes various classes of medications targeting different mechanisms of glucose regulation.</w:t>
      </w:r>
    </w:p>
    <w:p>
      <w:pPr>
        <w:pStyle w:val="style0"/>
        <w:spacing w:lineRule="auto" w:line="480"/>
        <w:jc w:val="both"/>
        <w:rPr>
          <w:rFonts w:ascii="Times New Roman" w:hAnsi="Times New Roman"/>
          <w:sz w:val="24"/>
          <w:szCs w:val="24"/>
        </w:rPr>
      </w:pPr>
      <w:r>
        <w:rPr>
          <w:rFonts w:ascii="Times New Roman" w:hAnsi="Times New Roman"/>
          <w:b/>
          <w:bCs/>
          <w:sz w:val="24"/>
          <w:szCs w:val="24"/>
        </w:rPr>
        <w:t>2.6.1 INSULIN THERAPY</w:t>
      </w:r>
    </w:p>
    <w:p>
      <w:pPr>
        <w:pStyle w:val="style0"/>
        <w:spacing w:lineRule="auto" w:line="480"/>
        <w:jc w:val="both"/>
        <w:rPr>
          <w:rFonts w:ascii="Times New Roman" w:hAnsi="Times New Roman"/>
          <w:sz w:val="24"/>
          <w:szCs w:val="24"/>
        </w:rPr>
      </w:pPr>
      <w:r>
        <w:rPr>
          <w:rFonts w:ascii="Times New Roman" w:hAnsi="Times New Roman"/>
          <w:sz w:val="24"/>
          <w:szCs w:val="24"/>
        </w:rPr>
        <w:t>Insulin is the cornerstone of treatment for Type 1 diabetes and is also used in advanced Type 2 diabetes. It facilitates glucose uptake in tissues, suppresses hepatic glucose production, and promotes glycogen storage.</w:t>
      </w:r>
    </w:p>
    <w:p>
      <w:pPr>
        <w:pStyle w:val="style0"/>
        <w:spacing w:lineRule="auto" w:line="480"/>
        <w:jc w:val="both"/>
        <w:rPr>
          <w:rFonts w:ascii="Times New Roman" w:hAnsi="Times New Roman"/>
          <w:sz w:val="24"/>
          <w:szCs w:val="24"/>
        </w:rPr>
      </w:pPr>
      <w:r>
        <w:rPr>
          <w:rFonts w:ascii="Times New Roman" w:hAnsi="Times New Roman"/>
          <w:b/>
          <w:bCs/>
          <w:sz w:val="24"/>
          <w:szCs w:val="24"/>
        </w:rPr>
        <w:t>2.6.2 BIGUANIDES</w:t>
      </w:r>
    </w:p>
    <w:p>
      <w:pPr>
        <w:pStyle w:val="style0"/>
        <w:spacing w:lineRule="auto" w:line="480"/>
        <w:jc w:val="both"/>
        <w:rPr>
          <w:rFonts w:ascii="Times New Roman" w:hAnsi="Times New Roman"/>
          <w:sz w:val="24"/>
          <w:szCs w:val="24"/>
        </w:rPr>
      </w:pPr>
      <w:r>
        <w:rPr>
          <w:rFonts w:ascii="Times New Roman" w:hAnsi="Times New Roman"/>
          <w:sz w:val="24"/>
          <w:szCs w:val="24"/>
        </w:rPr>
        <w:t>Example: Metformin</w:t>
      </w:r>
    </w:p>
    <w:p>
      <w:pPr>
        <w:pStyle w:val="style0"/>
        <w:spacing w:lineRule="auto" w:line="480"/>
        <w:jc w:val="both"/>
        <w:rPr>
          <w:rFonts w:ascii="Times New Roman" w:hAnsi="Times New Roman"/>
          <w:sz w:val="24"/>
          <w:szCs w:val="24"/>
        </w:rPr>
      </w:pPr>
      <w:r>
        <w:rPr>
          <w:rFonts w:ascii="Times New Roman" w:hAnsi="Times New Roman"/>
          <w:sz w:val="24"/>
          <w:szCs w:val="24"/>
        </w:rPr>
        <w:t>Mechanism: Reduces hepatic glucose production, increases insulin sensitivity, and enhances peripheral glucose uptake. It is often the first-line therapy for Type 2 diabetes (Rojas &amp; Gomes, 2023).</w:t>
      </w:r>
    </w:p>
    <w:p>
      <w:pPr>
        <w:pStyle w:val="style0"/>
        <w:spacing w:lineRule="auto" w:line="480"/>
        <w:jc w:val="both"/>
        <w:rPr>
          <w:rFonts w:ascii="Times New Roman" w:hAnsi="Times New Roman"/>
          <w:sz w:val="24"/>
          <w:szCs w:val="24"/>
        </w:rPr>
      </w:pPr>
      <w:r>
        <w:rPr>
          <w:rFonts w:ascii="Times New Roman" w:hAnsi="Times New Roman"/>
          <w:b/>
          <w:bCs/>
          <w:sz w:val="24"/>
          <w:szCs w:val="24"/>
        </w:rPr>
        <w:t>2.6.3 SULFONYLUREAS</w:t>
      </w:r>
    </w:p>
    <w:p>
      <w:pPr>
        <w:pStyle w:val="style0"/>
        <w:spacing w:lineRule="auto" w:line="480"/>
        <w:jc w:val="both"/>
        <w:rPr>
          <w:rFonts w:ascii="Times New Roman" w:hAnsi="Times New Roman"/>
          <w:sz w:val="24"/>
          <w:szCs w:val="24"/>
        </w:rPr>
      </w:pPr>
      <w:r>
        <w:rPr>
          <w:rFonts w:ascii="Times New Roman" w:hAnsi="Times New Roman"/>
          <w:sz w:val="24"/>
          <w:szCs w:val="24"/>
        </w:rPr>
        <w:t>Examples: Glibenclamide, Glipizide</w:t>
      </w:r>
    </w:p>
    <w:p>
      <w:pPr>
        <w:pStyle w:val="style0"/>
        <w:spacing w:lineRule="auto" w:line="480"/>
        <w:jc w:val="both"/>
        <w:rPr>
          <w:rFonts w:ascii="Times New Roman" w:hAnsi="Times New Roman"/>
          <w:sz w:val="24"/>
          <w:szCs w:val="24"/>
        </w:rPr>
      </w:pPr>
      <w:r>
        <w:rPr>
          <w:rFonts w:ascii="Times New Roman" w:hAnsi="Times New Roman"/>
          <w:sz w:val="24"/>
          <w:szCs w:val="24"/>
        </w:rPr>
        <w:t>These stimulate insulin secretion by binding to sulfonylurea receptors on pancreatic β-cells, leading to closure of ATP-sensitive K⁺ channels and insulin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2.6.4 MEGLITINIDES</w:t>
      </w:r>
    </w:p>
    <w:p>
      <w:pPr>
        <w:pStyle w:val="style0"/>
        <w:spacing w:lineRule="auto" w:line="480"/>
        <w:jc w:val="both"/>
        <w:rPr>
          <w:rFonts w:ascii="Times New Roman" w:hAnsi="Times New Roman"/>
          <w:sz w:val="24"/>
          <w:szCs w:val="24"/>
        </w:rPr>
      </w:pPr>
      <w:r>
        <w:rPr>
          <w:rFonts w:ascii="Times New Roman" w:hAnsi="Times New Roman"/>
          <w:sz w:val="24"/>
          <w:szCs w:val="24"/>
        </w:rPr>
        <w:t>Examples: Repaglinide, Nateglinide</w:t>
      </w:r>
    </w:p>
    <w:p>
      <w:pPr>
        <w:pStyle w:val="style0"/>
        <w:spacing w:lineRule="auto" w:line="480"/>
        <w:jc w:val="both"/>
        <w:rPr>
          <w:rFonts w:ascii="Times New Roman" w:hAnsi="Times New Roman"/>
          <w:sz w:val="24"/>
          <w:szCs w:val="24"/>
        </w:rPr>
      </w:pPr>
      <w:r>
        <w:rPr>
          <w:rFonts w:ascii="Times New Roman" w:hAnsi="Times New Roman"/>
          <w:sz w:val="24"/>
          <w:szCs w:val="24"/>
        </w:rPr>
        <w:t>Similar to sulfonylureas, but with a shorter duration of action. They stimulate rapid insulin release in response to meals.</w:t>
      </w:r>
    </w:p>
    <w:p>
      <w:pPr>
        <w:pStyle w:val="style0"/>
        <w:spacing w:lineRule="auto" w:line="480"/>
        <w:jc w:val="both"/>
        <w:rPr>
          <w:rFonts w:ascii="Times New Roman" w:hAnsi="Times New Roman"/>
          <w:sz w:val="24"/>
          <w:szCs w:val="24"/>
        </w:rPr>
      </w:pPr>
      <w:r>
        <w:rPr>
          <w:rFonts w:ascii="Times New Roman" w:hAnsi="Times New Roman"/>
          <w:b/>
          <w:bCs/>
          <w:sz w:val="24"/>
          <w:szCs w:val="24"/>
        </w:rPr>
        <w:t>2.6.5 THIAZOLIDINEDIONES</w:t>
      </w:r>
    </w:p>
    <w:p>
      <w:pPr>
        <w:pStyle w:val="style0"/>
        <w:spacing w:lineRule="auto" w:line="480"/>
        <w:jc w:val="both"/>
        <w:rPr>
          <w:rFonts w:ascii="Times New Roman" w:hAnsi="Times New Roman"/>
          <w:sz w:val="24"/>
          <w:szCs w:val="24"/>
        </w:rPr>
      </w:pPr>
      <w:r>
        <w:rPr>
          <w:rFonts w:ascii="Times New Roman" w:hAnsi="Times New Roman"/>
          <w:sz w:val="24"/>
          <w:szCs w:val="24"/>
        </w:rPr>
        <w:t>Examples: Pioglitazone, Rosiglitazone</w:t>
      </w:r>
    </w:p>
    <w:p>
      <w:pPr>
        <w:pStyle w:val="style0"/>
        <w:spacing w:lineRule="auto" w:line="480"/>
        <w:jc w:val="both"/>
        <w:rPr>
          <w:rFonts w:ascii="Times New Roman" w:hAnsi="Times New Roman"/>
          <w:sz w:val="24"/>
          <w:szCs w:val="24"/>
        </w:rPr>
      </w:pPr>
      <w:r>
        <w:rPr>
          <w:rFonts w:ascii="Times New Roman" w:hAnsi="Times New Roman"/>
          <w:sz w:val="24"/>
          <w:szCs w:val="24"/>
        </w:rPr>
        <w:t>These enhance insulin sensitivity in muscle and adipose tissue by activating peroxisome proliferator-activated receptor gamma (PPAR-γ).</w:t>
      </w:r>
    </w:p>
    <w:p>
      <w:pPr>
        <w:pStyle w:val="style0"/>
        <w:spacing w:lineRule="auto" w:line="480"/>
        <w:jc w:val="both"/>
        <w:rPr>
          <w:rFonts w:ascii="Times New Roman" w:hAnsi="Times New Roman"/>
          <w:sz w:val="24"/>
          <w:szCs w:val="24"/>
        </w:rPr>
      </w:pPr>
      <w:r>
        <w:rPr>
          <w:rFonts w:ascii="Times New Roman" w:hAnsi="Times New Roman"/>
          <w:b/>
          <w:bCs/>
          <w:sz w:val="24"/>
          <w:szCs w:val="24"/>
        </w:rPr>
        <w:t>2.6.6 DIPEPTIDYL PEPTIDASE-4 (DPP-4)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Sitagliptin, Vildagliptin</w:t>
      </w:r>
    </w:p>
    <w:p>
      <w:pPr>
        <w:pStyle w:val="style0"/>
        <w:spacing w:lineRule="auto" w:line="480"/>
        <w:jc w:val="both"/>
        <w:rPr>
          <w:rFonts w:ascii="Times New Roman" w:hAnsi="Times New Roman"/>
          <w:sz w:val="24"/>
          <w:szCs w:val="24"/>
        </w:rPr>
      </w:pPr>
      <w:r>
        <w:rPr>
          <w:rFonts w:ascii="Times New Roman" w:hAnsi="Times New Roman"/>
          <w:sz w:val="24"/>
          <w:szCs w:val="24"/>
        </w:rPr>
        <w:t>They prolong the action of incretin hormones (GLP-1 and GIP), thereby enhancing insulin secretion and suppressing glucagon release.</w:t>
      </w:r>
    </w:p>
    <w:p>
      <w:pPr>
        <w:pStyle w:val="style0"/>
        <w:spacing w:lineRule="auto" w:line="480"/>
        <w:jc w:val="both"/>
        <w:rPr>
          <w:rFonts w:ascii="Times New Roman" w:hAnsi="Times New Roman"/>
          <w:sz w:val="24"/>
          <w:szCs w:val="24"/>
        </w:rPr>
      </w:pPr>
      <w:r>
        <w:rPr>
          <w:rFonts w:ascii="Times New Roman" w:hAnsi="Times New Roman"/>
          <w:b/>
          <w:bCs/>
          <w:sz w:val="24"/>
          <w:szCs w:val="24"/>
        </w:rPr>
        <w:t>2.6.7 ALPHA-GLUCOSIDASE INHIBITORS</w:t>
      </w:r>
    </w:p>
    <w:p>
      <w:pPr>
        <w:pStyle w:val="style0"/>
        <w:spacing w:lineRule="auto" w:line="480"/>
        <w:jc w:val="both"/>
        <w:rPr>
          <w:rFonts w:ascii="Times New Roman" w:hAnsi="Times New Roman"/>
          <w:sz w:val="24"/>
          <w:szCs w:val="24"/>
        </w:rPr>
      </w:pPr>
      <w:r>
        <w:rPr>
          <w:rFonts w:ascii="Times New Roman" w:hAnsi="Times New Roman"/>
          <w:sz w:val="24"/>
          <w:szCs w:val="24"/>
        </w:rPr>
        <w:t>Examples: Acarbose, Miglitol</w:t>
      </w:r>
    </w:p>
    <w:p>
      <w:pPr>
        <w:pStyle w:val="style0"/>
        <w:spacing w:lineRule="auto" w:line="480"/>
        <w:jc w:val="both"/>
        <w:rPr>
          <w:rFonts w:ascii="Times New Roman" w:hAnsi="Times New Roman"/>
          <w:sz w:val="24"/>
          <w:szCs w:val="24"/>
        </w:rPr>
      </w:pPr>
      <w:r>
        <w:rPr>
          <w:rFonts w:ascii="Times New Roman" w:hAnsi="Times New Roman"/>
          <w:sz w:val="24"/>
          <w:szCs w:val="24"/>
        </w:rPr>
        <w:t>These delay carbohydrate digestion and glucose absorption in the intestine, thereby reducing postprandial hyperglycemia.</w:t>
      </w:r>
    </w:p>
    <w:p>
      <w:pPr>
        <w:pStyle w:val="style0"/>
        <w:spacing w:lineRule="auto" w:line="480"/>
        <w:jc w:val="both"/>
        <w:rPr>
          <w:rFonts w:ascii="Times New Roman" w:hAnsi="Times New Roman"/>
          <w:sz w:val="24"/>
          <w:szCs w:val="24"/>
        </w:rPr>
      </w:pPr>
      <w:r>
        <w:rPr>
          <w:rFonts w:ascii="Times New Roman" w:hAnsi="Times New Roman"/>
          <w:b/>
          <w:bCs/>
          <w:sz w:val="24"/>
          <w:szCs w:val="24"/>
        </w:rPr>
        <w:t>2.7 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Phyllanthus amarus is a medicinal plant belonging to the family Euphorbiaceae. It is commonly found in tropical regions and has been widely used in traditional medicine for the treatment of liver disorders, infections, and diabetes.</w:t>
      </w:r>
    </w:p>
    <w:p>
      <w:pPr>
        <w:pStyle w:val="style0"/>
        <w:spacing w:lineRule="auto" w:line="480"/>
        <w:jc w:val="both"/>
        <w:rPr>
          <w:rFonts w:ascii="Times New Roman" w:hAnsi="Times New Roman"/>
          <w:sz w:val="24"/>
          <w:szCs w:val="24"/>
        </w:rPr>
      </w:pPr>
      <w:r>
        <w:rPr>
          <w:rFonts w:ascii="Times New Roman" w:hAnsi="Times New Roman"/>
          <w:b/>
          <w:bCs/>
          <w:sz w:val="24"/>
          <w:szCs w:val="24"/>
        </w:rPr>
        <w:t>2.7.1 PHYTOCHEMICAL CONSTITUENTS</w:t>
      </w:r>
    </w:p>
    <w:p>
      <w:pPr>
        <w:pStyle w:val="style0"/>
        <w:spacing w:lineRule="auto" w:line="480"/>
        <w:jc w:val="both"/>
        <w:rPr>
          <w:rFonts w:ascii="Times New Roman" w:hAnsi="Times New Roman"/>
          <w:sz w:val="24"/>
          <w:szCs w:val="24"/>
        </w:rPr>
      </w:pPr>
      <w:r>
        <w:rPr>
          <w:rFonts w:ascii="Times New Roman" w:hAnsi="Times New Roman"/>
          <w:sz w:val="24"/>
          <w:szCs w:val="24"/>
        </w:rPr>
        <w:t>Phytochemical analyses of P. amarus have revealed a rich array of bioactive compounds, including:</w:t>
      </w:r>
    </w:p>
    <w:p>
      <w:pPr>
        <w:pStyle w:val="style0"/>
        <w:spacing w:lineRule="auto" w:line="480"/>
        <w:jc w:val="both"/>
        <w:rPr>
          <w:rFonts w:ascii="Times New Roman" w:hAnsi="Times New Roman"/>
          <w:sz w:val="24"/>
          <w:szCs w:val="24"/>
        </w:rPr>
      </w:pPr>
      <w:r>
        <w:rPr>
          <w:rFonts w:ascii="Times New Roman" w:hAnsi="Times New Roman"/>
          <w:sz w:val="24"/>
          <w:szCs w:val="24"/>
        </w:rPr>
        <w:t>Lignans: Phyllanthin, Hypophyllanthin</w:t>
      </w:r>
    </w:p>
    <w:p>
      <w:pPr>
        <w:pStyle w:val="style0"/>
        <w:spacing w:lineRule="auto" w:line="480"/>
        <w:jc w:val="both"/>
        <w:rPr>
          <w:rFonts w:ascii="Times New Roman" w:hAnsi="Times New Roman"/>
          <w:sz w:val="24"/>
          <w:szCs w:val="24"/>
        </w:rPr>
      </w:pPr>
      <w:r>
        <w:rPr>
          <w:rFonts w:ascii="Times New Roman" w:hAnsi="Times New Roman"/>
          <w:sz w:val="24"/>
          <w:szCs w:val="24"/>
        </w:rPr>
        <w:t>Flavonoids: Quercetin, Rutin</w:t>
      </w:r>
    </w:p>
    <w:p>
      <w:pPr>
        <w:pStyle w:val="style0"/>
        <w:spacing w:lineRule="auto" w:line="480"/>
        <w:jc w:val="both"/>
        <w:rPr>
          <w:rFonts w:ascii="Times New Roman" w:hAnsi="Times New Roman"/>
          <w:sz w:val="24"/>
          <w:szCs w:val="24"/>
        </w:rPr>
      </w:pPr>
      <w:r>
        <w:rPr>
          <w:rFonts w:ascii="Times New Roman" w:hAnsi="Times New Roman"/>
          <w:sz w:val="24"/>
          <w:szCs w:val="24"/>
        </w:rPr>
        <w:t>Tannins, Alkaloids, Polyphenols</w:t>
      </w:r>
    </w:p>
    <w:p>
      <w:pPr>
        <w:pStyle w:val="style0"/>
        <w:spacing w:lineRule="auto" w:line="480"/>
        <w:jc w:val="both"/>
        <w:rPr>
          <w:rFonts w:ascii="Times New Roman" w:hAnsi="Times New Roman"/>
          <w:sz w:val="24"/>
          <w:szCs w:val="24"/>
        </w:rPr>
      </w:pPr>
      <w:r>
        <w:rPr>
          <w:rFonts w:ascii="Times New Roman" w:hAnsi="Times New Roman"/>
          <w:sz w:val="24"/>
          <w:szCs w:val="24"/>
        </w:rPr>
        <w:t>Terpenoids and Steroids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(Akinmoladun </w:t>
      </w:r>
      <w:r>
        <w:rPr>
          <w:rFonts w:ascii="Times New Roman" w:hAnsi="Times New Roman"/>
          <w:i/>
          <w:iCs/>
          <w:sz w:val="24"/>
          <w:szCs w:val="24"/>
        </w:rPr>
        <w:t>et al.,</w:t>
      </w:r>
      <w:r>
        <w:rPr>
          <w:rFonts w:ascii="Times New Roman" w:hAnsi="Times New Roman"/>
          <w:sz w:val="24"/>
          <w:szCs w:val="24"/>
        </w:rPr>
        <w:t xml:space="preserve"> 2020)</w:t>
      </w:r>
    </w:p>
    <w:p>
      <w:pPr>
        <w:pStyle w:val="style0"/>
        <w:spacing w:lineRule="auto" w:line="480"/>
        <w:jc w:val="both"/>
        <w:rPr>
          <w:rFonts w:ascii="Times New Roman" w:hAnsi="Times New Roman"/>
          <w:sz w:val="24"/>
          <w:szCs w:val="24"/>
        </w:rPr>
      </w:pPr>
      <w:r>
        <w:rPr>
          <w:rFonts w:ascii="Times New Roman" w:hAnsi="Times New Roman"/>
          <w:sz w:val="24"/>
          <w:szCs w:val="24"/>
        </w:rPr>
        <w:t>These constituents are associated with diverse pharmacological properties.</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2.7.2 Antioxidant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Several studies have demonstrated the potent antioxidant activity of P. amarus, attributed to its high polyphenol and flavonoid content. These compounds neutralize free radicals, upregulate antioxidant enzymes, and reduce oxidative damage to cells (Udayakumar </w:t>
      </w:r>
      <w:r>
        <w:rPr>
          <w:rFonts w:ascii="Times New Roman" w:hAnsi="Times New Roman"/>
          <w:i/>
          <w:iCs/>
          <w:sz w:val="24"/>
          <w:szCs w:val="24"/>
        </w:rPr>
        <w:t>et al.,</w:t>
      </w:r>
      <w:r>
        <w:rPr>
          <w:rFonts w:ascii="Times New Roman" w:hAnsi="Times New Roman"/>
          <w:sz w:val="24"/>
          <w:szCs w:val="24"/>
        </w:rPr>
        <w:t xml:space="preserve"> 2006).</w:t>
      </w:r>
    </w:p>
    <w:p>
      <w:pPr>
        <w:pStyle w:val="style0"/>
        <w:spacing w:lineRule="auto" w:line="480"/>
        <w:jc w:val="both"/>
        <w:rPr>
          <w:rFonts w:ascii="Times New Roman" w:hAnsi="Times New Roman"/>
          <w:sz w:val="24"/>
          <w:szCs w:val="24"/>
        </w:rPr>
      </w:pPr>
      <w:r>
        <w:rPr>
          <w:rFonts w:ascii="Times New Roman" w:hAnsi="Times New Roman"/>
          <w:sz w:val="24"/>
          <w:szCs w:val="24"/>
        </w:rPr>
        <w:t>Animal studies show that administration of P. amarus extract significantly increases levels of catalase (CAT), superoxide dismutase (SOD), and glutathione (GSH) while reducing malondialdehyde (MDA), a marker of lipid peroxidation.</w:t>
      </w:r>
    </w:p>
    <w:p>
      <w:pPr>
        <w:pStyle w:val="style0"/>
        <w:spacing w:lineRule="auto" w:line="480"/>
        <w:jc w:val="both"/>
        <w:rPr>
          <w:rFonts w:ascii="Times New Roman" w:hAnsi="Times New Roman"/>
          <w:i/>
          <w:sz w:val="24"/>
          <w:szCs w:val="24"/>
        </w:rPr>
      </w:pPr>
      <w:r>
        <w:rPr>
          <w:rFonts w:ascii="Times New Roman" w:hAnsi="Times New Roman"/>
          <w:sz w:val="24"/>
          <w:szCs w:val="24"/>
        </w:rPr>
        <w:t xml:space="preserve">2.7.3 Antihyperglycemic Properties of </w:t>
      </w:r>
      <w:r>
        <w:rPr>
          <w:rFonts w:ascii="Times New Roman" w:hAnsi="Times New Roman"/>
          <w:i/>
          <w:sz w:val="24"/>
          <w:szCs w:val="24"/>
        </w:rPr>
        <w:t>Phyllanthus amarus</w:t>
      </w:r>
    </w:p>
    <w:p>
      <w:pPr>
        <w:pStyle w:val="style0"/>
        <w:spacing w:lineRule="auto" w:line="480"/>
        <w:jc w:val="both"/>
        <w:rPr>
          <w:rFonts w:ascii="Times New Roman" w:hAnsi="Times New Roman"/>
          <w:sz w:val="24"/>
          <w:szCs w:val="24"/>
        </w:rPr>
      </w:pPr>
      <w:r>
        <w:rPr>
          <w:rFonts w:ascii="Times New Roman" w:hAnsi="Times New Roman"/>
          <w:i/>
          <w:sz w:val="24"/>
          <w:szCs w:val="24"/>
        </w:rPr>
        <w:t>P. amarus</w:t>
      </w:r>
      <w:r>
        <w:rPr>
          <w:rFonts w:ascii="Times New Roman" w:hAnsi="Times New Roman"/>
          <w:sz w:val="24"/>
          <w:szCs w:val="24"/>
        </w:rPr>
        <w:t xml:space="preserve"> has been shown to exert hypoglycemic effects in both STZ and alloxan-induced diabetic models. Proposed mechanisms include:</w:t>
      </w:r>
    </w:p>
    <w:p>
      <w:pPr>
        <w:pStyle w:val="style0"/>
        <w:spacing w:lineRule="auto" w:line="480"/>
        <w:jc w:val="both"/>
        <w:rPr>
          <w:rFonts w:ascii="Times New Roman" w:hAnsi="Times New Roman"/>
          <w:sz w:val="24"/>
          <w:szCs w:val="24"/>
        </w:rPr>
      </w:pPr>
      <w:r>
        <w:rPr>
          <w:rFonts w:ascii="Times New Roman" w:hAnsi="Times New Roman"/>
          <w:sz w:val="24"/>
          <w:szCs w:val="24"/>
        </w:rPr>
        <w:t>Stimulation of insulin secretion</w:t>
      </w:r>
    </w:p>
    <w:p>
      <w:pPr>
        <w:pStyle w:val="style0"/>
        <w:spacing w:lineRule="auto" w:line="480"/>
        <w:jc w:val="both"/>
        <w:rPr>
          <w:rFonts w:ascii="Times New Roman" w:hAnsi="Times New Roman"/>
          <w:sz w:val="24"/>
          <w:szCs w:val="24"/>
        </w:rPr>
      </w:pPr>
      <w:r>
        <w:rPr>
          <w:rFonts w:ascii="Times New Roman" w:hAnsi="Times New Roman"/>
          <w:sz w:val="24"/>
          <w:szCs w:val="24"/>
        </w:rPr>
        <w:t>Enhancement of peripheral glucose uptake</w:t>
      </w:r>
    </w:p>
    <w:p>
      <w:pPr>
        <w:pStyle w:val="style0"/>
        <w:spacing w:lineRule="auto" w:line="480"/>
        <w:jc w:val="both"/>
        <w:rPr>
          <w:rFonts w:ascii="Times New Roman" w:hAnsi="Times New Roman"/>
          <w:sz w:val="24"/>
          <w:szCs w:val="24"/>
        </w:rPr>
      </w:pPr>
      <w:r>
        <w:rPr>
          <w:rFonts w:ascii="Times New Roman" w:hAnsi="Times New Roman"/>
          <w:sz w:val="24"/>
          <w:szCs w:val="24"/>
        </w:rPr>
        <w:t>Inhibition of intestinal glucose absorption</w:t>
      </w:r>
    </w:p>
    <w:p>
      <w:pPr>
        <w:pStyle w:val="style0"/>
        <w:spacing w:lineRule="auto" w:line="480"/>
        <w:jc w:val="both"/>
        <w:rPr>
          <w:rFonts w:ascii="Times New Roman" w:hAnsi="Times New Roman"/>
          <w:sz w:val="24"/>
          <w:szCs w:val="24"/>
        </w:rPr>
      </w:pPr>
      <w:r>
        <w:rPr>
          <w:rFonts w:ascii="Times New Roman" w:hAnsi="Times New Roman"/>
          <w:sz w:val="24"/>
          <w:szCs w:val="24"/>
        </w:rPr>
        <w:t>Regeneration of pancreatic β-cells</w:t>
      </w:r>
    </w:p>
    <w:p>
      <w:pPr>
        <w:pStyle w:val="style0"/>
        <w:spacing w:lineRule="auto" w:line="480"/>
        <w:jc w:val="both"/>
        <w:rPr>
          <w:rFonts w:ascii="Times New Roman" w:hAnsi="Times New Roman"/>
          <w:sz w:val="24"/>
          <w:szCs w:val="24"/>
        </w:rPr>
      </w:pPr>
      <w:r>
        <w:rPr>
          <w:rFonts w:ascii="Times New Roman" w:hAnsi="Times New Roman"/>
          <w:sz w:val="24"/>
          <w:szCs w:val="24"/>
        </w:rPr>
        <w:t>(Soman</w:t>
      </w:r>
      <w:r>
        <w:rPr>
          <w:rFonts w:ascii="Times New Roman" w:hAnsi="Times New Roman"/>
          <w:i/>
          <w:iCs/>
          <w:sz w:val="24"/>
          <w:szCs w:val="24"/>
        </w:rPr>
        <w:t xml:space="preserve"> et al.</w:t>
      </w:r>
      <w:r>
        <w:rPr>
          <w:rFonts w:ascii="Times New Roman" w:hAnsi="Times New Roman"/>
          <w:sz w:val="24"/>
          <w:szCs w:val="24"/>
        </w:rPr>
        <w:t>, 2022)</w:t>
      </w:r>
    </w:p>
    <w:p>
      <w:pPr>
        <w:pStyle w:val="style0"/>
        <w:spacing w:lineRule="auto" w:line="480"/>
        <w:jc w:val="both"/>
        <w:rPr>
          <w:rFonts w:ascii="Times New Roman" w:hAnsi="Times New Roman"/>
          <w:sz w:val="24"/>
          <w:szCs w:val="24"/>
        </w:rPr>
      </w:pPr>
      <w:r>
        <w:rPr>
          <w:rFonts w:ascii="Times New Roman" w:hAnsi="Times New Roman"/>
          <w:sz w:val="24"/>
          <w:szCs w:val="24"/>
        </w:rPr>
        <w:t>These effects make P. amarus a promising natural candidate for diabetes management, especially in resource-limited settings.</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jc w:val="both"/>
        <w:rPr>
          <w:rFonts w:ascii="Times New Roman" w:hAnsi="Times New Roman"/>
          <w:b/>
          <w:bCs/>
          <w:sz w:val="24"/>
          <w:szCs w:val="24"/>
        </w:rPr>
      </w:pPr>
    </w:p>
    <w:p>
      <w:pPr>
        <w:pStyle w:val="style0"/>
        <w:spacing w:lineRule="auto" w:line="480"/>
        <w:ind w:left="1440" w:firstLine="2231" w:firstLineChars="926"/>
        <w:jc w:val="both"/>
        <w:rPr>
          <w:rFonts w:ascii="Times New Roman" w:hAnsi="Times New Roman"/>
          <w:sz w:val="24"/>
          <w:szCs w:val="24"/>
        </w:rPr>
      </w:pPr>
      <w:r>
        <w:rPr>
          <w:rFonts w:ascii="Times New Roman" w:hAnsi="Times New Roman"/>
          <w:b/>
          <w:bCs/>
          <w:sz w:val="24"/>
          <w:szCs w:val="24"/>
        </w:rPr>
        <w:t xml:space="preserve">CHAPTER THREE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MATERIALS AND METHODS </w:t>
      </w:r>
    </w:p>
    <w:p>
      <w:pPr>
        <w:pStyle w:val="style0"/>
        <w:spacing w:lineRule="auto" w:line="480"/>
        <w:jc w:val="both"/>
        <w:rPr>
          <w:rFonts w:ascii="Times New Roman" w:hAnsi="Times New Roman"/>
          <w:sz w:val="24"/>
          <w:szCs w:val="24"/>
        </w:rPr>
      </w:pPr>
      <w:r>
        <w:rPr>
          <w:rFonts w:ascii="Times New Roman" w:hAnsi="Times New Roman"/>
          <w:b/>
          <w:bCs/>
          <w:sz w:val="24"/>
          <w:szCs w:val="24"/>
        </w:rPr>
        <w:t>3.1 CHEMICALS AND REAGENTS</w:t>
      </w:r>
    </w:p>
    <w:p>
      <w:pPr>
        <w:pStyle w:val="style0"/>
        <w:spacing w:lineRule="auto" w:line="480"/>
        <w:jc w:val="both"/>
        <w:rPr>
          <w:rFonts w:ascii="Times New Roman" w:hAnsi="Times New Roman"/>
          <w:sz w:val="24"/>
          <w:szCs w:val="24"/>
        </w:rPr>
      </w:pPr>
      <w:r>
        <w:rPr>
          <w:rFonts w:ascii="Times New Roman" w:hAnsi="Times New Roman"/>
          <w:sz w:val="24"/>
          <w:szCs w:val="24"/>
        </w:rPr>
        <w:t>The following chemicals and reagents will be used:</w:t>
      </w:r>
    </w:p>
    <w:p>
      <w:pPr>
        <w:pStyle w:val="style0"/>
        <w:spacing w:lineRule="auto" w:line="480"/>
        <w:jc w:val="both"/>
        <w:rPr>
          <w:rFonts w:ascii="Times New Roman" w:hAnsi="Times New Roman"/>
          <w:sz w:val="24"/>
          <w:szCs w:val="24"/>
        </w:rPr>
      </w:pPr>
      <w:r>
        <w:rPr>
          <w:rFonts w:ascii="Times New Roman" w:hAnsi="Times New Roman"/>
          <w:sz w:val="24"/>
          <w:szCs w:val="24"/>
        </w:rPr>
        <w:t>Streptozotocin (STZ) – Sigma-Aldrich</w:t>
      </w:r>
    </w:p>
    <w:p>
      <w:pPr>
        <w:pStyle w:val="style0"/>
        <w:spacing w:lineRule="auto" w:line="480"/>
        <w:jc w:val="both"/>
        <w:rPr>
          <w:rFonts w:ascii="Times New Roman" w:hAnsi="Times New Roman"/>
          <w:sz w:val="24"/>
          <w:szCs w:val="24"/>
        </w:rPr>
      </w:pPr>
      <w:r>
        <w:rPr>
          <w:rFonts w:ascii="Times New Roman" w:hAnsi="Times New Roman"/>
          <w:sz w:val="24"/>
          <w:szCs w:val="24"/>
        </w:rPr>
        <w:t>Glucose test kits – Randox or equivalent</w:t>
      </w:r>
    </w:p>
    <w:p>
      <w:pPr>
        <w:pStyle w:val="style0"/>
        <w:spacing w:lineRule="auto" w:line="480"/>
        <w:jc w:val="both"/>
        <w:rPr>
          <w:rFonts w:ascii="Times New Roman" w:hAnsi="Times New Roman"/>
          <w:sz w:val="24"/>
          <w:szCs w:val="24"/>
        </w:rPr>
      </w:pPr>
      <w:r>
        <w:rPr>
          <w:rFonts w:ascii="Times New Roman" w:hAnsi="Times New Roman"/>
          <w:sz w:val="24"/>
          <w:szCs w:val="24"/>
        </w:rPr>
        <w:t>Antioxidant enzyme assay kits (for SOD, CAT, GSH, MDA)</w:t>
      </w:r>
    </w:p>
    <w:p>
      <w:pPr>
        <w:pStyle w:val="style0"/>
        <w:spacing w:lineRule="auto" w:line="480"/>
        <w:jc w:val="both"/>
        <w:rPr>
          <w:rFonts w:ascii="Times New Roman" w:hAnsi="Times New Roman"/>
          <w:sz w:val="24"/>
          <w:szCs w:val="24"/>
        </w:rPr>
      </w:pPr>
      <w:r>
        <w:rPr>
          <w:rFonts w:ascii="Times New Roman" w:hAnsi="Times New Roman"/>
          <w:sz w:val="24"/>
          <w:szCs w:val="24"/>
        </w:rPr>
        <w:t>Electrolyte assay kits (Na⁺, K⁺, Cl⁻, HCO₃⁻)</w:t>
      </w:r>
    </w:p>
    <w:p>
      <w:pPr>
        <w:pStyle w:val="style0"/>
        <w:spacing w:lineRule="auto" w:line="480"/>
        <w:jc w:val="both"/>
        <w:rPr>
          <w:rFonts w:ascii="Times New Roman" w:hAnsi="Times New Roman"/>
          <w:sz w:val="24"/>
          <w:szCs w:val="24"/>
        </w:rPr>
      </w:pPr>
      <w:r>
        <w:rPr>
          <w:rFonts w:ascii="Times New Roman" w:hAnsi="Times New Roman"/>
          <w:sz w:val="24"/>
          <w:szCs w:val="24"/>
        </w:rPr>
        <w:t>Methanol (analytical grade)</w:t>
      </w:r>
    </w:p>
    <w:p>
      <w:pPr>
        <w:pStyle w:val="style0"/>
        <w:spacing w:lineRule="auto" w:line="480"/>
        <w:jc w:val="both"/>
        <w:rPr>
          <w:rFonts w:ascii="Times New Roman" w:hAnsi="Times New Roman"/>
          <w:sz w:val="24"/>
          <w:szCs w:val="24"/>
        </w:rPr>
      </w:pPr>
      <w:r>
        <w:rPr>
          <w:rFonts w:ascii="Times New Roman" w:hAnsi="Times New Roman"/>
          <w:sz w:val="24"/>
          <w:szCs w:val="24"/>
        </w:rPr>
        <w:t>Distilled water</w:t>
      </w:r>
    </w:p>
    <w:p>
      <w:pPr>
        <w:pStyle w:val="style0"/>
        <w:spacing w:lineRule="auto" w:line="480"/>
        <w:jc w:val="both"/>
        <w:rPr>
          <w:rFonts w:ascii="Times New Roman" w:hAnsi="Times New Roman"/>
          <w:sz w:val="24"/>
          <w:szCs w:val="24"/>
        </w:rPr>
      </w:pPr>
      <w:r>
        <w:rPr>
          <w:rFonts w:ascii="Times New Roman" w:hAnsi="Times New Roman"/>
          <w:sz w:val="24"/>
          <w:szCs w:val="24"/>
        </w:rPr>
        <w:t>Normal saline (0.9% NaCl)</w:t>
      </w:r>
    </w:p>
    <w:p>
      <w:pPr>
        <w:pStyle w:val="style0"/>
        <w:spacing w:lineRule="auto" w:line="480"/>
        <w:jc w:val="both"/>
        <w:rPr>
          <w:rFonts w:ascii="Times New Roman" w:hAnsi="Times New Roman"/>
          <w:sz w:val="24"/>
          <w:szCs w:val="24"/>
        </w:rPr>
      </w:pPr>
      <w:r>
        <w:rPr>
          <w:rFonts w:ascii="Times New Roman" w:hAnsi="Times New Roman"/>
          <w:sz w:val="24"/>
          <w:szCs w:val="24"/>
        </w:rPr>
        <w:t>Sodium citrate and phosphate buffers</w:t>
      </w:r>
    </w:p>
    <w:p>
      <w:pPr>
        <w:pStyle w:val="style0"/>
        <w:spacing w:lineRule="auto" w:line="480"/>
        <w:jc w:val="both"/>
        <w:rPr>
          <w:rFonts w:ascii="Times New Roman" w:hAnsi="Times New Roman"/>
          <w:sz w:val="24"/>
          <w:szCs w:val="24"/>
        </w:rPr>
      </w:pPr>
      <w:r>
        <w:rPr>
          <w:rFonts w:ascii="Times New Roman" w:hAnsi="Times New Roman"/>
          <w:sz w:val="24"/>
          <w:szCs w:val="24"/>
        </w:rPr>
        <w:t>All chemicals and reagents will be of analytical grade and obtained from reputable suppliers.</w:t>
      </w:r>
    </w:p>
    <w:p>
      <w:pPr>
        <w:pStyle w:val="style0"/>
        <w:spacing w:lineRule="auto" w:line="480"/>
        <w:jc w:val="both"/>
        <w:rPr>
          <w:rFonts w:ascii="Times New Roman" w:hAnsi="Times New Roman"/>
          <w:sz w:val="24"/>
          <w:szCs w:val="24"/>
        </w:rPr>
      </w:pPr>
      <w:r>
        <w:rPr>
          <w:rFonts w:ascii="Times New Roman" w:hAnsi="Times New Roman"/>
          <w:b/>
          <w:bCs/>
          <w:sz w:val="24"/>
          <w:szCs w:val="24"/>
        </w:rPr>
        <w:t>3.2 APPARATUS AND EQUIPMENT</w:t>
      </w:r>
    </w:p>
    <w:p>
      <w:pPr>
        <w:pStyle w:val="style0"/>
        <w:spacing w:lineRule="auto" w:line="480"/>
        <w:jc w:val="both"/>
        <w:rPr>
          <w:rFonts w:ascii="Times New Roman" w:hAnsi="Times New Roman"/>
          <w:sz w:val="24"/>
          <w:szCs w:val="24"/>
        </w:rPr>
      </w:pPr>
      <w:r>
        <w:rPr>
          <w:rFonts w:ascii="Times New Roman" w:hAnsi="Times New Roman"/>
          <w:sz w:val="24"/>
          <w:szCs w:val="24"/>
        </w:rPr>
        <w:t>Electronic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Centrifuge (bench-top)</w:t>
      </w:r>
    </w:p>
    <w:p>
      <w:pPr>
        <w:pStyle w:val="style0"/>
        <w:spacing w:lineRule="auto" w:line="480"/>
        <w:jc w:val="both"/>
        <w:rPr>
          <w:rFonts w:ascii="Times New Roman" w:hAnsi="Times New Roman"/>
          <w:sz w:val="24"/>
          <w:szCs w:val="24"/>
        </w:rPr>
      </w:pPr>
      <w:r>
        <w:rPr>
          <w:rFonts w:ascii="Times New Roman" w:hAnsi="Times New Roman"/>
          <w:sz w:val="24"/>
          <w:szCs w:val="24"/>
        </w:rPr>
        <w:t>Spectrophotometer (UV-Vis)</w:t>
      </w:r>
    </w:p>
    <w:p>
      <w:pPr>
        <w:pStyle w:val="style0"/>
        <w:spacing w:lineRule="auto" w:line="480"/>
        <w:jc w:val="both"/>
        <w:rPr>
          <w:rFonts w:ascii="Times New Roman" w:hAnsi="Times New Roman"/>
          <w:sz w:val="24"/>
          <w:szCs w:val="24"/>
        </w:rPr>
      </w:pPr>
      <w:r>
        <w:rPr>
          <w:rFonts w:ascii="Times New Roman" w:hAnsi="Times New Roman"/>
          <w:sz w:val="24"/>
          <w:szCs w:val="24"/>
        </w:rPr>
        <w:t>Micropipettes</w:t>
      </w:r>
    </w:p>
    <w:p>
      <w:pPr>
        <w:pStyle w:val="style0"/>
        <w:spacing w:lineRule="auto" w:line="480"/>
        <w:jc w:val="both"/>
        <w:rPr>
          <w:rFonts w:ascii="Times New Roman" w:hAnsi="Times New Roman"/>
          <w:sz w:val="24"/>
          <w:szCs w:val="24"/>
        </w:rPr>
      </w:pPr>
      <w:r>
        <w:rPr>
          <w:rFonts w:ascii="Times New Roman" w:hAnsi="Times New Roman"/>
          <w:sz w:val="24"/>
          <w:szCs w:val="24"/>
        </w:rPr>
        <w:t>Glucometer (Accu-Chek or equivalent)</w:t>
      </w:r>
    </w:p>
    <w:p>
      <w:pPr>
        <w:pStyle w:val="style0"/>
        <w:spacing w:lineRule="auto" w:line="480"/>
        <w:jc w:val="both"/>
        <w:rPr>
          <w:rFonts w:ascii="Times New Roman" w:hAnsi="Times New Roman"/>
          <w:sz w:val="24"/>
          <w:szCs w:val="24"/>
        </w:rPr>
      </w:pPr>
      <w:r>
        <w:rPr>
          <w:rFonts w:ascii="Times New Roman" w:hAnsi="Times New Roman"/>
          <w:sz w:val="24"/>
          <w:szCs w:val="24"/>
        </w:rPr>
        <w:t>Oral gavage needle</w:t>
      </w:r>
    </w:p>
    <w:p>
      <w:pPr>
        <w:pStyle w:val="style0"/>
        <w:spacing w:lineRule="auto" w:line="480"/>
        <w:jc w:val="both"/>
        <w:rPr>
          <w:rFonts w:ascii="Times New Roman" w:hAnsi="Times New Roman"/>
          <w:sz w:val="24"/>
          <w:szCs w:val="24"/>
        </w:rPr>
      </w:pPr>
      <w:r>
        <w:rPr>
          <w:rFonts w:ascii="Times New Roman" w:hAnsi="Times New Roman"/>
          <w:sz w:val="24"/>
          <w:szCs w:val="24"/>
        </w:rPr>
        <w:t>Dissecting set</w:t>
      </w:r>
    </w:p>
    <w:p>
      <w:pPr>
        <w:pStyle w:val="style0"/>
        <w:spacing w:lineRule="auto" w:line="480"/>
        <w:jc w:val="both"/>
        <w:rPr>
          <w:rFonts w:ascii="Times New Roman" w:hAnsi="Times New Roman"/>
          <w:sz w:val="24"/>
          <w:szCs w:val="24"/>
        </w:rPr>
      </w:pPr>
      <w:r>
        <w:rPr>
          <w:rFonts w:ascii="Times New Roman" w:hAnsi="Times New Roman"/>
          <w:sz w:val="24"/>
          <w:szCs w:val="24"/>
        </w:rPr>
        <w:t>Refrigerator and freezer</w:t>
      </w:r>
    </w:p>
    <w:p>
      <w:pPr>
        <w:pStyle w:val="style0"/>
        <w:spacing w:lineRule="auto" w:line="480"/>
        <w:jc w:val="both"/>
        <w:rPr>
          <w:rFonts w:ascii="Times New Roman" w:hAnsi="Times New Roman"/>
          <w:sz w:val="24"/>
          <w:szCs w:val="24"/>
        </w:rPr>
      </w:pPr>
      <w:r>
        <w:rPr>
          <w:rFonts w:ascii="Times New Roman" w:hAnsi="Times New Roman"/>
          <w:sz w:val="24"/>
          <w:szCs w:val="24"/>
        </w:rPr>
        <w:t>Animal cages</w:t>
      </w:r>
    </w:p>
    <w:p>
      <w:pPr>
        <w:pStyle w:val="style0"/>
        <w:spacing w:lineRule="auto" w:line="480"/>
        <w:jc w:val="both"/>
        <w:rPr>
          <w:rFonts w:ascii="Times New Roman" w:hAnsi="Times New Roman"/>
          <w:sz w:val="24"/>
          <w:szCs w:val="24"/>
        </w:rPr>
      </w:pPr>
      <w:r>
        <w:rPr>
          <w:rFonts w:ascii="Times New Roman" w:hAnsi="Times New Roman"/>
          <w:sz w:val="24"/>
          <w:szCs w:val="24"/>
        </w:rPr>
        <w:t>Water bath</w:t>
      </w:r>
    </w:p>
    <w:p>
      <w:pPr>
        <w:pStyle w:val="style0"/>
        <w:spacing w:lineRule="auto" w:line="480"/>
        <w:jc w:val="both"/>
        <w:rPr>
          <w:rFonts w:ascii="Times New Roman" w:hAnsi="Times New Roman"/>
          <w:sz w:val="24"/>
          <w:szCs w:val="24"/>
        </w:rPr>
      </w:pPr>
      <w:r>
        <w:rPr>
          <w:rFonts w:ascii="Times New Roman" w:hAnsi="Times New Roman"/>
          <w:sz w:val="24"/>
          <w:szCs w:val="24"/>
        </w:rPr>
        <w:t>Soxhlet extractor</w:t>
      </w:r>
    </w:p>
    <w:p>
      <w:pPr>
        <w:pStyle w:val="style0"/>
        <w:spacing w:lineRule="auto" w:line="480"/>
        <w:jc w:val="both"/>
        <w:rPr>
          <w:rFonts w:ascii="Times New Roman" w:hAnsi="Times New Roman"/>
          <w:sz w:val="24"/>
          <w:szCs w:val="24"/>
        </w:rPr>
      </w:pPr>
      <w:r>
        <w:rPr>
          <w:rFonts w:ascii="Times New Roman" w:hAnsi="Times New Roman"/>
          <w:sz w:val="24"/>
          <w:szCs w:val="24"/>
        </w:rPr>
        <w:t>Rotary evaporator</w:t>
      </w:r>
    </w:p>
    <w:p>
      <w:pPr>
        <w:pStyle w:val="style0"/>
        <w:spacing w:lineRule="auto" w:line="480"/>
        <w:jc w:val="both"/>
        <w:rPr>
          <w:rFonts w:ascii="Times New Roman" w:hAnsi="Times New Roman"/>
          <w:sz w:val="24"/>
          <w:szCs w:val="24"/>
        </w:rPr>
      </w:pPr>
      <w:r>
        <w:rPr>
          <w:rFonts w:ascii="Times New Roman" w:hAnsi="Times New Roman"/>
          <w:b/>
          <w:bCs/>
          <w:sz w:val="24"/>
          <w:szCs w:val="24"/>
        </w:rPr>
        <w:t>3.3 PLANT MATERIAL COLLECTION</w:t>
      </w:r>
    </w:p>
    <w:p>
      <w:pPr>
        <w:pStyle w:val="style0"/>
        <w:spacing w:lineRule="auto" w:line="480"/>
        <w:jc w:val="both"/>
        <w:rPr>
          <w:rFonts w:ascii="Times New Roman" w:hAnsi="Times New Roman"/>
          <w:sz w:val="24"/>
          <w:szCs w:val="24"/>
        </w:rPr>
      </w:pPr>
      <w:r>
        <w:rPr>
          <w:rFonts w:ascii="Times New Roman" w:hAnsi="Times New Roman"/>
          <w:sz w:val="24"/>
          <w:szCs w:val="24"/>
        </w:rPr>
        <w:t>Fresh leaves of Phyllanthus amarus was  collected from Baba-Ode area at Ilorin in Kwara state, Nigeria. The plant was authenticated by a taxonomist in the Department of Botany, University of Ilorin, and a voucher specimen with number (VILH\001\1051\ 2025) deposited in the department herbarium for reference.</w:t>
      </w:r>
    </w:p>
    <w:p>
      <w:pPr>
        <w:pStyle w:val="style0"/>
        <w:spacing w:lineRule="auto" w:line="480"/>
        <w:jc w:val="both"/>
        <w:rPr>
          <w:rFonts w:ascii="Times New Roman" w:hAnsi="Times New Roman"/>
          <w:sz w:val="24"/>
          <w:szCs w:val="24"/>
        </w:rPr>
      </w:pPr>
      <w:r>
        <w:rPr>
          <w:rFonts w:ascii="Times New Roman" w:hAnsi="Times New Roman"/>
          <w:b/>
          <w:bCs/>
          <w:sz w:val="24"/>
          <w:szCs w:val="24"/>
        </w:rPr>
        <w:t>3.4 EXPERIMENTAL ANIMALS</w:t>
      </w:r>
    </w:p>
    <w:p>
      <w:pPr>
        <w:pStyle w:val="style0"/>
        <w:spacing w:lineRule="auto" w:line="480"/>
        <w:jc w:val="both"/>
        <w:rPr>
          <w:rFonts w:ascii="Times New Roman" w:hAnsi="Times New Roman"/>
          <w:sz w:val="24"/>
          <w:szCs w:val="24"/>
        </w:rPr>
      </w:pPr>
      <w:r>
        <w:rPr>
          <w:rFonts w:ascii="Times New Roman" w:hAnsi="Times New Roman"/>
          <w:sz w:val="24"/>
          <w:szCs w:val="24"/>
        </w:rPr>
        <w:t>Twenty-five (25) male Wistar albino rats weighing 150–200 g was obtained from the animal house of Fulcrum Innovative Research Laboratory Tanke, Ilorin. The animals was housed under standard laboratory conditions (12 h light/12 h dark cycle, temperature 25 ± 2°C) with free access to standard rat chow and water ad libitum.</w:t>
      </w:r>
    </w:p>
    <w:p>
      <w:pPr>
        <w:pStyle w:val="style0"/>
        <w:spacing w:lineRule="auto" w:line="480"/>
        <w:jc w:val="both"/>
        <w:rPr>
          <w:rFonts w:ascii="Times New Roman" w:hAnsi="Times New Roman"/>
          <w:sz w:val="24"/>
          <w:szCs w:val="24"/>
        </w:rPr>
      </w:pPr>
      <w:r>
        <w:rPr>
          <w:rFonts w:ascii="Times New Roman" w:hAnsi="Times New Roman"/>
          <w:sz w:val="24"/>
          <w:szCs w:val="24"/>
        </w:rPr>
        <w:t>The animals was acclimatized for two weeks prior to the commencement of the experiment. Ethical approval for animal use was obtained from the Institutional Animal Care and Use Committee (IACUC) of Kwara State Polytechnic.</w:t>
      </w:r>
    </w:p>
    <w:p>
      <w:pPr>
        <w:pStyle w:val="style0"/>
        <w:spacing w:lineRule="auto" w:line="480"/>
        <w:jc w:val="both"/>
        <w:rPr>
          <w:rFonts w:ascii="Times New Roman" w:hAnsi="Times New Roman"/>
          <w:b/>
          <w:bCs/>
          <w:sz w:val="24"/>
          <w:szCs w:val="24"/>
        </w:rPr>
      </w:pPr>
      <w:r>
        <w:rPr>
          <w:rFonts w:ascii="Times New Roman" w:hAnsi="Times New Roman"/>
          <w:b/>
          <w:bCs/>
          <w:sz w:val="24"/>
          <w:szCs w:val="24"/>
        </w:rPr>
        <w:t>3.5ANIMAL GROUPING AND SCHEDULE</w:t>
      </w:r>
    </w:p>
    <w:p>
      <w:pPr>
        <w:pStyle w:val="style0"/>
        <w:spacing w:lineRule="auto" w:line="480"/>
        <w:jc w:val="both"/>
        <w:rPr>
          <w:rFonts w:ascii="Times New Roman" w:hAnsi="Times New Roman"/>
          <w:sz w:val="24"/>
          <w:szCs w:val="24"/>
        </w:rPr>
      </w:pPr>
      <w:r>
        <w:rPr>
          <w:rFonts w:ascii="Times New Roman" w:hAnsi="Times New Roman"/>
          <w:sz w:val="24"/>
          <w:szCs w:val="24"/>
        </w:rPr>
        <w:t>The animals were randomly divided into five groups of five (5) rats. Group I was the control group, received distilled water, and Group II received water and standard feed for 14 days, while Metformin (14.3 mg/kg) was given as a standard drug to Group III. Ethanolic extracts of PAE at a dose of 200 mg/kg and 400 mg/kg were administered for 14 days to rats in Groups IV and V, respectively. All rats were sacrificed 12 hrs after administration. The blood was collected by jugular puncture into EDTA bottles, and samples were centrifuged at 2500 rpm for 10 min to obtain the plasma and stored at -20°C until ready for analysis.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3.6 EXTRACTION PROCEDURE ON PLANT MATERIAL </w:t>
      </w:r>
    </w:p>
    <w:p>
      <w:pPr>
        <w:pStyle w:val="style0"/>
        <w:spacing w:lineRule="auto" w:line="480"/>
        <w:jc w:val="both"/>
        <w:rPr>
          <w:rFonts w:ascii="Times New Roman" w:hAnsi="Times New Roman"/>
          <w:sz w:val="24"/>
          <w:szCs w:val="24"/>
        </w:rPr>
      </w:pPr>
      <w:r>
        <w:rPr>
          <w:rFonts w:ascii="Times New Roman" w:hAnsi="Times New Roman"/>
          <w:sz w:val="24"/>
          <w:szCs w:val="24"/>
        </w:rPr>
        <w:t>The leaves was washed, air-dried under shade for 7–10 days, and pulverized using a mechanical grinder. T</w:t>
      </w:r>
      <w:r>
        <w:rPr>
          <w:rFonts w:ascii="Times New Roman" w:hAnsi="Times New Roman"/>
          <w:sz w:val="24"/>
          <w:szCs w:val="24"/>
        </w:rPr>
        <w:t xml:space="preserve">he 200g of powdered leaves was </w:t>
      </w:r>
      <w:r>
        <w:rPr>
          <w:rFonts w:ascii="Times New Roman" w:hAnsi="Times New Roman"/>
          <w:sz w:val="24"/>
          <w:szCs w:val="24"/>
        </w:rPr>
        <w:t>extracted with 1L of ethanol using a Soxhlet extractor.</w:t>
      </w:r>
      <w:r>
        <w:rPr>
          <w:rFonts w:ascii="Times New Roman" w:hAnsi="Times New Roman"/>
          <w:sz w:val="24"/>
          <w:szCs w:val="24"/>
        </w:rPr>
        <w:t xml:space="preserve"> </w:t>
      </w:r>
      <w:r>
        <w:rPr>
          <w:rFonts w:ascii="Times New Roman" w:hAnsi="Times New Roman"/>
          <w:sz w:val="24"/>
          <w:szCs w:val="24"/>
        </w:rPr>
        <w:t>The extract was allowed to stand for 24 to 72 hours. Then after that filteration. The extract will be concentrated using a rotary evaporator under reduced pressure and stored in a refrigerator at 4°C until use.</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3.7 QUALITATIVE PHYTOCHEMICAL SCREENING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Phytochemical analysis extract was carried out using the method described by Odebiyi and  Sofowora (2024) for the detection of saponins, tannins, phenolics, alkaloids, steroids, triterpenes, phlobatannins, glycosides and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 Alkaloids: </w:t>
      </w:r>
      <w:r>
        <w:rPr>
          <w:rFonts w:ascii="Times New Roman" w:hAnsi="Times New Roman"/>
          <w:sz w:val="24"/>
          <w:szCs w:val="24"/>
        </w:rPr>
        <w:t xml:space="preserve">1cmᶟ of 1%HCl was added to 3cmᶟ of the extracts in a test tube. The mixture was heated for 20 minutes, cooled and filtered. The filtrate was used in the following tests: 2 drops of Wagner’s reagent was added to 1cmᶟ of the extracts. A reddish brown precipitate indicates the presence of alkaloids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2. Tannins: </w:t>
      </w:r>
      <w:r>
        <w:rPr>
          <w:rFonts w:ascii="Times New Roman" w:hAnsi="Times New Roman"/>
          <w:sz w:val="24"/>
          <w:szCs w:val="24"/>
        </w:rPr>
        <w:t xml:space="preserve">1cmᶟ of freshly prepared 10% KOH was added to 1cmᶟof the extracts. A dirty white precipitate indicates the presence of tannins.  </w:t>
      </w:r>
    </w:p>
    <w:p>
      <w:pPr>
        <w:pStyle w:val="style0"/>
        <w:spacing w:lineRule="auto" w:line="480"/>
        <w:jc w:val="both"/>
        <w:rPr>
          <w:rFonts w:ascii="Times New Roman" w:hAnsi="Times New Roman"/>
          <w:sz w:val="24"/>
          <w:szCs w:val="24"/>
        </w:rPr>
      </w:pPr>
      <w:r>
        <w:rPr>
          <w:rFonts w:ascii="Times New Roman" w:hAnsi="Times New Roman"/>
          <w:b/>
          <w:bCs/>
          <w:sz w:val="24"/>
          <w:szCs w:val="24"/>
        </w:rPr>
        <w:t>3. Phenolics</w:t>
      </w:r>
      <w:r>
        <w:rPr>
          <w:rFonts w:ascii="Times New Roman" w:hAnsi="Times New Roman"/>
          <w:sz w:val="24"/>
          <w:szCs w:val="24"/>
        </w:rPr>
        <w:t xml:space="preserve">: 2 drops of 5% FeCl₃ was added to 1cmᶟ of the extracts in a test tube. A greenish precipitate indicates the presence of phenolics.  </w:t>
      </w:r>
    </w:p>
    <w:p>
      <w:pPr>
        <w:pStyle w:val="style0"/>
        <w:spacing w:lineRule="auto" w:line="480"/>
        <w:jc w:val="both"/>
        <w:rPr>
          <w:rFonts w:ascii="Times New Roman" w:hAnsi="Times New Roman"/>
          <w:sz w:val="24"/>
          <w:szCs w:val="24"/>
        </w:rPr>
      </w:pPr>
      <w:r>
        <w:rPr>
          <w:rFonts w:ascii="Times New Roman" w:hAnsi="Times New Roman"/>
          <w:b/>
          <w:bCs/>
          <w:sz w:val="24"/>
          <w:szCs w:val="24"/>
        </w:rPr>
        <w:t>4. Glycosides</w:t>
      </w:r>
      <w:r>
        <w:rPr>
          <w:rFonts w:ascii="Times New Roman" w:hAnsi="Times New Roman"/>
          <w:sz w:val="24"/>
          <w:szCs w:val="24"/>
        </w:rPr>
        <w:t xml:space="preserve">: 10cmᶟ of 50% H₂SO₄ was added to 1cmᶟ of the extracts, the mixture was heated in boiling water for 15 minutes. 10cmᶟ of Fehling’s solution was added and the mixture boiled. A brick red precipitate indicates the presence of glycosides.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5. Saponins: </w:t>
      </w:r>
      <w:r>
        <w:rPr>
          <w:rFonts w:ascii="Times New Roman" w:hAnsi="Times New Roman"/>
          <w:sz w:val="24"/>
          <w:szCs w:val="24"/>
        </w:rPr>
        <w:t xml:space="preserve"> Frothing test: 2cmᶟ of the extract in a test tube was vigorously shaken for 2 minutes. Frothing indicates the presence of saponins. </w:t>
      </w:r>
    </w:p>
    <w:p>
      <w:pPr>
        <w:pStyle w:val="style0"/>
        <w:spacing w:lineRule="auto" w:line="480"/>
        <w:jc w:val="both"/>
        <w:rPr>
          <w:rFonts w:ascii="Times New Roman" w:hAnsi="Times New Roman"/>
          <w:sz w:val="24"/>
          <w:szCs w:val="24"/>
        </w:rPr>
      </w:pPr>
      <w:r>
        <w:rPr>
          <w:rFonts w:ascii="Times New Roman" w:hAnsi="Times New Roman"/>
          <w:b/>
          <w:bCs/>
          <w:sz w:val="24"/>
          <w:szCs w:val="24"/>
        </w:rPr>
        <w:t>6. Flavonoids:</w:t>
      </w:r>
      <w:r>
        <w:rPr>
          <w:rFonts w:ascii="Times New Roman" w:hAnsi="Times New Roman"/>
          <w:sz w:val="24"/>
          <w:szCs w:val="24"/>
        </w:rPr>
        <w:t xml:space="preserve"> 1cmᶟ of 10% NaOH was added to 3cmᶟ of the extracts. A yellow colouration indicates the presence of flavonoids.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7. Steroids: </w:t>
      </w:r>
      <w:r>
        <w:rPr>
          <w:rFonts w:ascii="Times New Roman" w:hAnsi="Times New Roman"/>
          <w:sz w:val="24"/>
          <w:szCs w:val="24"/>
        </w:rPr>
        <w:t xml:space="preserve">salakowsti test: 5 drops of concentrated H₂SO₄ was added to 1cmᶟ of the extracts. Red colouration indicates the presence of steroids </w:t>
      </w:r>
    </w:p>
    <w:p>
      <w:pPr>
        <w:pStyle w:val="style0"/>
        <w:spacing w:lineRule="auto" w:line="480"/>
        <w:jc w:val="both"/>
        <w:rPr>
          <w:rFonts w:ascii="Times New Roman" w:hAnsi="Times New Roman"/>
          <w:sz w:val="24"/>
          <w:szCs w:val="24"/>
        </w:rPr>
      </w:pPr>
      <w:r>
        <w:rPr>
          <w:rFonts w:ascii="Times New Roman" w:hAnsi="Times New Roman"/>
          <w:b/>
          <w:bCs/>
          <w:sz w:val="24"/>
          <w:szCs w:val="24"/>
        </w:rPr>
        <w:t>8. Phlobatannins</w:t>
      </w:r>
      <w:r>
        <w:rPr>
          <w:rFonts w:ascii="Times New Roman" w:hAnsi="Times New Roman"/>
          <w:sz w:val="24"/>
          <w:szCs w:val="24"/>
        </w:rPr>
        <w:t xml:space="preserve">: 1cmᶟ of the extracts was added to 1% HCl. A red precipitate indicates the presence of phlobatannins. </w:t>
      </w:r>
    </w:p>
    <w:p>
      <w:pPr>
        <w:pStyle w:val="style0"/>
        <w:spacing w:lineRule="auto" w:line="480"/>
        <w:jc w:val="both"/>
        <w:rPr>
          <w:rFonts w:ascii="Times New Roman" w:hAnsi="Times New Roman"/>
          <w:sz w:val="24"/>
          <w:szCs w:val="24"/>
        </w:rPr>
      </w:pPr>
      <w:r>
        <w:rPr>
          <w:rFonts w:ascii="Times New Roman" w:hAnsi="Times New Roman"/>
          <w:b/>
          <w:bCs/>
          <w:sz w:val="24"/>
          <w:szCs w:val="24"/>
        </w:rPr>
        <w:t>9. Terpenoids</w:t>
      </w:r>
      <w:r>
        <w:rPr>
          <w:rFonts w:ascii="Times New Roman" w:hAnsi="Times New Roman"/>
          <w:sz w:val="24"/>
          <w:szCs w:val="24"/>
        </w:rPr>
        <w:t xml:space="preserve">: 5ml of aqueous extract of the sample is mixed with 2ml of CHCl3 in a test tube 3ml of con. H2SO4 is carefully added to the mixture to form a layer. An interface with a reddish brown coloration is formed if terpenoids constituent is present.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10.  Amino acid </w:t>
      </w:r>
      <w:r>
        <w:rPr>
          <w:rFonts w:ascii="Times New Roman" w:hAnsi="Times New Roman"/>
          <w:sz w:val="24"/>
          <w:szCs w:val="24"/>
        </w:rPr>
        <w:t xml:space="preserve">(Yasuma and Ichikawa 2023): Two drops of ninhydrin solution (10mg of ninhydrin in 200ml of acetone) are added to two ml of aqueous filtrate. A characteristic purple colour indicates the presence of amino acids.  </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 ANTIDABETIC STUDY ON EXTRACT </w:t>
      </w:r>
    </w:p>
    <w:p>
      <w:pPr>
        <w:pStyle w:val="style0"/>
        <w:spacing w:lineRule="auto" w:line="480"/>
        <w:jc w:val="both"/>
        <w:rPr>
          <w:rFonts w:ascii="Times New Roman" w:hAnsi="Times New Roman"/>
          <w:sz w:val="24"/>
          <w:szCs w:val="24"/>
        </w:rPr>
      </w:pPr>
      <w:r>
        <w:rPr>
          <w:rFonts w:ascii="Times New Roman" w:hAnsi="Times New Roman"/>
          <w:sz w:val="24"/>
          <w:szCs w:val="24"/>
        </w:rPr>
        <w:t>As earlier described in section 3.4, animals will be grouped into five treatment groups to compare the effect of P. amarus extract with both diabetic and non-diabetic controls, as well as a standard antidiabetic drug.Treatments was administered orally once daily for 14 days via syringe.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Table 1: Antidabetic study on extract </w:t>
      </w:r>
    </w:p>
    <w:tbl>
      <w:tblPr>
        <w:tblW w:w="0" w:type="auto"/>
        <w:tblLook w:val="04A0" w:firstRow="1" w:lastRow="0" w:firstColumn="1" w:lastColumn="0" w:noHBand="0" w:noVBand="1"/>
      </w:tblPr>
      <w:tblGrid>
        <w:gridCol w:w="1022"/>
        <w:gridCol w:w="4079"/>
        <w:gridCol w:w="3022"/>
      </w:tblGrid>
      <w:tr>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Group </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Treatment </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Number of Rats (n)</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1</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Normal control ( distilled water)</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2</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Diabetic control (STZ only)</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3</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Metformin (100 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rHeight w:val="143" w:hRule="atLeast"/>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4</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(200mg/kg)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r>
        <w:tblPrEx/>
        <w:trPr/>
        <w:tc>
          <w:tcPr>
            <w:tcW w:w="1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c>
          <w:tcPr>
            <w:tcW w:w="407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STZ + P.amarus (400mg/kg)</w:t>
            </w:r>
          </w:p>
        </w:tc>
        <w:tc>
          <w:tcPr>
            <w:tcW w:w="302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b/>
                <w:bCs/>
                <w:sz w:val="24"/>
                <w:szCs w:val="24"/>
              </w:rPr>
              <w:t>5</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3.8.1 INDUCTION OF DIABETES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Diabetes was </w:t>
      </w:r>
      <w:r>
        <w:rPr>
          <w:rFonts w:ascii="Times New Roman" w:hAnsi="Times New Roman"/>
          <w:sz w:val="24"/>
          <w:szCs w:val="24"/>
        </w:rPr>
        <w:t>induced by a single intraperitoneal injection of STZ at a dose of 0.2ml per 35mg/kg body weight, dissolved in freshly prepared cold citrate buffer (pH 4.5). After 24 hours, fasting blood glucose levels will be measured using a glucometer. Rats with blood glucose levels ≥250 mg/dL will be considered diabetic and selected for the study.</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3.8.2 EXPERIMENTAL DESIGN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rats via </w:t>
      </w:r>
      <w:r>
        <w:rPr>
          <w:rFonts w:ascii="Times New Roman" w:hAnsi="Times New Roman"/>
          <w:sz w:val="24"/>
          <w:szCs w:val="24"/>
        </w:rPr>
        <w:t>randomly divided into five (5) groups (n = 5) as follows:</w:t>
      </w:r>
    </w:p>
    <w:p>
      <w:pPr>
        <w:pStyle w:val="style0"/>
        <w:spacing w:lineRule="auto" w:line="480"/>
        <w:jc w:val="both"/>
        <w:rPr>
          <w:rFonts w:ascii="Times New Roman" w:hAnsi="Times New Roman"/>
          <w:sz w:val="24"/>
          <w:szCs w:val="24"/>
        </w:rPr>
      </w:pPr>
      <w:r>
        <w:rPr>
          <w:rFonts w:ascii="Times New Roman" w:hAnsi="Times New Roman"/>
          <w:sz w:val="24"/>
          <w:szCs w:val="24"/>
        </w:rPr>
        <w:t>Group I: Normal control (non-diabetic, received normal saline)</w:t>
      </w:r>
    </w:p>
    <w:p>
      <w:pPr>
        <w:pStyle w:val="style0"/>
        <w:spacing w:lineRule="auto" w:line="480"/>
        <w:jc w:val="both"/>
        <w:rPr>
          <w:rFonts w:ascii="Times New Roman" w:hAnsi="Times New Roman"/>
          <w:sz w:val="24"/>
          <w:szCs w:val="24"/>
        </w:rPr>
      </w:pPr>
      <w:r>
        <w:rPr>
          <w:rFonts w:ascii="Times New Roman" w:hAnsi="Times New Roman"/>
          <w:sz w:val="24"/>
          <w:szCs w:val="24"/>
        </w:rPr>
        <w:t>Group II: Diabetic (Negative) control (STZ-induced, untreated)</w:t>
      </w:r>
    </w:p>
    <w:p>
      <w:pPr>
        <w:pStyle w:val="style0"/>
        <w:spacing w:lineRule="auto" w:line="480"/>
        <w:jc w:val="both"/>
        <w:rPr>
          <w:rFonts w:ascii="Times New Roman" w:hAnsi="Times New Roman"/>
          <w:sz w:val="24"/>
          <w:szCs w:val="24"/>
        </w:rPr>
      </w:pPr>
      <w:r>
        <w:rPr>
          <w:rFonts w:ascii="Times New Roman" w:hAnsi="Times New Roman"/>
          <w:sz w:val="24"/>
          <w:szCs w:val="24"/>
        </w:rPr>
        <w:t>Group III:  standard antidiabetic drug (metformin 100 mg/kg)</w:t>
      </w:r>
    </w:p>
    <w:p>
      <w:pPr>
        <w:pStyle w:val="style0"/>
        <w:spacing w:lineRule="auto" w:line="480"/>
        <w:jc w:val="both"/>
        <w:rPr>
          <w:rFonts w:ascii="Times New Roman" w:hAnsi="Times New Roman"/>
          <w:sz w:val="24"/>
          <w:szCs w:val="24"/>
        </w:rPr>
      </w:pPr>
      <w:r>
        <w:rPr>
          <w:rFonts w:ascii="Times New Roman" w:hAnsi="Times New Roman"/>
          <w:sz w:val="24"/>
          <w:szCs w:val="24"/>
        </w:rPr>
        <w:t>Group IV: Diabetic + P. amarus extract (low dose., 200 mg/kg)</w:t>
      </w:r>
    </w:p>
    <w:p>
      <w:pPr>
        <w:pStyle w:val="style0"/>
        <w:spacing w:lineRule="auto" w:line="480"/>
        <w:jc w:val="both"/>
        <w:rPr>
          <w:rFonts w:ascii="Times New Roman" w:hAnsi="Times New Roman"/>
          <w:sz w:val="24"/>
          <w:szCs w:val="24"/>
        </w:rPr>
      </w:pPr>
      <w:r>
        <w:rPr>
          <w:rFonts w:ascii="Times New Roman" w:hAnsi="Times New Roman"/>
          <w:sz w:val="24"/>
          <w:szCs w:val="24"/>
        </w:rPr>
        <w:t>Group V: Diabetic + P. amarus extract (high dose,  400 mg/kg)</w:t>
      </w:r>
    </w:p>
    <w:p>
      <w:pPr>
        <w:pStyle w:val="style0"/>
        <w:spacing w:lineRule="auto" w:line="480"/>
        <w:jc w:val="both"/>
        <w:rPr>
          <w:rFonts w:ascii="Times New Roman" w:hAnsi="Times New Roman"/>
          <w:sz w:val="24"/>
          <w:szCs w:val="24"/>
        </w:rPr>
      </w:pPr>
      <w:r>
        <w:rPr>
          <w:rFonts w:ascii="Times New Roman" w:hAnsi="Times New Roman"/>
          <w:sz w:val="24"/>
          <w:szCs w:val="24"/>
        </w:rPr>
        <w:t>Treatment was</w:t>
      </w:r>
      <w:r>
        <w:rPr>
          <w:rFonts w:ascii="Times New Roman" w:hAnsi="Times New Roman"/>
          <w:sz w:val="24"/>
          <w:szCs w:val="24"/>
        </w:rPr>
        <w:t xml:space="preserve"> administered orally for 14 consecutive days.</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3.8.3 DETERMINATION OF BLOOD GLUCOSE LEVELS </w:t>
      </w:r>
    </w:p>
    <w:p>
      <w:pPr>
        <w:pStyle w:val="style0"/>
        <w:spacing w:lineRule="auto" w:line="480"/>
        <w:jc w:val="both"/>
        <w:rPr>
          <w:rFonts w:ascii="Times New Roman" w:hAnsi="Times New Roman"/>
          <w:sz w:val="24"/>
          <w:szCs w:val="24"/>
        </w:rPr>
      </w:pPr>
      <w:r>
        <w:rPr>
          <w:rFonts w:ascii="Times New Roman" w:hAnsi="Times New Roman"/>
          <w:sz w:val="24"/>
          <w:szCs w:val="24"/>
        </w:rPr>
        <w:t>Blood glucose levels was determined to evaluate the antidiabetic effect of Phyllanthus amarus leaf extract in STZ-induced diabetic rats.</w:t>
      </w:r>
    </w:p>
    <w:p>
      <w:pPr>
        <w:pStyle w:val="style0"/>
        <w:spacing w:lineRule="auto" w:line="480"/>
        <w:jc w:val="both"/>
        <w:rPr>
          <w:rFonts w:ascii="Times New Roman" w:hAnsi="Times New Roman"/>
          <w:sz w:val="24"/>
          <w:szCs w:val="24"/>
        </w:rPr>
      </w:pPr>
      <w:r>
        <w:rPr>
          <w:rFonts w:ascii="Times New Roman" w:hAnsi="Times New Roman"/>
          <w:b/>
          <w:bCs/>
          <w:sz w:val="24"/>
          <w:szCs w:val="24"/>
        </w:rPr>
        <w:t>Sample Collection for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obtained from the tail vein of each rat after overnight fasting (12 hours).</w:t>
      </w:r>
    </w:p>
    <w:p>
      <w:pPr>
        <w:pStyle w:val="style0"/>
        <w:spacing w:lineRule="auto" w:line="480"/>
        <w:jc w:val="both"/>
        <w:rPr>
          <w:rFonts w:ascii="Times New Roman" w:hAnsi="Times New Roman"/>
          <w:sz w:val="24"/>
          <w:szCs w:val="24"/>
        </w:rPr>
      </w:pPr>
      <w:r>
        <w:rPr>
          <w:rFonts w:ascii="Times New Roman" w:hAnsi="Times New Roman"/>
          <w:sz w:val="24"/>
          <w:szCs w:val="24"/>
        </w:rPr>
        <w:t>Blood was collected at predetermined intervals: Day 0 (baseline), Day 7, Day 14 of treatment.</w:t>
      </w:r>
    </w:p>
    <w:p>
      <w:pPr>
        <w:pStyle w:val="style0"/>
        <w:spacing w:lineRule="auto" w:line="480"/>
        <w:jc w:val="both"/>
        <w:rPr>
          <w:rFonts w:ascii="Times New Roman" w:hAnsi="Times New Roman"/>
          <w:sz w:val="24"/>
          <w:szCs w:val="24"/>
        </w:rPr>
      </w:pPr>
      <w:r>
        <w:rPr>
          <w:rFonts w:ascii="Times New Roman" w:hAnsi="Times New Roman"/>
          <w:sz w:val="24"/>
          <w:szCs w:val="24"/>
        </w:rPr>
        <w:t>On Day 14, animals were sacrificed on this day</w:t>
      </w:r>
    </w:p>
    <w:p>
      <w:pPr>
        <w:pStyle w:val="style0"/>
        <w:spacing w:lineRule="auto" w:line="480"/>
        <w:jc w:val="both"/>
        <w:rPr>
          <w:rFonts w:ascii="Times New Roman" w:hAnsi="Times New Roman"/>
          <w:sz w:val="24"/>
          <w:szCs w:val="24"/>
        </w:rPr>
      </w:pPr>
      <w:r>
        <w:rPr>
          <w:rFonts w:ascii="Times New Roman" w:hAnsi="Times New Roman"/>
          <w:b/>
          <w:bCs/>
          <w:sz w:val="24"/>
          <w:szCs w:val="24"/>
        </w:rPr>
        <w:t>Method of Glucose Estimation</w:t>
      </w:r>
    </w:p>
    <w:p>
      <w:pPr>
        <w:pStyle w:val="style0"/>
        <w:spacing w:lineRule="auto" w:line="480"/>
        <w:jc w:val="both"/>
        <w:rPr>
          <w:rFonts w:ascii="Times New Roman" w:hAnsi="Times New Roman"/>
          <w:sz w:val="24"/>
          <w:szCs w:val="24"/>
        </w:rPr>
      </w:pPr>
      <w:r>
        <w:rPr>
          <w:rFonts w:ascii="Times New Roman" w:hAnsi="Times New Roman"/>
          <w:sz w:val="24"/>
          <w:szCs w:val="24"/>
        </w:rPr>
        <w:t>Blood glucose concentration was measured using a glucometer (e.g., Accu-Chek® Active or equivalent), based on the glucose oxidase-peroxidase (GOD-POD) enzymatic method.</w:t>
      </w:r>
    </w:p>
    <w:p>
      <w:pPr>
        <w:pStyle w:val="style0"/>
        <w:spacing w:lineRule="auto" w:line="480"/>
        <w:jc w:val="both"/>
        <w:rPr>
          <w:rFonts w:ascii="Times New Roman" w:hAnsi="Times New Roman"/>
          <w:sz w:val="24"/>
          <w:szCs w:val="24"/>
        </w:rPr>
      </w:pPr>
      <w:r>
        <w:rPr>
          <w:rFonts w:ascii="Times New Roman" w:hAnsi="Times New Roman"/>
          <w:sz w:val="24"/>
          <w:szCs w:val="24"/>
        </w:rPr>
        <w:t>A drop of fresh blood is placed on the test strip, and the glucometer provides the glucose concentration in mg/dL.</w:t>
      </w:r>
    </w:p>
    <w:p>
      <w:pPr>
        <w:pStyle w:val="style0"/>
        <w:spacing w:lineRule="auto" w:line="480"/>
        <w:jc w:val="both"/>
        <w:rPr>
          <w:rFonts w:ascii="Times New Roman" w:hAnsi="Times New Roman"/>
          <w:sz w:val="24"/>
          <w:szCs w:val="24"/>
        </w:rPr>
      </w:pPr>
      <w:r>
        <w:rPr>
          <w:rFonts w:ascii="Times New Roman" w:hAnsi="Times New Roman"/>
          <w:sz w:val="24"/>
          <w:szCs w:val="24"/>
        </w:rPr>
        <w:t>Table2: Timeline of Blood Glucose Monitoring and Treatment Schedule</w:t>
      </w:r>
    </w:p>
    <w:tbl>
      <w:tblPr>
        <w:tblW w:w="9763" w:type="dxa"/>
        <w:tblLook w:val="04A0" w:firstRow="1" w:lastRow="0" w:firstColumn="1" w:lastColumn="0" w:noHBand="0" w:noVBand="1"/>
      </w:tblPr>
      <w:tblGrid>
        <w:gridCol w:w="3281"/>
        <w:gridCol w:w="6482"/>
      </w:tblGrid>
      <w:tr>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ACTIVITY </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-7 to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Acclimatization of animals to laboratory conditions</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Day 0</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STZ administration (single intraperitoneal dose); start diabetes induction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Fasting Blood Glucose (FBG) screening: Identify diabetic rats (≥250 mg/dL)</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3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Initiation of treatment with extract/drug.</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6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FBG monitoring to evaluate early treatment effect</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10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Final FBG measurement, followed by OGTT and sample collection</w:t>
            </w:r>
          </w:p>
        </w:tc>
      </w:tr>
      <w:tr>
        <w:tblPrEx/>
        <w:trPr/>
        <w:tc>
          <w:tcPr>
            <w:tcW w:w="328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Day 15 </w:t>
            </w:r>
          </w:p>
        </w:tc>
        <w:tc>
          <w:tcPr>
            <w:tcW w:w="648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Animal sacrifice and collection of blood and tissues for analysis</w:t>
            </w: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Key Notes: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Daily oral administration of </w:t>
      </w:r>
      <w:r>
        <w:rPr>
          <w:rFonts w:ascii="Times New Roman" w:hAnsi="Times New Roman"/>
          <w:i/>
          <w:sz w:val="24"/>
          <w:szCs w:val="24"/>
        </w:rPr>
        <w:t>Phyllanthus amarus</w:t>
      </w:r>
      <w:r>
        <w:rPr>
          <w:rFonts w:ascii="Times New Roman" w:hAnsi="Times New Roman"/>
          <w:sz w:val="24"/>
          <w:szCs w:val="24"/>
        </w:rPr>
        <w:t xml:space="preserve"> extract, metformin, or saline is done from Day 1 to Day 15 (14 days).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I </w:t>
      </w:r>
      <w:r>
        <w:rPr>
          <w:rFonts w:ascii="Times New Roman" w:hAnsi="Times New Roman"/>
          <w:sz w:val="24"/>
          <w:szCs w:val="24"/>
        </w:rPr>
        <w:t>Ensured</w:t>
      </w:r>
      <w:r>
        <w:rPr>
          <w:rFonts w:ascii="Times New Roman" w:hAnsi="Times New Roman"/>
          <w:sz w:val="24"/>
          <w:szCs w:val="24"/>
        </w:rPr>
        <w:t xml:space="preserve"> fasting (12 hours) before each FBG</w:t>
      </w:r>
      <w:r>
        <w:rPr>
          <w:rFonts w:ascii="Times New Roman" w:hAnsi="Times New Roman"/>
          <w:sz w:val="24"/>
          <w:szCs w:val="24"/>
        </w:rPr>
        <w:t xml:space="preserve"> </w:t>
      </w:r>
      <w:r>
        <w:rPr>
          <w:rFonts w:ascii="Times New Roman" w:hAnsi="Times New Roman"/>
          <w:sz w:val="24"/>
          <w:szCs w:val="24"/>
        </w:rPr>
        <w:t>measurement and OGTT.</w:t>
      </w:r>
    </w:p>
    <w:p>
      <w:pPr>
        <w:pStyle w:val="style0"/>
        <w:spacing w:lineRule="auto" w:line="480"/>
        <w:jc w:val="both"/>
        <w:rPr>
          <w:rFonts w:ascii="Times New Roman" w:hAnsi="Times New Roman"/>
          <w:sz w:val="24"/>
          <w:szCs w:val="24"/>
        </w:rPr>
      </w:pPr>
      <w:r>
        <w:rPr>
          <w:rFonts w:ascii="Times New Roman" w:hAnsi="Times New Roman"/>
          <w:b/>
          <w:bCs/>
          <w:sz w:val="24"/>
          <w:szCs w:val="24"/>
        </w:rPr>
        <w:t>3.8.4 DETERMINATION OF CHANGE IN BODY WEIGHT PERCENTAGE %</w:t>
      </w:r>
    </w:p>
    <w:p>
      <w:pPr>
        <w:pStyle w:val="style0"/>
        <w:spacing w:lineRule="auto" w:line="480"/>
        <w:jc w:val="both"/>
        <w:rPr>
          <w:rFonts w:ascii="Times New Roman" w:hAnsi="Times New Roman"/>
          <w:sz w:val="24"/>
          <w:szCs w:val="24"/>
        </w:rPr>
      </w:pPr>
      <w:r>
        <w:rPr>
          <w:rFonts w:ascii="Times New Roman" w:hAnsi="Times New Roman"/>
          <w:sz w:val="24"/>
          <w:szCs w:val="24"/>
        </w:rPr>
        <w:t>Monitoring changes in body weight is essential to evaluate the general health, metabolic impact, and potential toxicity of treatments in diabetic rats. In this study, changes in body weight was used as an indicator of therapeutic effectiveness of Phyllanthus amarus leaf extract.</w:t>
      </w:r>
    </w:p>
    <w:p>
      <w:pPr>
        <w:pStyle w:val="style0"/>
        <w:spacing w:lineRule="auto" w:line="480"/>
        <w:jc w:val="both"/>
        <w:rPr>
          <w:rFonts w:ascii="Times New Roman" w:hAnsi="Times New Roman"/>
          <w:sz w:val="24"/>
          <w:szCs w:val="24"/>
        </w:rPr>
      </w:pPr>
      <w:r>
        <w:rPr>
          <w:rFonts w:ascii="Times New Roman" w:hAnsi="Times New Roman"/>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The body weight of each rat was measured using a digital weighing balance.</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Measurements  was </w:t>
      </w:r>
      <w:r>
        <w:rPr>
          <w:rFonts w:ascii="Times New Roman" w:hAnsi="Times New Roman"/>
          <w:sz w:val="24"/>
          <w:szCs w:val="24"/>
        </w:rPr>
        <w:t>taken on:</w:t>
      </w:r>
    </w:p>
    <w:p>
      <w:pPr>
        <w:pStyle w:val="style0"/>
        <w:spacing w:lineRule="auto" w:line="480"/>
        <w:jc w:val="both"/>
        <w:rPr>
          <w:rFonts w:ascii="Times New Roman" w:hAnsi="Times New Roman"/>
          <w:sz w:val="24"/>
          <w:szCs w:val="24"/>
        </w:rPr>
      </w:pPr>
      <w:r>
        <w:rPr>
          <w:rFonts w:ascii="Times New Roman" w:hAnsi="Times New Roman"/>
          <w:sz w:val="24"/>
          <w:szCs w:val="24"/>
        </w:rPr>
        <w:t>Day 0 (before STZ administration)</w:t>
      </w:r>
    </w:p>
    <w:p>
      <w:pPr>
        <w:pStyle w:val="style0"/>
        <w:spacing w:lineRule="auto" w:line="480"/>
        <w:jc w:val="both"/>
        <w:rPr>
          <w:rFonts w:ascii="Times New Roman" w:hAnsi="Times New Roman"/>
          <w:sz w:val="24"/>
          <w:szCs w:val="24"/>
        </w:rPr>
      </w:pPr>
      <w:r>
        <w:rPr>
          <w:rFonts w:ascii="Times New Roman" w:hAnsi="Times New Roman"/>
          <w:sz w:val="24"/>
          <w:szCs w:val="24"/>
        </w:rPr>
        <w:t>Day 3 (post-STZ, pre-treatment)</w:t>
      </w:r>
    </w:p>
    <w:p>
      <w:pPr>
        <w:pStyle w:val="style0"/>
        <w:spacing w:lineRule="auto" w:line="480"/>
        <w:jc w:val="both"/>
        <w:rPr>
          <w:rFonts w:ascii="Times New Roman" w:hAnsi="Times New Roman"/>
          <w:sz w:val="24"/>
          <w:szCs w:val="24"/>
        </w:rPr>
      </w:pPr>
      <w:r>
        <w:rPr>
          <w:rFonts w:ascii="Times New Roman" w:hAnsi="Times New Roman"/>
          <w:sz w:val="24"/>
          <w:szCs w:val="24"/>
        </w:rPr>
        <w:t>Weekly thereafter (Days 7 and 14 of treatment)</w:t>
      </w:r>
    </w:p>
    <w:p>
      <w:pPr>
        <w:pStyle w:val="style0"/>
        <w:spacing w:lineRule="auto" w:line="480"/>
        <w:jc w:val="both"/>
        <w:rPr>
          <w:rFonts w:ascii="Times New Roman" w:hAnsi="Times New Roman"/>
          <w:sz w:val="24"/>
          <w:szCs w:val="24"/>
        </w:rPr>
      </w:pPr>
      <w:r>
        <w:rPr>
          <w:rFonts w:ascii="Times New Roman" w:hAnsi="Times New Roman"/>
          <w:sz w:val="24"/>
          <w:szCs w:val="24"/>
        </w:rPr>
        <w:t>Weighing was done in the morning, before feeding, to minimize variability due to food or water intake.</w:t>
      </w:r>
    </w:p>
    <w:p>
      <w:pPr>
        <w:pStyle w:val="style0"/>
        <w:spacing w:lineRule="auto" w:line="480"/>
        <w:jc w:val="both"/>
        <w:rPr>
          <w:rFonts w:ascii="Times New Roman" w:hAnsi="Times New Roman"/>
          <w:sz w:val="24"/>
          <w:szCs w:val="24"/>
        </w:rPr>
      </w:pPr>
      <w:r>
        <w:rPr>
          <w:rFonts w:ascii="Times New Roman" w:hAnsi="Times New Roman"/>
          <w:sz w:val="24"/>
          <w:szCs w:val="24"/>
        </w:rPr>
        <w:t>Calculation of Percentage Change in Body Weight:</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in body weight will be calculated using the formula:</w:t>
      </w:r>
    </w:p>
    <w:p>
      <w:pPr>
        <w:pStyle w:val="style0"/>
        <w:spacing w:lineRule="auto" w:line="480"/>
        <w:jc w:val="both"/>
        <w:rPr>
          <w:rFonts w:ascii="Times New Roman" w:hAnsi="Times New Roman"/>
          <w:sz w:val="24"/>
          <w:szCs w:val="24"/>
        </w:rPr>
      </w:pPr>
      <w:r>
        <w:rPr>
          <w:rFonts w:ascii="Times New Roman" w:hAnsi="Times New Roman"/>
          <w:sz w:val="24"/>
          <w:szCs w:val="24"/>
        </w:rPr>
        <w:t>Percentage Change = Final Body Weight - Initial Body Weight ÷ initial Body Weight × 100</w:t>
      </w:r>
    </w:p>
    <w:p>
      <w:pPr>
        <w:pStyle w:val="style0"/>
        <w:spacing w:lineRule="auto" w:line="480"/>
        <w:jc w:val="both"/>
        <w:rPr>
          <w:rFonts w:ascii="Times New Roman" w:hAnsi="Times New Roman"/>
          <w:sz w:val="24"/>
          <w:szCs w:val="24"/>
        </w:rPr>
      </w:pPr>
      <w:r>
        <w:rPr>
          <w:rFonts w:ascii="Times New Roman" w:hAnsi="Times New Roman"/>
          <w:sz w:val="24"/>
          <w:szCs w:val="24"/>
        </w:rPr>
        <w:t>Where:</w:t>
      </w:r>
    </w:p>
    <w:p>
      <w:pPr>
        <w:pStyle w:val="style0"/>
        <w:spacing w:lineRule="auto" w:line="480"/>
        <w:jc w:val="both"/>
        <w:rPr>
          <w:rFonts w:ascii="Times New Roman" w:hAnsi="Times New Roman"/>
          <w:sz w:val="24"/>
          <w:szCs w:val="24"/>
        </w:rPr>
      </w:pPr>
      <w:r>
        <w:rPr>
          <w:rFonts w:ascii="Times New Roman" w:hAnsi="Times New Roman"/>
          <w:sz w:val="24"/>
          <w:szCs w:val="24"/>
        </w:rPr>
        <w:t>Initial Body Weight = weight on Day 0 (before STZ injection)</w:t>
      </w:r>
    </w:p>
    <w:p>
      <w:pPr>
        <w:pStyle w:val="style0"/>
        <w:spacing w:lineRule="auto" w:line="480"/>
        <w:jc w:val="both"/>
        <w:rPr>
          <w:rFonts w:ascii="Times New Roman" w:hAnsi="Times New Roman"/>
          <w:sz w:val="24"/>
          <w:szCs w:val="24"/>
        </w:rPr>
      </w:pPr>
      <w:r>
        <w:rPr>
          <w:rFonts w:ascii="Times New Roman" w:hAnsi="Times New Roman"/>
          <w:sz w:val="24"/>
          <w:szCs w:val="24"/>
        </w:rPr>
        <w:t>Final Body Weight = weight on Day 14 (end of treatment)</w:t>
      </w:r>
    </w:p>
    <w:p>
      <w:pPr>
        <w:pStyle w:val="style0"/>
        <w:spacing w:lineRule="auto" w:line="480"/>
        <w:jc w:val="both"/>
        <w:rPr>
          <w:rFonts w:ascii="Times New Roman" w:hAnsi="Times New Roman"/>
          <w:sz w:val="24"/>
          <w:szCs w:val="24"/>
        </w:rPr>
      </w:pPr>
      <w:r>
        <w:rPr>
          <w:rFonts w:ascii="Times New Roman" w:hAnsi="Times New Roman"/>
          <w:sz w:val="24"/>
          <w:szCs w:val="24"/>
        </w:rPr>
        <w:t>Interpretation:</w:t>
      </w:r>
    </w:p>
    <w:p>
      <w:pPr>
        <w:pStyle w:val="style0"/>
        <w:spacing w:lineRule="auto" w:line="480"/>
        <w:jc w:val="both"/>
        <w:rPr>
          <w:rFonts w:ascii="Times New Roman" w:hAnsi="Times New Roman"/>
          <w:sz w:val="24"/>
          <w:szCs w:val="24"/>
        </w:rPr>
      </w:pPr>
      <w:r>
        <w:rPr>
          <w:rFonts w:ascii="Times New Roman" w:hAnsi="Times New Roman"/>
          <w:sz w:val="24"/>
          <w:szCs w:val="24"/>
        </w:rPr>
        <w:t>A significant weight loss in the diabetic control group is expected due to hyperglycemia-induced muscle and fat catabolism.</w:t>
      </w:r>
    </w:p>
    <w:p>
      <w:pPr>
        <w:pStyle w:val="style0"/>
        <w:spacing w:lineRule="auto" w:line="480"/>
        <w:jc w:val="both"/>
        <w:rPr>
          <w:rFonts w:ascii="Times New Roman" w:hAnsi="Times New Roman"/>
          <w:sz w:val="24"/>
          <w:szCs w:val="24"/>
        </w:rPr>
      </w:pPr>
      <w:r>
        <w:rPr>
          <w:rFonts w:ascii="Times New Roman" w:hAnsi="Times New Roman"/>
          <w:sz w:val="24"/>
          <w:szCs w:val="24"/>
        </w:rPr>
        <w:t>A lesser degree of weight loss or weight gain in the treated groups indicates therapeutic improvement and possible antihyperglycemic or anabolic effects of the extract.</w:t>
      </w:r>
    </w:p>
    <w:p>
      <w:pPr>
        <w:pStyle w:val="style0"/>
        <w:spacing w:lineRule="auto" w:line="480"/>
        <w:jc w:val="both"/>
        <w:rPr>
          <w:rFonts w:ascii="Times New Roman" w:hAnsi="Times New Roman"/>
          <w:sz w:val="24"/>
          <w:szCs w:val="24"/>
        </w:rPr>
      </w:pPr>
      <w:r>
        <w:rPr>
          <w:rFonts w:ascii="Times New Roman" w:hAnsi="Times New Roman"/>
          <w:b/>
          <w:bCs/>
          <w:sz w:val="24"/>
          <w:szCs w:val="24"/>
        </w:rPr>
        <w:t>3.9 ANTIDIABETIC BIOMARKERS</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Determination of Total protein </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The total protein concentration in the liver, kidney and serum of the animals was assayed, using Biuret reagent as described by Gornall </w:t>
      </w:r>
      <w:r>
        <w:rPr>
          <w:rFonts w:ascii="Times New Roman" w:hAnsi="Times New Roman"/>
          <w:i/>
          <w:sz w:val="24"/>
          <w:szCs w:val="24"/>
        </w:rPr>
        <w:t>et al</w:t>
      </w:r>
      <w:r>
        <w:rPr>
          <w:rFonts w:ascii="Times New Roman" w:hAnsi="Times New Roman"/>
          <w:sz w:val="24"/>
          <w:szCs w:val="24"/>
        </w:rPr>
        <w:t xml:space="preserve"> (1949). </w:t>
      </w:r>
    </w:p>
    <w:p>
      <w:pPr>
        <w:pStyle w:val="style0"/>
        <w:spacing w:lineRule="auto" w:line="480"/>
        <w:jc w:val="both"/>
        <w:rPr>
          <w:rFonts w:ascii="Times New Roman" w:hAnsi="Times New Roman"/>
          <w:sz w:val="24"/>
          <w:szCs w:val="24"/>
          <w:lang w:val="en-GB"/>
        </w:rPr>
      </w:pPr>
      <w:r>
        <w:rPr>
          <w:rFonts w:ascii="Times New Roman" w:hAnsi="Times New Roman"/>
          <w:sz w:val="24"/>
          <w:szCs w:val="24"/>
        </w:rPr>
        <w:t xml:space="preserve">Principle: </w:t>
      </w:r>
      <w:r>
        <w:rPr>
          <w:rFonts w:ascii="Times New Roman" w:hAnsi="Times New Roman"/>
          <w:sz w:val="24"/>
          <w:szCs w:val="24"/>
          <w:lang w:val="en-GB"/>
        </w:rPr>
        <w:t xml:space="preserve">The biuret reagent is an alkaline solution of copper potassium tartarate. Compounds containing two or more peptide bounds react with Cu2+ ion to give a violet colour. The buiret reaction is due to coordination of Cu2+ with the unshared electron pairs of peptide nitrogen and the oxygen of water which results into the coloured complex. A purple coloured chelate is </w:t>
      </w:r>
      <w:r>
        <w:rPr>
          <w:rFonts w:ascii="Times New Roman" w:hAnsi="Times New Roman"/>
          <w:sz w:val="24"/>
          <w:szCs w:val="24"/>
          <w:lang w:val="en-GB"/>
        </w:rPr>
        <w:t>formed between cupric ions and peptide bonds in alkaline medium. The intensity of the colour is proportional to the amount of protein present.</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Procedure: 4.0 ml of Biuret reagent was added to 1.0 ml of the sample (appropriately diluted). This was mixed thoroughly by shaking and left undisturbed for 30 minutes at room temperature for colour development. The blank was constituted by replacing the sample with 1.0 ml of distilled water. The absorbance was read against blank at 540 nm. </w:t>
      </w:r>
    </w:p>
    <w:p>
      <w:pPr>
        <w:pStyle w:val="style0"/>
        <w:spacing w:lineRule="auto" w:line="480"/>
        <w:jc w:val="both"/>
        <w:rPr>
          <w:rFonts w:ascii="Times New Roman" w:hAnsi="Times New Roman"/>
          <w:sz w:val="24"/>
          <w:szCs w:val="24"/>
        </w:rPr>
      </w:pPr>
      <w:r>
        <w:rPr>
          <w:rFonts w:ascii="Times New Roman" w:hAnsi="Times New Roman"/>
          <w:sz w:val="24"/>
          <w:szCs w:val="24"/>
        </w:rPr>
        <w:t>The concentration of protein in the sample was calculated by comparing them with those on the calibration curve for egg albumin. Concentration of the protein in the sample was extrapolated from the calibration curve of the egg albumin (APPENDIX II), using the expression:</w:t>
      </w:r>
    </w:p>
    <w:p>
      <w:pPr>
        <w:pStyle w:val="style0"/>
        <w:spacing w:lineRule="auto" w:line="480"/>
        <w:jc w:val="both"/>
        <w:rPr>
          <w:rFonts w:ascii="Times New Roman" w:hAnsi="Times New Roman"/>
          <w:sz w:val="24"/>
          <w:szCs w:val="24"/>
        </w:rPr>
      </w:pPr>
      <w:r>
        <w:rPr>
          <w:rFonts w:ascii="Times New Roman" w:hAnsi="Times New Roman"/>
          <w:sz w:val="24"/>
          <w:szCs w:val="24"/>
        </w:rPr>
        <w:t xml:space="preserve">Protein concentration (mg/ml) = Cs × F </w:t>
      </w:r>
    </w:p>
    <w:p>
      <w:pPr>
        <w:pStyle w:val="style0"/>
        <w:spacing w:lineRule="auto" w:line="480"/>
        <w:jc w:val="both"/>
        <w:rPr>
          <w:rFonts w:ascii="Times New Roman" w:hAnsi="Times New Roman"/>
          <w:sz w:val="24"/>
          <w:szCs w:val="24"/>
        </w:rPr>
      </w:pPr>
      <w:r>
        <w:rPr>
          <w:rFonts w:ascii="Times New Roman" w:hAnsi="Times New Roman"/>
          <w:sz w:val="24"/>
          <w:szCs w:val="24"/>
        </w:rPr>
        <w:t>Where:    Cs= corresponding protein concentration from the calibration, F = dilution factor</w:t>
      </w:r>
    </w:p>
    <w:p>
      <w:pPr>
        <w:pStyle w:val="style0"/>
        <w:spacing w:lineRule="auto" w:line="480"/>
        <w:jc w:val="both"/>
        <w:rPr>
          <w:rFonts w:ascii="Times New Roman" w:hAnsi="Times New Roman"/>
          <w:sz w:val="24"/>
          <w:szCs w:val="24"/>
        </w:rPr>
      </w:pPr>
      <w:r>
        <w:rPr>
          <w:rFonts w:ascii="Times New Roman" w:hAnsi="Times New Roman"/>
          <w:sz w:val="24"/>
          <w:szCs w:val="24"/>
        </w:rPr>
        <w:t>Protocol for the determination of calibration curve for protein: A protein standard, egg albumin stock solution (10 mg/ml) was prepared. Varying volumes of the stock solution corresponding to 0.0, 0.1, 0.2, 0.3, 0.4, 0.5, 0.6, 0.7, 0.8, 0.9 and 1.0 ml were measured into cleaned test tubes. The volumes were then made up to 1 ml with distilled water after which 4 ml of Biuret reagent was added, making the total volume of the prepared solutions to be 5 ml. The solutions were left undisturbed for 30 minutes at room temperature after which the absorbance was read at 540nm.</w:t>
      </w:r>
    </w:p>
    <w:p>
      <w:pPr>
        <w:pStyle w:val="style0"/>
        <w:spacing w:lineRule="auto" w:line="480"/>
        <w:jc w:val="both"/>
        <w:rPr>
          <w:rFonts w:ascii="Times New Roman" w:hAnsi="Times New Roman"/>
          <w:noProof/>
          <w:sz w:val="24"/>
          <w:szCs w:val="24"/>
          <w:lang w:eastAsia="en-US"/>
        </w:rPr>
      </w:pPr>
      <w:r>
        <w:rPr>
          <w:rFonts w:ascii="Times New Roman" w:hAnsi="Times New Roman"/>
          <w:sz w:val="24"/>
          <w:szCs w:val="24"/>
        </w:rPr>
        <w:t>To calculate for protein concentration divide each absorbance value by 0.0684</w:t>
      </w:r>
    </w:p>
    <w:p>
      <w:pPr>
        <w:pStyle w:val="style0"/>
        <w:spacing w:lineRule="auto" w:line="480"/>
        <w:jc w:val="both"/>
        <w:rPr>
          <w:rFonts w:ascii="Times New Roman" w:hAnsi="Times New Roman"/>
          <w:sz w:val="24"/>
          <w:szCs w:val="24"/>
        </w:rPr>
      </w:pP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r>
      <w:r>
        <w:rPr>
          <w:rFonts w:ascii="Times New Roman" w:hAnsi="Times New Roman"/>
          <w:noProof/>
          <w:sz w:val="24"/>
          <w:szCs w:val="24"/>
          <w:lang w:eastAsia="en-US"/>
        </w:rPr>
        <w:drawing>
          <wp:inline distL="114300" distT="0" distB="0" distR="114300">
            <wp:extent cx="4572000" cy="2743200"/>
            <wp:effectExtent l="0" t="0" r="0" b="0"/>
            <wp:docPr id="1032" name="Image1"/>
            <wp:cNvGraphicFramePr>
              <a:graphicFrameLocks xmlns:a="http://schemas.openxmlformats.org/drawingml/2006/main" noChangeAspect="false" noSelect="false" noResize="false" noGrp="false"/>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r>
        <w:rPr>
          <w:rFonts w:ascii="Times New Roman" w:hAnsi="Times New Roman"/>
          <w:noProof/>
          <w:sz w:val="24"/>
          <w:szCs w:val="24"/>
          <w:lang w:eastAsia="en-US"/>
        </w:rPr>
      </w:r>
    </w:p>
    <w:p>
      <w:pPr>
        <w:pStyle w:val="style0"/>
        <w:spacing w:lineRule="auto" w:line="480"/>
        <w:jc w:val="both"/>
        <w:rPr>
          <w:rFonts w:ascii="Times New Roman" w:hAnsi="Times New Roman"/>
          <w:sz w:val="24"/>
          <w:szCs w:val="24"/>
        </w:rPr>
      </w:pPr>
    </w:p>
    <w:p>
      <w:pPr>
        <w:pStyle w:val="style0"/>
        <w:spacing w:after="200" w:lineRule="auto" w:line="480"/>
        <w:jc w:val="both"/>
        <w:rPr>
          <w:rFonts w:ascii="Times New Roman" w:hAnsi="Times New Roman"/>
          <w:sz w:val="24"/>
          <w:szCs w:val="24"/>
        </w:rPr>
      </w:pP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Table</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3:</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Conclusion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on</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Biomarker</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 xml:space="preserve"> </w:t>
      </w:r>
      <w:r>
        <w:rPr>
          <w:rFonts w:ascii="Times New Roman" w:cs="Times New Roman" w:eastAsia="SimSun" w:hAnsi="Times New Roman" w:hint="default"/>
          <w:b w:val="false"/>
          <w:bCs w:val="false"/>
          <w:i w:val="false"/>
          <w:iCs w:val="false"/>
          <w:color w:val="auto"/>
          <w:sz w:val="24"/>
          <w:szCs w:val="24"/>
          <w:highlight w:val="none"/>
          <w:vertAlign w:val="baseline"/>
          <w:em w:val="none"/>
          <w:lang w:val="en-US" w:eastAsia="zh-CN"/>
        </w:rPr>
        <w:t>Relevance</w:t>
      </w:r>
    </w:p>
    <w:tbl>
      <w:tblPr>
        <w:tblW w:w="10616" w:type="dxa"/>
        <w:tblLook w:val="04A0" w:firstRow="1" w:lastRow="0" w:firstColumn="1" w:lastColumn="0" w:noHBand="0" w:noVBand="1"/>
      </w:tblPr>
      <w:tblGrid>
        <w:gridCol w:w="3192"/>
        <w:gridCol w:w="3714"/>
        <w:gridCol w:w="3710"/>
      </w:tblGrid>
      <w:tr>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Biomarker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Non-Diabetetic/Recovered State </w:t>
            </w: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Insulin </w:t>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β-cell damage</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 Normal or improved with treatment</w:t>
            </w:r>
          </w:p>
          <w:p>
            <w:pPr>
              <w:pStyle w:val="style0"/>
              <w:spacing w:lineRule="auto" w:line="480"/>
              <w:jc w:val="both"/>
              <w:rPr>
                <w:rFonts w:ascii="Times New Roman" w:hAnsi="Times New Roman"/>
                <w:sz w:val="24"/>
                <w:szCs w:val="24"/>
              </w:rPr>
            </w:pPr>
          </w:p>
        </w:tc>
      </w:tr>
      <w:tr>
        <w:tblPrEx/>
        <w:trPr/>
        <w:tc>
          <w:tcPr>
            <w:tcW w:w="3192"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Total Proteins</w:t>
            </w:r>
            <w:r>
              <w:rPr>
                <w:rFonts w:ascii="Times New Roman" w:hAnsi="Times New Roman"/>
                <w:sz w:val="24"/>
                <w:szCs w:val="24"/>
              </w:rPr>
              <w:tab/>
            </w:r>
          </w:p>
        </w:tc>
        <w:tc>
          <w:tcPr>
            <w:tcW w:w="371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Decreased due to impaired glycolysis</w:t>
            </w:r>
          </w:p>
        </w:tc>
        <w:tc>
          <w:tcPr>
            <w:tcW w:w="371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Indicates improved glucose utilization</w:t>
            </w:r>
          </w:p>
          <w:p>
            <w:pPr>
              <w:pStyle w:val="style0"/>
              <w:spacing w:lineRule="auto" w:line="480"/>
              <w:jc w:val="both"/>
              <w:rPr>
                <w:rFonts w:ascii="Times New Roman" w:hAnsi="Times New Roman"/>
                <w:sz w:val="24"/>
                <w:szCs w:val="24"/>
              </w:rPr>
            </w:pPr>
          </w:p>
        </w:tc>
      </w:tr>
    </w:tbl>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By comparing these biomarkers across treatment groups, the efficacy of Phyllanthus amarus as a potential antidiabetic agent can be objectively evaluated.</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b/>
          <w:bCs/>
          <w:sz w:val="24"/>
          <w:szCs w:val="24"/>
        </w:rPr>
        <w:t>3.9.1.1 DETERMINATION OF SERUM ELECTROLYTE CONCENTRATION</w:t>
      </w:r>
    </w:p>
    <w:p>
      <w:pPr>
        <w:pStyle w:val="style0"/>
        <w:spacing w:lineRule="auto" w:line="480"/>
        <w:jc w:val="both"/>
        <w:rPr>
          <w:rFonts w:ascii="Times New Roman" w:hAnsi="Times New Roman"/>
          <w:sz w:val="24"/>
          <w:szCs w:val="24"/>
        </w:rPr>
      </w:pPr>
      <w:r>
        <w:rPr>
          <w:rFonts w:ascii="Times New Roman" w:hAnsi="Times New Roman"/>
          <w:b/>
          <w:bCs/>
          <w:sz w:val="24"/>
          <w:szCs w:val="24"/>
        </w:rPr>
        <w:t xml:space="preserve">Methodology: </w:t>
      </w:r>
      <w:r>
        <w:rPr>
          <w:rFonts w:ascii="Times New Roman" w:hAnsi="Times New Roman"/>
          <w:sz w:val="24"/>
          <w:szCs w:val="24"/>
        </w:rPr>
        <w:t>Serum electrolyte concentrations, including sodium (Na⁺), potassium (K⁺), chloride (Cl⁻), and bicarbonate (HCO₃⁻), will be measured using an automated electrolyte analyzer that employs the ion-selective electrode (ISE) method. This technique allows for precise and rapid quantification of ion concentrations in serum samples.</w:t>
      </w:r>
    </w:p>
    <w:p>
      <w:pPr>
        <w:pStyle w:val="style0"/>
        <w:spacing w:lineRule="auto" w:line="480"/>
        <w:jc w:val="both"/>
        <w:rPr>
          <w:rFonts w:ascii="Times New Roman" w:hAnsi="Times New Roman"/>
          <w:sz w:val="24"/>
          <w:szCs w:val="24"/>
        </w:rPr>
      </w:pPr>
      <w:r>
        <w:rPr>
          <w:rFonts w:ascii="Times New Roman" w:hAnsi="Times New Roman"/>
          <w:b/>
          <w:bCs/>
          <w:sz w:val="24"/>
          <w:szCs w:val="24"/>
        </w:rPr>
        <w:t>Procedure:</w:t>
      </w:r>
    </w:p>
    <w:p>
      <w:pPr>
        <w:pStyle w:val="style0"/>
        <w:spacing w:lineRule="auto" w:line="480"/>
        <w:jc w:val="both"/>
        <w:rPr>
          <w:rFonts w:ascii="Times New Roman" w:hAnsi="Times New Roman"/>
          <w:sz w:val="24"/>
          <w:szCs w:val="24"/>
        </w:rPr>
      </w:pPr>
      <w:r>
        <w:rPr>
          <w:rFonts w:ascii="Times New Roman" w:hAnsi="Times New Roman"/>
          <w:sz w:val="24"/>
          <w:szCs w:val="24"/>
        </w:rPr>
        <w:t>Blood samples will be collected via cardiac puncture into plain tubes and allowed to clot.</w:t>
      </w:r>
    </w:p>
    <w:p>
      <w:pPr>
        <w:pStyle w:val="style0"/>
        <w:spacing w:lineRule="auto" w:line="480"/>
        <w:jc w:val="both"/>
        <w:rPr>
          <w:rFonts w:ascii="Times New Roman" w:hAnsi="Times New Roman"/>
          <w:sz w:val="24"/>
          <w:szCs w:val="24"/>
        </w:rPr>
      </w:pPr>
      <w:r>
        <w:rPr>
          <w:rFonts w:ascii="Times New Roman" w:hAnsi="Times New Roman"/>
          <w:sz w:val="24"/>
          <w:szCs w:val="24"/>
        </w:rPr>
        <w:t>The samples will be centrifuged at 3,000 rpm for 10 minutes to separate the serum.</w:t>
      </w:r>
    </w:p>
    <w:p>
      <w:pPr>
        <w:pStyle w:val="style0"/>
        <w:spacing w:lineRule="auto" w:line="480"/>
        <w:jc w:val="both"/>
        <w:rPr>
          <w:rFonts w:ascii="Times New Roman" w:hAnsi="Times New Roman"/>
          <w:sz w:val="24"/>
          <w:szCs w:val="24"/>
        </w:rPr>
      </w:pPr>
      <w:r>
        <w:rPr>
          <w:rFonts w:ascii="Times New Roman" w:hAnsi="Times New Roman"/>
          <w:sz w:val="24"/>
          <w:szCs w:val="24"/>
        </w:rPr>
        <w:t>The serum will be immediately analyzed using the ISE-based electrolyte analyzer according to the manufacturer’s instructions.</w:t>
      </w:r>
    </w:p>
    <w:p>
      <w:pPr>
        <w:pStyle w:val="style0"/>
        <w:spacing w:after="0" w:lineRule="auto" w:line="480"/>
        <w:jc w:val="both"/>
        <w:rPr>
          <w:rFonts w:ascii="Times New Roman" w:eastAsia="Calibri" w:hAnsi="Times New Roman"/>
          <w:sz w:val="24"/>
          <w:szCs w:val="24"/>
        </w:rPr>
      </w:pPr>
      <w:r>
        <w:rPr>
          <w:rFonts w:ascii="Times New Roman" w:hAnsi="Times New Roman"/>
          <w:b/>
          <w:bCs/>
          <w:sz w:val="24"/>
          <w:szCs w:val="24"/>
        </w:rPr>
        <w:t xml:space="preserve">3.9.1.2 </w:t>
      </w:r>
      <w:r>
        <w:rPr>
          <w:rFonts w:ascii="Times New Roman" w:eastAsia="Calibri" w:hAnsi="Times New Roman"/>
          <w:b/>
          <w:sz w:val="24"/>
          <w:szCs w:val="24"/>
        </w:rPr>
        <w:t>Creatinine Kinase (CK)</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method described by Bablok et al., (1988) was used to assay for this analysis.</w:t>
      </w:r>
    </w:p>
    <w:p>
      <w:pPr>
        <w:pStyle w:val="style0"/>
        <w:spacing w:after="0" w:lineRule="auto" w:line="480"/>
        <w:jc w:val="both"/>
        <w:rPr>
          <w:rFonts w:ascii="Times New Roman" w:eastAsia="Calibri" w:hAnsi="Times New Roman"/>
          <w:b/>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bCs/>
          <w:sz w:val="24"/>
          <w:szCs w:val="24"/>
        </w:rPr>
      </w:pPr>
      <w:r>
        <w:rPr>
          <w:rFonts w:ascii="Times New Roman" w:eastAsia="Calibri" w:hAnsi="Times New Roman"/>
          <w:bCs/>
          <w:sz w:val="24"/>
          <w:szCs w:val="24"/>
        </w:rPr>
        <w:t xml:space="preserve">Creatine kinase catalyzes the reaction involving the transfer of a phosphate group from phosphocreatine to ADP. The reaction is coupled to those catalyzed by hexokinase and G6PDH. The rate of NADH formation is measured photometrically and is proportional to the catalytic concentration of CK present in the samples. </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object>
          <v:shapetype id="_x0000_t202" coordsize="21600,21600" o:spt="202" path="m,l,21600r21600,l21600,xe">
            <v:stroke joinstyle="miter"/>
            <v:path gradientshapeok="t" o:connecttype="rect"/>
          </v:shapetype>
          <v:shape id="1034" type="#_x0000_t202" stroked="f" style="position:absolute;margin-left:154.45pt;margin-top:13.5pt;width:33.8pt;height:20.35pt;z-index:14;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CK</w:t>
                  </w:r>
                </w:p>
              </w:txbxContent>
            </v:textbox>
          </v:shape>
        </w:objec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5" type="#_x0000_t202" stroked="f" style="position:absolute;margin-left:90.9pt;margin-top:15.3pt;width:33.8pt;height:20.35pt;z-index:15;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rFonts w:ascii="Times New Roman" w:hAnsi="Times New Roman"/>
                    </w:rPr>
                  </w:pPr>
                  <w:r>
                    <w:rPr>
                      <w:rFonts w:ascii="Times New Roman" w:hAnsi="Times New Roman"/>
                    </w:rPr>
                    <w:t>HK</w:t>
                  </w:r>
                </w:p>
              </w:txbxContent>
            </v:textbox>
          </v:shape>
        </w:pict>
      </w:r>
      <w:r>
        <w:rPr>
          <w:rFonts w:ascii="Times New Roman" w:eastAsia="Calibri" w:hAnsi="Times New Roman"/>
          <w:sz w:val="24"/>
          <w:szCs w:val="24"/>
        </w:rPr>
        <w:pict>
          <v:shape id="1036" type="#_x0000_t32" filled="f" style="position:absolute;margin-left:149.0pt;margin-top:6.25pt;width:50.1pt;height:0.05pt;z-index:11;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Creatinine Phosphate + ADP                    Creatinine + ATP</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pict>
          <v:shape id="1037" type="#_x0000_t32" filled="f" style="position:absolute;margin-left:80.15pt;margin-top:8.0pt;width:51.35pt;height:0.05pt;z-index:12;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pict>
          <v:shape id="1038" type="#_x0000_t202" stroked="f" style="position:absolute;margin-left:153.5pt;margin-top:14.65pt;width:50.5pt;height:20.35pt;z-index:16;mso-position-horizontal-relative:text;mso-position-vertical-relative:text;mso-width-relative:page;mso-height-relative:page;mso-wrap-distance-left:0.0pt;mso-wrap-distance-right:0.0pt;visibility:visible;">
            <v:stroke on="f" joinstyle="miter"/>
            <v:fill/>
            <v:path o:connecttype="rect" gradientshapeok="t"/>
            <v:textbox>
              <w:txbxContent>
                <w:p>
                  <w:pPr>
                    <w:pStyle w:val="style0"/>
                    <w:rPr/>
                  </w:pPr>
                  <w:r>
                    <w:rPr>
                      <w:rFonts w:ascii="Times New Roman" w:hAnsi="Times New Roman"/>
                    </w:rPr>
                    <w:t>G6PDH</w:t>
                  </w:r>
                  <w:r>
                    <w:t>DDDH</w:t>
                  </w:r>
                </w:p>
              </w:txbxContent>
            </v:textbox>
          </v:shape>
        </w:pict>
      </w:r>
      <w:r>
        <w:rPr>
          <w:rFonts w:ascii="Times New Roman" w:eastAsia="Calibri" w:hAnsi="Times New Roman"/>
          <w:sz w:val="24"/>
          <w:szCs w:val="24"/>
        </w:rPr>
        <w:t>Glucose + ATP                   ADP + Glucose-6-Phosphate</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pict>
          <v:shape id="1039" type="#_x0000_t32" filled="f" style="position:absolute;margin-left:153.5pt;margin-top:7.35pt;width:51.35pt;height:0.05pt;z-index:13;mso-position-horizontal-relative:text;mso-position-vertical-relative:text;mso-width-relative:page;mso-height-relative:page;mso-wrap-distance-left:0.0pt;mso-wrap-distance-right:0.0pt;visibility:visible;">
            <v:stroke endarrow="block"/>
            <v:fill/>
            <v:path o:connecttype="none" fillok="f" arrowok="t"/>
          </v:shape>
        </w:pict>
      </w:r>
      <w:r>
        <w:rPr>
          <w:rFonts w:ascii="Times New Roman" w:eastAsia="Calibri" w:hAnsi="Times New Roman"/>
          <w:sz w:val="24"/>
          <w:szCs w:val="24"/>
        </w:rPr>
        <w:t>Glucose-6-phosphate + NADP                    6-phosphogluconolactone + NADPH+ H</w:t>
      </w:r>
      <w:r>
        <w:rPr>
          <w:rFonts w:ascii="Times New Roman" w:eastAsia="Calibri" w:hAnsi="Times New Roman"/>
          <w:sz w:val="24"/>
          <w:szCs w:val="24"/>
          <w:vertAlign w:val="superscript"/>
        </w:rPr>
        <w:t>+</w:t>
      </w:r>
    </w:p>
    <w:p>
      <w:pPr>
        <w:pStyle w:val="style0"/>
        <w:spacing w:lineRule="auto" w:line="480"/>
        <w:jc w:val="both"/>
        <w:rPr>
          <w:rFonts w:ascii="Times New Roman" w:hAnsi="Times New Roman"/>
          <w:sz w:val="24"/>
          <w:szCs w:val="24"/>
        </w:rPr>
      </w:pPr>
      <w:r>
        <w:rPr>
          <w:rFonts w:ascii="Times New Roman" w:hAnsi="Times New Roman"/>
          <w:b/>
          <w:bCs/>
          <w:sz w:val="24"/>
          <w:szCs w:val="24"/>
        </w:rPr>
        <w:t>3.9.1.3 BICARBONATE (HCO₃⁻)</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 xml:space="preserve">The method described by Tietz </w:t>
      </w:r>
      <w:r>
        <w:rPr>
          <w:rFonts w:ascii="Times New Roman" w:eastAsia="Calibri" w:hAnsi="Times New Roman"/>
          <w:i/>
          <w:sz w:val="24"/>
          <w:szCs w:val="24"/>
        </w:rPr>
        <w:t>et al</w:t>
      </w:r>
      <w:r>
        <w:rPr>
          <w:rFonts w:ascii="Times New Roman" w:eastAsia="Calibri" w:hAnsi="Times New Roman"/>
          <w:sz w:val="24"/>
          <w:szCs w:val="24"/>
        </w:rPr>
        <w:t>. (1986) was use to assay for this test.</w:t>
      </w:r>
    </w:p>
    <w:p>
      <w:pPr>
        <w:pStyle w:val="style0"/>
        <w:spacing w:after="0" w:lineRule="auto" w:line="480"/>
        <w:jc w:val="both"/>
        <w:rPr>
          <w:rFonts w:ascii="Times New Roman" w:eastAsia="Calibri" w:hAnsi="Times New Roman"/>
          <w:sz w:val="24"/>
          <w:szCs w:val="24"/>
        </w:rPr>
      </w:pPr>
      <w:r>
        <w:rPr>
          <w:rFonts w:ascii="Times New Roman" w:eastAsia="Calibri" w:hAnsi="Times New Roman"/>
          <w:b/>
          <w:sz w:val="24"/>
          <w:szCs w:val="24"/>
        </w:rPr>
        <w:t>Principle: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reaction of phosphoenolpyruvate with bi-carbonatein the presence of phosphoenolpyruvate carboxylase yields oxaloacetate which is used in the following reaction</w:t>
      </w:r>
    </w:p>
    <w:p>
      <w:pPr>
        <w:pStyle w:val="style0"/>
        <w:spacing w:after="0" w:lineRule="auto" w:line="480"/>
        <w:jc w:val="both"/>
        <w:rPr>
          <w:rFonts w:ascii="Times New Roman" w:eastAsia="Calibri" w:hAnsi="Times New Roman"/>
          <w:sz w:val="24"/>
          <w:szCs w:val="24"/>
          <w:vertAlign w:val="superscript"/>
        </w:rPr>
      </w:pPr>
      <w:r>
        <w:rPr>
          <w:rFonts w:ascii="Times New Roman" w:eastAsia="Calibri" w:hAnsi="Times New Roman"/>
          <w:sz w:val="24"/>
          <w:szCs w:val="24"/>
        </w:rPr>
        <w:t>Oxaloacetate + NADH + H</w:t>
      </w:r>
      <w:r>
        <w:rPr>
          <w:rFonts w:ascii="Times New Roman" w:eastAsia="Calibri" w:hAnsi="Times New Roman"/>
          <w:sz w:val="24"/>
          <w:szCs w:val="24"/>
          <w:vertAlign w:val="superscript"/>
        </w:rPr>
        <w:t xml:space="preserve">+ </w:t>
      </w:r>
      <w:r>
        <w:rPr>
          <w:rFonts w:ascii="Times New Roman" w:eastAsia="Calibri" w:hAnsi="Times New Roman"/>
          <w:sz w:val="24"/>
          <w:szCs w:val="24"/>
        </w:rPr>
        <w:t>= Malate + NAD</w:t>
      </w:r>
      <w:r>
        <w:rPr>
          <w:rFonts w:ascii="Times New Roman" w:eastAsia="Calibri" w:hAnsi="Times New Roman"/>
          <w:sz w:val="24"/>
          <w:szCs w:val="24"/>
          <w:vertAlign w:val="superscript"/>
        </w:rPr>
        <w:t>+</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The oxidation of NADH causes reduction in absorbance and it is proportional to the serum (HCO</w:t>
      </w:r>
      <w:r>
        <w:rPr>
          <w:rFonts w:ascii="Times New Roman" w:eastAsia="Calibri" w:hAnsi="Times New Roman"/>
          <w:sz w:val="24"/>
          <w:szCs w:val="24"/>
          <w:vertAlign w:val="subscript"/>
        </w:rPr>
        <w:t>3</w:t>
      </w:r>
      <w:r>
        <w:rPr>
          <w:rFonts w:ascii="Times New Roman" w:eastAsia="Calibri" w:hAnsi="Times New Roman"/>
          <w:sz w:val="24"/>
          <w:szCs w:val="24"/>
        </w:rPr>
        <w:t>).</w:t>
      </w:r>
    </w:p>
    <w:p>
      <w:pPr>
        <w:pStyle w:val="style0"/>
        <w:spacing w:before="100" w:beforeAutospacing="true" w:after="0" w:lineRule="auto" w:line="480"/>
        <w:jc w:val="both"/>
        <w:rPr>
          <w:rFonts w:ascii="Times New Roman" w:eastAsia="Calibri" w:hAnsi="Times New Roman"/>
          <w:sz w:val="24"/>
          <w:szCs w:val="24"/>
        </w:rPr>
      </w:pPr>
      <w:r>
        <w:rPr>
          <w:rFonts w:ascii="Times New Roman" w:eastAsia="Calibri" w:hAnsi="Times New Roman"/>
          <w:b/>
          <w:sz w:val="24"/>
          <w:szCs w:val="24"/>
        </w:rPr>
        <w:t>Procedure:</w:t>
      </w:r>
    </w:p>
    <w:p>
      <w:pPr>
        <w:pStyle w:val="style0"/>
        <w:spacing w:after="0" w:lineRule="auto" w:line="480"/>
        <w:jc w:val="both"/>
        <w:rPr>
          <w:rFonts w:ascii="Times New Roman" w:eastAsia="Calibri" w:hAnsi="Times New Roman"/>
          <w:sz w:val="24"/>
          <w:szCs w:val="24"/>
        </w:rPr>
      </w:pPr>
      <w:r>
        <w:rPr>
          <w:rFonts w:ascii="Times New Roman" w:eastAsia="Calibri" w:hAnsi="Times New Roman"/>
          <w:sz w:val="24"/>
          <w:szCs w:val="24"/>
        </w:rPr>
        <w:t>10µl of the sample and standard was pipette in a separate test tube, 1ml of Bi-carbonate reagent was added to it. The mixture was incubated for ten (10) minutes at 37ᶿC, and the absorbance value was taken at 415nm</w:t>
      </w:r>
    </w:p>
    <w:p>
      <w:pPr>
        <w:pStyle w:val="style0"/>
        <w:spacing w:before="100" w:beforeAutospacing="true" w:after="0" w:lineRule="auto" w:line="480"/>
        <w:jc w:val="both"/>
        <w:rPr>
          <w:rFonts w:ascii="Times New Roman" w:eastAsia="Calibri" w:hAnsi="Times New Roman"/>
          <w:b/>
          <w:sz w:val="24"/>
          <w:szCs w:val="24"/>
        </w:rPr>
      </w:pPr>
      <w:r>
        <w:rPr>
          <w:rFonts w:ascii="Times New Roman" w:eastAsia="Calibri" w:hAnsi="Times New Roman"/>
          <w:b/>
          <w:sz w:val="24"/>
          <w:szCs w:val="24"/>
        </w:rPr>
        <w:t>Calculation:</w:t>
      </w:r>
    </w:p>
    <w:p>
      <w:pPr>
        <w:pStyle w:val="style0"/>
        <w:spacing w:after="0" w:lineRule="auto" w:line="480"/>
        <w:jc w:val="both"/>
        <w:rPr>
          <w:rFonts w:ascii="Times New Roman" w:eastAsia="Calibri" w:hAnsi="Times New Roman"/>
          <w:b/>
          <w:sz w:val="24"/>
          <w:szCs w:val="24"/>
        </w:rPr>
      </w:pPr>
      <w:r>
        <w:rPr>
          <w:rFonts w:ascii="Times New Roman" w:eastAsia="Calibri" w:hAnsi="Times New Roman"/>
          <w:sz w:val="24"/>
          <w:szCs w:val="24"/>
        </w:rPr>
        <w:t>Bicarbonate ion concentration (mmol/L) =</w:t>
      </w:r>
      <w:r>
        <w:rPr>
          <w:rFonts w:ascii="Times New Roman" w:eastAsia="Calibri" w:hAnsi="Times New Roman"/>
          <w:b/>
          <w:sz w:val="24"/>
          <w:szCs w:val="24"/>
          <w:u w:val="single"/>
        </w:rPr>
        <w:t>A</w:t>
      </w:r>
      <w:r>
        <w:rPr>
          <w:rFonts w:ascii="Times New Roman" w:eastAsia="Calibri" w:hAnsi="Times New Roman"/>
          <w:b/>
          <w:sz w:val="24"/>
          <w:szCs w:val="24"/>
          <w:u w:val="single"/>
          <w:vertAlign w:val="subscript"/>
        </w:rPr>
        <w:t>sample</w:t>
      </w:r>
      <w:r>
        <w:rPr>
          <w:rFonts w:ascii="Times New Roman" w:eastAsia="Calibri" w:hAnsi="Times New Roman"/>
          <w:b/>
          <w:sz w:val="24"/>
          <w:szCs w:val="24"/>
          <w:u w:val="single"/>
        </w:rPr>
        <w:t xml:space="preserve"> × Concentration of standard</w:t>
      </w:r>
    </w:p>
    <w:p>
      <w:pPr>
        <w:pStyle w:val="style0"/>
        <w:spacing w:after="0" w:lineRule="auto" w:line="480"/>
        <w:ind w:left="4320" w:firstLine="720"/>
        <w:jc w:val="both"/>
        <w:rPr>
          <w:rFonts w:ascii="Times New Roman" w:eastAsia="Calibri" w:hAnsi="Times New Roman"/>
          <w:b/>
          <w:sz w:val="24"/>
          <w:szCs w:val="24"/>
          <w:vertAlign w:val="subscript"/>
        </w:rPr>
      </w:pPr>
      <w:r>
        <w:rPr>
          <w:rFonts w:ascii="Times New Roman" w:eastAsia="Calibri" w:hAnsi="Times New Roman"/>
          <w:b/>
          <w:sz w:val="24"/>
          <w:szCs w:val="24"/>
        </w:rPr>
        <w:t>A</w:t>
      </w:r>
      <w:r>
        <w:rPr>
          <w:rFonts w:ascii="Times New Roman" w:eastAsia="Calibri" w:hAnsi="Times New Roman"/>
          <w:b/>
          <w:sz w:val="24"/>
          <w:szCs w:val="24"/>
          <w:vertAlign w:val="subscript"/>
        </w:rPr>
        <w:t>standard</w:t>
      </w:r>
    </w:p>
    <w:p>
      <w:pPr>
        <w:pStyle w:val="style0"/>
        <w:spacing w:lineRule="auto" w:line="480"/>
        <w:jc w:val="both"/>
        <w:rPr>
          <w:rFonts w:ascii="Times New Roman" w:hAnsi="Times New Roman"/>
          <w:sz w:val="24"/>
          <w:szCs w:val="24"/>
        </w:rPr>
      </w:pPr>
      <w:r>
        <w:rPr>
          <w:rFonts w:ascii="Times New Roman" w:hAnsi="Times New Roman"/>
          <w:b/>
          <w:bCs/>
          <w:sz w:val="24"/>
          <w:szCs w:val="24"/>
        </w:rPr>
        <w:t>3.9.7 ANTIOXIDANT ASSAYS</w:t>
      </w:r>
    </w:p>
    <w:p>
      <w:pPr>
        <w:pStyle w:val="style0"/>
        <w:spacing w:after="0" w:lineRule="auto" w:line="480"/>
        <w:jc w:val="both"/>
        <w:rPr>
          <w:rFonts w:ascii="Times New Roman" w:hAnsi="Times New Roman"/>
          <w:sz w:val="24"/>
          <w:szCs w:val="24"/>
        </w:rPr>
      </w:pPr>
      <w:r>
        <w:rPr>
          <w:rFonts w:ascii="Times New Roman" w:hAnsi="Times New Roman"/>
          <w:b/>
          <w:sz w:val="24"/>
          <w:szCs w:val="24"/>
        </w:rPr>
        <w:t>Superoxide dismutase</w:t>
      </w:r>
    </w:p>
    <w:p>
      <w:pPr>
        <w:pStyle w:val="style0"/>
        <w:spacing w:after="0" w:lineRule="auto" w:line="480"/>
        <w:jc w:val="both"/>
        <w:rPr>
          <w:rFonts w:ascii="Times New Roman" w:hAnsi="Times New Roman"/>
          <w:sz w:val="24"/>
          <w:szCs w:val="24"/>
        </w:rPr>
      </w:pPr>
      <w:r>
        <w:rPr>
          <w:rFonts w:ascii="Times New Roman" w:hAnsi="Times New Roman"/>
          <w:sz w:val="24"/>
          <w:szCs w:val="24"/>
        </w:rPr>
        <w:t xml:space="preserve">The method described by Misra and fridovich (1972) was used to assay for the activity of superoxide dismutase. </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Superoxide dismutase activity was measured as the inhibition of the rate of reduction of cytochrome c by the superoxide radical, observed at 550 nm:</w:t>
      </w:r>
    </w:p>
    <w:p>
      <w:pPr>
        <w:pStyle w:val="style0"/>
        <w:tabs>
          <w:tab w:val="left" w:leader="none" w:pos="560"/>
        </w:tabs>
        <w:spacing w:lineRule="auto" w:line="480"/>
        <w:jc w:val="both"/>
        <w:rPr>
          <w:rFonts w:ascii="Times New Roman" w:hAnsi="Times New Roman"/>
          <w:color w:val="000000"/>
          <w:sz w:val="24"/>
          <w:szCs w:val="24"/>
          <w:vertAlign w:val="subscript"/>
        </w:rPr>
      </w:pPr>
      <w:r>
        <w:rPr>
          <w:rFonts w:ascii="Times New Roman" w:hAnsi="Times New Roman"/>
          <w:sz w:val="24"/>
          <w:szCs w:val="24"/>
        </w:rPr>
        <w:pict>
          <v:shape id="1040" type="#_x0000_t32" filled="f" style="position:absolute;margin-left:66.75pt;margin-top:9.25pt;width:96.75pt;height:0.0pt;z-index:19;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+ 2H</w:t>
      </w:r>
      <w:r>
        <w:rPr>
          <w:rFonts w:ascii="Times New Roman" w:hAnsi="Times New Roman"/>
          <w:color w:val="000000"/>
          <w:sz w:val="24"/>
          <w:szCs w:val="24"/>
          <w:vertAlign w:val="superscript"/>
        </w:rPr>
        <w:t>+                      SOD</w:t>
      </w:r>
      <w:r>
        <w:rPr>
          <w:rFonts w:ascii="Times New Roman" w:hAnsi="Times New Roman"/>
          <w:color w:val="000000"/>
          <w:sz w:val="24"/>
          <w:szCs w:val="24"/>
        </w:rPr>
        <w:tab/>
      </w:r>
      <w:r>
        <w:rPr>
          <w:rFonts w:ascii="Times New Roman" w:hAnsi="Times New Roman"/>
          <w:color w:val="000000"/>
          <w:sz w:val="24"/>
          <w:szCs w:val="24"/>
        </w:rPr>
        <w:t xml:space="preserve">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sz w:val="24"/>
          <w:szCs w:val="24"/>
        </w:rPr>
        <w:pict>
          <v:shape id="1041" type="#_x0000_t32" filled="f" style="position:absolute;margin-left:148.0pt;margin-top:8.8pt;width:99.0pt;height:0.0pt;z-index:17;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Cytochrome c (oxidized) + O</w:t>
      </w:r>
      <w:r>
        <w:rPr>
          <w:rFonts w:ascii="Times New Roman" w:hAnsi="Times New Roman"/>
          <w:color w:val="000000"/>
          <w:sz w:val="24"/>
          <w:szCs w:val="24"/>
          <w:vertAlign w:val="superscript"/>
        </w:rPr>
        <w:t>.-</w:t>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vertAlign w:val="superscript"/>
        </w:rPr>
        <w:tab/>
      </w:r>
      <w:r>
        <w:rPr>
          <w:rFonts w:ascii="Times New Roman" w:hAnsi="Times New Roman"/>
          <w:color w:val="000000"/>
          <w:sz w:val="24"/>
          <w:szCs w:val="24"/>
        </w:rPr>
        <w:t>Cytochrome c(reduced) + O</w:t>
      </w:r>
      <w:r>
        <w:rPr>
          <w:rFonts w:ascii="Times New Roman" w:hAnsi="Times New Roman"/>
          <w:color w:val="000000"/>
          <w:sz w:val="24"/>
          <w:szCs w:val="24"/>
          <w:vertAlign w:val="subscript"/>
        </w:rPr>
        <w:t>2</w:t>
      </w:r>
    </w:p>
    <w:p>
      <w:pPr>
        <w:pStyle w:val="style0"/>
        <w:tabs>
          <w:tab w:val="left" w:leader="none" w:pos="560"/>
        </w:tabs>
        <w:spacing w:lineRule="auto" w:line="480"/>
        <w:jc w:val="both"/>
        <w:rPr>
          <w:rFonts w:ascii="Times New Roman" w:hAnsi="Times New Roman"/>
          <w:color w:val="000000"/>
          <w:sz w:val="24"/>
          <w:szCs w:val="24"/>
        </w:rPr>
      </w:pPr>
      <w:r>
        <w:rPr>
          <w:rFonts w:ascii="Times New Roman" w:hAnsi="Times New Roman"/>
          <w:color w:val="000000"/>
          <w:sz w:val="24"/>
          <w:szCs w:val="24"/>
        </w:rPr>
        <w:t>The superoxide radical is produced enzymatically by the reaction:</w:t>
      </w:r>
    </w:p>
    <w:p>
      <w:pPr>
        <w:pStyle w:val="style0"/>
        <w:tabs>
          <w:tab w:val="left" w:leader="none" w:pos="540"/>
        </w:tabs>
        <w:spacing w:lineRule="auto" w:line="480"/>
        <w:jc w:val="both"/>
        <w:rPr>
          <w:rFonts w:ascii="Times New Roman" w:hAnsi="Times New Roman"/>
          <w:color w:val="000000"/>
          <w:sz w:val="24"/>
          <w:szCs w:val="24"/>
        </w:rPr>
      </w:pPr>
      <w:r>
        <w:rPr>
          <w:rFonts w:ascii="Times New Roman" w:hAnsi="Times New Roman"/>
          <w:sz w:val="24"/>
          <w:szCs w:val="24"/>
        </w:rPr>
        <w:pict>
          <v:shape id="1042" type="#_x0000_t32" filled="f" style="position:absolute;margin-left:119.25pt;margin-top:9.75pt;width:58.5pt;height:0.0pt;z-index:18;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Xanthine + O</w:t>
      </w:r>
      <w:r>
        <w:rPr>
          <w:rFonts w:ascii="Times New Roman" w:hAnsi="Times New Roman"/>
          <w:color w:val="000000"/>
          <w:sz w:val="24"/>
          <w:szCs w:val="24"/>
          <w:vertAlign w:val="subscript"/>
        </w:rPr>
        <w:t>2</w:t>
      </w:r>
      <w:r>
        <w:rPr>
          <w:rFonts w:ascii="Times New Roman" w:hAnsi="Times New Roman"/>
          <w:color w:val="000000"/>
          <w:sz w:val="24"/>
          <w:szCs w:val="24"/>
        </w:rPr>
        <w:t xml:space="preserve"> + H</w:t>
      </w:r>
      <w:r>
        <w:rPr>
          <w:rFonts w:ascii="Times New Roman" w:hAnsi="Times New Roman"/>
          <w:color w:val="000000"/>
          <w:sz w:val="24"/>
          <w:szCs w:val="24"/>
          <w:vertAlign w:val="subscript"/>
        </w:rPr>
        <w:t>2</w:t>
      </w:r>
      <w:r>
        <w:rPr>
          <w:rFonts w:ascii="Times New Roman" w:hAnsi="Times New Roman"/>
          <w:color w:val="000000"/>
          <w:sz w:val="24"/>
          <w:szCs w:val="24"/>
        </w:rPr>
        <w:t xml:space="preserve">O   </w:t>
      </w:r>
      <w:r>
        <w:rPr>
          <w:rFonts w:ascii="Times New Roman" w:hAnsi="Times New Roman"/>
          <w:color w:val="000000"/>
          <w:sz w:val="24"/>
          <w:szCs w:val="24"/>
          <w:vertAlign w:val="superscript"/>
        </w:rPr>
        <w:t>Xanthine oxidase</w:t>
      </w:r>
      <w:r>
        <w:rPr>
          <w:rFonts w:ascii="Times New Roman" w:hAnsi="Times New Roman"/>
          <w:color w:val="000000"/>
          <w:sz w:val="24"/>
          <w:szCs w:val="24"/>
        </w:rPr>
        <w:tab/>
      </w:r>
      <w:r>
        <w:rPr>
          <w:rFonts w:ascii="Times New Roman" w:hAnsi="Times New Roman"/>
          <w:color w:val="000000"/>
          <w:sz w:val="24"/>
          <w:szCs w:val="24"/>
        </w:rPr>
        <w:t xml:space="preserve"> Uric acid + O</w:t>
      </w:r>
      <w:r>
        <w:rPr>
          <w:rFonts w:ascii="Times New Roman" w:hAnsi="Times New Roman"/>
          <w:color w:val="000000"/>
          <w:sz w:val="24"/>
          <w:szCs w:val="24"/>
          <w:vertAlign w:val="subscript"/>
        </w:rPr>
        <w:t>2</w:t>
      </w:r>
      <w:r>
        <w:rPr>
          <w:rFonts w:ascii="Times New Roman" w:hAnsi="Times New Roman"/>
          <w:color w:val="000000"/>
          <w:sz w:val="24"/>
          <w:szCs w:val="24"/>
          <w:vertAlign w:val="superscript"/>
        </w:rPr>
        <w:t>-</w:t>
      </w:r>
      <w:r>
        <w:rPr>
          <w:rFonts w:ascii="Times New Roman" w:hAnsi="Times New Roman"/>
          <w:color w:val="000000"/>
          <w:sz w:val="24"/>
          <w:szCs w:val="24"/>
        </w:rPr>
        <w:t xml:space="preserve"> + H</w:t>
      </w:r>
      <w:r>
        <w:rPr>
          <w:rFonts w:ascii="Times New Roman" w:hAnsi="Times New Roman"/>
          <w:color w:val="000000"/>
          <w:sz w:val="24"/>
          <w:szCs w:val="24"/>
          <w:vertAlign w:val="superscript"/>
        </w:rPr>
        <w:t>+</w:t>
      </w:r>
    </w:p>
    <w:p>
      <w:pPr>
        <w:pStyle w:val="style0"/>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b/>
          <w:sz w:val="24"/>
          <w:szCs w:val="24"/>
        </w:rPr>
        <w:t>Procedure:</w:t>
      </w:r>
      <w:r>
        <w:rPr>
          <w:rFonts w:ascii="Times New Roman" w:hAnsi="Times New Roman"/>
          <w:color w:val="000000"/>
          <w:sz w:val="24"/>
          <w:szCs w:val="24"/>
        </w:rPr>
        <w:t>Tissue homogenate of 0.5ml was diluted in 4.5ml of distilled water (1:10) dilution factor. An aliquot of 0.2ml of diluted serum sample was added to 2.5ml of 0.05M carbonate buffer (pH 10.2) to equilibrate in a spectrophotometric cuvette and the reaction was started by adding 0.3ml of substrate (0.3mM Epinephrine) and 0.2ml of distilled water. The increase in absorbance at 480nm was monitored every 30 seconds for 150 seconds.</w:t>
      </w:r>
    </w:p>
    <w:p>
      <w:pPr>
        <w:pStyle w:val="style179"/>
        <w:autoSpaceDE w:val="false"/>
        <w:autoSpaceDN w:val="false"/>
        <w:adjustRightInd w:val="false"/>
        <w:spacing w:lineRule="auto" w:line="480"/>
        <w:ind w:left="0"/>
        <w:rPr>
          <w:color w:val="000000"/>
          <w:sz w:val="24"/>
          <w:szCs w:val="24"/>
          <w:u w:val="single"/>
        </w:rPr>
      </w:pPr>
      <w:r>
        <w:rPr>
          <w:color w:val="000000"/>
          <w:sz w:val="24"/>
          <w:szCs w:val="24"/>
        </w:rPr>
        <w:t xml:space="preserve">Increase in absorbance per minute = </w:t>
      </w:r>
      <w:r>
        <w:rPr>
          <w:color w:val="000000"/>
          <w:sz w:val="24"/>
          <w:szCs w:val="24"/>
          <w:u w:val="single"/>
        </w:rPr>
        <w:t>A1 – A0</w:t>
      </w:r>
    </w:p>
    <w:p>
      <w:pPr>
        <w:pStyle w:val="style0"/>
        <w:autoSpaceDE w:val="false"/>
        <w:autoSpaceDN w:val="false"/>
        <w:adjustRightInd w:val="false"/>
        <w:spacing w:lineRule="auto" w:line="480"/>
        <w:ind w:left="2880" w:firstLine="720"/>
        <w:rPr>
          <w:color w:val="000000"/>
          <w:sz w:val="24"/>
          <w:szCs w:val="24"/>
          <w:u w:val="single"/>
        </w:rPr>
      </w:pPr>
      <w:r>
        <w:rPr>
          <w:color w:val="000000"/>
          <w:sz w:val="24"/>
          <w:szCs w:val="24"/>
        </w:rPr>
        <w:t>2.5</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Where A0 = absorbance after 30seconds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A1 = absorbance after 150 seconds.</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sz w:val="24"/>
          <w:szCs w:val="24"/>
        </w:rPr>
        <w:pict>
          <v:line id="1043" stroked="t" from="189.75pt,13.6pt" to="365.25pt,13.6pt" style="position:absolute;z-index:22;mso-position-horizontal-relative:text;mso-position-vertical-relative:text;mso-width-relative:page;mso-height-relative:page;mso-wrap-distance-left:0.0pt;mso-wrap-distance-right:0.0pt;visibility:visible;">
            <v:fill/>
          </v:line>
        </w:pict>
      </w:r>
      <w:r>
        <w:rPr>
          <w:color w:val="000000"/>
          <w:sz w:val="24"/>
          <w:szCs w:val="24"/>
        </w:rPr>
        <w:t>% inhibition = 100 – (100 x increase in absorbance for substrate)</w:t>
      </w:r>
    </w:p>
    <w:p>
      <w:pPr>
        <w:pStyle w:val="style179"/>
        <w:tabs>
          <w:tab w:val="left" w:leader="none" w:pos="4470"/>
        </w:tabs>
        <w:autoSpaceDE w:val="false"/>
        <w:autoSpaceDN w:val="false"/>
        <w:adjustRightInd w:val="false"/>
        <w:spacing w:lineRule="auto" w:line="480"/>
        <w:ind w:left="1080"/>
        <w:jc w:val="both"/>
        <w:rPr>
          <w:color w:val="000000"/>
          <w:sz w:val="24"/>
          <w:szCs w:val="24"/>
        </w:rPr>
      </w:pPr>
      <w:r>
        <w:rPr>
          <w:color w:val="000000"/>
          <w:sz w:val="24"/>
          <w:szCs w:val="24"/>
        </w:rPr>
        <w:t xml:space="preserve">                                                    Increase in absorbance for blank</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4" stroked="t" from="163.5pt,13.9pt" to="265.5pt,13.9pt" style="position:absolute;z-index:21;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Enzyme activity (nmol/mL) = % inhibition x 1000 x df</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50 x 0.1</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df = dilution factor</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0.1 = volume in mL of tissue homogenate</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50% = inhibition of the rate of cytochrome c reduction as per unit definition</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1000 = the factor introduced to enable enzyme activity be expressed in nmol/min/mL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The specific enzyme activity was calculated using the formula</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line id="1045" stroked="t" from="243.0pt,12.45pt" to="356.45pt,12.45pt" style="position:absolute;z-index:20;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 xml:space="preserve">                                                                      Protein concentration</w:t>
      </w:r>
    </w:p>
    <w:p>
      <w:pPr>
        <w:pStyle w:val="style4097"/>
        <w:spacing w:lineRule="auto" w:line="480"/>
        <w:jc w:val="both"/>
        <w:rPr/>
      </w:pPr>
    </w:p>
    <w:p>
      <w:pPr>
        <w:pStyle w:val="style0"/>
        <w:spacing w:after="0" w:lineRule="auto" w:line="480"/>
        <w:jc w:val="both"/>
        <w:rPr>
          <w:rFonts w:ascii="Times New Roman" w:hAnsi="Times New Roman"/>
          <w:b/>
          <w:sz w:val="24"/>
          <w:szCs w:val="24"/>
        </w:rPr>
      </w:pPr>
      <w:r>
        <w:rPr>
          <w:rFonts w:ascii="Times New Roman" w:hAnsi="Times New Roman"/>
          <w:b/>
          <w:sz w:val="24"/>
          <w:szCs w:val="24"/>
        </w:rPr>
        <w:t xml:space="preserve">Catalase </w:t>
      </w:r>
    </w:p>
    <w:p>
      <w:pPr>
        <w:pStyle w:val="style0"/>
        <w:spacing w:after="0" w:lineRule="auto" w:line="480"/>
        <w:jc w:val="both"/>
        <w:rPr>
          <w:rFonts w:ascii="Times New Roman" w:hAnsi="Times New Roman"/>
          <w:b/>
          <w:sz w:val="24"/>
          <w:szCs w:val="24"/>
        </w:rPr>
      </w:pPr>
      <w:r>
        <w:rPr>
          <w:rFonts w:ascii="Times New Roman" w:hAnsi="Times New Roman"/>
          <w:sz w:val="24"/>
          <w:szCs w:val="24"/>
        </w:rPr>
        <w:t>The method described by Beers and sizer (1952) was used to assay for the activity of catalase.</w:t>
      </w:r>
    </w:p>
    <w:p>
      <w:pPr>
        <w:pStyle w:val="style0"/>
        <w:autoSpaceDE w:val="false"/>
        <w:autoSpaceDN w:val="false"/>
        <w:adjustRightInd w:val="false"/>
        <w:spacing w:after="0" w:lineRule="auto" w:line="480"/>
        <w:ind w:firstLine="720"/>
        <w:jc w:val="both"/>
        <w:rPr>
          <w:rFonts w:ascii="Times New Roman" w:hAnsi="Times New Roman"/>
          <w:color w:val="000000"/>
          <w:sz w:val="24"/>
          <w:szCs w:val="24"/>
        </w:rPr>
      </w:pPr>
      <w:r>
        <w:rPr>
          <w:rFonts w:ascii="Times New Roman" w:hAnsi="Times New Roman"/>
          <w:b/>
          <w:sz w:val="24"/>
          <w:szCs w:val="24"/>
        </w:rPr>
        <w:t xml:space="preserve">Principle: </w:t>
      </w:r>
      <w:r>
        <w:rPr>
          <w:rFonts w:ascii="Times New Roman" w:hAnsi="Times New Roman"/>
          <w:color w:val="000000"/>
          <w:sz w:val="24"/>
          <w:szCs w:val="24"/>
        </w:rPr>
        <w:t>The UV light absorption of hydrogen peroxide can be easily measured between 230-250 nm. On decomposition of hydrogen peroxide by the catalase, the absorption decreases with time. The enzyme activity can be estimated by this decrease in absorption.</w:t>
      </w:r>
    </w:p>
    <w:p>
      <w:pPr>
        <w:pStyle w:val="style0"/>
        <w:spacing w:lineRule="auto" w:line="480"/>
        <w:ind w:firstLine="360"/>
        <w:jc w:val="both"/>
        <w:rPr>
          <w:rFonts w:ascii="Times New Roman" w:hAnsi="Times New Roman"/>
          <w:color w:val="000000"/>
          <w:sz w:val="24"/>
          <w:szCs w:val="24"/>
        </w:rPr>
      </w:pPr>
      <w:r>
        <w:rPr>
          <w:rFonts w:ascii="Times New Roman" w:hAnsi="Times New Roman"/>
          <w:sz w:val="24"/>
          <w:szCs w:val="24"/>
        </w:rPr>
        <w:pict>
          <v:shape id="1046" type="#_x0000_t32" filled="f" style="position:absolute;margin-left:54.0pt;margin-top:10.45pt;width:99.0pt;height:0.0pt;z-index:23;mso-position-horizontal-relative:text;mso-position-vertical-relative:text;mso-width-relative:page;mso-height-relative:page;mso-wrap-distance-left:0.0pt;mso-wrap-distance-right:0.0pt;visibility:visible;">
            <v:stroke endarrow="open" weight="0.25pt"/>
            <v:fill/>
            <v:shadow on="t" color="black" offset="0.0pt,1.8110268pt" opacity="22936f" origin=",0.5"/>
            <v:path o:connecttype="none" fillok="f" arrowok="t"/>
          </v:shape>
        </w:pict>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w:t>
      </w:r>
      <w:r>
        <w:rPr>
          <w:rFonts w:ascii="Times New Roman" w:hAnsi="Times New Roman"/>
          <w:color w:val="000000"/>
          <w:sz w:val="24"/>
          <w:szCs w:val="24"/>
          <w:vertAlign w:val="subscript"/>
        </w:rPr>
        <w:t>2</w:t>
      </w:r>
      <w:r>
        <w:rPr>
          <w:rFonts w:ascii="Times New Roman" w:hAnsi="Times New Roman"/>
          <w:color w:val="000000"/>
          <w:sz w:val="24"/>
          <w:szCs w:val="24"/>
        </w:rPr>
        <w:tab/>
      </w:r>
      <w:r>
        <w:rPr>
          <w:rFonts w:ascii="Times New Roman" w:hAnsi="Times New Roman"/>
          <w:color w:val="000000"/>
          <w:sz w:val="24"/>
          <w:szCs w:val="24"/>
          <w:vertAlign w:val="superscript"/>
        </w:rPr>
        <w:t>Catalase</w:t>
      </w:r>
      <w:r>
        <w:rPr>
          <w:rFonts w:ascii="Times New Roman" w:hAnsi="Times New Roman"/>
          <w:color w:val="000000"/>
          <w:sz w:val="24"/>
          <w:szCs w:val="24"/>
          <w:vertAlign w:val="superscript"/>
        </w:rPr>
        <w:tab/>
      </w:r>
      <w:r>
        <w:rPr>
          <w:rFonts w:ascii="Times New Roman" w:hAnsi="Times New Roman"/>
          <w:color w:val="000000"/>
          <w:sz w:val="24"/>
          <w:szCs w:val="24"/>
        </w:rPr>
        <w:t>2H</w:t>
      </w:r>
      <w:r>
        <w:rPr>
          <w:rFonts w:ascii="Times New Roman" w:hAnsi="Times New Roman"/>
          <w:color w:val="000000"/>
          <w:sz w:val="24"/>
          <w:szCs w:val="24"/>
          <w:vertAlign w:val="subscript"/>
        </w:rPr>
        <w:t>2</w:t>
      </w:r>
      <w:r>
        <w:rPr>
          <w:rFonts w:ascii="Times New Roman" w:hAnsi="Times New Roman"/>
          <w:color w:val="000000"/>
          <w:sz w:val="24"/>
          <w:szCs w:val="24"/>
        </w:rPr>
        <w:t>O + O</w:t>
      </w:r>
      <w:r>
        <w:rPr>
          <w:rFonts w:ascii="Times New Roman" w:hAnsi="Times New Roman"/>
          <w:color w:val="000000"/>
          <w:sz w:val="24"/>
          <w:szCs w:val="24"/>
          <w:vertAlign w:val="subscript"/>
        </w:rPr>
        <w:t>2</w:t>
      </w:r>
    </w:p>
    <w:bookmarkStart w:id="0" w:name="_Toc445732267"/>
    <w:bookmarkStart w:id="1" w:name="_Toc445735436"/>
    <w:bookmarkStart w:id="2" w:name="_Toc481329705"/>
    <w:bookmarkStart w:id="3" w:name="_Toc445732214"/>
    <w:bookmarkStart w:id="4" w:name="_Toc481935399"/>
    <w:p>
      <w:pPr>
        <w:pStyle w:val="style0"/>
        <w:spacing w:lineRule="auto" w:line="480"/>
        <w:jc w:val="both"/>
        <w:outlineLvl w:val="0"/>
        <w:rPr>
          <w:rFonts w:ascii="Times New Roman" w:hAnsi="Times New Roman"/>
          <w:b/>
          <w:color w:val="000000"/>
          <w:sz w:val="24"/>
          <w:szCs w:val="24"/>
        </w:rPr>
      </w:pPr>
      <w:r>
        <w:rPr>
          <w:rFonts w:ascii="Times New Roman" w:hAnsi="Times New Roman"/>
          <w:b/>
          <w:color w:val="000000"/>
          <w:sz w:val="24"/>
          <w:szCs w:val="24"/>
        </w:rPr>
        <w:t>Procedure</w:t>
      </w:r>
      <w:bookmarkEnd w:id="0"/>
      <w:bookmarkEnd w:id="1"/>
      <w:bookmarkEnd w:id="2"/>
      <w:bookmarkEnd w:id="3"/>
      <w:bookmarkEnd w:id="4"/>
    </w:p>
    <w:bookmarkStart w:id="5" w:name="_Toc481329706"/>
    <w:bookmarkStart w:id="6" w:name="_Toc481935400"/>
    <w:bookmarkStart w:id="7" w:name="_Toc445732215"/>
    <w:bookmarkStart w:id="8" w:name="_Toc445735437"/>
    <w:bookmarkStart w:id="9" w:name="_Toc445732268"/>
    <w:p>
      <w:pPr>
        <w:pStyle w:val="style0"/>
        <w:spacing w:lineRule="auto" w:line="480"/>
        <w:ind w:firstLine="720"/>
        <w:jc w:val="both"/>
        <w:outlineLvl w:val="0"/>
        <w:rPr>
          <w:rFonts w:ascii="Times New Roman" w:hAnsi="Times New Roman"/>
          <w:color w:val="000000"/>
          <w:sz w:val="24"/>
          <w:szCs w:val="24"/>
        </w:rPr>
      </w:pPr>
      <w:r>
        <w:rPr>
          <w:rFonts w:ascii="Times New Roman" w:hAnsi="Times New Roman"/>
          <w:color w:val="000000"/>
          <w:sz w:val="24"/>
          <w:szCs w:val="24"/>
        </w:rPr>
        <w:t>Hydrogen peroxide (0.036% w/w, 2.9 mL) was added and mixed with appropriately              diluted homogenate (0.1 mL).A blank was prepared containing potassium phosphate buffer (50 mM, pH 7.0, 3.0 mL). The time required for the A</w:t>
      </w:r>
      <w:r>
        <w:rPr>
          <w:rFonts w:ascii="Times New Roman" w:hAnsi="Times New Roman"/>
          <w:color w:val="000000"/>
          <w:sz w:val="24"/>
          <w:szCs w:val="24"/>
          <w:vertAlign w:val="subscript"/>
        </w:rPr>
        <w:t xml:space="preserve">240nm </w:t>
      </w:r>
      <w:r>
        <w:rPr>
          <w:rFonts w:ascii="Times New Roman" w:hAnsi="Times New Roman"/>
          <w:color w:val="000000"/>
          <w:sz w:val="24"/>
          <w:szCs w:val="24"/>
        </w:rPr>
        <w:t>of the reaction mixture to decrease from 0.45 to 0.40 absorbance units was recorded.</w:t>
      </w:r>
      <w:bookmarkEnd w:id="5"/>
      <w:bookmarkEnd w:id="6"/>
      <w:bookmarkEnd w:id="7"/>
      <w:bookmarkEnd w:id="8"/>
      <w:bookmarkEnd w:id="9"/>
    </w:p>
    <w:p>
      <w:pPr>
        <w:pStyle w:val="style0"/>
        <w:spacing w:lineRule="auto" w:line="480"/>
        <w:jc w:val="both"/>
        <w:rPr>
          <w:rFonts w:ascii="Times New Roman" w:hAnsi="Times New Roman"/>
          <w:color w:val="000000"/>
          <w:sz w:val="24"/>
          <w:szCs w:val="24"/>
        </w:rPr>
      </w:pPr>
      <w:r>
        <w:rPr>
          <w:rFonts w:ascii="Times New Roman" w:hAnsi="Times New Roman"/>
          <w:b/>
          <w:color w:val="000000"/>
          <w:sz w:val="24"/>
          <w:szCs w:val="24"/>
        </w:rPr>
        <w:t>NB:</w:t>
      </w:r>
      <w:r>
        <w:rPr>
          <w:rFonts w:ascii="Times New Roman" w:hAnsi="Times New Roman"/>
          <w:color w:val="000000"/>
          <w:sz w:val="24"/>
          <w:szCs w:val="24"/>
        </w:rPr>
        <w:t xml:space="preserve"> The initial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exceeded 0.450 absorbance units and started to decrease. The reaction timing was started when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reached 0.450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The activity and specific activity of catalase was calculated using the expression:</w:t>
      </w:r>
    </w:p>
    <w:p>
      <w:pPr>
        <w:pStyle w:val="style0"/>
        <w:spacing w:lineRule="auto" w:line="480"/>
        <w:jc w:val="both"/>
        <w:rPr>
          <w:rFonts w:ascii="Times New Roman" w:hAnsi="Times New Roman"/>
          <w:color w:val="000000"/>
          <w:sz w:val="24"/>
          <w:szCs w:val="24"/>
        </w:rPr>
      </w:pPr>
    </w:p>
    <w:bookmarkStart w:id="10" w:name="_Toc481329707"/>
    <w:bookmarkStart w:id="11" w:name="_Toc481935401"/>
    <w:bookmarkStart w:id="12" w:name="_Toc445735438"/>
    <w:bookmarkStart w:id="13" w:name="_Toc445732216"/>
    <w:bookmarkStart w:id="14" w:name="_Toc445732269"/>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 xml:space="preserve">Enzyme Activity (nmol/min/mL) = </w:t>
      </w:r>
      <w:r>
        <w:rPr>
          <w:rFonts w:ascii="Times New Roman" w:hAnsi="Times New Roman"/>
          <w:color w:val="000000"/>
          <w:sz w:val="24"/>
          <w:szCs w:val="24"/>
          <w:u w:val="single"/>
          <w:lang w:val="en-GB"/>
        </w:rPr>
        <w:t>3.45 x 1000 x df</w:t>
      </w:r>
      <w:bookmarkEnd w:id="10"/>
      <w:bookmarkEnd w:id="11"/>
      <w:bookmarkEnd w:id="12"/>
      <w:bookmarkEnd w:id="13"/>
      <w:bookmarkEnd w:id="14"/>
    </w:p>
    <w:p>
      <w:pPr>
        <w:pStyle w:val="style0"/>
        <w:spacing w:lineRule="auto" w:line="480"/>
        <w:jc w:val="both"/>
        <w:outlineLvl w:val="0"/>
        <w:rPr>
          <w:rFonts w:ascii="Times New Roman" w:hAnsi="Times New Roman"/>
          <w:color w:val="000000"/>
          <w:sz w:val="24"/>
          <w:szCs w:val="24"/>
          <w:lang w:val="en-GB"/>
        </w:rPr>
      </w:pP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ab/>
      </w:r>
      <w:r>
        <w:rPr>
          <w:rFonts w:ascii="Times New Roman" w:hAnsi="Times New Roman"/>
          <w:color w:val="000000"/>
          <w:sz w:val="24"/>
          <w:szCs w:val="24"/>
          <w:lang w:val="en-GB"/>
        </w:rPr>
        <w:t>min x v</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3.45 - Corresponds to the decomposition of 3.45 micromoles of hydrogen peroxide in a 3.0 mL reaction mixture producing a decrease in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df    -</w:t>
      </w:r>
      <w:r>
        <w:rPr>
          <w:rFonts w:ascii="Times New Roman" w:hAnsi="Times New Roman"/>
          <w:color w:val="000000"/>
          <w:sz w:val="24"/>
          <w:szCs w:val="24"/>
        </w:rPr>
        <w:tab/>
      </w:r>
      <w:r>
        <w:rPr>
          <w:rFonts w:ascii="Times New Roman" w:hAnsi="Times New Roman"/>
          <w:color w:val="000000"/>
          <w:sz w:val="24"/>
          <w:szCs w:val="24"/>
        </w:rPr>
        <w:t>Dilution factor</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min -</w:t>
      </w:r>
      <w:r>
        <w:rPr>
          <w:rFonts w:ascii="Times New Roman" w:hAnsi="Times New Roman"/>
          <w:color w:val="000000"/>
          <w:sz w:val="24"/>
          <w:szCs w:val="24"/>
        </w:rPr>
        <w:tab/>
      </w:r>
      <w:r>
        <w:rPr>
          <w:rFonts w:ascii="Times New Roman" w:hAnsi="Times New Roman"/>
          <w:color w:val="000000"/>
          <w:sz w:val="24"/>
          <w:szCs w:val="24"/>
        </w:rPr>
        <w:t>Time (minutes) required for the A</w:t>
      </w:r>
      <w:r>
        <w:rPr>
          <w:rFonts w:ascii="Times New Roman" w:hAnsi="Times New Roman"/>
          <w:color w:val="000000"/>
          <w:sz w:val="24"/>
          <w:szCs w:val="24"/>
          <w:vertAlign w:val="subscript"/>
        </w:rPr>
        <w:t>240nm</w:t>
      </w:r>
      <w:r>
        <w:rPr>
          <w:rFonts w:ascii="Times New Roman" w:hAnsi="Times New Roman"/>
          <w:color w:val="000000"/>
          <w:sz w:val="24"/>
          <w:szCs w:val="24"/>
        </w:rPr>
        <w:t xml:space="preserve"> to decrease from 0.45 to 0.40 absorbance units</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v -Volume (mL) of the sample used</w:t>
      </w:r>
    </w:p>
    <w:p>
      <w:pPr>
        <w:pStyle w:val="style0"/>
        <w:spacing w:lineRule="auto" w:line="480"/>
        <w:jc w:val="both"/>
        <w:rPr>
          <w:rFonts w:ascii="Times New Roman" w:hAnsi="Times New Roman"/>
          <w:color w:val="000000"/>
          <w:sz w:val="24"/>
          <w:szCs w:val="24"/>
          <w:lang w:val="en-GB"/>
        </w:rPr>
      </w:pPr>
      <w:r>
        <w:rPr>
          <w:rFonts w:ascii="Times New Roman" w:hAnsi="Times New Roman"/>
          <w:color w:val="000000"/>
          <w:sz w:val="24"/>
          <w:szCs w:val="24"/>
        </w:rPr>
        <w:t>1000 -</w:t>
      </w:r>
      <w:r>
        <w:rPr>
          <w:rFonts w:ascii="Times New Roman" w:hAnsi="Times New Roman"/>
          <w:color w:val="000000"/>
          <w:sz w:val="24"/>
          <w:szCs w:val="24"/>
        </w:rPr>
        <w:tab/>
      </w:r>
      <w:r>
        <w:rPr>
          <w:rFonts w:ascii="Times New Roman" w:hAnsi="Times New Roman"/>
          <w:color w:val="000000"/>
          <w:sz w:val="24"/>
          <w:szCs w:val="24"/>
          <w:lang w:val="en-GB"/>
        </w:rPr>
        <w:t>The factor introduced to enable enzyme activity be expressed in nmol/min/mL</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lang w:val="yo-NG"/>
        </w:rPr>
        <w:t>The specific enzyme activity was calculated using the expression:</w:t>
      </w:r>
    </w:p>
    <w:p>
      <w:pPr>
        <w:pStyle w:val="style0"/>
        <w:spacing w:lineRule="auto" w:line="480"/>
        <w:jc w:val="both"/>
        <w:rPr>
          <w:rFonts w:ascii="Times New Roman" w:hAnsi="Times New Roman"/>
          <w:color w:val="000000"/>
          <w:sz w:val="24"/>
          <w:szCs w:val="24"/>
        </w:rPr>
      </w:pPr>
      <w:r>
        <w:rPr>
          <w:rFonts w:ascii="Times New Roman" w:hAnsi="Times New Roman"/>
          <w:sz w:val="24"/>
          <w:szCs w:val="24"/>
        </w:rPr>
        <w:pict>
          <v:line id="1047" stroked="t" from="238.5pt,15.95pt" to="323.25pt,15.95pt" style="position:absolute;z-index:24;mso-position-horizontal-relative:text;mso-position-vertical-relative:text;mso-width-relative:page;mso-height-relative:page;mso-wrap-distance-left:0.0pt;mso-wrap-distance-right:0.0pt;visibility:visible;">
            <v:fill/>
          </v:line>
        </w:pict>
      </w:r>
      <w:r>
        <w:rPr>
          <w:rFonts w:ascii="Times New Roman" w:hAnsi="Times New Roman"/>
          <w:color w:val="000000"/>
          <w:sz w:val="24"/>
          <w:szCs w:val="24"/>
        </w:rPr>
        <w:t>Specific enzyme activity (nmol/min/mg protein) = Enzyme Activity</w:t>
      </w:r>
    </w:p>
    <w:p>
      <w:pPr>
        <w:pStyle w:val="style0"/>
        <w:spacing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Protein Concentration</w:t>
      </w:r>
      <w:r>
        <w:rPr>
          <w:rFonts w:ascii="Times New Roman" w:hAnsi="Times New Roman"/>
          <w:b/>
          <w:bCs/>
          <w:color w:val="000000"/>
          <w:sz w:val="24"/>
          <w:szCs w:val="24"/>
        </w:rPr>
        <w:tab/>
      </w:r>
    </w:p>
    <w:p>
      <w:pPr>
        <w:pStyle w:val="style0"/>
        <w:spacing w:lineRule="auto" w:line="480"/>
        <w:jc w:val="both"/>
        <w:rPr>
          <w:rFonts w:ascii="Times New Roman" w:hAnsi="Times New Roman"/>
          <w:b/>
          <w:sz w:val="24"/>
          <w:szCs w:val="24"/>
        </w:rPr>
      </w:pPr>
      <w:r>
        <w:rPr>
          <w:rFonts w:ascii="Times New Roman" w:hAnsi="Times New Roman"/>
          <w:b/>
          <w:sz w:val="24"/>
          <w:szCs w:val="24"/>
        </w:rPr>
        <w:t>Reduced glutathione (GSH)</w:t>
      </w:r>
    </w:p>
    <w:p>
      <w:pPr>
        <w:pStyle w:val="style0"/>
        <w:widowControl w:val="false"/>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The level of GSH in the </w:t>
      </w:r>
      <w:r>
        <w:rPr>
          <w:rFonts w:ascii="Times New Roman" w:hAnsi="Times New Roman"/>
          <w:sz w:val="24"/>
          <w:szCs w:val="24"/>
          <w:lang w:val="yo-NG"/>
        </w:rPr>
        <w:t>liver homogenate</w:t>
      </w:r>
      <w:r>
        <w:rPr>
          <w:rFonts w:ascii="Times New Roman" w:hAnsi="Times New Roman"/>
          <w:sz w:val="24"/>
          <w:szCs w:val="24"/>
        </w:rPr>
        <w:t xml:space="preserve"> was determined using the procedure described by</w:t>
      </w:r>
      <w:r>
        <w:rPr>
          <w:rFonts w:ascii="Times New Roman" w:hAnsi="Times New Roman"/>
          <w:sz w:val="24"/>
          <w:szCs w:val="24"/>
          <w:lang w:val="yo-NG"/>
        </w:rPr>
        <w:t xml:space="preserve"> Ellman </w:t>
      </w:r>
      <w:r>
        <w:rPr>
          <w:rFonts w:ascii="Times New Roman" w:hAnsi="Times New Roman"/>
          <w:sz w:val="24"/>
          <w:szCs w:val="24"/>
          <w:lang w:val="yo-NG"/>
        </w:rPr>
        <w:fldChar w:fldCharType="begin"/>
      </w:r>
      <w:r>
        <w:rPr>
          <w:rFonts w:ascii="Times New Roman" w:hAnsi="Times New Roman"/>
          <w:sz w:val="24"/>
          <w:szCs w:val="24"/>
          <w:lang w:val="yo-NG"/>
        </w:rPr>
        <w:instrText>ADDIN CSL_CITATION { "citationItems" : [ { "id" : "ITEM-1", "itemData" : { "abstract" : "A water-soluble (at pH 8) aromatic disulfide [5,5\u2032-dithiobis(2-nitrobenzoic acid)] has been synthesized and shown to be useful for determination of sulfhydryl groups. Several applications have been made to show its usefulness for biological materials. A study of the reaction of this disulfide with blood has produced some evidence for the splitting of disulfide bonds by reduced heme.", "author" : [ { "dropping-particle" : "", "family" : "Ellman", "given" : "George L.", "non-dropping-particle" : "", "parse-names" : false, "suffix" : "" } ], "container-title" : "Archives of Biochemistry and Biophysics", "id" : "ITEM-1", "issue" : "1", "issued" : { "date-parts" : [ [ "1959" ] ] }, "page" : "70-77", "title" : "Tissue sulfhydryl groups", "type" : "article-journal", "volume" : "82" }, "uris" : [ "http://www.mendeley.com/documents/?uuid=a50fe710-7e11-454e-91dd-ac0903ae48b3" ] } ], "mendeley" : { "formattedCitation" : "(Ellman, 1959)", "plainTextFormattedCitation" : "(Ellman, 1959)", "previouslyFormattedCitation" : "(Ellman, 1959)" }, "properties" : { "noteIndex" : 0 }, "schema" : "https://github.com/citation-style-language/schema/raw/master/csl-citation.json" }</w:instrText>
      </w:r>
      <w:r>
        <w:rPr>
          <w:rFonts w:ascii="Times New Roman" w:hAnsi="Times New Roman"/>
          <w:sz w:val="24"/>
          <w:szCs w:val="24"/>
          <w:lang w:val="yo-NG"/>
        </w:rPr>
        <w:fldChar w:fldCharType="separate"/>
      </w:r>
      <w:r>
        <w:rPr>
          <w:rFonts w:ascii="Times New Roman" w:hAnsi="Times New Roman"/>
          <w:sz w:val="24"/>
          <w:szCs w:val="24"/>
          <w:lang w:val="yo-NG"/>
        </w:rPr>
        <w:t>(Ellman, 1959)</w:t>
      </w:r>
      <w:r>
        <w:rPr>
          <w:rFonts w:ascii="Times New Roman" w:hAnsi="Times New Roman"/>
          <w:sz w:val="24"/>
          <w:szCs w:val="24"/>
          <w:lang w:val="yo-NG"/>
        </w:rPr>
        <w:fldChar w:fldCharType="end"/>
      </w:r>
      <w:r>
        <w:rPr>
          <w:rFonts w:ascii="Times New Roman" w:hAnsi="Times New Roman"/>
          <w:sz w:val="24"/>
          <w:szCs w:val="24"/>
          <w:lang w:val="yo-NG"/>
        </w:rPr>
        <w:t>.</w:t>
      </w:r>
      <w:r>
        <w:rPr>
          <w:rFonts w:ascii="Times New Roman" w:hAnsi="Times New Roman"/>
          <w:sz w:val="24"/>
          <w:szCs w:val="24"/>
        </w:rPr>
        <w:t xml:space="preserve"> Briefly, 1.0 mL of </w:t>
      </w:r>
      <w:r>
        <w:rPr>
          <w:rFonts w:ascii="Times New Roman" w:hAnsi="Times New Roman"/>
          <w:sz w:val="24"/>
          <w:szCs w:val="24"/>
          <w:lang w:val="yo-NG"/>
        </w:rPr>
        <w:t>liver homogenate</w:t>
      </w:r>
      <w:r>
        <w:rPr>
          <w:rFonts w:ascii="Times New Roman" w:hAnsi="Times New Roman"/>
          <w:sz w:val="24"/>
          <w:szCs w:val="24"/>
        </w:rPr>
        <w:t xml:space="preserve"> was added to 0.1 mL of 25% trichloroacetic acid (TCA) and precipitate was removed by centrifugation at 5,000 </w:t>
      </w:r>
      <w:r>
        <w:rPr>
          <w:rFonts w:ascii="Times New Roman" w:hAnsi="Times New Roman"/>
          <w:i/>
          <w:sz w:val="24"/>
          <w:szCs w:val="24"/>
        </w:rPr>
        <w:t>g</w:t>
      </w:r>
      <w:r>
        <w:rPr>
          <w:rFonts w:ascii="Times New Roman" w:hAnsi="Times New Roman"/>
          <w:sz w:val="24"/>
          <w:szCs w:val="24"/>
        </w:rPr>
        <w:t xml:space="preserve"> for 10 min. Supernatant (0.1 mL) was added to 2 mL of 0.6 mM DTNB prepared in 0.2M sodium phosphate buffer (pH 8.0). The absorbance was read at 412 nm.</w:t>
      </w:r>
    </w:p>
    <w:p>
      <w:pPr>
        <w:pStyle w:val="style0"/>
        <w:spacing w:after="0" w:lineRule="auto" w:line="480"/>
        <w:jc w:val="both"/>
        <w:rPr>
          <w:rFonts w:ascii="Times New Roman" w:hAnsi="Times New Roman"/>
          <w:b/>
          <w:sz w:val="24"/>
          <w:szCs w:val="24"/>
        </w:rPr>
      </w:pPr>
      <w:r>
        <w:rPr>
          <w:rFonts w:ascii="Times New Roman" w:hAnsi="Times New Roman"/>
          <w:b/>
          <w:sz w:val="24"/>
          <w:szCs w:val="24"/>
        </w:rPr>
        <w:t>Glutathione Transferase (GST)</w:t>
      </w:r>
    </w:p>
    <w:p>
      <w:pPr>
        <w:pStyle w:val="style0"/>
        <w:autoSpaceDE w:val="false"/>
        <w:autoSpaceDN w:val="false"/>
        <w:adjustRightInd w:val="false"/>
        <w:spacing w:after="0" w:lineRule="auto" w:line="480"/>
        <w:jc w:val="both"/>
        <w:rPr>
          <w:rFonts w:ascii="Times New Roman" w:hAnsi="Times New Roman"/>
          <w:sz w:val="24"/>
          <w:szCs w:val="24"/>
        </w:rPr>
      </w:pPr>
      <w:r>
        <w:rPr>
          <w:rFonts w:ascii="Times New Roman" w:hAnsi="Times New Roman"/>
          <w:sz w:val="24"/>
          <w:szCs w:val="24"/>
        </w:rPr>
        <w:t xml:space="preserve">GST activity in the liver was determined using the method of Habig </w:t>
      </w:r>
      <w:r>
        <w:rPr>
          <w:rFonts w:ascii="Times New Roman" w:hAnsi="Times New Roman"/>
          <w:i/>
          <w:sz w:val="24"/>
          <w:szCs w:val="24"/>
        </w:rPr>
        <w:t>et al</w:t>
      </w:r>
      <w:r>
        <w:rPr>
          <w:rFonts w:ascii="Times New Roman" w:hAnsi="Times New Roman"/>
          <w:sz w:val="24"/>
          <w:szCs w:val="24"/>
        </w:rPr>
        <w:t xml:space="preserve">., (1974).  1mM CNDB was added to buffer containing 1mM GSH and an aliquot of the sample. Upon addition of CNDB the change in absorbance at 340nm was measured as a function of time.   </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b/>
          <w:sz w:val="24"/>
          <w:szCs w:val="24"/>
        </w:rPr>
        <w:t>Malondialdehyde</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The concentration of MDA was quantified according to the method of Nelson, (2004) as outlined below:</w:t>
      </w:r>
    </w:p>
    <w:p>
      <w:pPr>
        <w:pStyle w:val="style179"/>
        <w:tabs>
          <w:tab w:val="left" w:leader="none" w:pos="4470"/>
        </w:tabs>
        <w:autoSpaceDE w:val="false"/>
        <w:autoSpaceDN w:val="false"/>
        <w:adjustRightInd w:val="false"/>
        <w:spacing w:lineRule="auto" w:line="480"/>
        <w:ind w:left="0"/>
        <w:jc w:val="both"/>
        <w:rPr>
          <w:color w:val="000000"/>
          <w:sz w:val="24"/>
          <w:szCs w:val="24"/>
        </w:rPr>
      </w:pPr>
      <w:r>
        <w:rPr>
          <w:color w:val="000000"/>
          <w:sz w:val="24"/>
          <w:szCs w:val="24"/>
        </w:rPr>
        <w:t xml:space="preserve"> A portion of TBA reagent (2ml of 0.7% and 1ml of TCA) were added to 2ml of the sample. The mixture was thoroughly heated in a water bath at 100</w:t>
      </w:r>
      <w:r>
        <w:rPr>
          <w:color w:val="000000"/>
          <w:sz w:val="24"/>
          <w:szCs w:val="24"/>
          <w:vertAlign w:val="superscript"/>
        </w:rPr>
        <w:t>o</w:t>
      </w:r>
      <w:r>
        <w:rPr>
          <w:color w:val="000000"/>
          <w:sz w:val="24"/>
          <w:szCs w:val="24"/>
        </w:rPr>
        <w:t>C for 20minutes.  It was then cooled and centrifuged at 78g (4000rpm) for 10minutes. The absorbance of the supernatant was read at a wavelength of 540nm against a reference blank of distilled water after centrifuging for another 10 minutes.</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sz w:val="24"/>
          <w:szCs w:val="24"/>
        </w:rPr>
        <w:pict>
          <v:shape id="1048" type="#_x0000_t32" filled="f" style="position:absolute;margin-left:124.1pt;margin-top:13.05pt;width:117.0pt;height:0.0pt;z-index:2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color w:val="000000"/>
          <w:sz w:val="24"/>
          <w:szCs w:val="24"/>
        </w:rPr>
        <w:t xml:space="preserve">Conc. Of MDA=                       Abs              </w:t>
      </w:r>
    </w:p>
    <w:p>
      <w:pPr>
        <w:pStyle w:val="style0"/>
        <w:tabs>
          <w:tab w:val="left" w:leader="none" w:pos="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ab/>
      </w:r>
      <w:r>
        <w:rPr>
          <w:rFonts w:ascii="Times New Roman" w:hAnsi="Times New Roman"/>
          <w:color w:val="000000"/>
          <w:sz w:val="24"/>
          <w:szCs w:val="24"/>
        </w:rPr>
        <w:t>Extinction coefficient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Extinction Coeff. Of MDA = 1.56 x 10</w:t>
      </w:r>
      <w:r>
        <w:rPr>
          <w:rFonts w:ascii="Times New Roman" w:hAnsi="Times New Roman"/>
          <w:color w:val="000000"/>
          <w:sz w:val="24"/>
          <w:szCs w:val="24"/>
          <w:vertAlign w:val="superscript"/>
        </w:rPr>
        <w:t>5</w:t>
      </w:r>
      <w:r>
        <w:rPr>
          <w:rFonts w:ascii="Times New Roman" w:hAnsi="Times New Roman"/>
          <w:color w:val="000000"/>
          <w:sz w:val="24"/>
          <w:szCs w:val="24"/>
        </w:rPr>
        <w:t xml:space="preserve"> nm</w:t>
      </w:r>
      <w:r>
        <w:rPr>
          <w:rFonts w:ascii="Times New Roman" w:hAnsi="Times New Roman"/>
          <w:color w:val="000000"/>
          <w:sz w:val="24"/>
          <w:szCs w:val="24"/>
          <w:vertAlign w:val="superscript"/>
        </w:rPr>
        <w:t>-1</w:t>
      </w:r>
      <w:r>
        <w:rPr>
          <w:rFonts w:ascii="Times New Roman" w:hAnsi="Times New Roman"/>
          <w:color w:val="000000"/>
          <w:sz w:val="24"/>
          <w:szCs w:val="24"/>
        </w:rPr>
        <w:t>cm</w:t>
      </w:r>
      <w:r>
        <w:rPr>
          <w:rFonts w:ascii="Times New Roman" w:hAnsi="Times New Roman"/>
          <w:color w:val="000000"/>
          <w:sz w:val="24"/>
          <w:szCs w:val="24"/>
          <w:vertAlign w:val="superscript"/>
        </w:rPr>
        <w:t>-1</w:t>
      </w:r>
      <w:r>
        <w:rPr>
          <w:rFonts w:ascii="Times New Roman" w:hAnsi="Times New Roman"/>
          <w:color w:val="000000"/>
          <w:sz w:val="24"/>
          <w:szCs w:val="24"/>
        </w:rPr>
        <w:t>.</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TBA: 0.7% 1.e 0.7g in 100ml.</w:t>
      </w:r>
    </w:p>
    <w:p>
      <w:pPr>
        <w:pStyle w:val="style0"/>
        <w:tabs>
          <w:tab w:val="left" w:leader="none" w:pos="4470"/>
        </w:tabs>
        <w:autoSpaceDE w:val="false"/>
        <w:autoSpaceDN w:val="false"/>
        <w:adjustRightInd w:val="false"/>
        <w:spacing w:after="0" w:lineRule="auto" w:line="480"/>
        <w:jc w:val="both"/>
        <w:rPr>
          <w:rFonts w:ascii="Times New Roman" w:hAnsi="Times New Roman"/>
          <w:color w:val="000000"/>
          <w:sz w:val="24"/>
          <w:szCs w:val="24"/>
        </w:rPr>
      </w:pPr>
      <w:r>
        <w:rPr>
          <w:rFonts w:ascii="Times New Roman" w:hAnsi="Times New Roman"/>
          <w:color w:val="000000"/>
          <w:sz w:val="24"/>
          <w:szCs w:val="24"/>
        </w:rPr>
        <w:t>TCA:  20% i.e. 20g in 100ml</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r>
        <w:rPr>
          <w:rFonts w:ascii="Times New Roman" w:hAnsi="Times New Roman"/>
          <w:sz w:val="24"/>
          <w:szCs w:val="24"/>
        </w:rPr>
        <w:t>Table 4: Summary Table of Antioxidant Biomarkers in Diabetes vs. Treated/Normal States</w:t>
      </w:r>
    </w:p>
    <w:tbl>
      <w:tblPr>
        <w:tblW w:w="10051" w:type="dxa"/>
        <w:tblLook w:val="04A0" w:firstRow="1" w:lastRow="0" w:firstColumn="1" w:lastColumn="0" w:noHBand="0" w:noVBand="1"/>
      </w:tblPr>
      <w:tblGrid>
        <w:gridCol w:w="1830"/>
        <w:gridCol w:w="2223"/>
        <w:gridCol w:w="2789"/>
        <w:gridCol w:w="3209"/>
      </w:tblGrid>
      <w:tr>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Parameter</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Diabetic State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Treated/Normal State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Implication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SOD</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Free radical detoxification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CAT</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H₂O₂ breakdown</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MDA</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Lipid peroxidation marker</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GSH</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Redox balance</w:t>
            </w:r>
          </w:p>
        </w:tc>
      </w:tr>
      <w:tr>
        <w:tblPrEx/>
        <w:trPr/>
        <w:tc>
          <w:tcPr>
            <w:tcW w:w="183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GPX</w:t>
            </w:r>
          </w:p>
        </w:tc>
        <w:tc>
          <w:tcPr>
            <w:tcW w:w="222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Decreased </w:t>
            </w:r>
          </w:p>
        </w:tc>
        <w:tc>
          <w:tcPr>
            <w:tcW w:w="278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 xml:space="preserve">Increased </w:t>
            </w:r>
          </w:p>
        </w:tc>
        <w:tc>
          <w:tcPr>
            <w:tcW w:w="320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pPr>
              <w:pStyle w:val="style0"/>
              <w:spacing w:lineRule="auto" w:line="480"/>
              <w:jc w:val="both"/>
              <w:rPr>
                <w:rFonts w:ascii="Times New Roman" w:hAnsi="Times New Roman"/>
                <w:sz w:val="24"/>
                <w:szCs w:val="24"/>
              </w:rPr>
            </w:pPr>
            <w:r>
              <w:rPr>
                <w:rFonts w:ascii="Times New Roman" w:hAnsi="Times New Roman"/>
                <w:sz w:val="24"/>
                <w:szCs w:val="24"/>
              </w:rPr>
              <w:t>Peroxide detoxification</w:t>
            </w:r>
          </w:p>
        </w:tc>
      </w:tr>
    </w:tbl>
    <w:p>
      <w:pPr>
        <w:pStyle w:val="style0"/>
        <w:spacing w:lineRule="auto" w:line="480"/>
        <w:jc w:val="both"/>
        <w:rPr>
          <w:rFonts w:ascii="Times New Roman" w:hAnsi="Times New Roman"/>
          <w:sz w:val="24"/>
          <w:szCs w:val="24"/>
        </w:rPr>
      </w:pPr>
    </w:p>
    <w:bookmarkStart w:id="15" w:name="_GoBack"/>
    <w:bookmarkEnd w:id="15"/>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rPr>
          <w:rFonts w:ascii="Times New Roman" w:hAnsi="Times New Roman"/>
          <w:b/>
          <w:bCs/>
          <w:sz w:val="24"/>
          <w:szCs w:val="24"/>
        </w:rPr>
      </w:pPr>
    </w:p>
    <w:p>
      <w:pPr>
        <w:pStyle w:val="style0"/>
        <w:ind w:firstLine="3498" w:firstLineChars="1452"/>
        <w:rPr>
          <w:rFonts w:ascii="Times New Roman" w:hAnsi="Times New Roman"/>
          <w:b/>
          <w:bCs/>
          <w:sz w:val="24"/>
          <w:szCs w:val="24"/>
        </w:rPr>
      </w:pPr>
      <w:r>
        <w:rPr>
          <w:rFonts w:ascii="Times New Roman" w:hAnsi="Times New Roman"/>
          <w:b/>
          <w:bCs/>
          <w:sz w:val="24"/>
          <w:szCs w:val="24"/>
        </w:rPr>
        <w:t>CHAPTER FOUR</w:t>
      </w:r>
    </w:p>
    <w:p>
      <w:pPr>
        <w:pStyle w:val="style0"/>
        <w:ind w:firstLine="4096" w:firstLineChars="1700"/>
        <w:jc w:val="both"/>
        <w:rPr>
          <w:rFonts w:ascii="Times New Roman" w:hAnsi="Times New Roman"/>
          <w:sz w:val="24"/>
          <w:szCs w:val="24"/>
        </w:rPr>
      </w:pPr>
      <w:r>
        <w:rPr>
          <w:rFonts w:ascii="Times New Roman" w:hAnsi="Times New Roman"/>
          <w:b/>
          <w:bCs/>
          <w:sz w:val="24"/>
          <w:szCs w:val="24"/>
          <w:lang w:eastAsia="en-US"/>
        </w:rPr>
        <w:t>RESULTS</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Table 1:   Effect Of Different  Doses Of Extract On Blood Glucose Level Of STZ Induced Diabetic Rats</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49" type="#_x0000_t32" filled="f" style="position:absolute;margin-left:6.05pt;margin-top:20.1pt;width:422.5pt;height:0.0pt;z-index:2;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Blood Glucose Level (mg/dL)</w:t>
      </w:r>
    </w:p>
    <w:p>
      <w:pPr>
        <w:pStyle w:val="style0"/>
        <w:tabs>
          <w:tab w:val="right" w:leader="none" w:pos="9360"/>
        </w:tabs>
        <w:spacing w:lineRule="auto" w:line="360"/>
        <w:rPr>
          <w:rFonts w:ascii="Times New Roman" w:hAnsi="Times New Roman"/>
          <w:b/>
          <w:bCs/>
          <w:sz w:val="24"/>
          <w:szCs w:val="24"/>
          <w:lang w:eastAsia="en-US"/>
        </w:rPr>
      </w:pPr>
      <w:r>
        <w:rPr>
          <w:rFonts w:ascii="Times New Roman" w:hAnsi="Times New Roman"/>
          <w:b/>
          <w:bCs/>
          <w:sz w:val="24"/>
          <w:szCs w:val="24"/>
          <w:lang w:eastAsia="en-US"/>
        </w:rPr>
        <w:t>Groups                                        Day 0               Day 1             Day 7          Day 14</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0" type="#_x0000_t32" filled="f" style="position:absolute;margin-left:-20.02pt;margin-top:-7.73pt;width:474.12pt;height:1.28pt;z-index:3;mso-position-horizontal-relative:text;mso-position-vertical-relative:text;mso-width-relative:page;mso-height-relative:page;mso-wrap-distance-left:0.0pt;mso-wrap-distance-right:0.0pt;visibility:visible;flip:y;">
            <v:fill/>
            <v:path o:connecttype="none" fillok="f" arrowok="t"/>
          </v:shape>
        </w:pict>
      </w:r>
      <w:r>
        <w:rPr>
          <w:rFonts w:ascii="Times New Roman" w:hAnsi="Times New Roman"/>
          <w:sz w:val="24"/>
          <w:szCs w:val="24"/>
          <w:lang w:eastAsia="en-US"/>
        </w:rPr>
        <w:t>Control                                      92.5±2.25      85.8±1.15         85.4±1.44        82.5±.0.40</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        104.8±2.82</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329.2±1.08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373.2±0.74</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382±1.39</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 xml:space="preserve">Metformin (14.3 mg/kg)          112± 1.30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346.6±0.51</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165.6±1.36</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97 .2±1.92</w:t>
      </w:r>
      <w:r>
        <w:rPr>
          <w:rFonts w:ascii="Times New Roman" w:hAnsi="Times New Roman"/>
          <w:sz w:val="24"/>
          <w:szCs w:val="24"/>
          <w:vertAlign w:val="superscript"/>
          <w:lang w:eastAsia="en-US"/>
        </w:rPr>
        <w:t>b</w:t>
      </w:r>
    </w:p>
    <w:p>
      <w:pPr>
        <w:pStyle w:val="style0"/>
        <w:tabs>
          <w:tab w:val="left" w:leader="none" w:pos="3700"/>
        </w:tabs>
        <w:rPr>
          <w:rFonts w:ascii="Times New Roman" w:hAnsi="Times New Roman"/>
          <w:sz w:val="24"/>
          <w:szCs w:val="24"/>
        </w:rPr>
      </w:pPr>
      <w:r>
        <w:rPr>
          <w:rFonts w:ascii="Times New Roman" w:hAnsi="Times New Roman"/>
          <w:sz w:val="24"/>
          <w:szCs w:val="24"/>
          <w:lang w:eastAsia="en-US"/>
        </w:rPr>
        <w:t>PAE D1 (200mg/kg)                109±2.61</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333.2±4.02</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 xml:space="preserve"> 190.2±2.08</w:t>
      </w:r>
      <w:r>
        <w:rPr>
          <w:rFonts w:ascii="Times New Roman" w:hAnsi="Times New Roman"/>
          <w:sz w:val="24"/>
          <w:szCs w:val="24"/>
          <w:vertAlign w:val="superscript"/>
          <w:lang w:eastAsia="en-US"/>
        </w:rPr>
        <w:t>c</w:t>
      </w:r>
      <w:r>
        <w:rPr>
          <w:rFonts w:ascii="Times New Roman" w:hAnsi="Times New Roman"/>
          <w:sz w:val="24"/>
          <w:szCs w:val="24"/>
          <w:lang w:eastAsia="en-US"/>
        </w:rPr>
        <w:t xml:space="preserve">     118.5±2.14</w:t>
      </w:r>
      <w:r>
        <w:rPr>
          <w:rFonts w:ascii="Times New Roman" w:hAnsi="Times New Roman"/>
          <w:sz w:val="24"/>
          <w:szCs w:val="24"/>
          <w:vertAlign w:val="superscript"/>
          <w:lang w:eastAsia="en-US"/>
        </w:rPr>
        <w:t>c</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1" type="#_x0000_t32" filled="f" style="position:absolute;margin-left:-5.75pt;margin-top:18.35pt;width:436.35pt;height:0.0pt;z-index:4;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124±2.07 </w:t>
      </w:r>
      <w:r>
        <w:rPr>
          <w:rFonts w:ascii="Times New Roman" w:hAnsi="Times New Roman"/>
          <w:sz w:val="24"/>
          <w:szCs w:val="24"/>
          <w:vertAlign w:val="superscript"/>
          <w:lang w:eastAsia="en-US"/>
        </w:rPr>
        <w:t>a</w:t>
      </w:r>
      <w:r>
        <w:rPr>
          <w:rFonts w:ascii="Times New Roman" w:hAnsi="Times New Roman"/>
          <w:sz w:val="24"/>
          <w:szCs w:val="24"/>
          <w:lang w:eastAsia="en-US"/>
        </w:rPr>
        <w:t xml:space="preserve">       441.4±11.52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280.6±2.54</w:t>
      </w:r>
      <w:r>
        <w:rPr>
          <w:rFonts w:ascii="Times New Roman" w:hAnsi="Times New Roman"/>
          <w:sz w:val="24"/>
          <w:szCs w:val="24"/>
          <w:vertAlign w:val="superscript"/>
          <w:lang w:eastAsia="en-US"/>
        </w:rPr>
        <w:t>d</w:t>
      </w:r>
      <w:r>
        <w:rPr>
          <w:rFonts w:ascii="Times New Roman" w:hAnsi="Times New Roman"/>
          <w:sz w:val="24"/>
          <w:szCs w:val="24"/>
          <w:lang w:eastAsia="en-US"/>
        </w:rPr>
        <w:t xml:space="preserve">     105.2±0.49</w:t>
      </w:r>
      <w:r>
        <w:rPr>
          <w:rFonts w:ascii="Times New Roman" w:hAnsi="Times New Roman"/>
          <w:sz w:val="24"/>
          <w:szCs w:val="24"/>
          <w:vertAlign w:val="superscript"/>
          <w:lang w:eastAsia="en-US"/>
        </w:rPr>
        <w:t xml:space="preserve">b </w:t>
      </w:r>
      <w:r>
        <w:rPr>
          <w:rFonts w:ascii="Times New Roman" w:hAnsi="Times New Roman"/>
          <w:sz w:val="24"/>
          <w:szCs w:val="24"/>
        </w:rPr>
        <w:tab/>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both"/>
        <w:rPr>
          <w:rFonts w:ascii="Times New Roman" w:hAnsi="Times New Roman"/>
          <w:sz w:val="24"/>
          <w:szCs w:val="24"/>
        </w:rPr>
      </w:pPr>
      <w:r>
        <w:rPr>
          <w:rFonts w:ascii="Times New Roman" w:hAnsi="Times New Roman"/>
          <w:b/>
          <w:bCs/>
          <w:sz w:val="24"/>
          <w:szCs w:val="24"/>
          <w:lang w:eastAsia="en-US"/>
        </w:rPr>
        <w:pict>
          <v:shape id="1052" type="#_x0000_t32" filled="f" style="position:absolute;margin-left:-5.8pt;margin-top:39.7pt;width:422.5pt;height:0.0pt;z-index:5;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Table 2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Insulin and Total Protein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t>Groups                                                   Insulin                               Total protein</w:t>
      </w:r>
    </w:p>
    <w:p>
      <w:pPr>
        <w:pStyle w:val="style0"/>
        <w:rPr>
          <w:rFonts w:ascii="Times New Roman" w:hAnsi="Times New Roman"/>
          <w:sz w:val="24"/>
          <w:szCs w:val="24"/>
        </w:rPr>
      </w:pPr>
      <w:r>
        <w:rPr>
          <w:rFonts w:ascii="Times New Roman" w:hAnsi="Times New Roman"/>
          <w:b/>
          <w:bCs/>
          <w:sz w:val="24"/>
          <w:szCs w:val="24"/>
          <w:lang w:eastAsia="en-US"/>
        </w:rPr>
        <w:pict>
          <v:shape id="1053" type="#_x0000_t32" filled="f" style="position:absolute;margin-left:-8.05pt;margin-top:21.35pt;width:422.5pt;height:0.0pt;z-index:6;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ab/>
      </w:r>
      <w:r>
        <w:rPr>
          <w:rFonts w:ascii="Times New Roman" w:eastAsia="Times New Roman" w:hAnsi="Times New Roman"/>
          <w:b/>
          <w:bCs/>
          <w:color w:val="000000"/>
          <w:sz w:val="24"/>
          <w:szCs w:val="24"/>
          <w:lang w:eastAsia="en-US"/>
        </w:rPr>
        <w:t>Conc (ng/ml)</w:t>
      </w:r>
      <w:r>
        <w:rPr>
          <w:rFonts w:ascii="Times New Roman" w:hAnsi="Times New Roman"/>
          <w:sz w:val="24"/>
          <w:szCs w:val="24"/>
        </w:rPr>
        <w:tab/>
      </w:r>
      <w:r>
        <w:rPr>
          <w:rFonts w:ascii="Times New Roman" w:hAnsi="Times New Roman"/>
          <w:sz w:val="24"/>
          <w:szCs w:val="24"/>
        </w:rPr>
        <w:tab/>
      </w:r>
      <w:r>
        <w:rPr>
          <w:rFonts w:ascii="Times New Roman" w:eastAsia="Times New Roman" w:hAnsi="Times New Roman"/>
          <w:b/>
          <w:bCs/>
          <w:color w:val="000000"/>
          <w:sz w:val="24"/>
          <w:szCs w:val="24"/>
          <w:lang w:eastAsia="en-US"/>
        </w:rPr>
        <w:t xml:space="preserve">           Conc(mg/ml)</w:t>
      </w:r>
    </w:p>
    <w:p>
      <w:pPr>
        <w:pStyle w:val="style0"/>
        <w:tabs>
          <w:tab w:val="left" w:leader="none" w:pos="3560"/>
          <w:tab w:val="left" w:leader="none" w:pos="5160"/>
          <w:tab w:val="left" w:leader="none" w:pos="5420"/>
          <w:tab w:val="right" w:leader="none" w:pos="9360"/>
        </w:tabs>
        <w:rPr>
          <w:rFonts w:ascii="Times New Roman" w:hAnsi="Times New Roman"/>
          <w:sz w:val="24"/>
          <w:szCs w:val="24"/>
        </w:rPr>
      </w:pPr>
      <w:r>
        <w:rPr>
          <w:rFonts w:ascii="Times New Roman" w:hAnsi="Times New Roman"/>
          <w:sz w:val="24"/>
          <w:szCs w:val="24"/>
          <w:lang w:eastAsia="en-US"/>
        </w:rPr>
        <w:t>Control                                             6.27</w:t>
      </w:r>
      <w:bookmarkStart w:id="16" w:name="OLE_LINK1"/>
      <w:r>
        <w:rPr>
          <w:rFonts w:ascii="Times New Roman" w:hAnsi="Times New Roman"/>
          <w:sz w:val="24"/>
          <w:szCs w:val="24"/>
          <w:lang w:eastAsia="en-US"/>
        </w:rPr>
        <w:t>±</w:t>
      </w:r>
      <w:bookmarkEnd w:id="16"/>
      <w:r>
        <w:rPr>
          <w:rFonts w:ascii="Times New Roman" w:hAnsi="Times New Roman"/>
          <w:sz w:val="24"/>
          <w:szCs w:val="24"/>
          <w:lang w:eastAsia="en-US"/>
        </w:rPr>
        <w:t>0.38</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 xml:space="preserve">                  72.3 ±1.02</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2.63±0.22</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53.40±1.61</w:t>
      </w:r>
      <w:r>
        <w:rPr>
          <w:rFonts w:ascii="Times New Roman" w:hAnsi="Times New Roman"/>
          <w:sz w:val="24"/>
          <w:szCs w:val="24"/>
          <w:vertAlign w:val="superscript"/>
          <w:lang w:eastAsia="en-US"/>
        </w:rPr>
        <w:t>a</w:t>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5.39±0.33</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85.38±1.32</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4.90±0.19</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lang w:eastAsia="en-US"/>
        </w:rPr>
        <w:t>81.10±0.17</w:t>
      </w:r>
      <w:r>
        <w:rPr>
          <w:rFonts w:ascii="Times New Roman" w:hAnsi="Times New Roman"/>
          <w:sz w:val="24"/>
          <w:szCs w:val="24"/>
          <w:vertAlign w:val="superscript"/>
          <w:lang w:eastAsia="en-US"/>
        </w:rPr>
        <w:t>b</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pict>
          <v:shape id="1054" type="#_x0000_t32" filled="f" style="position:absolute;margin-left:-4.3pt;margin-top:19.05pt;width:436.35pt;height:0.0pt;z-index:7;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5.19±0.26 </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97.88±1.57</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tabs>
          <w:tab w:val="left" w:leader="none" w:pos="7280"/>
        </w:tabs>
        <w:jc w:val="center"/>
        <w:rPr>
          <w:rFonts w:ascii="Times New Roman" w:hAnsi="Times New Roman"/>
          <w:sz w:val="24"/>
          <w:szCs w:val="24"/>
        </w:rPr>
      </w:pPr>
      <w:r>
        <w:rPr>
          <w:rFonts w:ascii="Times New Roman" w:hAnsi="Times New Roman"/>
          <w:b/>
          <w:bCs/>
          <w:sz w:val="24"/>
          <w:szCs w:val="24"/>
          <w:lang w:eastAsia="en-US"/>
        </w:rPr>
        <w:t xml:space="preserve">Table 3 :   Effect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Serum Creatinine and Electrolytes (Na, K and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r>
        <w:rPr>
          <w:rFonts w:ascii="Times New Roman" w:hAnsi="Times New Roman"/>
          <w:b/>
          <w:bCs/>
          <w:sz w:val="24"/>
          <w:szCs w:val="24"/>
          <w:lang w:eastAsia="en-US"/>
        </w:rPr>
        <w:t>) of  STZ Induced Diabetic Rats</w:t>
      </w:r>
    </w:p>
    <w:p>
      <w:pPr>
        <w:pStyle w:val="style0"/>
        <w:tabs>
          <w:tab w:val="left" w:leader="none" w:pos="7280"/>
        </w:tabs>
        <w:rPr>
          <w:rFonts w:ascii="Times New Roman" w:hAnsi="Times New Roman"/>
          <w:sz w:val="24"/>
          <w:szCs w:val="24"/>
        </w:rPr>
      </w:pPr>
      <w:r>
        <w:rPr>
          <w:rFonts w:ascii="Times New Roman" w:hAnsi="Times New Roman"/>
          <w:b/>
          <w:bCs/>
          <w:sz w:val="24"/>
          <w:szCs w:val="24"/>
          <w:lang w:eastAsia="en-US"/>
        </w:rPr>
        <w:pict>
          <v:shape id="1055" type="#_x0000_t32" filled="f" style="position:absolute;margin-left:3.4pt;margin-top:18.15pt;width:444.9pt;height:0.0pt;z-index:8;mso-position-horizontal-relative:text;mso-position-vertical-relative:text;mso-width-relative:page;mso-height-relative:page;mso-wrap-distance-left:0.0pt;mso-wrap-distance-right:0.0pt;visibility:visible;">
            <v:fill/>
            <v:path o:connecttype="none" fillok="f" arrowok="t"/>
          </v:shape>
        </w:pic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t>Groups                                    Creatinine               Na                  K                  HCO</w:t>
      </w:r>
      <w:r>
        <w:rPr>
          <w:rFonts w:ascii="Times New Roman" w:hAnsi="Times New Roman"/>
          <w:b/>
          <w:bCs/>
          <w:sz w:val="24"/>
          <w:szCs w:val="24"/>
          <w:vertAlign w:val="subscript"/>
          <w:lang w:eastAsia="en-US"/>
        </w:rPr>
        <w:t>3</w:t>
      </w:r>
      <w:r>
        <w:rPr>
          <w:rFonts w:ascii="Times New Roman" w:hAnsi="Times New Roman"/>
          <w:b/>
          <w:bCs/>
          <w:sz w:val="24"/>
          <w:szCs w:val="24"/>
          <w:vertAlign w:val="superscript"/>
          <w:lang w:eastAsia="en-US"/>
        </w:rPr>
        <w:t>-</w:t>
      </w:r>
    </w:p>
    <w:p>
      <w:pPr>
        <w:pStyle w:val="style0"/>
        <w:tabs>
          <w:tab w:val="right" w:leader="none" w:pos="9360"/>
        </w:tabs>
        <w:spacing w:lineRule="auto" w:line="360"/>
        <w:rPr>
          <w:rFonts w:ascii="Times New Roman" w:hAnsi="Times New Roman"/>
          <w:sz w:val="24"/>
          <w:szCs w:val="24"/>
        </w:rPr>
      </w:pPr>
      <w:r>
        <w:rPr>
          <w:rFonts w:ascii="Times New Roman" w:hAnsi="Times New Roman"/>
          <w:b/>
          <w:bCs/>
          <w:sz w:val="24"/>
          <w:szCs w:val="24"/>
          <w:lang w:eastAsia="en-US"/>
        </w:rPr>
        <w:pict>
          <v:shape id="1056" type="#_x0000_t32" filled="f" style="position:absolute;margin-left:-7.7pt;margin-top:17.95pt;width:441.15pt;height:0.0pt;z-index:9;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b/>
          <w:bCs/>
          <w:sz w:val="24"/>
          <w:szCs w:val="24"/>
          <w:lang w:eastAsia="en-US"/>
        </w:rPr>
        <w:t xml:space="preserve">                                                   (mmol/I)            (mmol/I)        (mmol/I)         (mmol/I)                                                                                                                                                           </w:t>
      </w:r>
    </w:p>
    <w:p>
      <w:pPr>
        <w:pStyle w:val="style0"/>
        <w:tabs>
          <w:tab w:val="left" w:leader="none" w:pos="3560"/>
          <w:tab w:val="left" w:leader="none" w:pos="5160"/>
          <w:tab w:val="left" w:leader="none" w:pos="5420"/>
          <w:tab w:val="left" w:leader="none" w:pos="6380"/>
          <w:tab w:val="right" w:leader="none" w:pos="9360"/>
        </w:tabs>
        <w:rPr>
          <w:rFonts w:ascii="Times New Roman" w:hAnsi="Times New Roman"/>
          <w:sz w:val="24"/>
          <w:szCs w:val="24"/>
        </w:rPr>
      </w:pPr>
      <w:r>
        <w:rPr>
          <w:rFonts w:ascii="Times New Roman" w:hAnsi="Times New Roman"/>
          <w:sz w:val="24"/>
          <w:szCs w:val="24"/>
          <w:lang w:eastAsia="en-US"/>
        </w:rPr>
        <w:t>Control                                     1.81±0.3</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35.54±1.32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2.72±0.09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24.27±1.30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rPr>
        <w:tab/>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Diabetic Control (35mg/kg)     2.91±0.29</w:t>
      </w:r>
      <w:r>
        <w:rPr>
          <w:rFonts w:ascii="Times New Roman" w:hAnsi="Times New Roman"/>
          <w:sz w:val="24"/>
          <w:szCs w:val="24"/>
          <w:vertAlign w:val="superscript"/>
          <w:lang w:eastAsia="en-US"/>
        </w:rPr>
        <w:t xml:space="preserve">a      </w:t>
      </w:r>
      <w:r>
        <w:rPr>
          <w:rFonts w:ascii="Times New Roman" w:hAnsi="Times New Roman"/>
          <w:sz w:val="24"/>
          <w:szCs w:val="24"/>
          <w:vertAlign w:val="superscript"/>
          <w:lang w:eastAsia="en-US"/>
        </w:rPr>
        <w:t xml:space="preserve"> </w:t>
      </w:r>
      <w:r>
        <w:rPr>
          <w:rFonts w:ascii="Times New Roman" w:hAnsi="Times New Roman"/>
          <w:sz w:val="24"/>
          <w:szCs w:val="24"/>
          <w:vertAlign w:val="superscript"/>
          <w:lang w:eastAsia="en-US"/>
        </w:rPr>
        <w:t xml:space="preserve">  </w:t>
      </w:r>
      <w:r>
        <w:rPr>
          <w:rFonts w:ascii="Times New Roman" w:hAnsi="Times New Roman"/>
          <w:sz w:val="24"/>
          <w:szCs w:val="24"/>
          <w:lang w:eastAsia="en-US"/>
        </w:rPr>
        <w:t xml:space="preserve">  25. 43±0.75</w:t>
      </w:r>
      <w:r>
        <w:rPr>
          <w:rFonts w:ascii="Times New Roman" w:hAnsi="Times New Roman"/>
          <w:sz w:val="24"/>
          <w:szCs w:val="24"/>
          <w:vertAlign w:val="superscript"/>
          <w:lang w:eastAsia="en-US"/>
        </w:rPr>
        <w:t>a</w:t>
      </w:r>
      <w:r>
        <w:rPr>
          <w:rFonts w:ascii="Times New Roman" w:hAnsi="Times New Roman"/>
          <w:sz w:val="24"/>
          <w:szCs w:val="24"/>
        </w:rPr>
        <w:tab/>
      </w:r>
      <w:r>
        <w:rPr>
          <w:rFonts w:ascii="Times New Roman" w:hAnsi="Times New Roman"/>
          <w:sz w:val="24"/>
          <w:szCs w:val="24"/>
          <w:lang w:eastAsia="en-US"/>
        </w:rPr>
        <w:t xml:space="preserve">      3.52±0.18</w:t>
      </w:r>
      <w:r>
        <w:rPr>
          <w:rFonts w:ascii="Times New Roman" w:hAnsi="Times New Roman"/>
          <w:sz w:val="24"/>
          <w:szCs w:val="24"/>
          <w:vertAlign w:val="superscript"/>
          <w:lang w:eastAsia="en-US"/>
        </w:rPr>
        <w:t xml:space="preserve">a  </w:t>
      </w:r>
      <w:r>
        <w:rPr>
          <w:rFonts w:ascii="Times New Roman" w:hAnsi="Times New Roman"/>
          <w:sz w:val="24"/>
          <w:szCs w:val="24"/>
          <w:lang w:eastAsia="en-US"/>
        </w:rPr>
        <w:t>14.53±0.83</w:t>
      </w:r>
      <w:r>
        <w:rPr>
          <w:rFonts w:ascii="Times New Roman" w:hAnsi="Times New Roman"/>
          <w:sz w:val="24"/>
          <w:szCs w:val="24"/>
          <w:vertAlign w:val="superscript"/>
          <w:lang w:eastAsia="en-US"/>
        </w:rPr>
        <w:t>a</w:t>
      </w:r>
    </w:p>
    <w:p>
      <w:pPr>
        <w:pStyle w:val="style0"/>
        <w:tabs>
          <w:tab w:val="left" w:leader="none" w:pos="4100"/>
        </w:tabs>
        <w:rPr>
          <w:rFonts w:ascii="Times New Roman" w:hAnsi="Times New Roman"/>
          <w:sz w:val="24"/>
          <w:szCs w:val="24"/>
        </w:rPr>
      </w:pPr>
      <w:r>
        <w:rPr>
          <w:rFonts w:ascii="Times New Roman" w:hAnsi="Times New Roman"/>
          <w:sz w:val="24"/>
          <w:szCs w:val="24"/>
          <w:lang w:eastAsia="en-US"/>
        </w:rPr>
        <w:t>Metformin (14.3 mg/kg)          1.51±0.32</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w:t>
      </w:r>
      <w:r>
        <w:rPr>
          <w:rFonts w:ascii="Times New Roman" w:hAnsi="Times New Roman"/>
          <w:sz w:val="24"/>
          <w:szCs w:val="24"/>
          <w:lang w:eastAsia="en-US"/>
        </w:rPr>
        <w:t xml:space="preserve"> </w:t>
      </w:r>
      <w:r>
        <w:rPr>
          <w:rFonts w:ascii="Times New Roman" w:hAnsi="Times New Roman"/>
          <w:sz w:val="24"/>
          <w:szCs w:val="24"/>
          <w:lang w:eastAsia="en-US"/>
        </w:rPr>
        <w:t xml:space="preserve"> 43.80±0.76</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2.95±0.11</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21.11±1.41</w:t>
      </w:r>
      <w:r>
        <w:rPr>
          <w:rFonts w:ascii="Times New Roman" w:hAnsi="Times New Roman"/>
          <w:sz w:val="24"/>
          <w:szCs w:val="24"/>
          <w:vertAlign w:val="superscript"/>
          <w:lang w:eastAsia="en-US"/>
        </w:rPr>
        <w:t>b</w:t>
      </w:r>
    </w:p>
    <w:p>
      <w:pPr>
        <w:pStyle w:val="style0"/>
        <w:tabs>
          <w:tab w:val="left" w:leader="none" w:pos="3680"/>
        </w:tabs>
        <w:rPr>
          <w:rFonts w:ascii="Times New Roman" w:hAnsi="Times New Roman"/>
          <w:sz w:val="24"/>
          <w:szCs w:val="24"/>
        </w:rPr>
      </w:pPr>
      <w:r>
        <w:rPr>
          <w:rFonts w:ascii="Times New Roman" w:hAnsi="Times New Roman"/>
          <w:sz w:val="24"/>
          <w:szCs w:val="24"/>
          <w:lang w:eastAsia="en-US"/>
        </w:rPr>
        <w:t>PAE D1 (200mg/kg)                1.91±0.10</w:t>
      </w:r>
      <w:r>
        <w:rPr>
          <w:rFonts w:ascii="Times New Roman" w:hAnsi="Times New Roman"/>
          <w:sz w:val="24"/>
          <w:szCs w:val="24"/>
          <w:vertAlign w:val="superscript"/>
          <w:lang w:eastAsia="en-US"/>
        </w:rPr>
        <w:t>b</w:t>
      </w:r>
      <w:r>
        <w:rPr>
          <w:rFonts w:ascii="Times New Roman" w:hAnsi="Times New Roman"/>
          <w:sz w:val="24"/>
          <w:szCs w:val="24"/>
        </w:rPr>
        <w:tab/>
      </w:r>
      <w:r>
        <w:rPr>
          <w:rFonts w:ascii="Times New Roman" w:hAnsi="Times New Roman"/>
          <w:sz w:val="24"/>
          <w:szCs w:val="24"/>
          <w:lang w:eastAsia="en-US"/>
        </w:rPr>
        <w:t xml:space="preserve">   45.33±1.50</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2.87±0.15</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20.51±1.31</w:t>
      </w:r>
      <w:r>
        <w:rPr>
          <w:rFonts w:ascii="Times New Roman" w:hAnsi="Times New Roman"/>
          <w:sz w:val="24"/>
          <w:szCs w:val="24"/>
          <w:vertAlign w:val="superscript"/>
          <w:lang w:eastAsia="en-US"/>
        </w:rPr>
        <w:t>b</w:t>
      </w:r>
    </w:p>
    <w:p>
      <w:pPr>
        <w:pStyle w:val="style0"/>
        <w:tabs>
          <w:tab w:val="left" w:leader="none" w:pos="7760"/>
        </w:tabs>
        <w:rPr>
          <w:rFonts w:ascii="Times New Roman" w:hAnsi="Times New Roman"/>
          <w:sz w:val="24"/>
          <w:szCs w:val="24"/>
        </w:rPr>
      </w:pPr>
      <w:r>
        <w:rPr>
          <w:rFonts w:ascii="Times New Roman" w:hAnsi="Times New Roman"/>
          <w:sz w:val="24"/>
          <w:szCs w:val="24"/>
          <w:lang w:eastAsia="en-US"/>
        </w:rPr>
        <w:pict>
          <v:shape id="1057" type="#_x0000_t32" filled="f" style="position:absolute;margin-left:-12.1pt;margin-top:17.25pt;width:436.35pt;height:0.0pt;z-index:10;mso-position-horizontal-relative:text;mso-position-vertical-relative:text;mso-width-relative:page;mso-height-relative:page;mso-wrap-distance-left:0.0pt;mso-wrap-distance-right:0.0pt;visibility:visible;">
            <v:fill/>
            <v:path o:connecttype="none" fillok="f" arrowok="t"/>
          </v:shape>
        </w:pict>
      </w:r>
      <w:r>
        <w:rPr>
          <w:rFonts w:ascii="Times New Roman" w:hAnsi="Times New Roman"/>
          <w:sz w:val="24"/>
          <w:szCs w:val="24"/>
          <w:lang w:eastAsia="en-US"/>
        </w:rPr>
        <w:t xml:space="preserve">PAE D2 (400mg/kg)                1.71±0.20 </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47.30±0.85</w:t>
      </w:r>
      <w:r>
        <w:rPr>
          <w:rFonts w:ascii="Times New Roman" w:hAnsi="Times New Roman"/>
          <w:sz w:val="24"/>
          <w:szCs w:val="24"/>
          <w:vertAlign w:val="superscript"/>
          <w:lang w:eastAsia="en-US"/>
        </w:rPr>
        <w:t xml:space="preserve">b  </w:t>
      </w:r>
      <w:r>
        <w:rPr>
          <w:rFonts w:ascii="Times New Roman" w:hAnsi="Times New Roman"/>
          <w:sz w:val="24"/>
          <w:szCs w:val="24"/>
          <w:lang w:eastAsia="en-US"/>
        </w:rPr>
        <w:t xml:space="preserve">      2.96±0.09</w:t>
      </w:r>
      <w:r>
        <w:rPr>
          <w:rFonts w:ascii="Times New Roman" w:hAnsi="Times New Roman"/>
          <w:sz w:val="24"/>
          <w:szCs w:val="24"/>
          <w:vertAlign w:val="superscript"/>
          <w:lang w:eastAsia="en-US"/>
        </w:rPr>
        <w:t>b</w:t>
      </w:r>
      <w:r>
        <w:rPr>
          <w:rFonts w:ascii="Times New Roman" w:hAnsi="Times New Roman"/>
          <w:sz w:val="24"/>
          <w:szCs w:val="24"/>
          <w:lang w:eastAsia="en-US"/>
        </w:rPr>
        <w:t xml:space="preserve">        24.35±0.15</w:t>
      </w:r>
      <w:r>
        <w:rPr>
          <w:rFonts w:ascii="Times New Roman" w:hAnsi="Times New Roman"/>
          <w:sz w:val="24"/>
          <w:szCs w:val="24"/>
          <w:vertAlign w:val="superscript"/>
          <w:lang w:eastAsia="en-US"/>
        </w:rPr>
        <w:t>b</w:t>
      </w:r>
    </w:p>
    <w:p>
      <w:pPr>
        <w:pStyle w:val="style0"/>
        <w:tabs>
          <w:tab w:val="left" w:leader="none" w:pos="7280"/>
        </w:tabs>
        <w:rPr>
          <w:rFonts w:ascii="Times New Roman" w:hAnsi="Times New Roman"/>
          <w:sz w:val="24"/>
          <w:szCs w:val="24"/>
        </w:rPr>
      </w:pPr>
      <w:r>
        <w:rPr>
          <w:rFonts w:ascii="Times New Roman" w:hAnsi="Times New Roman"/>
          <w:sz w:val="24"/>
          <w:szCs w:val="24"/>
          <w:lang w:eastAsia="en-US"/>
        </w:rPr>
        <w:t>Values are expressed as Mean ± SEM (n=5)</w:t>
      </w:r>
    </w:p>
    <w:p>
      <w:pPr>
        <w:pStyle w:val="style0"/>
        <w:tabs>
          <w:tab w:val="right" w:leader="none" w:pos="9360"/>
        </w:tabs>
        <w:rPr>
          <w:rFonts w:ascii="Times New Roman" w:hAnsi="Times New Roman"/>
          <w:sz w:val="24"/>
          <w:szCs w:val="24"/>
        </w:rPr>
      </w:pPr>
      <w:r>
        <w:rPr>
          <w:rFonts w:ascii="Times New Roman" w:hAnsi="Times New Roman"/>
          <w:sz w:val="24"/>
          <w:szCs w:val="24"/>
          <w:lang w:eastAsia="en-US"/>
        </w:rPr>
        <w:t>Means within the same column in each category carry different superscript letters are significant at P&lt;0.05</w:t>
      </w:r>
    </w:p>
    <w:p>
      <w:pPr>
        <w:pStyle w:val="style0"/>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58" type="#_x0000_t75" filled="f" stroked="f" style="margin-left:0.0pt;margin-top:0.0pt;width:322.0pt;height:323.6pt;mso-wrap-distance-left:0.0pt;mso-wrap-distance-right:0.0pt;visibility:visible;">
            <v:imagedata r:id="rId9" embosscolor="white" o:title=""/>
            <v:stroke on="f" joinstyle="miter"/>
            <o:lock aspectratio="true" v:ext="view"/>
            <v:fill/>
          </v:shape>
          <o:OLEObject Type="EMBED" ProgID="Prism8.Document" ShapeID="1058" DrawAspect="Content" ObjectID="0" r:id="rId10"/>
        </w:object>
      </w:r>
      <w:r>
        <w:rPr>
          <w:rFonts w:ascii="Times New Roman" w:hAnsi="Times New Roman"/>
          <w:sz w:val="24"/>
          <w:szCs w:val="24"/>
        </w:rPr>
      </w:r>
    </w:p>
    <w:bookmarkStart w:id="17" w:name="OLE_LINK3"/>
    <w:bookmarkStart w:id="18" w:name="OLE_LINK2"/>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1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GSH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bookmarkEnd w:id="17"/>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0" type="#_x0000_t75" filled="f" stroked="f" style="margin-left:0.0pt;margin-top:0.0pt;width:303.8pt;height:324.4pt;mso-wrap-distance-left:0.0pt;mso-wrap-distance-right:0.0pt;visibility:visible;">
            <v:imagedata r:id="rId11" embosscolor="white" o:title=""/>
            <v:stroke on="f" joinstyle="miter"/>
            <o:lock aspectratio="true" v:ext="view"/>
            <v:fill/>
          </v:shape>
          <o:OLEObject Type="EMBED" ProgID="Prism8.Document" ShapeID="1060" DrawAspect="Content" ObjectID="0" r:id="rId12"/>
        </w:object>
      </w:r>
      <w:r>
        <w:rPr>
          <w:rFonts w:ascii="Times New Roman" w:hAnsi="Times New Roman"/>
          <w:sz w:val="24"/>
          <w:szCs w:val="24"/>
        </w:rPr>
      </w:r>
    </w:p>
    <w:bookmarkEnd w:id="18"/>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2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Superoxide Dismutase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2" type="#_x0000_t75" filled="f" stroked="f" style="margin-left:0.0pt;margin-top:0.0pt;width:303.8pt;height:341.8pt;mso-wrap-distance-left:0.0pt;mso-wrap-distance-right:0.0pt;visibility:visible;">
            <v:imagedata r:id="rId13" embosscolor="white" o:title=""/>
            <v:stroke on="f" joinstyle="miter"/>
            <o:lock aspectratio="true" v:ext="view"/>
            <v:fill/>
          </v:shape>
          <o:OLEObject Type="EMBED" ProgID="Prism8.Document" ShapeID="1062" DrawAspect="Content" ObjectID="0" r:id="rId14"/>
        </w:object>
      </w:r>
      <w:r>
        <w:rPr>
          <w:rFonts w:ascii="Times New Roman" w:hAnsi="Times New Roman"/>
          <w:sz w:val="24"/>
          <w:szCs w:val="24"/>
        </w:rPr>
      </w:r>
    </w:p>
    <w:bookmarkStart w:id="19" w:name="OLE_LINK4"/>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3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Catalase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4" type="#_x0000_t75" filled="f" stroked="f" style="margin-left:0.0pt;margin-top:0.0pt;width:323.6pt;height:324.4pt;mso-wrap-distance-left:0.0pt;mso-wrap-distance-right:0.0pt;visibility:visible;">
            <v:imagedata r:id="rId15" embosscolor="white" o:title=""/>
            <v:stroke on="f" joinstyle="miter"/>
            <o:lock aspectratio="true" v:ext="view"/>
            <v:fill/>
          </v:shape>
          <o:OLEObject Type="EMBED" ProgID="Prism8.Document" ShapeID="1064" DrawAspect="Content" ObjectID="0" r:id="rId16"/>
        </w:object>
      </w:r>
      <w:r>
        <w:rPr>
          <w:rFonts w:ascii="Times New Roman" w:hAnsi="Times New Roman"/>
          <w:sz w:val="24"/>
          <w:szCs w:val="24"/>
        </w:rPr>
      </w:r>
    </w:p>
    <w:bookmarkEnd w:id="19"/>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4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GPx Activity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lang w:eastAsia="en-US"/>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b/>
          <w:bCs/>
          <w:sz w:val="24"/>
          <w:szCs w:val="24"/>
          <w:lang w:eastAsia="en-US"/>
        </w:rPr>
      </w:pPr>
      <w:r>
        <w:rPr>
          <w:rFonts w:ascii="Times New Roman" w:hAnsi="Times New Roman"/>
          <w:sz w:val="24"/>
          <w:szCs w:val="24"/>
        </w:rPr>
      </w:r>
      <w:r>
        <w:rPr>
          <w:rFonts w:ascii="Times New Roman" w:hAnsi="Times New Roman"/>
          <w:sz w:val="24"/>
          <w:szCs w:val="24"/>
        </w:rPr>
      </w:r>
      <w:r>
        <w:rPr>
          <w:rFonts w:ascii="Times New Roman" w:hAnsi="Times New Roman"/>
          <w:sz w:val="24"/>
          <w:szCs w:val="24"/>
        </w:rPr>
      </w:r>
      <w:r>
        <w:rPr>
          <w:rFonts w:ascii="Times New Roman" w:hAnsi="Times New Roman"/>
          <w:sz w:val="24"/>
          <w:szCs w:val="24"/>
        </w:rPr>
        <w:object>
          <v:shape id="1066" type="#_x0000_t75" filled="f" stroked="f" style="margin-left:0.0pt;margin-top:0.0pt;width:310.15pt;height:324.4pt;mso-wrap-distance-left:0.0pt;mso-wrap-distance-right:0.0pt;visibility:visible;">
            <v:imagedata r:id="rId17" embosscolor="white" o:title=""/>
            <v:stroke on="f" joinstyle="miter"/>
            <o:lock aspectratio="true" v:ext="view"/>
            <v:fill/>
          </v:shape>
          <o:OLEObject Type="EMBED" ProgID="Prism8.Document" ShapeID="1066" DrawAspect="Content" ObjectID="0" r:id="rId18"/>
        </w:object>
      </w:r>
      <w:r>
        <w:rPr>
          <w:rFonts w:ascii="Times New Roman" w:hAnsi="Times New Roman"/>
          <w:sz w:val="24"/>
          <w:szCs w:val="24"/>
        </w:rPr>
      </w:r>
    </w:p>
    <w:p>
      <w:pPr>
        <w:pStyle w:val="style0"/>
        <w:spacing w:lineRule="auto" w:line="360"/>
        <w:jc w:val="both"/>
        <w:rPr>
          <w:rFonts w:ascii="Times New Roman" w:hAnsi="Times New Roman"/>
          <w:sz w:val="24"/>
          <w:szCs w:val="24"/>
        </w:rPr>
      </w:pPr>
      <w:r>
        <w:rPr>
          <w:rFonts w:ascii="Times New Roman" w:hAnsi="Times New Roman"/>
          <w:b/>
          <w:bCs/>
          <w:sz w:val="24"/>
          <w:szCs w:val="24"/>
          <w:lang w:eastAsia="en-US"/>
        </w:rPr>
        <w:t xml:space="preserve">Figure 5 : Effect Of </w:t>
      </w:r>
      <w:r>
        <w:rPr>
          <w:rFonts w:ascii="Times New Roman" w:hAnsi="Times New Roman"/>
          <w:b/>
          <w:bCs/>
          <w:i/>
          <w:iCs/>
          <w:sz w:val="24"/>
          <w:szCs w:val="24"/>
          <w:lang w:eastAsia="en-US"/>
        </w:rPr>
        <w:t>Phyllanthus amarus</w:t>
      </w:r>
      <w:r>
        <w:rPr>
          <w:rFonts w:ascii="Times New Roman" w:hAnsi="Times New Roman"/>
          <w:b/>
          <w:bCs/>
          <w:sz w:val="24"/>
          <w:szCs w:val="24"/>
          <w:lang w:eastAsia="en-US"/>
        </w:rPr>
        <w:t xml:space="preserve"> Extract on MDA concentration Of STZ  Induced Diabetic Rats After  14 Days Of Treatment</w:t>
      </w:r>
    </w:p>
    <w:p>
      <w:pPr>
        <w:pStyle w:val="style0"/>
        <w:tabs>
          <w:tab w:val="left" w:leader="none" w:pos="4160"/>
        </w:tabs>
        <w:spacing w:lineRule="auto" w:line="360"/>
        <w:jc w:val="both"/>
        <w:rPr>
          <w:rFonts w:ascii="Times New Roman" w:hAnsi="Times New Roman"/>
          <w:sz w:val="24"/>
          <w:szCs w:val="24"/>
        </w:rPr>
      </w:pPr>
      <w:r>
        <w:rPr>
          <w:rFonts w:ascii="Times New Roman" w:hAnsi="Times New Roman"/>
          <w:sz w:val="24"/>
          <w:szCs w:val="24"/>
          <w:lang w:eastAsia="en-US"/>
        </w:rPr>
        <w:t>Results Are Presented As Mean ± SEM (n=5).</w:t>
      </w:r>
      <w:r>
        <w:rPr>
          <w:rFonts w:ascii="Times New Roman" w:hAnsi="Times New Roman"/>
          <w:sz w:val="24"/>
          <w:szCs w:val="24"/>
        </w:rPr>
        <w:tab/>
      </w:r>
    </w:p>
    <w:p>
      <w:pPr>
        <w:pStyle w:val="style0"/>
        <w:spacing w:lineRule="auto" w:line="360"/>
        <w:jc w:val="both"/>
        <w:rPr>
          <w:rFonts w:ascii="Times New Roman" w:hAnsi="Times New Roman"/>
          <w:sz w:val="24"/>
          <w:szCs w:val="24"/>
        </w:rPr>
      </w:pPr>
      <w:r>
        <w:rPr>
          <w:rFonts w:ascii="Times New Roman" w:hAnsi="Times New Roman"/>
          <w:sz w:val="24"/>
          <w:szCs w:val="24"/>
          <w:lang w:eastAsia="en-US"/>
        </w:rPr>
        <w:t xml:space="preserve"> Bars With Different Letters Are Significantly Different At P&lt;0.05</w:t>
      </w:r>
    </w:p>
    <w:p>
      <w:pPr>
        <w:pStyle w:val="style0"/>
        <w:spacing w:lineRule="auto" w:line="360"/>
        <w:jc w:val="both"/>
        <w:rPr>
          <w:rFonts w:ascii="Times New Roman" w:hAnsi="Times New Roman"/>
          <w:sz w:val="24"/>
          <w:szCs w:val="24"/>
        </w:rPr>
      </w:pPr>
    </w:p>
    <w:p>
      <w:pPr>
        <w:pStyle w:val="style0"/>
        <w:spacing w:lineRule="auto" w:line="360"/>
        <w:jc w:val="center"/>
        <w:rPr>
          <w:rFonts w:ascii="Times New Roman" w:hAnsi="Times New Roman"/>
          <w:sz w:val="24"/>
          <w:szCs w:val="24"/>
        </w:rPr>
      </w:pPr>
      <w:r>
        <w:rPr>
          <w:rFonts w:ascii="Times New Roman" w:hAnsi="Times New Roman"/>
          <w:b/>
          <w:bCs/>
          <w:sz w:val="24"/>
          <w:szCs w:val="24"/>
        </w:rPr>
        <w:t>CHAPTER 5</w:t>
      </w:r>
    </w:p>
    <w:p>
      <w:pPr>
        <w:pStyle w:val="style0"/>
        <w:spacing w:lineRule="auto" w:line="360"/>
        <w:ind w:firstLine="2891" w:firstLineChars="1200"/>
        <w:jc w:val="both"/>
        <w:rPr>
          <w:rFonts w:ascii="Times New Roman" w:hAnsi="Times New Roman"/>
          <w:b/>
          <w:bCs/>
          <w:sz w:val="24"/>
          <w:szCs w:val="24"/>
        </w:rPr>
      </w:pPr>
      <w:r>
        <w:rPr>
          <w:rFonts w:ascii="Times New Roman" w:hAnsi="Times New Roman"/>
          <w:b/>
          <w:bCs/>
          <w:sz w:val="24"/>
          <w:szCs w:val="24"/>
        </w:rPr>
        <w:t>DISCUSSION AND CONCLUSION</w:t>
      </w:r>
    </w:p>
    <w:p>
      <w:pPr>
        <w:pStyle w:val="style179"/>
        <w:numPr>
          <w:ilvl w:val="1"/>
          <w:numId w:val="3"/>
        </w:numPr>
        <w:spacing w:lineRule="auto" w:line="360"/>
        <w:jc w:val="both"/>
        <w:rPr>
          <w:sz w:val="24"/>
          <w:szCs w:val="24"/>
        </w:rPr>
      </w:pPr>
      <w:r>
        <w:rPr>
          <w:b/>
          <w:bCs/>
          <w:sz w:val="24"/>
          <w:szCs w:val="24"/>
        </w:rPr>
        <w:t>Discussion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From table 1 which shows </w:t>
      </w:r>
      <w:r>
        <w:rPr>
          <w:rFonts w:ascii="Times New Roman" w:hAnsi="Times New Roman"/>
          <w:sz w:val="24"/>
          <w:szCs w:val="24"/>
        </w:rPr>
        <w:t xml:space="preserve">the effect of PAE </w:t>
      </w:r>
      <w:r>
        <w:rPr>
          <w:rFonts w:ascii="Times New Roman" w:hAnsi="Times New Roman"/>
          <w:sz w:val="24"/>
          <w:szCs w:val="24"/>
        </w:rPr>
        <w:t>on fasting blood glucose levels shows that</w:t>
      </w:r>
      <w:r>
        <w:rPr>
          <w:rFonts w:ascii="Times New Roman" w:hAnsi="Times New Roman"/>
          <w:sz w:val="24"/>
          <w:szCs w:val="24"/>
        </w:rPr>
        <w:t xml:space="preserve"> both PAE doses (200 mg/kg and 400 mg/kg) significantly reduced blood glucose levels by Day 14 compared to the diabetic control (p &lt; 0.05). The 400 mg/kg dose (PAE D2) lowered glucose from 441.4 ± 11.52 mg/dL to 105.2 ± 0.49 mg/dL, closely matching metformin’s efficacy (97.2 ± 1.92 mg/dL). These results align with Soman et al. (2022), who reported that </w:t>
      </w:r>
      <w:r>
        <w:rPr>
          <w:rFonts w:ascii="Times New Roman" w:hAnsi="Times New Roman"/>
          <w:i/>
          <w:sz w:val="24"/>
          <w:szCs w:val="24"/>
        </w:rPr>
        <w:t>P. amarus</w:t>
      </w:r>
      <w:r>
        <w:rPr>
          <w:rFonts w:ascii="Times New Roman" w:hAnsi="Times New Roman"/>
          <w:sz w:val="24"/>
          <w:szCs w:val="24"/>
        </w:rPr>
        <w:t xml:space="preserve"> methanolic extract reduced blood glucose by 18.7% at 1000 mg/kg in alloxan-induced diabetic rats, suggesting antihyperglycemic activity possibly via enhanced insulin secretion or glucose uptake. The dose-dependent effect observed in this study indicates that bioactive compounds like flavonoids and alkaloids  may contribute to this activity, though further mechanistic studies are needed to confirm pathways such as GLUT4 translocation or β-cell regeneration (Saltiel &amp; Kahn, 2020).</w:t>
      </w:r>
    </w:p>
    <w:p>
      <w:pPr>
        <w:pStyle w:val="style0"/>
        <w:spacing w:lineRule="auto" w:line="360"/>
        <w:jc w:val="both"/>
        <w:rPr>
          <w:rFonts w:ascii="Times New Roman" w:hAnsi="Times New Roman"/>
          <w:sz w:val="24"/>
          <w:szCs w:val="24"/>
        </w:rPr>
      </w:pPr>
      <w:r>
        <w:rPr>
          <w:rFonts w:ascii="Times New Roman" w:hAnsi="Times New Roman"/>
          <w:sz w:val="24"/>
          <w:szCs w:val="24"/>
        </w:rPr>
        <w:t>Antioxidant defense systems plays a vital role in disease conditions in neutralizing the effect of reactive oxygen species and protecting the integrity of the cell from cellular damage.</w:t>
      </w:r>
      <w:r>
        <w:rPr>
          <w:rFonts w:ascii="Times New Roman" w:hAnsi="Times New Roman"/>
          <w:sz w:val="24"/>
          <w:szCs w:val="24"/>
        </w:rPr>
        <w:t>GSH (Glutathione): A key endogenous antioxidant, GSH neutralizes ROS, and maintains redox homeostasis. Reduced GSH levels signify impaired antioxidant defense, typical in hyperglycemia-induced stress.</w:t>
      </w:r>
      <w:r>
        <w:rPr>
          <w:rFonts w:ascii="Times New Roman" w:hAnsi="Times New Roman"/>
          <w:sz w:val="24"/>
          <w:szCs w:val="24"/>
        </w:rPr>
        <w:t xml:space="preserve"> </w:t>
      </w:r>
      <w:r>
        <w:rPr>
          <w:rFonts w:ascii="Times New Roman" w:hAnsi="Times New Roman"/>
          <w:sz w:val="24"/>
          <w:szCs w:val="24"/>
        </w:rPr>
        <w:t>SOD (Superoxide Dismutase): An enzyme that catalyzes the dismutation of superoxide radicals into oxygen and hydrogen peroxide, SOD protects cells from oxidative damage. Decreased SOD activity is associated with diabetic complications.</w:t>
      </w:r>
      <w:r>
        <w:rPr>
          <w:rFonts w:ascii="Times New Roman" w:hAnsi="Times New Roman"/>
          <w:sz w:val="24"/>
          <w:szCs w:val="24"/>
        </w:rPr>
        <w:t xml:space="preserve"> </w:t>
      </w:r>
      <w:r>
        <w:rPr>
          <w:rFonts w:ascii="Times New Roman" w:hAnsi="Times New Roman"/>
          <w:sz w:val="24"/>
          <w:szCs w:val="24"/>
        </w:rPr>
        <w:t>CAT (Catalase): CAT decomposes hydrogen peroxide into water and oxygen, preventing oxidative stress from ROS accumulation. Lower CAT activity exacerbates oxidative damage in diabetes.</w:t>
      </w:r>
      <w:r>
        <w:rPr>
          <w:rFonts w:ascii="Times New Roman" w:hAnsi="Times New Roman"/>
          <w:sz w:val="24"/>
          <w:szCs w:val="24"/>
        </w:rPr>
        <w:t xml:space="preserve"> </w:t>
      </w:r>
      <w:r>
        <w:rPr>
          <w:rFonts w:ascii="Times New Roman" w:hAnsi="Times New Roman"/>
          <w:sz w:val="24"/>
          <w:szCs w:val="24"/>
        </w:rPr>
        <w:t>GPx (Glutathione Peroxidase): GPx detoxifies hydrogen peroxide and lipid peroxides using GSH, protecting against oxidative stress. Reduced GPx activity is linked to to diabetic oxidative stress.</w:t>
      </w:r>
      <w:r>
        <w:rPr>
          <w:rFonts w:ascii="Times New Roman" w:hAnsi="Times New Roman"/>
          <w:sz w:val="24"/>
          <w:szCs w:val="24"/>
        </w:rPr>
        <w:t xml:space="preserve"> MDA (Malondialdehyde): A lipid peroxidation marker, MDA reflects oxidative damage to cell membranes caused by reactive oxygen species (ROS). Elevated MDA levels indicate increased oxidative stress, common in diabetes.</w:t>
      </w:r>
      <w:r>
        <w:rPr>
          <w:rFonts w:ascii="Times New Roman" w:hAnsi="Times New Roman"/>
          <w:sz w:val="24"/>
          <w:szCs w:val="24"/>
        </w:rPr>
        <w:t xml:space="preserve">The antioxidant biomarkers assayed (GSH, SOD, CAT, and GPx) showed a significant decrease in the diabetic untreated group compared to the normal </w:t>
      </w:r>
      <w:r>
        <w:rPr>
          <w:rFonts w:ascii="Times New Roman" w:hAnsi="Times New Roman"/>
          <w:sz w:val="24"/>
          <w:szCs w:val="24"/>
        </w:rPr>
        <w:t>control, reflecting hyperglycemia-induced oxidative stress. Treatment with PAE at doses of 200 mg/kg (PAE D1) and 400 mg/kg (PAE D2) significantly restored these biomarkers toward normal levels (p &lt; 0.0</w:t>
      </w:r>
      <w:r>
        <w:rPr>
          <w:rFonts w:ascii="Times New Roman" w:hAnsi="Times New Roman"/>
          <w:sz w:val="24"/>
          <w:szCs w:val="24"/>
        </w:rPr>
        <w:t>5), as depicted in Figures 1–4 .</w:t>
      </w:r>
      <w:r>
        <w:rPr>
          <w:rFonts w:ascii="Times New Roman" w:hAnsi="Times New Roman"/>
          <w:sz w:val="24"/>
          <w:szCs w:val="24"/>
        </w:rPr>
        <w:t>The 400 mg/kg dose (PAE D2) exhibited a more pronounced dose-dependent effect than than PAE D1 in in enhancing GSH levels levels, suggesting a dose-dependent antioxidant effect, likely due to the flavonoid and polyphenol content of Phyllanthus amarus, which scavenge ROS and upregulate antioxidant defenses. These results ali</w:t>
      </w:r>
      <w:r>
        <w:rPr>
          <w:rFonts w:ascii="Times New Roman" w:hAnsi="Times New Roman"/>
          <w:sz w:val="24"/>
          <w:szCs w:val="24"/>
        </w:rPr>
        <w:t xml:space="preserve">gn with Sunday et al., (2020). </w:t>
      </w:r>
      <w:r>
        <w:rPr>
          <w:rFonts w:ascii="Times New Roman" w:hAnsi="Times New Roman"/>
          <w:sz w:val="24"/>
          <w:szCs w:val="24"/>
        </w:rPr>
        <w:t>Antioxidant and Antidiabetic Effects of Phyllanthus Extract in STZ-Induced Diabetic Rats.”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MDA levels (Figure 5) were significantly elevated in the diabetic control group, indicating increased lipid peroxidation due to oxidative stress. Both PAE doses (PAE D1 and D2) significantly reduced MDA compared to the diabetic control (p &lt; 0.01), with the 400 mg/kg dose showing a greater reduction, further confirming </w:t>
      </w:r>
      <w:r>
        <w:rPr>
          <w:rFonts w:ascii="Times New Roman" w:hAnsi="Times New Roman"/>
          <w:i/>
          <w:sz w:val="24"/>
          <w:szCs w:val="24"/>
        </w:rPr>
        <w:t>P. amarus’s</w:t>
      </w:r>
      <w:r>
        <w:rPr>
          <w:rFonts w:ascii="Times New Roman" w:hAnsi="Times New Roman"/>
          <w:sz w:val="24"/>
          <w:szCs w:val="24"/>
        </w:rPr>
        <w:t xml:space="preserve"> ability to mitigate oxidative damage. This reduction in MDA correlates with the restoration of GSH, SOD, CAT, and GPx, suggesting a comprehensive antioxidant effect that protects against diabetes-related cellular damage.</w:t>
      </w:r>
    </w:p>
    <w:p>
      <w:pPr>
        <w:pStyle w:val="style0"/>
        <w:spacing w:lineRule="auto" w:line="360"/>
        <w:jc w:val="both"/>
        <w:rPr>
          <w:rFonts w:ascii="Times New Roman" w:hAnsi="Times New Roman"/>
          <w:sz w:val="24"/>
          <w:szCs w:val="24"/>
        </w:rPr>
      </w:pPr>
      <w:r>
        <w:rPr>
          <w:rFonts w:ascii="Times New Roman" w:hAnsi="Times New Roman"/>
          <w:sz w:val="24"/>
          <w:szCs w:val="24"/>
        </w:rPr>
        <w:t>Findings from ta</w:t>
      </w:r>
      <w:r>
        <w:rPr>
          <w:rFonts w:ascii="Times New Roman" w:hAnsi="Times New Roman"/>
          <w:sz w:val="24"/>
          <w:szCs w:val="24"/>
        </w:rPr>
        <w:t>ble 3 shows the effect of PAE on serum electrolytes. Sodium (Na⁺) and bicarbonate (HCO₃⁻) levels were significantly reduced in the diabetic control group compared to the normal control (p &lt; 0.05), reflecting metabolic acidosis and impaired renal function, common in diabetes. Na⁺ is critical for maintaining fluid balance and nerve function, while HCO₃⁻ buffers blood pH to prevent acidosis. Treatment with PAE (200 mg/kg and 400 mg/kg) significantly increased Na⁺ and HCO₃⁻ levels (p &lt; 0.05), with the 400 mg/kg dose raising HCO₃⁻ to 24.35 ± 0.15 mmol/L, indicating improved acid-base balance. These improvements likely stem from better glycemic control, reducing metabolic acidosis, and suggest P. amarus’s nephroprotective potential, possibly mediated by reduced oxidative stress in renal tissues.</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Showing the Comparison of PAE with Metformin. Both PAE doses (200 mg/kg and 400 mg/kg) showed comparable efficacy to metformin (100 mg/kg) in reducing blood glucose (Table 1), increasing insulin and total protein (Table 2), and normalizing electrolytes (Table 3). The 400 mg/kg dose achieved insulin levels (5.19 ± 0.26 ng/mL) and total protein (97.88 ± 1.57 mg/mL) closer to normal than the 200 mg/kg dose, indicating a dose-dependent effect. In terms of oxidative stress, metformin slightly outperformed PAE (200 mg/kg) in GSH restoration (Figure 1), likely due to its mechanism of inhibiting hepatic gluconeogenesis and improving insulin </w:t>
      </w:r>
      <w:r>
        <w:rPr>
          <w:rFonts w:ascii="Times New Roman" w:hAnsi="Times New Roman"/>
          <w:sz w:val="24"/>
          <w:szCs w:val="24"/>
        </w:rPr>
        <w:t>sensitivity. PAE’s comparable effects suggest it may enhance insulin sensitivity or β-cell function, potentially through antioxidant-mediated protection of pancreatic β-cells.</w:t>
      </w:r>
    </w:p>
    <w:p>
      <w:pPr>
        <w:pStyle w:val="style0"/>
        <w:spacing w:lineRule="auto" w:line="360"/>
        <w:jc w:val="both"/>
        <w:rPr>
          <w:rFonts w:ascii="Times New Roman" w:hAnsi="Times New Roman"/>
          <w:sz w:val="24"/>
          <w:szCs w:val="24"/>
        </w:rPr>
      </w:pPr>
      <w:r>
        <w:rPr>
          <w:rFonts w:ascii="Times New Roman" w:hAnsi="Times New Roman"/>
          <w:sz w:val="24"/>
          <w:szCs w:val="24"/>
        </w:rPr>
        <w:t>PAE treatment also reduced serum creatinine (Table 3), suggesting nephroprotective effects, and increased insulin and total protein, indicating improved metabolic function. These findings align with Bukola et al. (2022), who reported P. amarus’s protective effects on renal and hepatic tissues. The increase in insulin levels supports the potential for β-cell regeneration or enhanced secretion, as noted by Soman et al. (2022). The GSH restoration in Figure 1 further supports P. amarus’s role in mitigating oxidative stress, a key contributor to diabetic complications (Baynes &amp; Thorpe, 2024).</w:t>
      </w:r>
    </w:p>
    <w:p>
      <w:pPr>
        <w:pStyle w:val="style0"/>
        <w:spacing w:lineRule="auto" w:line="360"/>
        <w:jc w:val="both"/>
        <w:rPr>
          <w:rFonts w:ascii="Times New Roman" w:hAnsi="Times New Roman"/>
          <w:sz w:val="24"/>
          <w:szCs w:val="24"/>
        </w:rPr>
      </w:pPr>
      <w:r>
        <w:rPr>
          <w:rFonts w:ascii="Times New Roman" w:hAnsi="Times New Roman"/>
          <w:b/>
          <w:bCs/>
          <w:sz w:val="24"/>
          <w:szCs w:val="24"/>
        </w:rPr>
        <w:t>5.1.6 Implications of Findings</w:t>
      </w:r>
    </w:p>
    <w:p>
      <w:pPr>
        <w:pStyle w:val="style0"/>
        <w:spacing w:lineRule="auto" w:line="360"/>
        <w:jc w:val="both"/>
        <w:rPr>
          <w:rFonts w:ascii="Times New Roman" w:hAnsi="Times New Roman"/>
          <w:sz w:val="24"/>
          <w:szCs w:val="24"/>
        </w:rPr>
      </w:pPr>
      <w:r>
        <w:rPr>
          <w:rFonts w:ascii="Times New Roman" w:hAnsi="Times New Roman"/>
          <w:sz w:val="24"/>
          <w:szCs w:val="24"/>
        </w:rPr>
        <w:t>The results suggest that P. amarus ethanolic leaf extract is a promising therapeutic agent for diabetes, addressing hyperglycemia, oxidative stress, and electrolyte imbalances. Its efficacy, comparable to metformin, supports its potential as a cost-effective alternative in regions like Nigeria, where access to conventional drugs is limited (Ogunmola et al., 2019). The antioxidant effects, evidenced by the GSH increase in Figure 1 and supported by Karuna et al. (2021), indicate that PAE could reduce diabetic complications by mitigating oxidative damage, a key factor in nephropathy and neuropathy (Baynes &amp; Thorpe, 2024). The normalization of electrolytes further suggests a broader protective role, potentially improving clinical outcomes in diabetic patients with acid-base or renal disturbances.</w:t>
      </w:r>
    </w:p>
    <w:p>
      <w:pPr>
        <w:pStyle w:val="style0"/>
        <w:spacing w:lineRule="auto" w:line="360"/>
        <w:jc w:val="both"/>
        <w:rPr>
          <w:rFonts w:ascii="Times New Roman" w:hAnsi="Times New Roman"/>
          <w:b/>
          <w:bCs/>
          <w:sz w:val="24"/>
          <w:szCs w:val="24"/>
        </w:rPr>
      </w:pPr>
      <w:r>
        <w:rPr>
          <w:rFonts w:ascii="Times New Roman" w:hAnsi="Times New Roman"/>
          <w:b/>
          <w:bCs/>
          <w:sz w:val="24"/>
          <w:szCs w:val="24"/>
        </w:rPr>
        <w:t>5.2 Conclusion</w:t>
      </w:r>
    </w:p>
    <w:p>
      <w:pPr>
        <w:pStyle w:val="style0"/>
        <w:spacing w:lineRule="auto" w:line="360"/>
        <w:jc w:val="both"/>
        <w:rPr>
          <w:rFonts w:ascii="Times New Roman" w:hAnsi="Times New Roman"/>
          <w:sz w:val="24"/>
          <w:szCs w:val="24"/>
        </w:rPr>
      </w:pPr>
      <w:r>
        <w:rPr>
          <w:rFonts w:ascii="Times New Roman" w:hAnsi="Times New Roman"/>
          <w:sz w:val="24"/>
          <w:szCs w:val="24"/>
        </w:rPr>
        <w:t xml:space="preserve">The ethanolic leaf extract of Phyllanthus amarus significantly reduced blood glucose, enhanced antioxidant defenses, and restored electrolyte balance in STZ-induced diabetic Wistar rats. The 400 mg/kg dose showed greater efficacy than the 200 mg/kg dose in glucose reduction and metabolic restoration, approaching metformin’s effects. These findings validate the traditional use of P. amarus and highlight its potential as a complementary therapy for diabetes, particularly in resource-limited settings. </w:t>
      </w: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jc w:val="both"/>
        <w:rPr>
          <w:rFonts w:ascii="Times New Roman" w:hAnsi="Times New Roman"/>
          <w:b/>
          <w:bCs/>
          <w:sz w:val="24"/>
          <w:szCs w:val="24"/>
        </w:rPr>
      </w:pPr>
    </w:p>
    <w:p>
      <w:pPr>
        <w:pStyle w:val="style0"/>
        <w:spacing w:lineRule="auto" w:line="360"/>
        <w:ind w:left="2880" w:firstLine="720"/>
        <w:jc w:val="both"/>
        <w:rPr>
          <w:rFonts w:ascii="Times New Roman" w:hAnsi="Times New Roman"/>
          <w:b/>
          <w:bCs/>
          <w:sz w:val="24"/>
          <w:szCs w:val="24"/>
        </w:rPr>
      </w:pPr>
      <w:r>
        <w:rPr>
          <w:rFonts w:ascii="Times New Roman" w:hAnsi="Times New Roman"/>
          <w:b/>
          <w:bCs/>
          <w:sz w:val="24"/>
          <w:szCs w:val="24"/>
        </w:rPr>
        <w:t>REFERENCES</w:t>
      </w:r>
    </w:p>
    <w:p>
      <w:pPr>
        <w:pStyle w:val="style0"/>
        <w:jc w:val="both"/>
        <w:rPr>
          <w:rFonts w:ascii="Times New Roman" w:hAnsi="Times New Roman"/>
          <w:sz w:val="24"/>
          <w:szCs w:val="24"/>
        </w:rPr>
      </w:pPr>
      <w:r>
        <w:rPr>
          <w:rFonts w:ascii="Times New Roman" w:hAnsi="Times New Roman"/>
          <w:sz w:val="24"/>
          <w:szCs w:val="24"/>
        </w:rPr>
        <w:t>Akinmoladun, A. C., Olaleye, M. T., &amp; Farombi, E. O. (2020). Antioxidant and anti-</w:t>
      </w:r>
    </w:p>
    <w:p>
      <w:pPr>
        <w:pStyle w:val="style0"/>
        <w:ind w:left="720"/>
        <w:jc w:val="both"/>
        <w:rPr>
          <w:rFonts w:ascii="Times New Roman" w:hAnsi="Times New Roman"/>
          <w:i/>
          <w:iCs/>
          <w:sz w:val="24"/>
          <w:szCs w:val="24"/>
        </w:rPr>
      </w:pPr>
      <w:r>
        <w:rPr>
          <w:rFonts w:ascii="Times New Roman" w:hAnsi="Times New Roman"/>
          <w:sz w:val="24"/>
          <w:szCs w:val="24"/>
        </w:rPr>
        <w:t>inflammatory properties of Phyllanthus amarus: A review.</w:t>
      </w:r>
      <w:r>
        <w:rPr>
          <w:rFonts w:ascii="Times New Roman" w:hAnsi="Times New Roman"/>
          <w:i/>
          <w:iCs/>
          <w:sz w:val="24"/>
          <w:szCs w:val="24"/>
        </w:rPr>
        <w:t xml:space="preserve"> Journal of </w:t>
      </w:r>
    </w:p>
    <w:p>
      <w:pPr>
        <w:pStyle w:val="style0"/>
        <w:ind w:left="720"/>
        <w:jc w:val="both"/>
        <w:rPr>
          <w:rFonts w:ascii="Times New Roman" w:hAnsi="Times New Roman"/>
          <w:sz w:val="24"/>
          <w:szCs w:val="24"/>
        </w:rPr>
      </w:pPr>
      <w:r>
        <w:rPr>
          <w:rFonts w:ascii="Times New Roman" w:hAnsi="Times New Roman"/>
          <w:i/>
          <w:iCs/>
          <w:sz w:val="24"/>
          <w:szCs w:val="24"/>
        </w:rPr>
        <w:t>Ethnopharmacology</w:t>
      </w:r>
      <w:r>
        <w:rPr>
          <w:rFonts w:ascii="Times New Roman" w:hAnsi="Times New Roman"/>
          <w:sz w:val="24"/>
          <w:szCs w:val="24"/>
        </w:rPr>
        <w:t>, 246, Article 112244.</w:t>
      </w:r>
    </w:p>
    <w:p>
      <w:pPr>
        <w:pStyle w:val="style0"/>
        <w:jc w:val="both"/>
        <w:rPr>
          <w:rFonts w:ascii="Times New Roman" w:hAnsi="Times New Roman"/>
          <w:i/>
          <w:iCs/>
          <w:sz w:val="24"/>
          <w:szCs w:val="24"/>
        </w:rPr>
      </w:pPr>
      <w:r>
        <w:rPr>
          <w:rFonts w:ascii="Times New Roman" w:hAnsi="Times New Roman"/>
          <w:sz w:val="24"/>
          <w:szCs w:val="24"/>
        </w:rPr>
        <w:t xml:space="preserve">American Diabetes Association. (2020). Standards of medical care in diabetes—2020. </w:t>
      </w:r>
      <w:r>
        <w:rPr>
          <w:rFonts w:ascii="Times New Roman" w:hAnsi="Times New Roman"/>
          <w:i/>
          <w:iCs/>
          <w:sz w:val="24"/>
          <w:szCs w:val="24"/>
        </w:rPr>
        <w:t xml:space="preserve">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Care</w:t>
      </w:r>
      <w:r>
        <w:rPr>
          <w:rFonts w:ascii="Times New Roman" w:hAnsi="Times New Roman"/>
          <w:sz w:val="24"/>
          <w:szCs w:val="24"/>
        </w:rPr>
        <w:t>, 45(Suppl. 1), S1–S264.</w:t>
      </w:r>
    </w:p>
    <w:p>
      <w:pPr>
        <w:pStyle w:val="style0"/>
        <w:jc w:val="both"/>
        <w:rPr>
          <w:rFonts w:ascii="Times New Roman" w:hAnsi="Times New Roman"/>
          <w:sz w:val="24"/>
          <w:szCs w:val="24"/>
        </w:rPr>
      </w:pPr>
      <w:r>
        <w:rPr>
          <w:rFonts w:ascii="Times New Roman" w:hAnsi="Times New Roman"/>
          <w:sz w:val="24"/>
          <w:szCs w:val="24"/>
        </w:rPr>
        <w:t xml:space="preserve">Atkinson, M. A., Eisenbarth, G. S., &amp; Michels, A. W. (2021). Type 1 diabetes. The Lancet,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383(9911), 69–82.</w:t>
      </w:r>
    </w:p>
    <w:p>
      <w:pPr>
        <w:pStyle w:val="style0"/>
        <w:jc w:val="both"/>
        <w:rPr>
          <w:rFonts w:ascii="Times New Roman" w:hAnsi="Times New Roman"/>
          <w:sz w:val="24"/>
          <w:szCs w:val="24"/>
        </w:rPr>
      </w:pPr>
      <w:r>
        <w:rPr>
          <w:rFonts w:ascii="Times New Roman" w:hAnsi="Times New Roman"/>
          <w:sz w:val="24"/>
          <w:szCs w:val="24"/>
        </w:rPr>
        <w:t xml:space="preserve">Baynes, J. W., &amp; Thorpe, S. R. (2024). Role of oxidative stress in diabetic complications: A new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perspective on an old paradigm. Diabetes, 48(1), 1–9.</w:t>
      </w:r>
    </w:p>
    <w:p>
      <w:pPr>
        <w:pStyle w:val="style0"/>
        <w:jc w:val="both"/>
        <w:rPr>
          <w:rFonts w:ascii="Times New Roman" w:hAnsi="Times New Roman"/>
          <w:sz w:val="24"/>
          <w:szCs w:val="24"/>
        </w:rPr>
      </w:pPr>
      <w:r>
        <w:rPr>
          <w:rFonts w:ascii="Times New Roman" w:hAnsi="Times New Roman"/>
          <w:sz w:val="24"/>
          <w:szCs w:val="24"/>
        </w:rPr>
        <w:t xml:space="preserve">Brownlee, M. (2019). Biochemistry and molecular cell biology of diabetic complications. Nature,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414(6865), 813–820.</w:t>
      </w:r>
    </w:p>
    <w:p>
      <w:pPr>
        <w:pStyle w:val="style0"/>
        <w:jc w:val="both"/>
        <w:rPr>
          <w:rFonts w:ascii="Times New Roman" w:hAnsi="Times New Roman"/>
          <w:sz w:val="24"/>
          <w:szCs w:val="24"/>
        </w:rPr>
      </w:pPr>
      <w:r>
        <w:rPr>
          <w:rFonts w:ascii="Times New Roman" w:hAnsi="Times New Roman"/>
          <w:sz w:val="24"/>
          <w:szCs w:val="24"/>
        </w:rPr>
        <w:t>Bukola, O. A., Ojo, O. A., &amp; Afolabi, O. B. (2022). Nephroprotective effects of Phyllanthus</w:t>
      </w:r>
    </w:p>
    <w:p>
      <w:pPr>
        <w:pStyle w:val="style0"/>
        <w:ind w:firstLine="720"/>
        <w:jc w:val="both"/>
        <w:rPr>
          <w:rFonts w:ascii="Times New Roman" w:hAnsi="Times New Roman"/>
          <w:sz w:val="24"/>
          <w:szCs w:val="24"/>
        </w:rPr>
      </w:pPr>
      <w:r>
        <w:rPr>
          <w:rFonts w:ascii="Times New Roman" w:hAnsi="Times New Roman"/>
          <w:sz w:val="24"/>
          <w:szCs w:val="24"/>
        </w:rPr>
        <w:t xml:space="preserve"> amarus in diabetic rats. Journal of Pharmacy and Pharmacology, 12(3), 45–56.</w:t>
      </w:r>
    </w:p>
    <w:p>
      <w:pPr>
        <w:pStyle w:val="style0"/>
        <w:jc w:val="both"/>
        <w:rPr>
          <w:rFonts w:ascii="Times New Roman" w:hAnsi="Times New Roman"/>
          <w:sz w:val="24"/>
          <w:szCs w:val="24"/>
        </w:rPr>
      </w:pPr>
      <w:r>
        <w:rPr>
          <w:rFonts w:ascii="Times New Roman" w:hAnsi="Times New Roman"/>
          <w:sz w:val="24"/>
          <w:szCs w:val="24"/>
        </w:rPr>
        <w:t xml:space="preserve">DeFronzo, R. A., Ferrannini, E., &amp; Groop, L. (2019). Pathophysiology of type 2 diabetes: 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comprehensive review. Diabetes Care, 38(3), 123–134.</w:t>
      </w:r>
    </w:p>
    <w:p>
      <w:pPr>
        <w:pStyle w:val="style0"/>
        <w:jc w:val="both"/>
        <w:rPr>
          <w:rFonts w:ascii="Times New Roman" w:hAnsi="Times New Roman"/>
          <w:sz w:val="24"/>
          <w:szCs w:val="24"/>
        </w:rPr>
      </w:pPr>
      <w:r>
        <w:rPr>
          <w:rFonts w:ascii="Times New Roman" w:hAnsi="Times New Roman"/>
          <w:sz w:val="24"/>
          <w:szCs w:val="24"/>
        </w:rPr>
        <w:t xml:space="preserve">International Diabetes Federation. (2021). IDF diabetes atlas (10th ed.). International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Federation.</w:t>
      </w:r>
    </w:p>
    <w:p>
      <w:pPr>
        <w:pStyle w:val="style0"/>
        <w:jc w:val="both"/>
        <w:rPr>
          <w:rFonts w:ascii="Times New Roman" w:hAnsi="Times New Roman"/>
          <w:sz w:val="24"/>
          <w:szCs w:val="24"/>
        </w:rPr>
      </w:pPr>
      <w:r>
        <w:rPr>
          <w:rFonts w:ascii="Times New Roman" w:hAnsi="Times New Roman"/>
          <w:sz w:val="24"/>
          <w:szCs w:val="24"/>
        </w:rPr>
        <w:t>Iwu, M. M. (2020). Handbook of African medicinal plants (2nd ed.). CRC Press.</w:t>
      </w:r>
    </w:p>
    <w:p>
      <w:pPr>
        <w:pStyle w:val="style0"/>
        <w:jc w:val="both"/>
        <w:rPr>
          <w:rFonts w:ascii="Times New Roman" w:hAnsi="Times New Roman"/>
          <w:sz w:val="24"/>
          <w:szCs w:val="24"/>
        </w:rPr>
      </w:pPr>
      <w:r>
        <w:rPr>
          <w:rFonts w:ascii="Times New Roman" w:hAnsi="Times New Roman"/>
          <w:sz w:val="24"/>
          <w:szCs w:val="24"/>
        </w:rPr>
        <w:t xml:space="preserve">Karuna, R., Reddy, S. S., Baskar, R., &amp; Saralakumari, D. (2021). Antioxidant potential of </w:t>
      </w:r>
    </w:p>
    <w:p>
      <w:pPr>
        <w:pStyle w:val="style0"/>
        <w:ind w:left="720"/>
        <w:jc w:val="both"/>
        <w:rPr>
          <w:rFonts w:ascii="Times New Roman" w:hAnsi="Times New Roman"/>
          <w:sz w:val="24"/>
          <w:szCs w:val="24"/>
        </w:rPr>
      </w:pPr>
      <w:r>
        <w:rPr>
          <w:rFonts w:ascii="Times New Roman" w:hAnsi="Times New Roman"/>
          <w:sz w:val="24"/>
          <w:szCs w:val="24"/>
        </w:rPr>
        <w:t>aqueous extract of Phyllanthus amarus in rats. Indian Journal of Pharmacology, 41(2), 64–67.</w:t>
      </w:r>
    </w:p>
    <w:p>
      <w:pPr>
        <w:pStyle w:val="style0"/>
        <w:jc w:val="both"/>
        <w:rPr>
          <w:rFonts w:ascii="Times New Roman" w:hAnsi="Times New Roman"/>
          <w:i/>
          <w:sz w:val="24"/>
          <w:szCs w:val="24"/>
        </w:rPr>
      </w:pPr>
      <w:r>
        <w:rPr>
          <w:rFonts w:ascii="Times New Roman" w:hAnsi="Times New Roman"/>
          <w:sz w:val="24"/>
          <w:szCs w:val="24"/>
        </w:rPr>
        <w:t xml:space="preserve">Kavitha, S., &amp; Shobha, R. (2020). Electrolyte imbalances in diabetes mellitus: A review. </w:t>
      </w:r>
      <w:r>
        <w:rPr>
          <w:rFonts w:ascii="Times New Roman" w:hAnsi="Times New Roman"/>
          <w:i/>
          <w:sz w:val="24"/>
          <w:szCs w:val="24"/>
        </w:rPr>
        <w:t xml:space="preserve">Journal </w:t>
      </w:r>
    </w:p>
    <w:p>
      <w:pPr>
        <w:pStyle w:val="style0"/>
        <w:jc w:val="both"/>
        <w:rPr>
          <w:rFonts w:ascii="Times New Roman" w:hAnsi="Times New Roman"/>
          <w:sz w:val="24"/>
          <w:szCs w:val="24"/>
        </w:rPr>
      </w:pPr>
      <w:r>
        <w:rPr>
          <w:rFonts w:ascii="Times New Roman" w:hAnsi="Times New Roman"/>
          <w:i/>
          <w:sz w:val="24"/>
          <w:szCs w:val="24"/>
        </w:rPr>
        <w:tab/>
      </w:r>
      <w:r>
        <w:rPr>
          <w:rFonts w:ascii="Times New Roman" w:hAnsi="Times New Roman"/>
          <w:i/>
          <w:sz w:val="24"/>
          <w:szCs w:val="24"/>
        </w:rPr>
        <w:t>of Clinical Biochemistry</w:t>
      </w:r>
      <w:r>
        <w:rPr>
          <w:rFonts w:ascii="Times New Roman" w:hAnsi="Times New Roman"/>
          <w:sz w:val="24"/>
          <w:szCs w:val="24"/>
        </w:rPr>
        <w:t>, 35(4), 210–220.</w:t>
      </w:r>
    </w:p>
    <w:p>
      <w:pPr>
        <w:pStyle w:val="style0"/>
        <w:jc w:val="both"/>
        <w:rPr>
          <w:rFonts w:ascii="Times New Roman" w:hAnsi="Times New Roman"/>
          <w:sz w:val="24"/>
          <w:szCs w:val="24"/>
        </w:rPr>
      </w:pPr>
      <w:r>
        <w:rPr>
          <w:rFonts w:ascii="Times New Roman" w:hAnsi="Times New Roman"/>
          <w:sz w:val="24"/>
          <w:szCs w:val="24"/>
        </w:rPr>
        <w:t xml:space="preserve">Kitabchi, A. E., Umpierrez, G. E., &amp; Miles, J. M. (2022). Hyperglycemic crises in adult patients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with diabetes. Diabetes Care, 32(7), 1335–1343.</w:t>
      </w:r>
    </w:p>
    <w:p>
      <w:pPr>
        <w:pStyle w:val="style0"/>
        <w:jc w:val="both"/>
        <w:rPr>
          <w:rFonts w:ascii="Times New Roman" w:hAnsi="Times New Roman"/>
          <w:sz w:val="24"/>
          <w:szCs w:val="24"/>
        </w:rPr>
      </w:pPr>
      <w:r>
        <w:rPr>
          <w:rFonts w:ascii="Times New Roman" w:hAnsi="Times New Roman"/>
          <w:sz w:val="24"/>
          <w:szCs w:val="24"/>
        </w:rPr>
        <w:t xml:space="preserve">Lenzen, S. (2019). The mechanisms of alloxan- and streptozotocin-induced diabetes.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Diabetologia, 51(2), 216–226.</w:t>
      </w:r>
    </w:p>
    <w:p>
      <w:pPr>
        <w:pStyle w:val="style0"/>
        <w:jc w:val="both"/>
        <w:rPr>
          <w:rFonts w:ascii="Times New Roman" w:hAnsi="Times New Roman"/>
          <w:sz w:val="24"/>
          <w:szCs w:val="24"/>
        </w:rPr>
      </w:pPr>
      <w:r>
        <w:rPr>
          <w:rFonts w:ascii="Times New Roman" w:hAnsi="Times New Roman"/>
          <w:sz w:val="24"/>
          <w:szCs w:val="24"/>
        </w:rPr>
        <w:t xml:space="preserve">Maritim, A. C., Sanders, R. A., &amp; Watkins, J. B. (2023). Diabetes, oxidative stress, and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antioxidants: A review.</w:t>
      </w:r>
      <w:r>
        <w:rPr>
          <w:rFonts w:ascii="Times New Roman" w:hAnsi="Times New Roman"/>
          <w:i/>
          <w:iCs/>
          <w:sz w:val="24"/>
          <w:szCs w:val="24"/>
        </w:rPr>
        <w:t xml:space="preserve"> Journal of Biochemical and Molecular Toxicology</w:t>
      </w:r>
      <w:r>
        <w:rPr>
          <w:rFonts w:ascii="Times New Roman" w:hAnsi="Times New Roman"/>
          <w:sz w:val="24"/>
          <w:szCs w:val="24"/>
        </w:rPr>
        <w:t>, 17(1), 24–38.</w:t>
      </w:r>
    </w:p>
    <w:p>
      <w:pPr>
        <w:pStyle w:val="style0"/>
        <w:jc w:val="both"/>
        <w:rPr>
          <w:rFonts w:ascii="Times New Roman" w:hAnsi="Times New Roman"/>
          <w:i/>
          <w:iCs/>
          <w:sz w:val="24"/>
          <w:szCs w:val="24"/>
        </w:rPr>
      </w:pPr>
      <w:r>
        <w:rPr>
          <w:rFonts w:ascii="Times New Roman" w:hAnsi="Times New Roman"/>
          <w:sz w:val="24"/>
          <w:szCs w:val="24"/>
        </w:rPr>
        <w:t xml:space="preserve">Mary Luisa, J. (2020). Oxidative stress pathways in diabetes mellitus. </w:t>
      </w:r>
      <w:r>
        <w:rPr>
          <w:rFonts w:ascii="Times New Roman" w:hAnsi="Times New Roman"/>
          <w:i/>
          <w:iCs/>
          <w:sz w:val="24"/>
          <w:szCs w:val="24"/>
        </w:rPr>
        <w:t xml:space="preserve">Journal of Diabetes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Research</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 xml:space="preserve">Norman, K. (2022). Glucose metabolism in diabetes: A review. </w:t>
      </w:r>
      <w:r>
        <w:rPr>
          <w:rFonts w:ascii="Times New Roman" w:hAnsi="Times New Roman"/>
          <w:i/>
          <w:sz w:val="24"/>
          <w:szCs w:val="24"/>
        </w:rPr>
        <w:t>Endocrinology Journal</w:t>
      </w:r>
      <w:r>
        <w:rPr>
          <w:rFonts w:ascii="Times New Roman" w:hAnsi="Times New Roman"/>
          <w:sz w:val="24"/>
          <w:szCs w:val="24"/>
        </w:rPr>
        <w:t xml:space="preserve">, 12(4),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56–67.</w:t>
      </w:r>
    </w:p>
    <w:p>
      <w:pPr>
        <w:pStyle w:val="style0"/>
        <w:jc w:val="both"/>
        <w:rPr>
          <w:rFonts w:ascii="Times New Roman" w:hAnsi="Times New Roman"/>
          <w:sz w:val="24"/>
          <w:szCs w:val="24"/>
        </w:rPr>
      </w:pPr>
      <w:r>
        <w:rPr>
          <w:rFonts w:ascii="Times New Roman" w:hAnsi="Times New Roman"/>
          <w:sz w:val="24"/>
          <w:szCs w:val="24"/>
        </w:rPr>
        <w:t xml:space="preserve">Odebiyi, O. O., &amp; Sofowora, E. A. (2024). Phytochemical screening of Nigerian medicinal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plants. </w:t>
      </w:r>
      <w:r>
        <w:rPr>
          <w:rFonts w:ascii="Times New Roman" w:hAnsi="Times New Roman"/>
          <w:i/>
          <w:iCs/>
          <w:sz w:val="24"/>
          <w:szCs w:val="24"/>
        </w:rPr>
        <w:t>African Journal of Pharmacy</w:t>
      </w:r>
      <w:r>
        <w:rPr>
          <w:rFonts w:ascii="Times New Roman" w:hAnsi="Times New Roman"/>
          <w:sz w:val="24"/>
          <w:szCs w:val="24"/>
        </w:rPr>
        <w:t>, 12(2), 34–45.</w:t>
      </w:r>
    </w:p>
    <w:p>
      <w:pPr>
        <w:pStyle w:val="style0"/>
        <w:jc w:val="both"/>
        <w:rPr>
          <w:rFonts w:ascii="Times New Roman" w:hAnsi="Times New Roman"/>
          <w:sz w:val="24"/>
          <w:szCs w:val="24"/>
        </w:rPr>
      </w:pPr>
      <w:r>
        <w:rPr>
          <w:rFonts w:ascii="Times New Roman" w:hAnsi="Times New Roman"/>
          <w:sz w:val="24"/>
          <w:szCs w:val="24"/>
        </w:rPr>
        <w:t xml:space="preserve">Ogunmola, O. A., Ojo, O. A., &amp; Afolabi, O. B. (2019). Prevalence of diabetes mellitus in Nigeria: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 systematic review. </w:t>
      </w:r>
      <w:r>
        <w:rPr>
          <w:rFonts w:ascii="Times New Roman" w:hAnsi="Times New Roman"/>
          <w:i/>
          <w:iCs/>
          <w:sz w:val="24"/>
          <w:szCs w:val="24"/>
        </w:rPr>
        <w:t>African Journal of Medicine</w:t>
      </w:r>
      <w:r>
        <w:rPr>
          <w:rFonts w:ascii="Times New Roman" w:hAnsi="Times New Roman"/>
          <w:sz w:val="24"/>
          <w:szCs w:val="24"/>
        </w:rPr>
        <w:t>, 45(3), 123–134.</w:t>
      </w:r>
    </w:p>
    <w:p>
      <w:pPr>
        <w:pStyle w:val="style0"/>
        <w:jc w:val="both"/>
        <w:rPr>
          <w:rFonts w:ascii="Times New Roman" w:hAnsi="Times New Roman"/>
          <w:sz w:val="24"/>
          <w:szCs w:val="24"/>
        </w:rPr>
      </w:pPr>
      <w:r>
        <w:rPr>
          <w:rFonts w:ascii="Times New Roman" w:hAnsi="Times New Roman"/>
          <w:sz w:val="24"/>
          <w:szCs w:val="24"/>
        </w:rPr>
        <w:t>Rang, H. P., Dale, M. M., &amp; Ritter, J. M. (2019). Pharmacology (8th ed.). Churchill Livingstone.</w:t>
      </w:r>
    </w:p>
    <w:p>
      <w:pPr>
        <w:pStyle w:val="style0"/>
        <w:jc w:val="both"/>
        <w:rPr>
          <w:rFonts w:ascii="Times New Roman" w:hAnsi="Times New Roman"/>
          <w:sz w:val="24"/>
          <w:szCs w:val="24"/>
        </w:rPr>
      </w:pPr>
      <w:r>
        <w:rPr>
          <w:rFonts w:ascii="Times New Roman" w:hAnsi="Times New Roman"/>
          <w:sz w:val="24"/>
          <w:szCs w:val="24"/>
        </w:rPr>
        <w:t xml:space="preserve">Rojas, L. B. A., &amp; Gomes, M. B. (2023). Metformin: An old drug with new applications.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i/>
          <w:iCs/>
          <w:sz w:val="24"/>
          <w:szCs w:val="24"/>
        </w:rPr>
        <w:t>International Journal of Diabetes</w:t>
      </w:r>
      <w:r>
        <w:rPr>
          <w:rFonts w:ascii="Times New Roman" w:hAnsi="Times New Roman"/>
          <w:sz w:val="24"/>
          <w:szCs w:val="24"/>
        </w:rPr>
        <w:t>, 12(3), 45–56.</w:t>
      </w:r>
    </w:p>
    <w:p>
      <w:pPr>
        <w:pStyle w:val="style0"/>
        <w:jc w:val="both"/>
        <w:rPr>
          <w:rFonts w:ascii="Times New Roman" w:hAnsi="Times New Roman"/>
          <w:sz w:val="24"/>
          <w:szCs w:val="24"/>
        </w:rPr>
      </w:pPr>
      <w:r>
        <w:rPr>
          <w:rFonts w:ascii="Times New Roman" w:hAnsi="Times New Roman"/>
          <w:sz w:val="24"/>
          <w:szCs w:val="24"/>
        </w:rPr>
        <w:t xml:space="preserve">Saltiel, A. R., &amp; Kahn, C. R. (2020). Insulin signaling and the regulation of glucose and lipid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metabolism. Nature, 414(6865), 799–806.</w:t>
      </w:r>
    </w:p>
    <w:p>
      <w:pPr>
        <w:pStyle w:val="style0"/>
        <w:jc w:val="both"/>
        <w:rPr>
          <w:rFonts w:ascii="Times New Roman" w:hAnsi="Times New Roman"/>
          <w:sz w:val="24"/>
          <w:szCs w:val="24"/>
        </w:rPr>
      </w:pPr>
      <w:r>
        <w:rPr>
          <w:rFonts w:ascii="Times New Roman" w:hAnsi="Times New Roman"/>
          <w:sz w:val="24"/>
          <w:szCs w:val="24"/>
        </w:rPr>
        <w:t xml:space="preserve">Soman, S., Rajamanickam, C., &amp; Raveendran, M. (2022). Antidiabetic activity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amarus in alloxan-induced diabetic rats. </w:t>
      </w:r>
      <w:r>
        <w:rPr>
          <w:rFonts w:ascii="Times New Roman" w:hAnsi="Times New Roman"/>
          <w:i/>
          <w:iCs/>
          <w:sz w:val="24"/>
          <w:szCs w:val="24"/>
        </w:rPr>
        <w:t>Journal of Ethnopharmacology</w:t>
      </w:r>
      <w:r>
        <w:rPr>
          <w:rFonts w:ascii="Times New Roman" w:hAnsi="Times New Roman"/>
          <w:sz w:val="24"/>
          <w:szCs w:val="24"/>
        </w:rPr>
        <w:t>, 213(2), 456–462.</w:t>
      </w:r>
    </w:p>
    <w:p>
      <w:pPr>
        <w:pStyle w:val="style0"/>
        <w:jc w:val="both"/>
        <w:rPr>
          <w:rFonts w:ascii="Times New Roman" w:hAnsi="Times New Roman"/>
          <w:sz w:val="24"/>
          <w:szCs w:val="24"/>
        </w:rPr>
      </w:pPr>
      <w:r>
        <w:rPr>
          <w:rFonts w:ascii="Times New Roman" w:hAnsi="Times New Roman"/>
          <w:sz w:val="24"/>
          <w:szCs w:val="24"/>
        </w:rPr>
        <w:t xml:space="preserve">Sunday, O. O., Ojo, O. A., &amp; Afolabi, O. B. (2020). Antioxidant and antidiabetic effects of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 xml:space="preserve">Phyllanthus extract in STZ-induced diabetic rats. </w:t>
      </w:r>
      <w:r>
        <w:rPr>
          <w:rFonts w:ascii="Times New Roman" w:hAnsi="Times New Roman"/>
          <w:i/>
          <w:iCs/>
          <w:sz w:val="24"/>
          <w:szCs w:val="24"/>
        </w:rPr>
        <w:t>African Journal of Medicine,</w:t>
      </w:r>
      <w:r>
        <w:rPr>
          <w:rFonts w:ascii="Times New Roman" w:hAnsi="Times New Roman"/>
          <w:sz w:val="24"/>
          <w:szCs w:val="24"/>
        </w:rPr>
        <w:t xml:space="preserve"> 45(3),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135–145.</w:t>
      </w:r>
    </w:p>
    <w:p>
      <w:pPr>
        <w:pStyle w:val="style0"/>
        <w:jc w:val="both"/>
        <w:rPr>
          <w:rFonts w:ascii="Times New Roman" w:hAnsi="Times New Roman"/>
          <w:sz w:val="24"/>
          <w:szCs w:val="24"/>
        </w:rPr>
      </w:pPr>
      <w:r>
        <w:rPr>
          <w:rFonts w:ascii="Times New Roman" w:hAnsi="Times New Roman"/>
          <w:sz w:val="24"/>
          <w:szCs w:val="24"/>
        </w:rPr>
        <w:t xml:space="preserve">Szkudelski, T. (2019). The mechanism of streptozotocin action in beta cells of the rat pancreas.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Physiological Research, 50(6), 537–546.</w:t>
      </w:r>
    </w:p>
    <w:p>
      <w:pPr>
        <w:pStyle w:val="style0"/>
        <w:jc w:val="both"/>
        <w:rPr>
          <w:rFonts w:ascii="Times New Roman" w:hAnsi="Times New Roman"/>
          <w:sz w:val="24"/>
          <w:szCs w:val="24"/>
        </w:rPr>
      </w:pPr>
      <w:r>
        <w:rPr>
          <w:rFonts w:ascii="Times New Roman" w:hAnsi="Times New Roman"/>
          <w:sz w:val="24"/>
          <w:szCs w:val="24"/>
        </w:rPr>
        <w:t xml:space="preserve">Udayakumar, R., Kasthurirengan, S., &amp; Mariashibu, T. (2021). Antioxidant effect of Phyllanthus </w:t>
      </w:r>
    </w:p>
    <w:p>
      <w:pPr>
        <w:pStyle w:val="style0"/>
        <w:jc w:val="both"/>
        <w:rPr>
          <w:rFonts w:ascii="Times New Roman" w:hAnsi="Times New Roman"/>
          <w:sz w:val="24"/>
          <w:szCs w:val="24"/>
        </w:rPr>
      </w:pPr>
      <w:r>
        <w:rPr>
          <w:rFonts w:ascii="Times New Roman" w:hAnsi="Times New Roman"/>
          <w:sz w:val="24"/>
          <w:szCs w:val="24"/>
        </w:rPr>
        <w:tab/>
      </w:r>
      <w:r>
        <w:rPr>
          <w:rFonts w:ascii="Times New Roman" w:hAnsi="Times New Roman"/>
          <w:sz w:val="24"/>
          <w:szCs w:val="24"/>
        </w:rPr>
        <w:t>amarus in diabetic rats. Phytotherapy Research, 20(5), 345–350.</w:t>
      </w:r>
    </w:p>
    <w:p>
      <w:pPr>
        <w:pStyle w:val="style0"/>
        <w:jc w:val="both"/>
        <w:rPr>
          <w:rFonts w:ascii="Times New Roman" w:hAnsi="Times New Roman"/>
          <w:i/>
          <w:iCs/>
          <w:sz w:val="24"/>
          <w:szCs w:val="24"/>
        </w:rPr>
      </w:pPr>
      <w:r>
        <w:rPr>
          <w:rFonts w:ascii="Times New Roman" w:hAnsi="Times New Roman"/>
          <w:sz w:val="24"/>
          <w:szCs w:val="24"/>
        </w:rPr>
        <w:t xml:space="preserve">Yasuma, A., &amp; Ichikawa, T. (2023). Ninhydrin reaction for amino acid detection. </w:t>
      </w:r>
      <w:r>
        <w:rPr>
          <w:rFonts w:ascii="Times New Roman" w:hAnsi="Times New Roman"/>
          <w:i/>
          <w:iCs/>
          <w:sz w:val="24"/>
          <w:szCs w:val="24"/>
        </w:rPr>
        <w:t xml:space="preserve">Journal of </w:t>
      </w:r>
    </w:p>
    <w:p>
      <w:pPr>
        <w:pStyle w:val="style0"/>
        <w:jc w:val="both"/>
        <w:rPr>
          <w:rFonts w:ascii="Times New Roman" w:hAnsi="Times New Roman"/>
          <w:sz w:val="24"/>
          <w:szCs w:val="24"/>
        </w:rPr>
      </w:pPr>
      <w:r>
        <w:rPr>
          <w:rFonts w:ascii="Times New Roman" w:hAnsi="Times New Roman"/>
          <w:i/>
          <w:iCs/>
          <w:sz w:val="24"/>
          <w:szCs w:val="24"/>
        </w:rPr>
        <w:tab/>
      </w:r>
      <w:r>
        <w:rPr>
          <w:rFonts w:ascii="Times New Roman" w:hAnsi="Times New Roman"/>
          <w:i/>
          <w:iCs/>
          <w:sz w:val="24"/>
          <w:szCs w:val="24"/>
        </w:rPr>
        <w:t>Biochemistry</w:t>
      </w:r>
      <w:r>
        <w:rPr>
          <w:rFonts w:ascii="Times New Roman" w:hAnsi="Times New Roman"/>
          <w:sz w:val="24"/>
          <w:szCs w:val="24"/>
        </w:rPr>
        <w:t>, 34(4), 234–245.</w:t>
      </w:r>
    </w:p>
    <w:p>
      <w:pPr>
        <w:pStyle w:val="style0"/>
        <w:spacing w:lineRule="auto" w:line="480"/>
        <w:jc w:val="both"/>
        <w:rPr>
          <w:rFonts w:ascii="Times New Roman" w:hAnsi="Times New Roman"/>
          <w:sz w:val="24"/>
          <w:szCs w:val="24"/>
        </w:rPr>
      </w:pPr>
    </w:p>
    <w:p>
      <w:pPr>
        <w:pStyle w:val="style0"/>
        <w:spacing w:lineRule="auto" w:line="480"/>
        <w:jc w:val="both"/>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p>
      <w:pPr>
        <w:pStyle w:val="style0"/>
        <w:spacing w:lineRule="auto" w:line="480"/>
        <w:rPr>
          <w:rFonts w:ascii="Times New Roman" w:hAnsi="Times New Roman"/>
          <w:sz w:val="24"/>
          <w:szCs w:val="24"/>
        </w:rPr>
      </w:pPr>
    </w:p>
    <w:sectPr>
      <w:footerReference w:type="default" r:id="rId19"/>
      <w:pgSz w:w="12240" w:h="15840" w:orient="portrait"/>
      <w:pgMar w:top="1440" w:right="1440" w:bottom="1440" w:left="1440" w:header="720" w:footer="720" w:gutter="0"/>
      <w:pgNumType w:fmt="decimal" w:start="1"/>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Times New Roman"/>
    <w:panose1 w:val="02020603050000020304"/>
    <w:charset w:val="00"/>
    <w:family w:val="roman"/>
    <w:pitch w:val="variable"/>
    <w:sig w:usb0="E0002EFF" w:usb1="C000785B"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SimSun">
    <w:altName w:val="宋体"/>
    <w:panose1 w:val="02010600030000010101"/>
    <w:charset w:val="86"/>
    <w:family w:val="auto"/>
    <w:pitch w:val="variable"/>
    <w:sig w:usb0="00000203" w:usb1="288F0000" w:usb2="00000016" w:usb3="00000000" w:csb0="00040001" w:csb1="00000000"/>
  </w:font>
  <w:font w:name="Calibri">
    <w:altName w:val="Calibri"/>
    <w:panose1 w:val="020f0502020000030204"/>
    <w:charset w:val="00"/>
    <w:family w:val="swiss"/>
    <w:pitch w:val="variable"/>
    <w:sig w:usb0="E4002EFF" w:usb1="C000247B" w:usb2="00000009" w:usb3="00000000" w:csb0="000001FF" w:csb1="00000000"/>
  </w:font>
  <w:font w:name="Courier New">
    <w:altName w:val="Courier New"/>
    <w:panose1 w:val="02070309020000020404"/>
    <w:charset w:val="00"/>
    <w:family w:val="modern"/>
    <w:pitch w:val="fixed"/>
    <w:sig w:usb0="E0002EFF" w:usb1="C0007843" w:usb2="00000009" w:usb3="00000000" w:csb0="000001FF" w:csb1="00000000"/>
  </w:font>
  <w:font w:name="Tahoma">
    <w:altName w:val="Tahoma"/>
    <w:panose1 w:val="020b0604030000040204"/>
    <w:charset w:val="00"/>
    <w:family w:val="swiss"/>
    <w:pitch w:val="variable"/>
    <w:sig w:usb0="E1002EFF" w:usb1="C000605B" w:usb2="00000029" w:usb3="00000000" w:csb0="000101FF" w:csb1="00000000"/>
  </w:font>
  <w:font w:name="sans-serif">
    <w:altName w:val="Segoe Print"/>
    <w:panose1 w:val="00000000000000000000"/>
    <w:charset w:val="00"/>
    <w:family w:val="auto"/>
    <w:pitch w:val="default"/>
    <w:sig w:usb0="00000000" w:usb1="00000000" w:usb2="00000000" w:usb3="00000000" w:csb0="00000000" w:csb1="00000000"/>
  </w:font>
  <w:font w:name="Cambria">
    <w:altName w:val="Cambria"/>
    <w:panose1 w:val="02040503050000030204"/>
    <w:charset w:val="00"/>
    <w:family w:val="roman"/>
    <w:pitch w:val="variable"/>
    <w:sig w:usb0="E00006FF" w:usb1="420024FF" w:usb2="02000000" w:usb3="00000000" w:csb0="0000019F" w:csb1="00000000"/>
  </w:font>
</w:fonts>
</file>

<file path=word/footer2.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3.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footer4.xml><?xml version="1.0" encoding="utf-8"?>
<w:ft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31"/>
      <w:jc w:val="center"/>
      <w:rPr/>
    </w:pPr>
    <w:r>
      <w:rPr/>
      <w:fldChar w:fldCharType="begin"/>
    </w:r>
    <w:r>
      <w:instrText>PAGE</w:instrText>
    </w:r>
    <w:r>
      <w:rPr/>
      <w:fldChar w:fldCharType="separate"/>
    </w:r>
    <w:r>
      <w:t>1</w:t>
    </w:r>
    <w:r>
      <w:rPr/>
      <w:fldChar w:fldCharType="end"/>
    </w:r>
  </w:p>
</w:ftr>
</file>

<file path=word/header1.xml><?xml version="1.0" encoding="utf-8"?>
<w:hdr xmlns:w="http://schemas.openxmlformats.org/wordprocessingml/2006/main" xmlns:wp="http://schemas.openxmlformats.org/drawingml/2006/wordprocessingDrawing" xmlns:r="http://schemas.openxmlformats.org/officeDocument/2006/relationships" xmlns:v="urn:schemas-microsoft-com:vml" xmlns:w10="urn:schemas-microsoft-com:office:word" xmlns:o="urn:schemas-microsoft-com:office:office" xmlns:wp14="http://schemas.microsoft.com/office/word/2010/wordprocessingDrawing" xmlns:w14="http://schemas.microsoft.com/office/word/2010/wordml" xmlns:mc="http://schemas.openxmlformats.org/markup-compatibility/2006" xmlns:m="http://schemas.openxmlformats.org/officeDocument/2006/math" xmlns:wps="http://schemas.microsoft.com/office/word/2010/wordprocessingShape" xmlns:wpg="http://schemas.microsoft.com/office/word/2010/wordprocessingGroup" xmlns:wpi="http://schemas.microsoft.com/office/word/2010/wordprocessingInk" xmlns:wpc="http://schemas.microsoft.com/office/word/2010/wordprocessingCanvas" xmlns:wpsCustomData="http://www.wps.cn/officeDocument/2013/wpsCustomData" mc:Ignorable="w14 wp14">
  <w:p>
    <w:pPr>
      <w:pStyle w:val="style0"/>
      <w:jc w:val="center"/>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package/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0"/>
    <w:multiLevelType w:val="multilevel"/>
    <w:tmpl w:val="90C4DD6D"/>
    <w:lvl w:ilvl="0">
      <w:start w:val="1"/>
      <w:numFmt w:val="decimal"/>
      <w:suff w:val="space"/>
      <w:lvlText w:val="%1."/>
      <w:lvlJc w:val="left"/>
      <w:pPr>
        <w:ind w:left="61" w:firstLine="0"/>
      </w:pPr>
      <w:rPr>
        <w:rFonts w:hint="default"/>
      </w:rPr>
    </w:lvl>
    <w:lvl w:ilvl="1">
      <w:start w:val="1"/>
      <w:numFmt w:val="decimal"/>
      <w:suff w:val="space"/>
      <w:lvlText w:val="%1.%2."/>
      <w:lvlJc w:val="left"/>
      <w:pPr>
        <w:ind w:left="61" w:firstLine="0"/>
      </w:pPr>
      <w:rPr>
        <w:rFonts w:hint="default"/>
      </w:rPr>
    </w:lvl>
    <w:lvl w:ilvl="2">
      <w:start w:val="1"/>
      <w:numFmt w:val="decimal"/>
      <w:suff w:val="space"/>
      <w:lvlText w:val="%1.%2.%3."/>
      <w:lvlJc w:val="left"/>
      <w:pPr>
        <w:ind w:left="61" w:firstLine="0"/>
      </w:pPr>
      <w:rPr>
        <w:rFonts w:hint="default"/>
      </w:rPr>
    </w:lvl>
    <w:lvl w:ilvl="3">
      <w:start w:val="1"/>
      <w:numFmt w:val="decimal"/>
      <w:suff w:val="space"/>
      <w:lvlText w:val="%1.%2.%3.%4."/>
      <w:lvlJc w:val="left"/>
      <w:pPr>
        <w:ind w:left="61" w:firstLine="0"/>
      </w:pPr>
      <w:rPr>
        <w:rFonts w:hint="default"/>
      </w:rPr>
    </w:lvl>
    <w:lvl w:ilvl="4">
      <w:start w:val="1"/>
      <w:numFmt w:val="decimal"/>
      <w:suff w:val="space"/>
      <w:lvlText w:val="%1.%2.%3.%4.%5."/>
      <w:lvlJc w:val="left"/>
      <w:pPr>
        <w:ind w:left="61" w:firstLine="0"/>
      </w:pPr>
      <w:rPr>
        <w:rFonts w:hint="default"/>
      </w:rPr>
    </w:lvl>
    <w:lvl w:ilvl="5">
      <w:start w:val="1"/>
      <w:numFmt w:val="decimal"/>
      <w:suff w:val="space"/>
      <w:lvlText w:val="%1.%2.%3.%4.%5.%6."/>
      <w:lvlJc w:val="left"/>
      <w:pPr>
        <w:ind w:left="61" w:firstLine="0"/>
      </w:pPr>
      <w:rPr>
        <w:rFonts w:hint="default"/>
      </w:rPr>
    </w:lvl>
    <w:lvl w:ilvl="6">
      <w:start w:val="1"/>
      <w:numFmt w:val="decimal"/>
      <w:suff w:val="space"/>
      <w:lvlText w:val="%1.%2.%3.%4.%5.%6.%7."/>
      <w:lvlJc w:val="left"/>
      <w:pPr>
        <w:ind w:left="61" w:firstLine="0"/>
      </w:pPr>
      <w:rPr>
        <w:rFonts w:hint="default"/>
      </w:rPr>
    </w:lvl>
    <w:lvl w:ilvl="7">
      <w:start w:val="1"/>
      <w:numFmt w:val="decimal"/>
      <w:suff w:val="space"/>
      <w:lvlText w:val="%1.%2.%3.%4.%5.%6.%7.%8."/>
      <w:lvlJc w:val="left"/>
      <w:pPr>
        <w:ind w:left="61" w:firstLine="0"/>
      </w:pPr>
      <w:rPr>
        <w:rFonts w:hint="default"/>
      </w:rPr>
    </w:lvl>
    <w:lvl w:ilvl="8">
      <w:start w:val="1"/>
      <w:numFmt w:val="decimal"/>
      <w:suff w:val="space"/>
      <w:lvlText w:val="%1.%2.%3.%4.%5.%6.%7.%8.%9."/>
      <w:lvlJc w:val="left"/>
      <w:pPr>
        <w:ind w:left="61" w:firstLine="0"/>
      </w:pPr>
      <w:rPr>
        <w:rFonts w:hint="default"/>
      </w:rPr>
    </w:lvl>
  </w:abstractNum>
  <w:abstractNum w:abstractNumId="1">
    <w:nsid w:val="00000001"/>
    <w:multiLevelType w:val="singleLevel"/>
    <w:tmpl w:val="E036A794"/>
    <w:lvl w:ilvl="0">
      <w:start w:val="1"/>
      <w:numFmt w:val="bullet"/>
      <w:lvlText w:val=""/>
      <w:lvlJc w:val="left"/>
      <w:pPr>
        <w:tabs>
          <w:tab w:val="left" w:leader="none" w:pos="420"/>
        </w:tabs>
        <w:ind w:left="420" w:hanging="420"/>
      </w:pPr>
      <w:rPr>
        <w:rFonts w:ascii="Wingdings" w:hAnsi="Wingdings" w:hint="default"/>
      </w:rPr>
    </w:lvl>
  </w:abstractNum>
  <w:abstractNum w:abstractNumId="2">
    <w:nsid w:val="00000002"/>
    <w:multiLevelType w:val="multilevel"/>
    <w:tmpl w:val="EEC478F2"/>
    <w:lvl w:ilvl="0">
      <w:start w:val="5"/>
      <w:numFmt w:val="decimal"/>
      <w:lvlText w:val="%1"/>
      <w:lvlJc w:val="left"/>
      <w:pPr>
        <w:ind w:left="360" w:hanging="360"/>
      </w:pPr>
      <w:rPr>
        <w:rFonts w:hint="default"/>
        <w:b/>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r="http://schemas.openxmlformats.org/officeDocument/2006/relationships" xmlns:m="http://schemas.openxmlformats.org/officeDocument/2006/math">
  <w:zoom w:percent="95"/>
  <w:stylePaneFormatFilter w:val="5024" w:allStyles="0" w:customStyles="0" w:latentStyles="1" w:stylesInUse="0" w:headingStyles="1" w:numberingStyles="0" w:tableStyles="0" w:directFormattingOnRuns="0" w:directFormattingOnParagraphs="0" w:directFormattingOnNumbering="0" w:directFormattingOnTables="0" w:clearFormatting="1" w:top3HeadingStyles="0" w:visibleStyles="1" w:alternateStyleNames="0"/>
  <w:stylePaneSortMethod w:val="0001"/>
  <w:doNotTrackMoves/>
  <w:defaultTabStop w:val="720"/>
  <w:doNotShadeFormData/>
  <w:noPunctuationKerning/>
  <w:characterSpacingControl w:val="doNotCompress"/>
  <w:doNotValidateAgainstSchema/>
  <w:doNotDemarcateInvalidXml/>
  <w:compat>
    <w:doNotExpandShiftReturn/>
    <w:doNotWrapTextWithPunct/>
    <w:doNotUseEastAsianBreakRules/>
    <w:useFELayout/>
  </w:compat>
  <m:mathPr>
    <m:mathFont m:val="Cambria Math"/>
    <m:brkBin m:val="before"/>
    <m:brkBinSub m:val="--"/>
    <m:smallFrac m:val="1"/>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styles.xml><?xml version="1.0" encoding="utf-8"?>
<w:styles xmlns:mc="http://schemas.openxmlformats.org/markup-compatibility/2006" xmlns:w="http://schemas.openxmlformats.org/wordprocessingml/2006/main" xmlns:w14="http://schemas.microsoft.com/office/word/2010/wordml" mc:Ignorable="w14">
  <w:docDefaults>
    <w:rPrDefault>
      <w:rPr>
        <w:rFonts w:ascii="Times New Roman" w:cs="Times New Roman" w:eastAsia="SimSun" w:hAnsi="Times New Roman"/>
        <w:lang w:val="en-US" w:bidi="ar-SA" w:eastAsia="en-US"/>
      </w:rPr>
    </w:rPrDefault>
    <w:pPrDefault>
      <w:pPr/>
    </w:pPrDefault>
  </w:docDefaults>
  <w:style w:type="paragraph" w:default="1" w:styleId="style0">
    <w:name w:val="Normal"/>
    <w:next w:val="style0"/>
    <w:qFormat/>
    <w:pPr>
      <w:spacing w:after="200" w:lineRule="auto" w:line="276"/>
    </w:pPr>
    <w:rPr>
      <w:rFonts w:ascii="Calibri" w:hAnsi="Calibri"/>
      <w:sz w:val="22"/>
      <w:szCs w:val="22"/>
      <w:lang w:eastAsia="zh-CN"/>
    </w:rPr>
  </w:style>
  <w:style w:type="paragraph" w:styleId="style3">
    <w:name w:val="heading 3"/>
    <w:next w:val="style0"/>
    <w:qFormat/>
    <w:pPr>
      <w:spacing w:beforeAutospacing="true" w:afterAutospacing="true"/>
      <w:outlineLvl w:val="2"/>
    </w:pPr>
    <w:rPr>
      <w:rFonts w:ascii="SimSun" w:hAnsi="SimSun" w:hint="eastAsia"/>
      <w:b/>
      <w:bCs/>
      <w:sz w:val="27"/>
      <w:szCs w:val="27"/>
      <w:lang w:eastAsia="zh-CN"/>
    </w:rPr>
  </w:style>
  <w:style w:type="character" w:default="1" w:styleId="style65">
    <w:name w:val="Default Paragraph Font"/>
    <w:next w:val="style65"/>
    <w:uiPriority w:val="1"/>
  </w:style>
  <w:style w:type="table" w:default="1" w:styleId="style105">
    <w:name w:val="Normal Table"/>
    <w:next w:val="style105"/>
    <w:qFormat/>
    <w:uiPriority w:val="99"/>
    <w:pPr/>
    <w:rPr/>
    <w:tblPr>
      <w:tblInd w:w="0" w:type="dxa"/>
      <w:tblCellMar>
        <w:top w:w="0" w:type="dxa"/>
        <w:left w:w="108" w:type="dxa"/>
        <w:bottom w:w="0" w:type="dxa"/>
        <w:right w:w="108" w:type="dxa"/>
      </w:tblCellMar>
    </w:tblPr>
    <w:tcPr>
      <w:tcBorders/>
    </w:tcPr>
  </w:style>
  <w:style w:type="numbering" w:default="1" w:styleId="style107">
    <w:name w:val="No List"/>
    <w:next w:val="style107"/>
    <w:uiPriority w:val="99"/>
    <w:pPr/>
  </w:style>
  <w:style w:type="character" w:styleId="style88">
    <w:name w:val="Emphasis"/>
    <w:basedOn w:val="style65"/>
    <w:next w:val="style88"/>
    <w:qFormat/>
    <w:rPr>
      <w:i/>
      <w:iCs/>
    </w:rPr>
  </w:style>
  <w:style w:type="paragraph" w:styleId="style32">
    <w:name w:val="footer"/>
    <w:basedOn w:val="style0"/>
    <w:next w:val="style32"/>
    <w:qFormat/>
    <w:pPr>
      <w:tabs>
        <w:tab w:val="center" w:leader="none" w:pos="4153"/>
        <w:tab w:val="right" w:leader="none" w:pos="8306"/>
      </w:tabs>
      <w:snapToGrid w:val="false"/>
    </w:pPr>
    <w:rPr>
      <w:sz w:val="18"/>
      <w:szCs w:val="18"/>
    </w:rPr>
  </w:style>
  <w:style w:type="paragraph" w:styleId="style31">
    <w:name w:val="header"/>
    <w:basedOn w:val="style0"/>
    <w:next w:val="style31"/>
    <w:qFormat/>
    <w:pPr>
      <w:tabs>
        <w:tab w:val="center" w:leader="none" w:pos="4320"/>
        <w:tab w:val="right" w:leader="none" w:pos="8640"/>
      </w:tabs>
      <w:spacing w:after="0" w:lineRule="auto" w:line="240"/>
    </w:pPr>
    <w:rPr>
      <w:rFonts w:ascii="Times New Roman" w:hAnsi="Times New Roman"/>
    </w:rPr>
  </w:style>
  <w:style w:type="character" w:styleId="style98">
    <w:name w:val="HTML Code"/>
    <w:basedOn w:val="style65"/>
    <w:next w:val="style98"/>
    <w:qFormat/>
    <w:rPr>
      <w:rFonts w:ascii="Courier New" w:cs="Courier New" w:hAnsi="Courier New"/>
      <w:sz w:val="20"/>
      <w:szCs w:val="20"/>
    </w:rPr>
  </w:style>
  <w:style w:type="paragraph" w:styleId="style101">
    <w:name w:val="HTML Preformatted"/>
    <w:next w:val="style101"/>
    <w:qFormat/>
    <w:pPr>
      <w:tabs>
        <w:tab w:val="left" w:leader="none" w:pos="916"/>
        <w:tab w:val="left" w:leader="none" w:pos="1832"/>
        <w:tab w:val="left" w:leader="none" w:pos="2748"/>
        <w:tab w:val="left" w:leader="none" w:pos="3664"/>
        <w:tab w:val="left" w:leader="none" w:pos="4580"/>
        <w:tab w:val="left" w:leader="none" w:pos="5496"/>
        <w:tab w:val="left" w:leader="none" w:pos="6412"/>
        <w:tab w:val="left" w:leader="none" w:pos="7328"/>
        <w:tab w:val="left" w:leader="none" w:pos="8244"/>
        <w:tab w:val="left" w:leader="none" w:pos="9160"/>
        <w:tab w:val="left" w:leader="none" w:pos="10076"/>
        <w:tab w:val="left" w:leader="none" w:pos="10992"/>
        <w:tab w:val="left" w:leader="none" w:pos="11908"/>
        <w:tab w:val="left" w:leader="none" w:pos="12824"/>
        <w:tab w:val="left" w:leader="none" w:pos="13740"/>
        <w:tab w:val="left" w:leader="none" w:pos="14656"/>
      </w:tabs>
    </w:pPr>
    <w:rPr>
      <w:rFonts w:ascii="SimSun" w:hAnsi="SimSun" w:hint="eastAsia"/>
      <w:sz w:val="24"/>
      <w:szCs w:val="24"/>
      <w:lang w:eastAsia="zh-CN"/>
    </w:rPr>
  </w:style>
  <w:style w:type="character" w:styleId="style85">
    <w:name w:val="Hyperlink"/>
    <w:basedOn w:val="style65"/>
    <w:next w:val="style85"/>
    <w:qFormat/>
    <w:rPr>
      <w:color w:val="0000ff"/>
      <w:u w:val="single"/>
    </w:rPr>
  </w:style>
  <w:style w:type="paragraph" w:styleId="style94">
    <w:name w:val="Normal (Web)"/>
    <w:next w:val="style94"/>
    <w:qFormat/>
    <w:pPr>
      <w:spacing w:beforeAutospacing="true" w:afterAutospacing="true"/>
    </w:pPr>
    <w:rPr>
      <w:sz w:val="24"/>
      <w:szCs w:val="24"/>
      <w:lang w:eastAsia="zh-CN"/>
    </w:rPr>
  </w:style>
  <w:style w:type="character" w:styleId="style87">
    <w:name w:val="Strong"/>
    <w:basedOn w:val="style65"/>
    <w:next w:val="style87"/>
    <w:qFormat/>
    <w:rPr>
      <w:b/>
      <w:bCs/>
    </w:rPr>
  </w:style>
  <w:style w:type="paragraph" w:styleId="style179">
    <w:name w:val="List Paragraph"/>
    <w:basedOn w:val="style0"/>
    <w:next w:val="style179"/>
    <w:qFormat/>
    <w:pPr>
      <w:ind w:left="720"/>
    </w:pPr>
    <w:rPr>
      <w:rFonts w:ascii="Times New Roman" w:hAnsi="Times New Roman"/>
    </w:rPr>
  </w:style>
  <w:style w:type="paragraph" w:customStyle="1" w:styleId="style4097">
    <w:name w:val="Default"/>
    <w:next w:val="style4097"/>
    <w:pPr>
      <w:autoSpaceDE w:val="false"/>
      <w:autoSpaceDN w:val="false"/>
      <w:adjustRightInd w:val="false"/>
    </w:pPr>
    <w:rPr>
      <w:rFonts w:eastAsia="Calibri"/>
      <w:color w:val="000000"/>
      <w:sz w:val="24"/>
      <w:szCs w:val="24"/>
    </w:rPr>
  </w:style>
  <w:style w:type="paragraph" w:styleId="style153">
    <w:name w:val="Balloon Text"/>
    <w:basedOn w:val="style0"/>
    <w:next w:val="style153"/>
    <w:link w:val="style4098"/>
    <w:pPr>
      <w:spacing w:after="0" w:lineRule="auto" w:line="240"/>
    </w:pPr>
    <w:rPr>
      <w:rFonts w:ascii="Tahoma" w:cs="Tahoma" w:hAnsi="Tahoma"/>
      <w:sz w:val="16"/>
      <w:szCs w:val="16"/>
    </w:rPr>
  </w:style>
  <w:style w:type="character" w:customStyle="1" w:styleId="style4098">
    <w:name w:val="Balloon Text Char"/>
    <w:basedOn w:val="style65"/>
    <w:next w:val="style4098"/>
    <w:link w:val="style153"/>
    <w:rPr>
      <w:rFonts w:ascii="Tahoma" w:cs="Tahoma" w:hAnsi="Tahoma"/>
      <w:sz w:val="16"/>
      <w:szCs w:val="16"/>
      <w:lang w:eastAsia="zh-CN"/>
    </w:rPr>
  </w:style>
</w:styles>
</file>

<file path=word/_rels/document.xml.rels><?xml version="1.0" encoding="UTF-8"?>
<Relationships xmlns="http://schemas.openxmlformats.org/package/2006/relationships"><Relationship Id="rId20" Type="http://schemas.openxmlformats.org/officeDocument/2006/relationships/styles" Target="styles.xml"/><Relationship Id="rId11" Type="http://schemas.openxmlformats.org/officeDocument/2006/relationships/image" Target="media/image3.emf"/><Relationship Id="rId22" Type="http://schemas.openxmlformats.org/officeDocument/2006/relationships/settings" Target="settings.xml"/><Relationship Id="rId10" Type="http://schemas.openxmlformats.org/officeDocument/2006/relationships/oleObject" Target="embeddings/oleObject1.bin"/><Relationship Id="rId21" Type="http://schemas.openxmlformats.org/officeDocument/2006/relationships/fontTable" Target="fontTable.xml"/><Relationship Id="rId13" Type="http://schemas.openxmlformats.org/officeDocument/2006/relationships/image" Target="media/image4.emf"/><Relationship Id="rId24" Type="http://schemas.openxmlformats.org/officeDocument/2006/relationships/customXml" Target="../customXml/item1.xml"/><Relationship Id="rId12" Type="http://schemas.openxmlformats.org/officeDocument/2006/relationships/oleObject" Target="embeddings/oleObject2.bin"/><Relationship Id="rId23"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header" Target="header1.xml"/><Relationship Id="rId3" Type="http://schemas.openxmlformats.org/officeDocument/2006/relationships/footer" Target="footer2.xml"/><Relationship Id="rId4" Type="http://schemas.openxmlformats.org/officeDocument/2006/relationships/footer" Target="footer3.xml"/><Relationship Id="rId9" Type="http://schemas.openxmlformats.org/officeDocument/2006/relationships/image" Target="media/image2.emf"/><Relationship Id="rId15" Type="http://schemas.openxmlformats.org/officeDocument/2006/relationships/image" Target="media/image5.emf"/><Relationship Id="rId14" Type="http://schemas.openxmlformats.org/officeDocument/2006/relationships/oleObject" Target="embeddings/oleObject3.bin"/><Relationship Id="rId17" Type="http://schemas.openxmlformats.org/officeDocument/2006/relationships/image" Target="media/image6.emf"/><Relationship Id="rId16" Type="http://schemas.openxmlformats.org/officeDocument/2006/relationships/oleObject" Target="embeddings/oleObject4.bin"/><Relationship Id="rId5" Type="http://schemas.openxmlformats.org/officeDocument/2006/relationships/image" Target="media/image1.jpeg"/><Relationship Id="rId19" Type="http://schemas.openxmlformats.org/officeDocument/2006/relationships/footer" Target="footer4.xml"/><Relationship Id="rId6" Type="http://schemas.openxmlformats.org/officeDocument/2006/relationships/image" Target="media/image2.jpeg"/><Relationship Id="rId18" Type="http://schemas.openxmlformats.org/officeDocument/2006/relationships/oleObject" Target="embeddings/oleObject5.bin"/><Relationship Id="rId7" Type="http://schemas.openxmlformats.org/officeDocument/2006/relationships/image" Target="media/image2.png"/><Relationship Id="rId8" Type="http://schemas.openxmlformats.org/officeDocument/2006/relationships/chart" Target="charts/chart1.xml"/></Relationships>
</file>

<file path=word/charts/_rels/chart1.xml.rels><?xml version="1.0" encoding="UTF-8"?>
<Relationships xmlns="http://schemas.openxmlformats.org/package/2006/relationships"><Relationship Id="rId1" Type="http://schemas.openxmlformats.org/officeDocument/2006/relationships/oleObject" TargetMode="External" Target="https://d.docs.live.net/617a3e899531b041/Desktop/PHONE%20BACKUP/WhatsApp%20Documents/Private/cal%20curve.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en-US" sz="1800" b="1" i="0" u="none" strike="noStrike" kern="1200" baseline="0">
                <a:solidFill>
                  <a:schemeClr val="tx1"/>
                </a:solidFill>
                <a:latin typeface="+mn-lt"/>
                <a:ea typeface="+mn-ea"/>
                <a:cs typeface="+mn-cs"/>
              </a:defRPr>
            </a:pPr>
            <a:r>
              <a:rPr lang="en-US"/>
              <a:t>Protein</a:t>
            </a:r>
            <a:r>
              <a:rPr lang="en-US" baseline="0"/>
              <a:t> Calibration Curve</a:t>
            </a:r>
            <a:endParaRPr lang="en-US"/>
          </a:p>
        </c:rich>
      </c:tx>
      <c:overlay val="0"/>
    </c:title>
    <c:autoTitleDeleted val="0"/>
    <c:plotArea>
      <c:layout/>
      <c:scatterChart>
        <c:scatterStyle val="lineMarker"/>
        <c:varyColors val="0"/>
        <c:ser>
          <c:idx val="0"/>
          <c:order val="0"/>
          <c:trendline>
            <c:trendlineType val="linear"/>
            <c:intercept val="0.0"/>
            <c:dispRSqr val="1"/>
            <c:dispEq val="1"/>
            <c:trendlineLbl>
              <c:layout>
                <c:manualLayout>
                  <c:x val="0.3988232720909902"/>
                  <c:y val="-0.04152704870224541"/>
                </c:manualLayout>
              </c:layout>
              <c:numFmt formatCode="General" sourceLinked="0"/>
              <c:txPr>
                <a:bodyPr rot="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trendlineLbl>
          </c:trendline>
          <c:xVal>
            <c:numRef>
              <c:f>'https://d.docs.live.net/617a3e899531b041/Desktop/PHONE BACKUP/WhatsApp Documents/Private/IYA SULA/[IYA SULA.xlsx]Sheet3'!$C$5:$C$15</c:f>
              <c:numCache>
                <c:formatCode>General</c:formatCode>
                <c:ptCount val="11"/>
                <c:pt idx="0">
                  <c:v>0.0</c:v>
                </c:pt>
                <c:pt idx="1">
                  <c:v>1.0</c:v>
                </c:pt>
                <c:pt idx="2">
                  <c:v>2.0</c:v>
                </c:pt>
                <c:pt idx="3">
                  <c:v>3.0</c:v>
                </c:pt>
                <c:pt idx="4">
                  <c:v>4.0</c:v>
                </c:pt>
                <c:pt idx="5">
                  <c:v>5.0</c:v>
                </c:pt>
                <c:pt idx="6">
                  <c:v>6.0</c:v>
                </c:pt>
                <c:pt idx="7">
                  <c:v>7.0</c:v>
                </c:pt>
                <c:pt idx="8">
                  <c:v>8.0</c:v>
                </c:pt>
                <c:pt idx="9">
                  <c:v>9.0</c:v>
                </c:pt>
                <c:pt idx="10">
                  <c:v>10.0</c:v>
                </c:pt>
              </c:numCache>
            </c:numRef>
          </c:xVal>
          <c:yVal>
            <c:numRef>
              <c:f>'https://d.docs.live.net/617a3e899531b041/Desktop/PHONE BACKUP/WhatsApp Documents/Private/IYA SULA/[IYA SULA.xlsx]Sheet3'!$D$5:$D$15</c:f>
              <c:numCache>
                <c:formatCode>General</c:formatCode>
                <c:ptCount val="11"/>
                <c:pt idx="0">
                  <c:v>0.0</c:v>
                </c:pt>
                <c:pt idx="1">
                  <c:v>0.1966</c:v>
                </c:pt>
                <c:pt idx="2">
                  <c:v>0.2896</c:v>
                </c:pt>
                <c:pt idx="3">
                  <c:v>0.3592</c:v>
                </c:pt>
                <c:pt idx="4">
                  <c:v>0.4116</c:v>
                </c:pt>
                <c:pt idx="5">
                  <c:v>0.4606</c:v>
                </c:pt>
                <c:pt idx="6">
                  <c:v>0.487</c:v>
                </c:pt>
                <c:pt idx="7">
                  <c:v>0.4962</c:v>
                </c:pt>
                <c:pt idx="8">
                  <c:v>0.5192</c:v>
                </c:pt>
                <c:pt idx="9">
                  <c:v>0.5203</c:v>
                </c:pt>
                <c:pt idx="10">
                  <c:v>0.5284</c:v>
                </c:pt>
              </c:numCache>
            </c:numRef>
          </c:yVal>
          <c:smooth val="0"/>
        </c:ser>
        <c:dLbls>
          <c:showLegendKey val="0"/>
          <c:showVal val="0"/>
          <c:showCatName val="0"/>
          <c:showSerName val="0"/>
          <c:showPercent val="0"/>
          <c:showBubbleSize val="0"/>
        </c:dLbls>
        <c:axId val="104458112"/>
        <c:axId val="151427712"/>
      </c:scatterChart>
      <c:valAx>
        <c:axId val="104458112"/>
        <c:scaling>
          <c:orientation val="minMax"/>
        </c:scaling>
        <c:delete val="0"/>
        <c:axPos val="b"/>
        <c:title>
          <c:tx>
            <c:rich>
              <a:bodyPr rot="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Concentration</a:t>
                </a:r>
                <a:r>
                  <a:rPr lang="en-US" baseline="0"/>
                  <a:t> (mg/dl)</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51427712"/>
        <c:crosses val="autoZero"/>
        <c:crossBetween val="midCat"/>
      </c:valAx>
      <c:valAx>
        <c:axId val="151427712"/>
        <c:scaling>
          <c:orientation val="minMax"/>
        </c:scaling>
        <c:delete val="0"/>
        <c:axPos val="l"/>
        <c:title>
          <c:tx>
            <c:rich>
              <a:bodyPr rot="-5400000" spcFirstLastPara="0" vertOverflow="ellipsis" vert="horz" wrap="square" anchor="ctr" anchorCtr="1"/>
              <a:lstStyle/>
              <a:p>
                <a:pPr>
                  <a:defRPr lang="en-US" sz="1000" b="1" i="0" u="none" strike="noStrike" kern="1200" baseline="0">
                    <a:solidFill>
                      <a:schemeClr val="tx1"/>
                    </a:solidFill>
                    <a:latin typeface="+mn-lt"/>
                    <a:ea typeface="+mn-ea"/>
                    <a:cs typeface="+mn-cs"/>
                  </a:defRPr>
                </a:pPr>
                <a:r>
                  <a:rPr lang="en-US"/>
                  <a:t>Absorbance</a:t>
                </a:r>
                <a:r>
                  <a:rPr lang="en-US" baseline="0"/>
                  <a:t> (546)nm</a:t>
                </a:r>
                <a:endParaRPr lang="en-US"/>
              </a:p>
            </c:rich>
          </c:tx>
          <c:overlay val="0"/>
        </c:title>
        <c:numFmt formatCode="General" sourceLinked="1"/>
        <c:majorTickMark val="out"/>
        <c:minorTickMark val="none"/>
        <c:tickLblPos val="nextTo"/>
        <c:txPr>
          <a:bodyPr rot="-60000000" spcFirstLastPara="0" vertOverflow="ellipsis" vert="horz" wrap="square" anchor="ctr" anchorCtr="1"/>
          <a:lstStyle/>
          <a:p>
            <a:pPr>
              <a:defRPr lang="en-US" sz="1000" b="0" i="0" u="none" strike="noStrike" kern="1200" baseline="0">
                <a:solidFill>
                  <a:schemeClr val="tx1"/>
                </a:solidFill>
                <a:latin typeface="+mn-lt"/>
                <a:ea typeface="+mn-ea"/>
                <a:cs typeface="+mn-cs"/>
              </a:defRPr>
            </a:pPr>
            <a:endParaRPr lang="en-US"/>
          </a:p>
        </c:txPr>
        <c:crossAx val="104458112"/>
        <c:crosses val="autoZero"/>
        <c:crossBetween val="midCat"/>
      </c:valAx>
      <c:spPr>
        <a:noFill/>
        <a:ln w="25400">
          <a:noFill/>
        </a:ln>
      </c:spPr>
    </c:plotArea>
    <c:plotVisOnly val="1"/>
    <c:dispBlanksAs val="gap"/>
    <c:showDLblsOverMax val="0"/>
  </c:chart>
  <c:txPr>
    <a:bodyPr/>
    <a:lstStyle/>
    <a:p>
      <a:pPr>
        <a:defRPr lang="en-US"/>
      </a:pPr>
      <a:endParaRPr lang="en-US"/>
    </a:p>
  </c:txPr>
  <c:externalData r:id="rId1"/>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69</TotalTime>
  <Words>8187</Words>
  <Pages>58</Pages>
  <Characters>47893</Characters>
  <Application>WPS Office</Application>
  <DocSecurity>0</DocSecurity>
  <Paragraphs>767</Paragraphs>
  <ScaleCrop>false</ScaleCrop>
  <LinksUpToDate>false</LinksUpToDate>
  <CharactersWithSpaces>60325</CharactersWithSpaces>
  <SharedDoc>false</SharedDoc>
  <HyperlinksChanged>false</HyperlinksChanged>
  <AppVersion>12.000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2025-06-04T07:26:00Z</dcterms:created>
  <dc:creator>SM-N975U</dc:creator>
  <lastModifiedBy>Infinix X6516</lastModifiedBy>
  <dcterms:modified xsi:type="dcterms:W3CDTF">2025-07-17T12:53:26Z</dcterms:modified>
  <revision>14</revision>
</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5b45052af2d04189a4f0137792d77aeb</vt:lpwstr>
  </property>
  <property fmtid="{D5CDD505-2E9C-101B-9397-08002B2CF9AE}" pid="3" name="KSOProductBuildVer">
    <vt:lpwstr>1033-12.2.0.21546</vt:lpwstr>
  </property>
</Properties>
</file>