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6D572">
      <w:pPr>
        <w:spacing w:before="100" w:beforeAutospacing="1" w:after="100" w:afterAutospacing="1"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ANALYSIS OF PRICES OF SELECTED FOOD ITEMS IN ILORIN MARKET</w:t>
      </w:r>
    </w:p>
    <w:p w14:paraId="09E0EFB3">
      <w:pPr>
        <w:spacing w:before="100" w:beforeAutospacing="1" w:after="100" w:afterAutospacing="1"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 CASE STUDY OFMANDATE MARKET)</w:t>
      </w:r>
    </w:p>
    <w:p w14:paraId="5AB3ADF4">
      <w:pPr>
        <w:tabs>
          <w:tab w:val="left" w:pos="4140"/>
        </w:tabs>
        <w:spacing w:before="100" w:beforeAutospacing="1" w:after="100" w:afterAutospacing="1" w:line="240" w:lineRule="auto"/>
        <w:jc w:val="center"/>
        <w:rPr>
          <w:rFonts w:ascii="Times New Roman" w:hAnsi="Times New Roman" w:eastAsia="Times New Roman" w:cs="Times New Roman"/>
          <w:b/>
          <w:bCs/>
          <w:sz w:val="24"/>
          <w:szCs w:val="24"/>
        </w:rPr>
      </w:pPr>
    </w:p>
    <w:p w14:paraId="70E0E238">
      <w:pPr>
        <w:tabs>
          <w:tab w:val="left" w:pos="4140"/>
        </w:tabs>
        <w:spacing w:before="100" w:beforeAutospacing="1" w:after="100" w:afterAutospacing="1" w:line="240" w:lineRule="auto"/>
        <w:jc w:val="center"/>
        <w:rPr>
          <w:rFonts w:ascii="Times New Roman" w:hAnsi="Times New Roman" w:eastAsia="Times New Roman" w:cs="Times New Roman"/>
          <w:b/>
          <w:bCs/>
          <w:sz w:val="24"/>
          <w:szCs w:val="24"/>
        </w:rPr>
      </w:pPr>
    </w:p>
    <w:p w14:paraId="3A7F835D">
      <w:pPr>
        <w:tabs>
          <w:tab w:val="left" w:pos="4140"/>
        </w:tabs>
        <w:spacing w:before="100" w:beforeAutospacing="1" w:after="100" w:afterAutospacing="1" w:line="240" w:lineRule="auto"/>
        <w:jc w:val="center"/>
        <w:rPr>
          <w:rFonts w:ascii="Times New Roman" w:hAnsi="Times New Roman" w:eastAsia="Times New Roman" w:cs="Times New Roman"/>
          <w:b/>
          <w:bCs/>
          <w:sz w:val="24"/>
          <w:szCs w:val="24"/>
        </w:rPr>
      </w:pPr>
    </w:p>
    <w:p w14:paraId="07376BBD">
      <w:pPr>
        <w:tabs>
          <w:tab w:val="left" w:pos="4140"/>
        </w:tabs>
        <w:spacing w:before="100" w:beforeAutospacing="1" w:after="100" w:afterAutospacing="1"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BY</w:t>
      </w:r>
    </w:p>
    <w:p w14:paraId="373596B0">
      <w:pPr>
        <w:tabs>
          <w:tab w:val="left" w:pos="4140"/>
        </w:tabs>
        <w:spacing w:before="100" w:beforeAutospacing="1" w:after="100" w:afterAutospacing="1" w:line="240" w:lineRule="auto"/>
        <w:jc w:val="center"/>
        <w:rPr>
          <w:rFonts w:ascii="Times New Roman" w:hAnsi="Times New Roman" w:eastAsia="Times New Roman" w:cs="Times New Roman"/>
          <w:b/>
          <w:bCs/>
          <w:sz w:val="24"/>
          <w:szCs w:val="24"/>
        </w:rPr>
      </w:pPr>
    </w:p>
    <w:p w14:paraId="74B82BAF">
      <w:pPr>
        <w:tabs>
          <w:tab w:val="left" w:pos="4140"/>
        </w:tabs>
        <w:spacing w:after="0" w:line="240" w:lineRule="auto"/>
        <w:ind w:left="10"/>
        <w:jc w:val="center"/>
        <w:rPr>
          <w:rFonts w:ascii="Times New Roman" w:hAnsi="Times New Roman" w:cs="Times New Roman"/>
          <w:b/>
          <w:sz w:val="24"/>
          <w:szCs w:val="24"/>
        </w:rPr>
      </w:pPr>
    </w:p>
    <w:p w14:paraId="5DA5FDD2">
      <w:pPr>
        <w:tabs>
          <w:tab w:val="left" w:pos="41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ABDULRAZAQ ZAINAB AJIKOBI</w:t>
      </w:r>
    </w:p>
    <w:p w14:paraId="427D886A">
      <w:pPr>
        <w:tabs>
          <w:tab w:val="left" w:pos="41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ND/23/STA/FT/0063</w:t>
      </w:r>
    </w:p>
    <w:p w14:paraId="5B017DEE">
      <w:pPr>
        <w:tabs>
          <w:tab w:val="left" w:pos="4140"/>
        </w:tabs>
        <w:spacing w:after="0" w:line="240" w:lineRule="auto"/>
        <w:jc w:val="center"/>
        <w:rPr>
          <w:rFonts w:ascii="Times New Roman" w:hAnsi="Times New Roman" w:cs="Times New Roman"/>
          <w:b/>
          <w:sz w:val="24"/>
          <w:szCs w:val="24"/>
        </w:rPr>
      </w:pPr>
    </w:p>
    <w:p w14:paraId="68094D09">
      <w:pPr>
        <w:tabs>
          <w:tab w:val="left" w:pos="4140"/>
        </w:tabs>
        <w:spacing w:after="0" w:line="240" w:lineRule="auto"/>
        <w:ind w:left="10"/>
        <w:jc w:val="center"/>
        <w:rPr>
          <w:rFonts w:ascii="Times New Roman" w:hAnsi="Times New Roman" w:cs="Times New Roman"/>
          <w:b/>
          <w:sz w:val="24"/>
          <w:szCs w:val="24"/>
        </w:rPr>
      </w:pPr>
    </w:p>
    <w:p w14:paraId="74C20E3F">
      <w:pPr>
        <w:tabs>
          <w:tab w:val="left" w:pos="4140"/>
        </w:tabs>
        <w:spacing w:after="0" w:line="240" w:lineRule="auto"/>
        <w:ind w:left="10"/>
        <w:jc w:val="center"/>
        <w:rPr>
          <w:rFonts w:ascii="Times New Roman" w:hAnsi="Times New Roman" w:cs="Times New Roman"/>
          <w:b/>
          <w:sz w:val="24"/>
          <w:szCs w:val="24"/>
        </w:rPr>
      </w:pPr>
    </w:p>
    <w:p w14:paraId="112089E7">
      <w:pPr>
        <w:tabs>
          <w:tab w:val="left" w:pos="4140"/>
        </w:tabs>
        <w:spacing w:after="271" w:line="240" w:lineRule="auto"/>
        <w:ind w:left="10"/>
        <w:jc w:val="center"/>
        <w:rPr>
          <w:rFonts w:ascii="Times New Roman" w:hAnsi="Times New Roman" w:cs="Times New Roman"/>
          <w:b/>
          <w:sz w:val="24"/>
          <w:szCs w:val="24"/>
        </w:rPr>
      </w:pPr>
    </w:p>
    <w:p w14:paraId="74926C4F">
      <w:pPr>
        <w:tabs>
          <w:tab w:val="left" w:pos="4140"/>
        </w:tabs>
        <w:spacing w:after="271" w:line="240" w:lineRule="auto"/>
        <w:ind w:left="10"/>
        <w:jc w:val="center"/>
        <w:rPr>
          <w:rFonts w:ascii="Times New Roman" w:hAnsi="Times New Roman" w:cs="Times New Roman"/>
          <w:b/>
          <w:sz w:val="24"/>
          <w:szCs w:val="24"/>
        </w:rPr>
      </w:pPr>
    </w:p>
    <w:p w14:paraId="2F653CDA">
      <w:pPr>
        <w:tabs>
          <w:tab w:val="left" w:pos="4140"/>
        </w:tabs>
        <w:spacing w:after="271" w:line="240" w:lineRule="auto"/>
        <w:ind w:left="10"/>
        <w:jc w:val="center"/>
        <w:rPr>
          <w:rFonts w:ascii="Times New Roman" w:hAnsi="Times New Roman" w:cs="Times New Roman"/>
          <w:b/>
          <w:sz w:val="24"/>
          <w:szCs w:val="24"/>
        </w:rPr>
      </w:pPr>
    </w:p>
    <w:p w14:paraId="2063B8D2">
      <w:pPr>
        <w:tabs>
          <w:tab w:val="left" w:pos="4140"/>
        </w:tabs>
        <w:spacing w:after="271" w:line="240" w:lineRule="auto"/>
        <w:ind w:left="10"/>
        <w:jc w:val="center"/>
        <w:rPr>
          <w:rFonts w:ascii="Times New Roman" w:hAnsi="Times New Roman" w:cs="Times New Roman"/>
          <w:sz w:val="24"/>
          <w:szCs w:val="24"/>
        </w:rPr>
      </w:pPr>
      <w:r>
        <w:rPr>
          <w:rFonts w:ascii="Times New Roman" w:hAnsi="Times New Roman" w:cs="Times New Roman"/>
          <w:b/>
          <w:sz w:val="24"/>
          <w:szCs w:val="24"/>
        </w:rPr>
        <w:t>BEING A RESEARCH WORK SUBMITTED TO THE</w:t>
      </w:r>
    </w:p>
    <w:p w14:paraId="1A75A2E8">
      <w:pPr>
        <w:tabs>
          <w:tab w:val="left" w:pos="4140"/>
        </w:tabs>
        <w:spacing w:after="821" w:line="240" w:lineRule="auto"/>
        <w:ind w:left="10"/>
        <w:jc w:val="center"/>
        <w:rPr>
          <w:rFonts w:ascii="Times New Roman" w:hAnsi="Times New Roman" w:cs="Times New Roman"/>
          <w:sz w:val="24"/>
          <w:szCs w:val="24"/>
        </w:rPr>
      </w:pPr>
      <w:r>
        <w:rPr>
          <w:rFonts w:ascii="Times New Roman" w:hAnsi="Times New Roman" w:cs="Times New Roman"/>
          <w:b/>
          <w:sz w:val="24"/>
          <w:szCs w:val="24"/>
        </w:rPr>
        <w:t>DEPARTMENT OF STATISTICS, INSTITUTE OF APPLIED SCIENCES, KWARA STATE POLYTECHNIC, ILORIN.</w:t>
      </w:r>
    </w:p>
    <w:p w14:paraId="75455DB3">
      <w:pPr>
        <w:pStyle w:val="3"/>
        <w:tabs>
          <w:tab w:val="left" w:pos="4140"/>
        </w:tabs>
        <w:spacing w:after="271" w:line="240" w:lineRule="auto"/>
        <w:ind w:firstLine="725"/>
        <w:jc w:val="center"/>
        <w:rPr>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IN PARTIAL FULFILMENT OF THE REQUIREMENT FOR THE AWARD OF NATIONAL DIPLOMA (ND) IN STATISTICS</w:t>
      </w:r>
    </w:p>
    <w:p w14:paraId="2CE52AE8">
      <w:pPr>
        <w:tabs>
          <w:tab w:val="left" w:pos="4140"/>
        </w:tabs>
        <w:spacing w:after="0" w:line="240" w:lineRule="auto"/>
        <w:ind w:left="10"/>
        <w:jc w:val="center"/>
        <w:rPr>
          <w:rFonts w:ascii="Times New Roman" w:hAnsi="Times New Roman" w:cs="Times New Roman"/>
          <w:b/>
          <w:sz w:val="24"/>
          <w:szCs w:val="24"/>
        </w:rPr>
      </w:pPr>
    </w:p>
    <w:p w14:paraId="78A23EC8">
      <w:pPr>
        <w:tabs>
          <w:tab w:val="left" w:pos="4140"/>
        </w:tabs>
        <w:spacing w:after="0" w:line="240" w:lineRule="auto"/>
        <w:ind w:left="10"/>
        <w:jc w:val="center"/>
        <w:rPr>
          <w:rFonts w:ascii="Times New Roman" w:hAnsi="Times New Roman" w:cs="Times New Roman"/>
          <w:b/>
          <w:sz w:val="24"/>
          <w:szCs w:val="24"/>
        </w:rPr>
      </w:pPr>
    </w:p>
    <w:p w14:paraId="4CDCB94D">
      <w:pPr>
        <w:tabs>
          <w:tab w:val="left" w:pos="4140"/>
        </w:tabs>
        <w:spacing w:after="0" w:line="240" w:lineRule="auto"/>
        <w:ind w:left="10"/>
        <w:jc w:val="center"/>
        <w:rPr>
          <w:rFonts w:ascii="Times New Roman" w:hAnsi="Times New Roman" w:cs="Times New Roman"/>
          <w:b/>
          <w:sz w:val="24"/>
          <w:szCs w:val="24"/>
        </w:rPr>
      </w:pPr>
    </w:p>
    <w:p w14:paraId="7BE16590">
      <w:pPr>
        <w:tabs>
          <w:tab w:val="left" w:pos="4140"/>
        </w:tabs>
        <w:spacing w:after="0" w:line="240" w:lineRule="auto"/>
        <w:ind w:left="10"/>
        <w:jc w:val="right"/>
        <w:rPr>
          <w:rFonts w:ascii="Times New Roman" w:hAnsi="Times New Roman" w:cs="Times New Roman"/>
          <w:b/>
          <w:sz w:val="24"/>
          <w:szCs w:val="24"/>
        </w:rPr>
      </w:pPr>
      <w:r>
        <w:rPr>
          <w:rFonts w:ascii="Times New Roman" w:hAnsi="Times New Roman" w:cs="Times New Roman"/>
          <w:b/>
          <w:sz w:val="24"/>
          <w:szCs w:val="24"/>
        </w:rPr>
        <w:t>JULY, 2025</w:t>
      </w:r>
    </w:p>
    <w:p w14:paraId="017450ED">
      <w:pPr>
        <w:tabs>
          <w:tab w:val="left" w:pos="4140"/>
        </w:tabs>
        <w:spacing w:after="0" w:line="240" w:lineRule="auto"/>
        <w:ind w:left="10"/>
        <w:jc w:val="both"/>
        <w:rPr>
          <w:rFonts w:ascii="Times New Roman" w:hAnsi="Times New Roman" w:cs="Times New Roman"/>
          <w:b/>
          <w:sz w:val="24"/>
          <w:szCs w:val="24"/>
        </w:rPr>
      </w:pPr>
    </w:p>
    <w:p w14:paraId="60276354">
      <w:pPr>
        <w:tabs>
          <w:tab w:val="left" w:pos="4140"/>
        </w:tabs>
        <w:spacing w:line="240" w:lineRule="auto"/>
        <w:jc w:val="both"/>
        <w:rPr>
          <w:rFonts w:ascii="Times New Roman" w:hAnsi="Times New Roman" w:cs="Times New Roman"/>
          <w:b/>
          <w:sz w:val="24"/>
          <w:szCs w:val="24"/>
        </w:rPr>
      </w:pPr>
    </w:p>
    <w:p w14:paraId="5A65A592">
      <w:pPr>
        <w:jc w:val="center"/>
        <w:rPr>
          <w:rFonts w:ascii="Times New Roman" w:hAnsi="Times New Roman" w:eastAsia="Calibri"/>
          <w:b/>
          <w:sz w:val="24"/>
          <w:szCs w:val="24"/>
        </w:rPr>
      </w:pPr>
      <w:r>
        <w:rPr>
          <w:rFonts w:ascii="Times New Roman" w:hAnsi="Times New Roman" w:eastAsia="Calibri"/>
          <w:b/>
          <w:sz w:val="24"/>
          <w:szCs w:val="24"/>
        </w:rPr>
        <w:t xml:space="preserve">CERTIFICATION </w:t>
      </w:r>
    </w:p>
    <w:p w14:paraId="3F959B1A">
      <w:pPr>
        <w:tabs>
          <w:tab w:val="left" w:pos="4140"/>
        </w:tabs>
        <w:spacing w:after="0" w:line="480" w:lineRule="auto"/>
        <w:jc w:val="both"/>
        <w:rPr>
          <w:rFonts w:ascii="Times New Roman" w:hAnsi="Times New Roman" w:cs="Times New Roman"/>
          <w:b/>
          <w:sz w:val="24"/>
          <w:szCs w:val="24"/>
        </w:rPr>
      </w:pPr>
      <w:r>
        <w:rPr>
          <w:rFonts w:ascii="Times New Roman" w:hAnsi="Times New Roman" w:eastAsia="Calibri"/>
          <w:bCs/>
          <w:sz w:val="24"/>
          <w:szCs w:val="24"/>
        </w:rPr>
        <w:t xml:space="preserve">This is to certify that this project work was carried out by </w:t>
      </w:r>
      <w:r>
        <w:rPr>
          <w:rFonts w:ascii="Times New Roman" w:hAnsi="Times New Roman" w:cs="Times New Roman"/>
          <w:b/>
          <w:sz w:val="24"/>
          <w:szCs w:val="24"/>
        </w:rPr>
        <w:t xml:space="preserve">ABDULRAZAQ ZAINAB AJIKOBI </w:t>
      </w:r>
      <w:r>
        <w:rPr>
          <w:rFonts w:ascii="Times New Roman" w:hAnsi="Times New Roman" w:eastAsia="Calibri"/>
          <w:bCs/>
          <w:sz w:val="24"/>
          <w:szCs w:val="24"/>
        </w:rPr>
        <w:t xml:space="preserve">with Matric No: </w:t>
      </w:r>
      <w:r>
        <w:rPr>
          <w:rFonts w:ascii="Times New Roman" w:hAnsi="Times New Roman" w:eastAsia="Calibri"/>
          <w:b/>
          <w:bCs/>
          <w:sz w:val="24"/>
          <w:szCs w:val="24"/>
        </w:rPr>
        <w:t>ND/23/STA/FT/0063</w:t>
      </w:r>
      <w:r>
        <w:rPr>
          <w:rFonts w:ascii="Times New Roman" w:hAnsi="Times New Roman" w:eastAsia="Calibri"/>
          <w:bCs/>
          <w:sz w:val="24"/>
          <w:szCs w:val="24"/>
        </w:rPr>
        <w:t xml:space="preserve"> has been read and approved as meeting part of the requirements for the award of National Diploma in Statistics, Institute of Applied Sciences (IAS), Kwara State Polytechnic, Ilorin, Kwara State</w:t>
      </w:r>
    </w:p>
    <w:p w14:paraId="01183071">
      <w:pPr>
        <w:jc w:val="both"/>
        <w:rPr>
          <w:rFonts w:ascii="Times New Roman" w:hAnsi="Times New Roman" w:eastAsia="Calibri"/>
          <w:bCs/>
          <w:sz w:val="24"/>
          <w:szCs w:val="24"/>
        </w:rPr>
      </w:pPr>
      <w:r>
        <w:rPr>
          <w:rFonts w:ascii="Times New Roman" w:hAnsi="Times New Roman" w:eastAsia="Calibri"/>
          <w:bCs/>
          <w:sz w:val="24"/>
          <w:szCs w:val="24"/>
        </w:rPr>
        <w:t xml:space="preserve"> </w:t>
      </w:r>
    </w:p>
    <w:p w14:paraId="22C8FDDA">
      <w:pPr>
        <w:rPr>
          <w:rFonts w:ascii="Times New Roman" w:hAnsi="Times New Roman" w:eastAsia="Calibri"/>
          <w:sz w:val="24"/>
          <w:szCs w:val="24"/>
        </w:rPr>
      </w:pPr>
    </w:p>
    <w:p w14:paraId="0EA37D3E">
      <w:pPr>
        <w:rPr>
          <w:rFonts w:ascii="Times New Roman" w:hAnsi="Times New Roman" w:eastAsia="Calibri"/>
          <w:sz w:val="24"/>
          <w:szCs w:val="24"/>
        </w:rPr>
      </w:pPr>
    </w:p>
    <w:p w14:paraId="7876F899">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668C8A96">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24281DDA">
      <w:pPr>
        <w:spacing w:after="0" w:line="240" w:lineRule="auto"/>
        <w:rPr>
          <w:rFonts w:ascii="Times New Roman" w:hAnsi="Times New Roman" w:eastAsia="Calibri"/>
          <w:b/>
          <w:sz w:val="24"/>
          <w:szCs w:val="24"/>
        </w:rPr>
      </w:pPr>
      <w:r>
        <w:rPr>
          <w:rFonts w:ascii="Times New Roman" w:hAnsi="Times New Roman" w:eastAsia="Calibri"/>
          <w:b/>
          <w:sz w:val="24"/>
          <w:szCs w:val="24"/>
        </w:rPr>
        <w:t>MRS. ELEPO, T.A</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7197B25D">
      <w:pPr>
        <w:spacing w:after="0" w:line="240" w:lineRule="auto"/>
        <w:rPr>
          <w:rFonts w:ascii="Times New Roman" w:hAnsi="Times New Roman" w:eastAsia="Calibri"/>
          <w:b/>
          <w:sz w:val="24"/>
          <w:szCs w:val="24"/>
        </w:rPr>
      </w:pPr>
      <w:r>
        <w:rPr>
          <w:rFonts w:ascii="Times New Roman" w:hAnsi="Times New Roman" w:eastAsia="Calibri"/>
          <w:b/>
          <w:sz w:val="24"/>
          <w:szCs w:val="24"/>
        </w:rPr>
        <w:t>Project Supervisor</w:t>
      </w:r>
    </w:p>
    <w:p w14:paraId="10CAE0CC">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22B23AC6">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49F296D3">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954CFB4">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14683278">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3048AAA8">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5EABD7D">
      <w:pPr>
        <w:spacing w:after="0" w:line="240" w:lineRule="auto"/>
        <w:rPr>
          <w:rFonts w:ascii="Times New Roman" w:hAnsi="Times New Roman" w:eastAsia="Calibri"/>
          <w:b/>
          <w:sz w:val="24"/>
          <w:szCs w:val="24"/>
        </w:rPr>
      </w:pPr>
    </w:p>
    <w:p w14:paraId="74FC4BFC">
      <w:pPr>
        <w:spacing w:after="0" w:line="240" w:lineRule="auto"/>
        <w:rPr>
          <w:rFonts w:ascii="Times New Roman" w:hAnsi="Times New Roman" w:eastAsia="Calibri"/>
          <w:b/>
          <w:sz w:val="24"/>
          <w:szCs w:val="24"/>
        </w:rPr>
      </w:pPr>
    </w:p>
    <w:p w14:paraId="5EAA6BAE">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624327A8">
      <w:pPr>
        <w:spacing w:after="0" w:line="240" w:lineRule="auto"/>
        <w:rPr>
          <w:rFonts w:ascii="Times New Roman" w:hAnsi="Times New Roman" w:eastAsia="Calibri"/>
          <w:b/>
          <w:sz w:val="24"/>
          <w:szCs w:val="24"/>
        </w:rPr>
      </w:pPr>
      <w:r>
        <w:rPr>
          <w:rFonts w:ascii="Times New Roman" w:hAnsi="Times New Roman" w:eastAsia="Calibri"/>
          <w:b/>
          <w:sz w:val="24"/>
          <w:szCs w:val="24"/>
        </w:rPr>
        <w:t>MRS. ELEPO, T.A</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162BE05B">
      <w:pPr>
        <w:spacing w:after="0" w:line="240" w:lineRule="auto"/>
        <w:rPr>
          <w:rFonts w:ascii="Times New Roman" w:hAnsi="Times New Roman" w:eastAsia="Calibri"/>
          <w:b/>
          <w:sz w:val="24"/>
          <w:szCs w:val="24"/>
        </w:rPr>
      </w:pPr>
      <w:r>
        <w:rPr>
          <w:rFonts w:ascii="Times New Roman" w:hAnsi="Times New Roman" w:eastAsia="Calibri"/>
          <w:b/>
          <w:sz w:val="24"/>
          <w:szCs w:val="24"/>
        </w:rPr>
        <w:t>Head of Department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03F30166">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7C4177A8">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61279075">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3C934DA3">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7C6D6774">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7471AA0">
      <w:pPr>
        <w:spacing w:after="0" w:line="240" w:lineRule="auto"/>
        <w:rPr>
          <w:rFonts w:ascii="Times New Roman" w:hAnsi="Times New Roman" w:eastAsia="Calibri"/>
          <w:sz w:val="24"/>
          <w:szCs w:val="24"/>
        </w:rPr>
      </w:pPr>
    </w:p>
    <w:p w14:paraId="08219A19">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068A2208">
      <w:pPr>
        <w:spacing w:after="0" w:line="240" w:lineRule="auto"/>
        <w:rPr>
          <w:rFonts w:ascii="Times New Roman" w:hAnsi="Times New Roman" w:eastAsia="Calibri"/>
          <w:b/>
          <w:sz w:val="24"/>
          <w:szCs w:val="24"/>
        </w:rPr>
      </w:pPr>
      <w:r>
        <w:rPr>
          <w:rFonts w:ascii="Times New Roman" w:hAnsi="Times New Roman" w:eastAsia="Calibri"/>
          <w:b/>
          <w:sz w:val="24"/>
          <w:szCs w:val="24"/>
        </w:rPr>
        <w:t>External Examiner</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21B87ED3">
      <w:pPr>
        <w:tabs>
          <w:tab w:val="left" w:pos="4140"/>
        </w:tabs>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63A5D327">
      <w:pPr>
        <w:tabs>
          <w:tab w:val="left" w:pos="4140"/>
        </w:tabs>
        <w:spacing w:after="0" w:line="240" w:lineRule="auto"/>
        <w:ind w:left="10"/>
        <w:jc w:val="center"/>
        <w:rPr>
          <w:rFonts w:ascii="Times New Roman" w:hAnsi="Times New Roman" w:cs="Times New Roman"/>
          <w:b/>
          <w:sz w:val="24"/>
          <w:szCs w:val="24"/>
        </w:rPr>
      </w:pPr>
      <w:r>
        <w:rPr>
          <w:rFonts w:ascii="Times New Roman" w:hAnsi="Times New Roman" w:cs="Times New Roman"/>
          <w:b/>
          <w:sz w:val="24"/>
          <w:szCs w:val="24"/>
        </w:rPr>
        <w:t>Dedication</w:t>
      </w:r>
    </w:p>
    <w:p w14:paraId="0A28978E">
      <w:pPr>
        <w:tabs>
          <w:tab w:val="left" w:pos="3960"/>
        </w:tabs>
        <w:spacing w:before="100" w:beforeAutospacing="1" w:after="100" w:afterAutospacing="1" w:line="480" w:lineRule="auto"/>
        <w:jc w:val="center"/>
        <w:rPr>
          <w:rFonts w:ascii="Times New Roman" w:hAnsi="Times New Roman" w:eastAsia="Times New Roman" w:cs="Times New Roman"/>
        </w:rPr>
      </w:pPr>
      <w:r>
        <w:rPr>
          <w:rFonts w:ascii="Times New Roman" w:hAnsi="Times New Roman" w:eastAsia="Times New Roman" w:cs="Times New Roman"/>
        </w:rPr>
        <w:t>This research work is dedicated to Almighty Allah and Mr. and Mrs. Abdulrazaq.</w:t>
      </w:r>
    </w:p>
    <w:p w14:paraId="02EADF12">
      <w:pPr>
        <w:tabs>
          <w:tab w:val="left" w:pos="4140"/>
        </w:tabs>
        <w:spacing w:after="468" w:line="480" w:lineRule="auto"/>
        <w:ind w:left="10"/>
        <w:jc w:val="both"/>
        <w:rPr>
          <w:rFonts w:ascii="Times New Roman" w:hAnsi="Times New Roman" w:cs="Times New Roman"/>
          <w:bCs/>
          <w:sz w:val="24"/>
          <w:szCs w:val="24"/>
        </w:rPr>
      </w:pPr>
    </w:p>
    <w:p w14:paraId="261D890A">
      <w:pPr>
        <w:tabs>
          <w:tab w:val="left" w:pos="4140"/>
        </w:tabs>
        <w:spacing w:after="468" w:line="480" w:lineRule="auto"/>
        <w:ind w:left="10"/>
        <w:jc w:val="both"/>
        <w:rPr>
          <w:rFonts w:ascii="Times New Roman" w:hAnsi="Times New Roman" w:cs="Times New Roman"/>
          <w:bCs/>
          <w:sz w:val="24"/>
          <w:szCs w:val="24"/>
        </w:rPr>
      </w:pPr>
    </w:p>
    <w:p w14:paraId="0B809621">
      <w:pPr>
        <w:tabs>
          <w:tab w:val="left" w:pos="4140"/>
        </w:tabs>
        <w:spacing w:after="468" w:line="480" w:lineRule="auto"/>
        <w:ind w:left="10"/>
        <w:jc w:val="both"/>
        <w:rPr>
          <w:rFonts w:ascii="Times New Roman" w:hAnsi="Times New Roman" w:cs="Times New Roman"/>
          <w:bCs/>
          <w:sz w:val="24"/>
          <w:szCs w:val="24"/>
        </w:rPr>
      </w:pPr>
    </w:p>
    <w:p w14:paraId="65262979">
      <w:pPr>
        <w:tabs>
          <w:tab w:val="left" w:pos="4140"/>
        </w:tabs>
        <w:spacing w:after="468" w:line="480" w:lineRule="auto"/>
        <w:ind w:left="10"/>
        <w:jc w:val="both"/>
        <w:rPr>
          <w:rFonts w:ascii="Times New Roman" w:hAnsi="Times New Roman" w:cs="Times New Roman"/>
          <w:bCs/>
          <w:sz w:val="24"/>
          <w:szCs w:val="24"/>
        </w:rPr>
      </w:pPr>
    </w:p>
    <w:p w14:paraId="7F07092C">
      <w:pPr>
        <w:tabs>
          <w:tab w:val="left" w:pos="4140"/>
        </w:tabs>
        <w:spacing w:after="468" w:line="480" w:lineRule="auto"/>
        <w:ind w:left="10"/>
        <w:jc w:val="both"/>
        <w:rPr>
          <w:rFonts w:ascii="Times New Roman" w:hAnsi="Times New Roman" w:cs="Times New Roman"/>
          <w:bCs/>
          <w:sz w:val="24"/>
          <w:szCs w:val="24"/>
        </w:rPr>
      </w:pPr>
    </w:p>
    <w:p w14:paraId="3C91062F">
      <w:pPr>
        <w:tabs>
          <w:tab w:val="left" w:pos="4140"/>
        </w:tabs>
        <w:spacing w:after="468" w:line="480" w:lineRule="auto"/>
        <w:ind w:left="10"/>
        <w:jc w:val="both"/>
        <w:rPr>
          <w:rFonts w:ascii="Times New Roman" w:hAnsi="Times New Roman" w:cs="Times New Roman"/>
          <w:bCs/>
          <w:sz w:val="24"/>
          <w:szCs w:val="24"/>
        </w:rPr>
      </w:pPr>
    </w:p>
    <w:p w14:paraId="1C91578A">
      <w:pPr>
        <w:tabs>
          <w:tab w:val="left" w:pos="4140"/>
        </w:tabs>
        <w:spacing w:after="468" w:line="480" w:lineRule="auto"/>
        <w:ind w:left="10"/>
        <w:jc w:val="both"/>
        <w:rPr>
          <w:rFonts w:ascii="Times New Roman" w:hAnsi="Times New Roman" w:cs="Times New Roman"/>
          <w:bCs/>
          <w:sz w:val="24"/>
          <w:szCs w:val="24"/>
        </w:rPr>
      </w:pPr>
    </w:p>
    <w:p w14:paraId="14DEFE8D">
      <w:pPr>
        <w:tabs>
          <w:tab w:val="left" w:pos="4140"/>
        </w:tabs>
        <w:spacing w:after="468" w:line="480" w:lineRule="auto"/>
        <w:jc w:val="both"/>
        <w:rPr>
          <w:rFonts w:ascii="Times New Roman" w:hAnsi="Times New Roman" w:cs="Times New Roman"/>
          <w:bCs/>
          <w:sz w:val="24"/>
          <w:szCs w:val="24"/>
        </w:rPr>
      </w:pPr>
    </w:p>
    <w:p w14:paraId="05363D8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14:paraId="026BA02E">
      <w:pPr>
        <w:tabs>
          <w:tab w:val="left" w:pos="4140"/>
        </w:tabs>
        <w:spacing w:after="0" w:line="480" w:lineRule="auto"/>
        <w:ind w:left="10"/>
        <w:jc w:val="center"/>
        <w:rPr>
          <w:rFonts w:ascii="Times New Roman" w:hAnsi="Times New Roman" w:cs="Times New Roman"/>
          <w:b/>
          <w:sz w:val="24"/>
          <w:szCs w:val="24"/>
        </w:rPr>
      </w:pPr>
      <w:r>
        <w:rPr>
          <w:rFonts w:ascii="Times New Roman" w:hAnsi="Times New Roman" w:cs="Times New Roman"/>
          <w:b/>
          <w:sz w:val="24"/>
          <w:szCs w:val="24"/>
        </w:rPr>
        <w:t>ACKNOWLEDGMENT</w:t>
      </w:r>
    </w:p>
    <w:p w14:paraId="6F76CE82">
      <w:pPr>
        <w:tabs>
          <w:tab w:val="left" w:pos="4140"/>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I would like to express my deepest gratitude to all those who have contributed to the successful completion of this project.</w:t>
      </w:r>
    </w:p>
    <w:p w14:paraId="4DFD2004">
      <w:pPr>
        <w:tabs>
          <w:tab w:val="left" w:pos="4140"/>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Special thanks go to my supervisor, Mrs. Elepo T.A, for his invaluable guidance, patience, and support, may Allah continue to bless you.</w:t>
      </w:r>
    </w:p>
    <w:p w14:paraId="75719A3F">
      <w:pPr>
        <w:tabs>
          <w:tab w:val="left" w:pos="4140"/>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I am grateful to the head of department (HOD) Mrs. Elepo. I am also grateful to my lecturers for their insightful advice and encouragement.</w:t>
      </w:r>
    </w:p>
    <w:p w14:paraId="4B1F45BD">
      <w:pPr>
        <w:tabs>
          <w:tab w:val="left" w:pos="4140"/>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7D21EF42">
      <w:pPr>
        <w:tabs>
          <w:tab w:val="left" w:pos="4140"/>
        </w:tabs>
        <w:spacing w:after="0" w:line="480" w:lineRule="auto"/>
        <w:ind w:left="10"/>
        <w:jc w:val="both"/>
        <w:rPr>
          <w:rFonts w:ascii="Times New Roman" w:hAnsi="Times New Roman" w:cs="Times New Roman"/>
          <w:bCs/>
          <w:sz w:val="24"/>
          <w:szCs w:val="24"/>
        </w:rPr>
      </w:pPr>
    </w:p>
    <w:p w14:paraId="2909AD92">
      <w:pPr>
        <w:tabs>
          <w:tab w:val="left" w:pos="4140"/>
        </w:tabs>
        <w:spacing w:after="0" w:line="480" w:lineRule="auto"/>
        <w:ind w:left="10"/>
        <w:jc w:val="both"/>
        <w:rPr>
          <w:rFonts w:ascii="Times New Roman" w:hAnsi="Times New Roman" w:cs="Times New Roman"/>
          <w:bCs/>
          <w:sz w:val="24"/>
          <w:szCs w:val="24"/>
        </w:rPr>
      </w:pPr>
    </w:p>
    <w:p w14:paraId="065D92D7">
      <w:pPr>
        <w:tabs>
          <w:tab w:val="left" w:pos="4140"/>
        </w:tabs>
        <w:spacing w:after="0" w:line="240" w:lineRule="auto"/>
        <w:jc w:val="center"/>
        <w:rPr>
          <w:rFonts w:ascii="Times New Roman" w:hAnsi="Times New Roman" w:eastAsia="Times New Roman" w:cs="Times New Roman"/>
          <w:sz w:val="24"/>
          <w:szCs w:val="24"/>
        </w:rPr>
      </w:pPr>
      <w:r>
        <w:rPr>
          <w:rFonts w:ascii="Times New Roman" w:hAnsi="Times New Roman" w:cs="Times New Roman"/>
          <w:bCs/>
          <w:sz w:val="24"/>
          <w:szCs w:val="24"/>
        </w:rPr>
        <w:br w:type="page"/>
      </w:r>
      <w:r>
        <w:rPr>
          <w:rFonts w:ascii="Times New Roman" w:hAnsi="Times New Roman" w:eastAsia="Times New Roman" w:cs="Times New Roman"/>
          <w:b/>
          <w:bCs/>
          <w:sz w:val="24"/>
          <w:szCs w:val="24"/>
        </w:rPr>
        <w:t>ABSTRACT</w:t>
      </w:r>
    </w:p>
    <w:p w14:paraId="22772E32">
      <w:pPr>
        <w:tabs>
          <w:tab w:val="left" w:pos="4140"/>
        </w:tabs>
        <w:spacing w:before="100" w:beforeAutospacing="1" w:after="100" w:afterAutospacing="1" w:line="240" w:lineRule="auto"/>
        <w:jc w:val="both"/>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This study examined the inflationary trend of staple food prices in Ilorin, Kwara State, using the Mandate Market as a case study between 2024 and 2025. Six essential food items—rice, beans, garri, semovita, noodles, and spaghetti—were selected based on their significance in the Nigerian diet. Price data for the base year (2024) and the current year (2025) were collected and analyzed using the Laspeyres, Paasche, and Fisher Ideal Price Indices. The results revealed that all selected items experienced significant price increases, ranging from 28.57% to 50%, with an average increase of 36.69%. The Laspeyres and Paasche indices both indicated a 36.69% increase due to the assumption of constant quantities, while the Fisher Ideal Index confirmed this trend. These findings suggested strong inflationary pressure driven by factors such as the removal of fuel subsidies, naira devaluation, insecurity in farming areas, and inefficiencies in the food supply chain. The study concluded that the rising cost of food had significantly affected consumer purchasing power and food security, particularly among low-income households. It recommended enhanced agricultural infrastructure, improved market logistics, localized price monitoring, targeted social support, and promotion of local food alternatives to address the challenges.</w:t>
      </w:r>
    </w:p>
    <w:p w14:paraId="4F7EEE1F">
      <w:pPr>
        <w:tabs>
          <w:tab w:val="left" w:pos="4140"/>
        </w:tabs>
        <w:spacing w:before="100" w:beforeAutospacing="1" w:after="100" w:afterAutospacing="1"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b/>
          <w:bCs/>
          <w:i/>
          <w:iCs/>
          <w:sz w:val="24"/>
          <w:szCs w:val="24"/>
        </w:rPr>
        <w:t>Keywords</w:t>
      </w:r>
      <w:r>
        <w:rPr>
          <w:rFonts w:ascii="Times New Roman" w:hAnsi="Times New Roman" w:eastAsia="Times New Roman" w:cs="Times New Roman"/>
          <w:i/>
          <w:iCs/>
          <w:sz w:val="24"/>
          <w:szCs w:val="24"/>
        </w:rPr>
        <w:t>: market, demands, supply, price</w:t>
      </w:r>
      <w:r>
        <w:rPr>
          <w:rFonts w:ascii="Times New Roman" w:hAnsi="Times New Roman" w:eastAsia="Times New Roman" w:cs="Times New Roman"/>
          <w:i/>
          <w:iCs/>
          <w:sz w:val="24"/>
          <w:szCs w:val="24"/>
        </w:rPr>
        <w:t xml:space="preserve"> and </w:t>
      </w:r>
      <w:r>
        <w:rPr>
          <w:rFonts w:ascii="Times New Roman" w:hAnsi="Times New Roman" w:eastAsia="Times New Roman" w:cs="Times New Roman"/>
          <w:i/>
          <w:iCs/>
          <w:sz w:val="24"/>
          <w:szCs w:val="24"/>
        </w:rPr>
        <w:t>commodities</w:t>
      </w:r>
    </w:p>
    <w:p w14:paraId="61B7B7E1">
      <w:pPr>
        <w:jc w:val="both"/>
        <w:rPr>
          <w:rFonts w:ascii="Times New Roman" w:hAnsi="Times New Roman" w:eastAsia="Times New Roman" w:cs="Times New Roman"/>
          <w:b/>
          <w:bCs/>
        </w:rPr>
      </w:pPr>
      <w:r>
        <w:rPr>
          <w:rFonts w:ascii="Times New Roman" w:hAnsi="Times New Roman" w:eastAsia="Times New Roman" w:cs="Times New Roman"/>
          <w:b/>
          <w:bCs/>
        </w:rPr>
        <w:br w:type="page"/>
      </w:r>
    </w:p>
    <w:p w14:paraId="0C4A21E7">
      <w:pPr>
        <w:pStyle w:val="138"/>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8A60467">
      <w:pPr>
        <w:pStyle w:val="138"/>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48036A31">
      <w:pPr>
        <w:pStyle w:val="13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4A0F55FE">
      <w:pPr>
        <w:pStyle w:val="13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12F5C2D4">
      <w:pPr>
        <w:pStyle w:val="13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42DC3EE5">
      <w:pPr>
        <w:pStyle w:val="138"/>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AE574A8">
      <w:pPr>
        <w:pStyle w:val="138"/>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4EA85715">
      <w:pPr>
        <w:pStyle w:val="138"/>
        <w:spacing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2F333C61">
      <w:pPr>
        <w:pStyle w:val="138"/>
        <w:spacing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48A2BCEB">
      <w:pPr>
        <w:pStyle w:val="138"/>
        <w:spacing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61D9BCA6">
      <w:pPr>
        <w:pStyle w:val="138"/>
        <w:spacing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80EB808">
      <w:pPr>
        <w:pStyle w:val="138"/>
        <w:spacing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179B605A">
      <w:pPr>
        <w:pStyle w:val="138"/>
        <w:spacing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2B4A7D8A">
      <w:pPr>
        <w:pStyle w:val="138"/>
        <w:spacing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3237339C">
      <w:pPr>
        <w:pStyle w:val="138"/>
        <w:spacing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226E156A">
      <w:pPr>
        <w:pStyle w:val="138"/>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1A1FC885">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225C49D5">
      <w:pPr>
        <w:pStyle w:val="138"/>
        <w:spacing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BB4F5B0">
      <w:pPr>
        <w:pStyle w:val="138"/>
        <w:spacing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2CFFC52C">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2.3.2 </w:t>
      </w:r>
      <w:r>
        <w:rPr>
          <w:rFonts w:ascii="Times New Roman" w:hAnsi="Times New Roman" w:cs="Times New Roman"/>
          <w:sz w:val="24"/>
          <w:szCs w:val="24"/>
        </w:rPr>
        <w:tab/>
      </w:r>
      <w:r>
        <w:rPr>
          <w:rFonts w:ascii="Times New Roman" w:hAnsi="Times New Roman" w:cs="Times New Roman"/>
          <w:sz w:val="24"/>
          <w:szCs w:val="24"/>
        </w:rPr>
        <w:t>Cost-Push and Demand-Pull Inflation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5807D6D2">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2.3.3 </w:t>
      </w:r>
      <w:r>
        <w:rPr>
          <w:rFonts w:ascii="Times New Roman" w:hAnsi="Times New Roman" w:cs="Times New Roman"/>
          <w:sz w:val="24"/>
          <w:szCs w:val="24"/>
        </w:rPr>
        <w:tab/>
      </w:r>
      <w:r>
        <w:rPr>
          <w:rFonts w:ascii="Times New Roman" w:hAnsi="Times New Roman" w:cs="Times New Roman"/>
          <w:sz w:val="24"/>
          <w:szCs w:val="24"/>
        </w:rPr>
        <w:t>Quantity Theory of Money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06E398D9">
      <w:pPr>
        <w:pStyle w:val="138"/>
        <w:spacing w:line="360" w:lineRule="auto"/>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r>
      <w:r>
        <w:rPr>
          <w:rFonts w:ascii="Times New Roman" w:hAnsi="Times New Roman" w:cs="Times New Roman"/>
          <w:sz w:val="24"/>
          <w:szCs w:val="24"/>
        </w:rPr>
        <w:t xml:space="preserve"> Engel’s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2C8F46D4">
      <w:pPr>
        <w:pStyle w:val="138"/>
        <w:spacing w:line="360" w:lineRule="auto"/>
        <w:rPr>
          <w:rFonts w:ascii="Times New Roman" w:hAnsi="Times New Roman" w:cs="Times New Roman"/>
          <w:sz w:val="24"/>
          <w:szCs w:val="24"/>
        </w:rPr>
      </w:pPr>
      <w:r>
        <w:rPr>
          <w:rFonts w:ascii="Times New Roman" w:hAnsi="Times New Roman" w:cs="Times New Roman"/>
          <w:sz w:val="24"/>
          <w:szCs w:val="24"/>
        </w:rPr>
        <w:t>2.3.5</w:t>
      </w:r>
      <w:r>
        <w:rPr>
          <w:rFonts w:ascii="Times New Roman" w:hAnsi="Times New Roman" w:cs="Times New Roman"/>
          <w:sz w:val="24"/>
          <w:szCs w:val="24"/>
        </w:rPr>
        <w:tab/>
      </w:r>
      <w:r>
        <w:rPr>
          <w:rFonts w:ascii="Times New Roman" w:hAnsi="Times New Roman" w:cs="Times New Roman"/>
          <w:sz w:val="24"/>
          <w:szCs w:val="24"/>
        </w:rPr>
        <w:t xml:space="preserve"> Rational Expectations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693C5AF9">
      <w:pPr>
        <w:pStyle w:val="138"/>
        <w:spacing w:line="360" w:lineRule="auto"/>
        <w:rPr>
          <w:rFonts w:ascii="Times New Roman" w:hAnsi="Times New Roman" w:cs="Times New Roman"/>
          <w:sz w:val="24"/>
          <w:szCs w:val="24"/>
        </w:rPr>
      </w:pPr>
      <w:r>
        <w:rPr>
          <w:rFonts w:ascii="Times New Roman" w:hAnsi="Times New Roman" w:cs="Times New Roman"/>
          <w:sz w:val="24"/>
          <w:szCs w:val="24"/>
        </w:rPr>
        <w:t>2.3.6</w:t>
      </w:r>
      <w:r>
        <w:rPr>
          <w:rFonts w:ascii="Times New Roman" w:hAnsi="Times New Roman" w:cs="Times New Roman"/>
          <w:sz w:val="24"/>
          <w:szCs w:val="24"/>
        </w:rPr>
        <w:tab/>
      </w:r>
      <w:r>
        <w:rPr>
          <w:rFonts w:ascii="Times New Roman" w:hAnsi="Times New Roman" w:cs="Times New Roman"/>
          <w:sz w:val="24"/>
          <w:szCs w:val="24"/>
        </w:rPr>
        <w:t xml:space="preserve"> Behavioral Economics and Price Rigidity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7CB84862">
      <w:pPr>
        <w:pStyle w:val="138"/>
        <w:spacing w:line="360" w:lineRule="auto"/>
        <w:rPr>
          <w:rFonts w:ascii="Times New Roman" w:hAnsi="Times New Roman" w:cs="Times New Roman"/>
          <w:sz w:val="24"/>
          <w:szCs w:val="24"/>
        </w:rPr>
      </w:pPr>
      <w:r>
        <w:rPr>
          <w:rFonts w:ascii="Times New Roman" w:hAnsi="Times New Roman" w:cs="Times New Roman"/>
          <w:sz w:val="24"/>
          <w:szCs w:val="24"/>
        </w:rPr>
        <w:t>2.3.7</w:t>
      </w:r>
      <w:r>
        <w:rPr>
          <w:rFonts w:ascii="Times New Roman" w:hAnsi="Times New Roman" w:cs="Times New Roman"/>
          <w:sz w:val="24"/>
          <w:szCs w:val="24"/>
        </w:rPr>
        <w:tab/>
      </w:r>
      <w:r>
        <w:rPr>
          <w:rFonts w:ascii="Times New Roman" w:hAnsi="Times New Roman" w:cs="Times New Roman"/>
          <w:sz w:val="24"/>
          <w:szCs w:val="24"/>
        </w:rPr>
        <w:t xml:space="preserve"> Market Imperfections and Monopolistic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5E4BF9FE">
      <w:pPr>
        <w:pStyle w:val="138"/>
        <w:spacing w:line="360" w:lineRule="auto"/>
        <w:rPr>
          <w:rFonts w:ascii="Times New Roman" w:hAnsi="Times New Roman" w:cs="Times New Roman"/>
          <w:sz w:val="24"/>
          <w:szCs w:val="24"/>
        </w:rPr>
      </w:pPr>
      <w:r>
        <w:rPr>
          <w:rFonts w:ascii="Times New Roman" w:hAnsi="Times New Roman" w:cs="Times New Roman"/>
          <w:sz w:val="24"/>
          <w:szCs w:val="24"/>
        </w:rPr>
        <w:t>2.3.8</w:t>
      </w:r>
      <w:r>
        <w:rPr>
          <w:rFonts w:ascii="Times New Roman" w:hAnsi="Times New Roman" w:cs="Times New Roman"/>
          <w:sz w:val="24"/>
          <w:szCs w:val="24"/>
        </w:rPr>
        <w:tab/>
      </w:r>
      <w:r>
        <w:rPr>
          <w:rFonts w:ascii="Times New Roman" w:hAnsi="Times New Roman" w:cs="Times New Roman"/>
          <w:sz w:val="24"/>
          <w:szCs w:val="24"/>
        </w:rPr>
        <w:t>Structuralist Theory of Inflation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570CE675">
      <w:pPr>
        <w:pStyle w:val="138"/>
        <w:spacing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61A27FF1">
      <w:pPr>
        <w:pStyle w:val="138"/>
        <w:spacing w:line="360" w:lineRule="auto"/>
        <w:rPr>
          <w:rFonts w:ascii="Times New Roman" w:hAnsi="Times New Roman" w:cs="Times New Roman"/>
          <w:b/>
          <w:sz w:val="24"/>
          <w:szCs w:val="24"/>
        </w:rPr>
      </w:pPr>
    </w:p>
    <w:p w14:paraId="1D9CC0B1">
      <w:pPr>
        <w:pStyle w:val="138"/>
        <w:spacing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62B8BF34">
      <w:pPr>
        <w:pStyle w:val="138"/>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14:paraId="3C5F47A9">
      <w:pPr>
        <w:pStyle w:val="138"/>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14:paraId="2ED53BE5">
      <w:pPr>
        <w:pStyle w:val="138"/>
        <w:spacing w:line="360" w:lineRule="auto"/>
        <w:rPr>
          <w:rFonts w:ascii="Times New Roman" w:hAnsi="Times New Roman" w:cs="Times New Roman"/>
          <w:b/>
          <w:sz w:val="24"/>
          <w:szCs w:val="24"/>
        </w:rPr>
      </w:pPr>
      <w:r>
        <w:rPr>
          <w:rFonts w:ascii="Times New Roman" w:hAnsi="Times New Roman" w:cs="Times New Roman"/>
          <w:b/>
          <w:sz w:val="24"/>
          <w:szCs w:val="24"/>
        </w:rPr>
        <w:t>CHAPTER FOUR: DATA INTERPRETATION</w:t>
      </w:r>
    </w:p>
    <w:p w14:paraId="2E6C5059">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144C7D15">
      <w:pPr>
        <w:pStyle w:val="138"/>
        <w:spacing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Price Data Collected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1D6EA762">
      <w:pPr>
        <w:pStyle w:val="138"/>
        <w:spacing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 Laspeyres Price Index (LPI)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5A5B66D6">
      <w:pPr>
        <w:pStyle w:val="138"/>
        <w:spacing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Paasche Price Index (PPI)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4022E628">
      <w:pPr>
        <w:pStyle w:val="138"/>
        <w:spacing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Fisher Ideal Price Index (FPI)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3EDBD5D5">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r>
      <w:r>
        <w:rPr>
          <w:rFonts w:ascii="Times New Roman" w:hAnsi="Times New Roman" w:cs="Times New Roman"/>
          <w:sz w:val="24"/>
          <w:szCs w:val="24"/>
        </w:rPr>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26434600">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4.7 </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3EADB718">
      <w:pPr>
        <w:pStyle w:val="138"/>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59A38B49">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1FF5FC5E">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4DBEA7B5">
      <w:pPr>
        <w:pStyle w:val="138"/>
        <w:spacing w:line="360" w:lineRule="auto"/>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7044276E">
      <w:pPr>
        <w:pStyle w:val="138"/>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3BCCFB98">
      <w:pPr>
        <w:spacing w:after="0" w:line="480" w:lineRule="auto"/>
        <w:jc w:val="center"/>
        <w:rPr>
          <w:rFonts w:ascii="Times New Roman" w:hAnsi="Times New Roman" w:cs="Times New Roman"/>
          <w:b/>
          <w:bCs/>
          <w:sz w:val="24"/>
          <w:szCs w:val="24"/>
        </w:rPr>
        <w:sectPr>
          <w:footerReference r:id="rId5" w:type="default"/>
          <w:pgSz w:w="11952" w:h="14688"/>
          <w:pgMar w:top="1440" w:right="1800" w:bottom="1440" w:left="1800" w:header="720" w:footer="720" w:gutter="0"/>
          <w:pgNumType w:fmt="lowerRoman" w:start="1"/>
          <w:cols w:space="720" w:num="1"/>
          <w:docGrid w:linePitch="360" w:charSpace="0"/>
        </w:sectPr>
      </w:pPr>
    </w:p>
    <w:p w14:paraId="4A63CCA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6C20940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83B3439">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56195E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developing economies such as Nigeria, the stability of food prices remains a critical determinant of public welfare and socio-economic balance. Food, being a necessity, directly impacts all households, particularly low-income earners who spend a disproportionately large percentage of their income on feeding. In Nigeria, it is estimated that over 60% of household expenditures are directed towards food consumption. Consequently, even slight fluctuations in the prices of basic food commodities can lead to significant changes in household welfare, food security, and nutritional status.</w:t>
      </w:r>
    </w:p>
    <w:p w14:paraId="23C2C1DA">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Price volatility in staple food commodities—such as rice, beans, garri, semovita, noodles, and spaghetti—is of increasing concern in recent times due to macroeconomic and structural disruptions. Some of the major causes of food price volatility in Nigeria include currency devaluation, fuel subsidy removal, insecurity in food-producing regions, climate change, poor transportation infrastructure, and inadequate storage facilities. These factors often result in increased cost of food production, transportation, and distribution, eventually driving up retail prices.</w:t>
      </w:r>
    </w:p>
    <w:p w14:paraId="2D3B7A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Mandate Market in Ilorin, Kwara State, is one of the major marketplaces in North Central Nigeria, with a high volume of food transactions occurring daily.A wholesale and retail outlet within the market, provides a suitable case study for analyzing food price behavior. It serves as a reflection of broader pricing trends due to its volume of sales and diversity of food items sold.</w:t>
      </w:r>
    </w:p>
    <w:p w14:paraId="0A6C27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 indices such as the Laspeyres, Paasche, and Fisher indices are useful tools in understanding price movements over time. These indices allow researchers and policymakers to determine the extent of inflation or deflation experienced by consumers. While the Laspeyres Index uses base-year quantities and tends to overestimate inflation, the Paasche Index uses current-year quantities and may underestimate inflation. The Fisher Index, being a geometric mean of the two, is considered the most accurate or “ideal” index.</w:t>
      </w:r>
    </w:p>
    <w:p w14:paraId="6DCF09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applying these statistical tools, this study seeks to evaluate changes in the prices of selected food items sold at  between the years 2024 and 2025, determine the level of inflation or deflation experienced, and interpret the implications of these changes for policy and household welfare.</w:t>
      </w:r>
    </w:p>
    <w:p w14:paraId="3064A356">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79E23A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Over the past few years, Nigerians have faced persistent challenges regarding food affordability and accessibility. Despite various policy measures—including agricultural interventions, border closures to promote local production, and subsidy programs—prices of basic food items continue to rise. In 2024, the removal of fuel subsidies and depreciation of the naira exacerbated inflationary pressures on the economy, with the food sector bearing a significant portion of the impact.</w:t>
      </w:r>
    </w:p>
    <w:p w14:paraId="4E1103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volatility of food prices has created unpredictability in household budgeting, business planning, and government intervention strategies. In urban markets such as Mandate in Ilorin, traders and consumers alike have raised concerns over the sharp, unregulated price hikes experienced in staple goods. However, these changes have rarely been subjected to thorough empirical examination using standard price index methodologies.</w:t>
      </w:r>
    </w:p>
    <w:p w14:paraId="4B904F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Many existing reports on food inflation rely on anecdotal evidence or national averages, which do not account for regional disparities in pricing and consumption. There is a lack of localized, data-driven studies that reflect the real experiences of traders and consumers in regional markets.</w:t>
      </w:r>
    </w:p>
    <w:p w14:paraId="0D40D1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therefore, aims to bridge this gap by systematically analyzing the price data of selected food commodities sold at Mandate Market, between 2024 and 2025. Through this approach, the study provides a more nuanced understanding of inflationary trends at the grassroots level and offers insights that can be applied in future policymaking.</w:t>
      </w:r>
    </w:p>
    <w:p w14:paraId="23AA200D">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Aims and Objectives of the Study</w:t>
      </w:r>
    </w:p>
    <w:p w14:paraId="2C835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study is to analyze the changes in the prices of selected food items of price movement in Mandate Market, Ilorin.</w:t>
      </w:r>
    </w:p>
    <w:p w14:paraId="35B53C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objectives of the study are as follows:</w:t>
      </w:r>
    </w:p>
    <w:p w14:paraId="11203617">
      <w:pPr>
        <w:pStyle w:val="144"/>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show the descriptive statistics</w:t>
      </w:r>
    </w:p>
    <w:p w14:paraId="73879EDB">
      <w:pPr>
        <w:pStyle w:val="144"/>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compare the prices of the commodities using Laspeyres, Paasche, and Fisher price indices</w:t>
      </w:r>
    </w:p>
    <w:p w14:paraId="6325C1DF">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49DBB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will attempt to answer the following questions:</w:t>
      </w:r>
    </w:p>
    <w:p w14:paraId="55D2423A">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prices of rice, beans, garri, semovita, noodles, and spaghetti in 2024 and 2025?</w:t>
      </w:r>
    </w:p>
    <w:p w14:paraId="18B252B7">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do the Laspeyres, Paasche, and Fisher indices reveal about the inflationary or deflationary trends?</w:t>
      </w:r>
    </w:p>
    <w:p w14:paraId="2AF306E5">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Which commodities experienced the greatest percentage increase or decrease in price?</w:t>
      </w:r>
    </w:p>
    <w:p w14:paraId="2A88AB9B">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likely impact of these price changes on consumer behavior and household expenditure?</w:t>
      </w:r>
    </w:p>
    <w:p w14:paraId="62544BC5">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interventions can help to stabilize food prices in Ilorin and beyond?</w:t>
      </w:r>
    </w:p>
    <w:p w14:paraId="0E4FE1E7">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14:paraId="037071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significant for a number of stakeholders:</w:t>
      </w:r>
    </w:p>
    <w:p w14:paraId="27482920">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Makers: The findings will assist local and national authorities in evaluating the effectiveness of current agricultural and market policies. Accurate inflation measurement will enable more targeted subsidy programs and food interventions.</w:t>
      </w:r>
    </w:p>
    <w:p w14:paraId="5CEA8B3F">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Traders and Market Operators: A better understanding of price movements helps traders to anticipate demand and plan stocking more effectively.</w:t>
      </w:r>
    </w:p>
    <w:p w14:paraId="0E049542">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Consumers: The results provide insights into trends in food affordability, empowering households to make informed consumption choices.</w:t>
      </w:r>
    </w:p>
    <w:p w14:paraId="233CF731">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Academics and Researchers: The study contributes to literature on food economics and price index analysis in developing countries, particularly Nigeria.</w:t>
      </w:r>
    </w:p>
    <w:p w14:paraId="19D77470">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Development Partners: NGOs and international agencies working on food security and poverty alleviation can use the findings to tailor their programs more effectively.</w:t>
      </w:r>
    </w:p>
    <w:p w14:paraId="6EEC7C82">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09E7D0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is geographically limited to the Mandate Market in Ilorin, Kwara State. The study specifically focuses on a food retailer known for its wide range of staple products. The analysis covers six food items: rice (50kg), beans (50kg), garri (50kg), semovita (10kg), noodles (1 carton), and spaghetti (500g).</w:t>
      </w:r>
    </w:p>
    <w:p w14:paraId="304145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temporal scope of the study spans two years—2024 as the base year and 2025 as the current year. For ease of computation, the study assumes constant quantities (Q = 1) for all items, which allows for simplified calculation of price indices. The study does not explore consumer demand, supply chain logistics, or seasonal variability, although these are acknowledged as factors that influence pricing.</w:t>
      </w:r>
    </w:p>
    <w:p w14:paraId="37B32938">
      <w:pPr>
        <w:spacing w:after="0" w:line="480" w:lineRule="auto"/>
        <w:jc w:val="both"/>
        <w:rPr>
          <w:rFonts w:ascii="Times New Roman" w:hAnsi="Times New Roman" w:cs="Times New Roman"/>
          <w:sz w:val="24"/>
          <w:szCs w:val="24"/>
        </w:rPr>
      </w:pPr>
    </w:p>
    <w:p w14:paraId="40B4513F">
      <w:pPr>
        <w:spacing w:after="0" w:line="480" w:lineRule="auto"/>
        <w:jc w:val="both"/>
        <w:rPr>
          <w:rFonts w:ascii="Times New Roman" w:hAnsi="Times New Roman" w:cs="Times New Roman"/>
          <w:sz w:val="24"/>
          <w:szCs w:val="24"/>
        </w:rPr>
      </w:pPr>
    </w:p>
    <w:p w14:paraId="5F5D7A4D">
      <w:pPr>
        <w:spacing w:after="0" w:line="480" w:lineRule="auto"/>
        <w:jc w:val="both"/>
        <w:rPr>
          <w:rFonts w:ascii="Times New Roman" w:hAnsi="Times New Roman" w:cs="Times New Roman"/>
          <w:sz w:val="24"/>
          <w:szCs w:val="24"/>
        </w:rPr>
      </w:pPr>
    </w:p>
    <w:p w14:paraId="7EF8A104">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Limitations of the Study</w:t>
      </w:r>
    </w:p>
    <w:p w14:paraId="7E45EF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this study offers valuable insights, it is subject to certain limitations:</w:t>
      </w:r>
    </w:p>
    <w:p w14:paraId="60EE67DB">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collection was restricted to a single retail outlet and may not fully capture price variations across the broader market.</w:t>
      </w:r>
    </w:p>
    <w:p w14:paraId="0098B636">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assumption of constant quantity (Q = 1) simplifies the analysis but may not reflect actual market consumption behaviors.</w:t>
      </w:r>
    </w:p>
    <w:p w14:paraId="3B524396">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 fluctuations due to promotions, seasonal discounts, or bulk purchase incentives are not considered.</w:t>
      </w:r>
    </w:p>
    <w:p w14:paraId="66FBFF54">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 influencing factors such as transportation costs, weather conditions, and foreign exchange rates are beyond the scope of this research.</w:t>
      </w:r>
    </w:p>
    <w:p w14:paraId="07A356F7">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focuses only on staple foods and does not consider protein sources or fresh produce, which are also essential components of a balanced diet.</w:t>
      </w:r>
    </w:p>
    <w:p w14:paraId="0EA833B9">
      <w:pPr>
        <w:pStyle w:val="144"/>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14:paraId="1114EC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clarity and consistency, key terms used in this study are defined below:</w:t>
      </w:r>
    </w:p>
    <w:p w14:paraId="7AC740F5">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 Index: A statistical measure representing the relative change in prices over time for a specific set of goods and services.</w:t>
      </w:r>
    </w:p>
    <w:p w14:paraId="614343BB">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Laspeyres Index: A price index that uses the quantities of goods in the base year as weights.</w:t>
      </w:r>
    </w:p>
    <w:p w14:paraId="38F7DDDC">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Paasche Index: A price index that uses the quantities of goods in the current year as weights.</w:t>
      </w:r>
    </w:p>
    <w:p w14:paraId="58F2E1CF">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Fisher Index: A price index obtained by taking the geometric mean of the Laspeyres and Paasche indices.</w:t>
      </w:r>
    </w:p>
    <w:p w14:paraId="78FDA8F8">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Consumer Price Index (CPI): An index that measures the average change over time in the prices paid by consumers for a basket of goods and services.</w:t>
      </w:r>
    </w:p>
    <w:p w14:paraId="65EB2A9E">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Inflation: The rate at which the general level of prices for goods and services is rising, leading to a decline in purchasing power.</w:t>
      </w:r>
    </w:p>
    <w:p w14:paraId="36DF8C10">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Deflation: A decrease in the general price level of goods and services, increasing the value of money.</w:t>
      </w:r>
    </w:p>
    <w:p w14:paraId="01FAE360">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 Year: The year used as a reference point for comparing prices in subsequent years.</w:t>
      </w:r>
    </w:p>
    <w:p w14:paraId="738CCB4A">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 Year: The year for which prices are being analyzed relative to the base year.</w:t>
      </w:r>
    </w:p>
    <w:p w14:paraId="09AD0137">
      <w:pPr>
        <w:spacing w:after="0"/>
        <w:jc w:val="both"/>
        <w:rPr>
          <w:rFonts w:ascii="Times New Roman" w:hAnsi="Times New Roman" w:eastAsia="Times New Roman" w:cs="Times New Roman"/>
          <w:b/>
          <w:bCs/>
          <w:sz w:val="24"/>
          <w:szCs w:val="24"/>
        </w:rPr>
      </w:pPr>
      <w:r>
        <w:rPr>
          <w:b/>
          <w:bCs/>
        </w:rPr>
        <w:br w:type="page"/>
      </w:r>
    </w:p>
    <w:p w14:paraId="0B16FD2B">
      <w:pPr>
        <w:pStyle w:val="33"/>
        <w:spacing w:after="0" w:afterAutospacing="0"/>
        <w:jc w:val="center"/>
        <w:rPr>
          <w:b/>
          <w:bCs/>
        </w:rPr>
      </w:pPr>
      <w:r>
        <w:rPr>
          <w:b/>
          <w:bCs/>
        </w:rPr>
        <w:t>CHAPTER TWO</w:t>
      </w:r>
    </w:p>
    <w:p w14:paraId="103B5B56">
      <w:pPr>
        <w:pStyle w:val="33"/>
        <w:spacing w:after="0" w:afterAutospacing="0"/>
        <w:jc w:val="center"/>
        <w:rPr>
          <w:b/>
          <w:bCs/>
        </w:rPr>
      </w:pPr>
      <w:r>
        <w:rPr>
          <w:b/>
          <w:bCs/>
        </w:rPr>
        <w:t>LITERATURE REVIEW</w:t>
      </w:r>
    </w:p>
    <w:p w14:paraId="18AF3ED1">
      <w:pPr>
        <w:pStyle w:val="33"/>
        <w:spacing w:after="0" w:afterAutospacing="0"/>
        <w:jc w:val="both"/>
        <w:rPr>
          <w:b/>
        </w:rPr>
      </w:pPr>
      <w:r>
        <w:rPr>
          <w:b/>
        </w:rPr>
        <w:t xml:space="preserve">2.1 </w:t>
      </w:r>
      <w:r>
        <w:rPr>
          <w:b/>
        </w:rPr>
        <w:tab/>
      </w:r>
      <w:r>
        <w:rPr>
          <w:b/>
        </w:rPr>
        <w:t>Introduction</w:t>
      </w:r>
    </w:p>
    <w:p w14:paraId="2FC6B6CB">
      <w:pPr>
        <w:pStyle w:val="33"/>
        <w:spacing w:after="0" w:afterAutospacing="0" w:line="480" w:lineRule="auto"/>
        <w:jc w:val="both"/>
      </w:pPr>
      <w:r>
        <w:t>The increasing concern over food price volatility and inflation in many developing economies has triggered a surge in academic and policy-oriented research focused on understanding the dynamics of commodity pricing. In Nigeria, the frequent rise in the cost of essential food items has significantly impacted household welfare, particularly among low- and middle-income earners who allocate a large portion of their income to food purchases. Given that food constitutes over 60% of household expenditures in many Nigerian homes (NBS, 2023), price variations in food markets are not only economic indicators but also barometers of social stability and wellbeing. Food inflation is not a new phenomenon in Nigeria, but recent years have witnessed intensified instability driven by factors such as exchange rate depreciation, climate change, insecurity in farming regions, supply chain disruptions, transportation bottlenecks, and macroeconomic policy changes such as subsidy removals and border closures. According to the Central Bank of Nigeria (2024), food inflation hit a record high in early 2024, with staple food items experiencing price increases of 20%–40% over a 12-month period. This troubling trend underscores the urgency of robust analytical tools to study food price behavior over time and guide informed economic decision-making. Literature on food pricing has evolved from general inflation studies to more commodity-specific and location-based investigations. Traditional methods of price trend analysis have given way to sophisticated indices such as Laspeyres, Paasche, and Fisher price indices—each of which brings unique strengths and limitations to the interpretation of market behavior. The Laspeyres index, for instance, allows analysts to determine price movement using base-year quantities and is particularly useful when consumption patterns are relatively stable. The Paasche index, in contrast, uses current-year quantities and reflects the changing structure of consumer preferences. The Fisher index, being the geometric mean of the two, is widely regarded as the most accurate or ‘ideal’ measure of price changes (Diewert, 2001). In this context, the role of price indices becomes critical. They are not only statistical constructs but also important inputs in economic modeling, welfare analysis, and fiscal policy planning. A price index reveals how much prices have changed relative to a baseline, enabling governments to assess the cost of living, adjust minimum wages, and calibrate monetary policy. For instance, countries such as Ghana, Kenya, and South Africa have institutionalized price monitoring systems using consumer price indices to assess economic trends and guide subsidy frameworks (IMF, 2021). Empirical studies have shown that price movements differ markedly between rural and urban markets, and even among different regions within a country (Timmer, 2010; Umeh &amp; Adeola, 2018). Thus, while national CPI figures provide a useful overview, they often mask local-level variations and fail to capture the actual experience of consumers in specific markets such as Mandate in Ilorin. Hence, localized studies using real market data are needed to complement national statistics and provide context-specific insights. Moreover, price analysis plays a vital role in evaluating the effectiveness of agricultural policies and trade interventions. For instance, the closure of land borders in 2019 by the Nigerian government was intended to promote local food production. However, subsequent studies revealed that the policy had mixed outcomes—while it increased local demand, it also led to significant short-term price surges due to supply gaps and logistics issues (Ezeaku&amp;Nwachukwu, 2020). Similarly, the removal of petroleum subsidies in 2023 raised transportation costs, directly affecting food prices by increasing the cost of moving goods from rural farms to urban markets. Within the academic field, scholars have also examined the socio-political consequences of food inflation. Studies have linked</w:t>
      </w:r>
      <w:r>
        <w:t xml:space="preserve"> rising food prices to increased poverty, reduced nutritional intake, and even civil unrest (Bellemare, 2015). When basic commodities become unaffordable, households are forced to cut back on quality and quantity, leading to malnutrition and broader public health issues. This underscores the multidimensional impact of food price movements—not just economic but also social and developmental.</w:t>
      </w:r>
    </w:p>
    <w:p w14:paraId="430F5234">
      <w:pPr>
        <w:pStyle w:val="33"/>
        <w:spacing w:after="0" w:afterAutospacing="0" w:line="480" w:lineRule="auto"/>
        <w:jc w:val="both"/>
      </w:pPr>
      <w:r>
        <w:t>This chapter reviews literature on these key dimensions: the conceptual foundations of price behavior, theoretical explanations of price dynamics, empirical studies across various regions and commodities, and methodological approaches to measuring price changes. It synthesizes findings from Nigerian and international studies, highlighting similarities, differences, and gaps in the literature. By doing so, it lays the groundwork for the current research, which aims to apply a multi-index approach to analyze price changes in selected food items in Ilorin's Mandate market between 2024 and 2025.</w:t>
      </w:r>
    </w:p>
    <w:p w14:paraId="39B0AE3D">
      <w:pPr>
        <w:pStyle w:val="33"/>
        <w:spacing w:before="0" w:beforeAutospacing="0" w:after="0" w:afterAutospacing="0" w:line="480" w:lineRule="auto"/>
        <w:jc w:val="both"/>
        <w:rPr>
          <w:b/>
        </w:rPr>
      </w:pPr>
      <w:r>
        <w:rPr>
          <w:b/>
        </w:rPr>
        <w:t>2.2</w:t>
      </w:r>
      <w:r>
        <w:rPr>
          <w:b/>
        </w:rPr>
        <w:tab/>
      </w:r>
      <w:r>
        <w:rPr>
          <w:b/>
        </w:rPr>
        <w:t>Conceptual Framework</w:t>
      </w:r>
    </w:p>
    <w:p w14:paraId="7C0C3C6F">
      <w:pPr>
        <w:pStyle w:val="33"/>
        <w:spacing w:before="0" w:beforeAutospacing="0" w:after="0" w:afterAutospacing="0" w:line="480" w:lineRule="auto"/>
        <w:jc w:val="both"/>
      </w:pPr>
      <w:r>
        <w:t>The conceptual framework for analyzing food prices is rooted in both microeconomic and macroeconomic perspectives, emphasizing the interplay of supply-demand dynamics, market structure, production inputs, government policy, and external shocks. Conceptually, the price of a good is the result of the intersection of demand and supply in the marketplace. However, food commodities—particularly staples like rice, beans, and garri—often deviate from ideal market assumptions due to issues such as perishability, supply chain inefficiencies, and market asymmetries.</w:t>
      </w:r>
    </w:p>
    <w:p w14:paraId="2D3F5F45">
      <w:pPr>
        <w:pStyle w:val="33"/>
        <w:spacing w:before="0" w:beforeAutospacing="0" w:after="0" w:afterAutospacing="0" w:line="480" w:lineRule="auto"/>
        <w:jc w:val="both"/>
      </w:pPr>
      <w:r>
        <w:t>Food commodities can be considered essential goods with relatively inelastic demand; consumers must purchase them regardless of price fluctuations. This feature of food demand leads to a situation where even small disruptions in supply or cost can produce disproportionately large effects on retail prices. For instance, a strike by transport workers, a sudden rise in fuel prices, or adverse weather conditions can cause immediate price surges. These issues are particularly pronounced in Nigerian markets where distribution channels are fragmented and market information is asymmetrical (Akinyele, 2009).</w:t>
      </w:r>
    </w:p>
    <w:p w14:paraId="4DF2CC60">
      <w:pPr>
        <w:pStyle w:val="33"/>
        <w:spacing w:after="0" w:afterAutospacing="0" w:line="480" w:lineRule="auto"/>
        <w:jc w:val="both"/>
      </w:pPr>
      <w:r>
        <w:t>Another key conceptual tool in price analysis is the price index—a statistical measure that captures the average movement in prices over a specified period. A price index enables researchers and policymakers to determine whether the cost of a basket of goods is increasing (inflation) or decreasing (deflation). The Consumer Price Index (CPI) is the most widely used price index globally and serves as a proxy for inflation. In Nigeria, CPI data is compiled and published monthly by the National Bureau of Statistics (NBS), but local market conditions often vary significantly from the national average.</w:t>
      </w:r>
    </w:p>
    <w:p w14:paraId="258BA92C">
      <w:pPr>
        <w:pStyle w:val="33"/>
        <w:spacing w:after="0" w:afterAutospacing="0" w:line="480" w:lineRule="auto"/>
        <w:jc w:val="both"/>
      </w:pPr>
      <w:r>
        <w:t>Conceptually, the Laspeyres, Paasche, and Fisher indices provide alternative lenses through which price changes can be evaluated. The Laspeyres index assumes that consumers continue to buy the same quantities of goods as in the base year, thus possibly overstating inflation when prices rise sharply. The Paasche index assumes that current year consumption patterns are more relevant, potentially understating inflation because it accounts for consumer substitution toward cheaper alternatives. The Fisher index, as a compromise between the two, addresses their respective weaknesses by computing the geometric mean of both.</w:t>
      </w:r>
    </w:p>
    <w:p w14:paraId="3292A57D">
      <w:pPr>
        <w:pStyle w:val="33"/>
        <w:spacing w:after="0" w:afterAutospacing="0" w:line="480" w:lineRule="auto"/>
        <w:jc w:val="both"/>
      </w:pPr>
      <w:r>
        <w:t>Furthermore, this study incorporates the notion of the market basket—a representative sample of goods and services consumed by a typical household. The basket used in this study consists of six staple food items widely consumed across Nigeria: rice, beans, garri, semovita, noodles, and spaghetti. These items are not only dietary staples but also reflect consumer behavior and preferences, making them appropriate for empirical analysis.</w:t>
      </w:r>
    </w:p>
    <w:p w14:paraId="658243D7">
      <w:pPr>
        <w:pStyle w:val="33"/>
        <w:spacing w:after="0" w:afterAutospacing="0" w:line="480" w:lineRule="auto"/>
        <w:jc w:val="both"/>
      </w:pPr>
      <w:r>
        <w:t>This framework also acknowledges the impact of policy and institutional factors on market outcomes. Government interventions—such as import tariffs, agricultural subsidies, price floors, and exchange rate regimes—can significantly alter food prices either directly or indirectly. Thus, the conceptual foundation of this study is built upon a multi-layered understanding of food price determinants, statistical measures of price change, and the socio-economic context in which pricing occurs.</w:t>
      </w:r>
    </w:p>
    <w:p w14:paraId="70589C38">
      <w:pPr>
        <w:pStyle w:val="33"/>
        <w:spacing w:after="0" w:afterAutospacing="0" w:line="480" w:lineRule="auto"/>
        <w:jc w:val="both"/>
        <w:rPr>
          <w:b/>
        </w:rPr>
      </w:pPr>
      <w:r>
        <w:rPr>
          <w:b/>
        </w:rPr>
        <w:t>2.3</w:t>
      </w:r>
      <w:r>
        <w:rPr>
          <w:b/>
        </w:rPr>
        <w:tab/>
      </w:r>
      <w:r>
        <w:rPr>
          <w:b/>
        </w:rPr>
        <w:t xml:space="preserve"> Theoretical Framework</w:t>
      </w:r>
    </w:p>
    <w:p w14:paraId="5070B901">
      <w:pPr>
        <w:pStyle w:val="33"/>
        <w:spacing w:after="0" w:afterAutospacing="0" w:line="480" w:lineRule="auto"/>
        <w:jc w:val="both"/>
      </w:pPr>
      <w:r>
        <w:t>The behavior of food prices is influenced by a variety of economic theories, each offering distinct perspectives on why prices fluctuate and how consumers, producers, and markets respond to such changes. A robust theoretical foundation helps us not only understand past pricing trends but also to forecast future behavior under differentpolicy or market conditions. The theoretical framework for this study incorporates both classical and modern economic theories, categorized under microeconomic, macroeconomic, and behavioral paradigms.</w:t>
      </w:r>
    </w:p>
    <w:p w14:paraId="4D00A505">
      <w:pPr>
        <w:pStyle w:val="33"/>
        <w:spacing w:after="0" w:afterAutospacing="0" w:line="480" w:lineRule="auto"/>
        <w:jc w:val="both"/>
        <w:rPr>
          <w:b/>
        </w:rPr>
      </w:pPr>
      <w:r>
        <w:rPr>
          <w:b/>
        </w:rPr>
        <w:t xml:space="preserve">2.3.1 </w:t>
      </w:r>
      <w:r>
        <w:rPr>
          <w:b/>
        </w:rPr>
        <w:tab/>
      </w:r>
      <w:r>
        <w:rPr>
          <w:b/>
        </w:rPr>
        <w:t>Law of Demand and Supply</w:t>
      </w:r>
    </w:p>
    <w:p w14:paraId="0259BD9B">
      <w:pPr>
        <w:pStyle w:val="33"/>
        <w:spacing w:after="0" w:afterAutospacing="0" w:line="480" w:lineRule="auto"/>
        <w:jc w:val="both"/>
      </w:pPr>
      <w:r>
        <w:t>The Law of Demand and Supply is one of the most fundamental principles in economics. It states that, ceteris paribus (all things being equal), an increase in demand leads to an increase in price, while an increase in supply leads to a decrease in price. In perfectly competitive markets, prices naturally adjust to the equilibrium where quantity demanded equals quantity supplied. However, in the context of food markets—especially in Nigeria—numerous market imperfections distort this relationship.</w:t>
      </w:r>
    </w:p>
    <w:p w14:paraId="45DCC9FB">
      <w:pPr>
        <w:pStyle w:val="33"/>
        <w:spacing w:after="0" w:afterAutospacing="0" w:line="480" w:lineRule="auto"/>
        <w:jc w:val="both"/>
      </w:pPr>
      <w:r>
        <w:t>For example, the demand for food items like rice, beans, and garri tends to be price inelastic due to their necessity in everyday nutrition. This means that even if pricesincrease, the quantity demanded decreases only slightly, resulting in significant revenue changes for sellers and hardship for consumers (Okuneye, 2002). On the supply side, food production in Nigeria is often seasonal and vulnerable to factors such as rainfall variability, poor infrastructure, and insecurity in farming regions, which disrupt the supply-demand balance.</w:t>
      </w:r>
    </w:p>
    <w:p w14:paraId="192880C0">
      <w:pPr>
        <w:pStyle w:val="33"/>
        <w:spacing w:after="0" w:afterAutospacing="0" w:line="480" w:lineRule="auto"/>
        <w:jc w:val="both"/>
        <w:rPr>
          <w:b/>
        </w:rPr>
      </w:pPr>
      <w:r>
        <w:rPr>
          <w:b/>
        </w:rPr>
        <w:t xml:space="preserve">2.3.2 </w:t>
      </w:r>
      <w:r>
        <w:rPr>
          <w:b/>
        </w:rPr>
        <w:tab/>
      </w:r>
      <w:r>
        <w:rPr>
          <w:b/>
        </w:rPr>
        <w:t>Cost-Push and Demand-Pull Inflation Theories</w:t>
      </w:r>
    </w:p>
    <w:p w14:paraId="6E8DC8AD">
      <w:pPr>
        <w:pStyle w:val="33"/>
        <w:spacing w:after="0" w:afterAutospacing="0" w:line="480" w:lineRule="auto"/>
        <w:jc w:val="both"/>
      </w:pPr>
      <w:r>
        <w:t>Both of these theories explain the mechanisms behind general price increases (inflation), which directly apply to the study of food price movement.</w:t>
      </w:r>
    </w:p>
    <w:p w14:paraId="2A7C8B2B">
      <w:pPr>
        <w:pStyle w:val="33"/>
        <w:spacing w:after="0" w:afterAutospacing="0" w:line="480" w:lineRule="auto"/>
        <w:jc w:val="both"/>
      </w:pPr>
      <w:r>
        <w:t>Cost-Push Inflation Theory argues that inflation occurs when the cost of production rises, leading producers to pass on the increased costs to consumers. In the Nigerian context, increases in fuel prices, fertilizer costs, transportation charges, and insecurity in agricultural zones contribute significantly to cost-push inflation in food commodities (Ogunleye, 2014).</w:t>
      </w:r>
    </w:p>
    <w:p w14:paraId="0F0A7C69">
      <w:pPr>
        <w:pStyle w:val="33"/>
        <w:spacing w:after="0" w:afterAutospacing="0" w:line="480" w:lineRule="auto"/>
        <w:jc w:val="both"/>
      </w:pPr>
      <w:r>
        <w:t>Demand-Pull Inflation Theory states that when aggregate demand exceeds aggregate supply, prices rise. Population growth, urbanization, and increased consumer incomes can all contribute to increased demand for food. In regions like Ilorin, where population density has increased in recent years, rising food demand has contributed to sustained upward pressure on prices (Ezeaku&amp;Nwachukwu, 2020).</w:t>
      </w:r>
    </w:p>
    <w:p w14:paraId="1CE0F069">
      <w:pPr>
        <w:pStyle w:val="33"/>
        <w:spacing w:after="0" w:afterAutospacing="0" w:line="480" w:lineRule="auto"/>
        <w:jc w:val="both"/>
        <w:rPr>
          <w:b/>
        </w:rPr>
      </w:pPr>
      <w:r>
        <w:rPr>
          <w:b/>
        </w:rPr>
        <w:t xml:space="preserve">2.3.3 </w:t>
      </w:r>
      <w:r>
        <w:rPr>
          <w:b/>
        </w:rPr>
        <w:tab/>
      </w:r>
      <w:r>
        <w:rPr>
          <w:b/>
        </w:rPr>
        <w:t>Quantity Theory of Money</w:t>
      </w:r>
    </w:p>
    <w:p w14:paraId="529964C7">
      <w:pPr>
        <w:pStyle w:val="33"/>
        <w:spacing w:after="0" w:afterAutospacing="0" w:line="480" w:lineRule="auto"/>
        <w:jc w:val="both"/>
      </w:pPr>
      <w:r>
        <w:t>The Quantity Theory of Money, articulated in the famous equation MV = PQ (where M = money supply, V = velocity of money, P = price level, and Q = output), suggests that an increase in money supply without a corresponding increase in output results in inflation. In Nigeria, the Central Bank’s expansionary monetary policies—particularly during post-COVID recovery periods—have led to increased liquidity in the economy, some of which has flowed into food markets, thus raising prices (CBN, 2023).</w:t>
      </w:r>
    </w:p>
    <w:p w14:paraId="3319E851">
      <w:pPr>
        <w:pStyle w:val="33"/>
        <w:spacing w:after="0" w:afterAutospacing="0" w:line="480" w:lineRule="auto"/>
        <w:jc w:val="both"/>
      </w:pPr>
      <w:r>
        <w:t>This theory is particularly relevant when discussing imported inflation. When the naira weakens against foreign currencies, the cost of imported food items and production inputs (like machinery, fuel, or packaging materials) rises. This, in turn, affects domestic food prices—even for locally produced items—through a ripple effect in the supply chain.</w:t>
      </w:r>
    </w:p>
    <w:p w14:paraId="615DE13C">
      <w:pPr>
        <w:pStyle w:val="33"/>
        <w:spacing w:after="0" w:afterAutospacing="0" w:line="480" w:lineRule="auto"/>
        <w:jc w:val="both"/>
        <w:rPr>
          <w:b/>
        </w:rPr>
      </w:pPr>
    </w:p>
    <w:p w14:paraId="4A3AAE1F">
      <w:pPr>
        <w:pStyle w:val="33"/>
        <w:spacing w:after="0" w:afterAutospacing="0" w:line="480" w:lineRule="auto"/>
        <w:jc w:val="both"/>
        <w:rPr>
          <w:b/>
        </w:rPr>
      </w:pPr>
    </w:p>
    <w:p w14:paraId="3F8D28BC">
      <w:pPr>
        <w:pStyle w:val="33"/>
        <w:spacing w:after="0" w:afterAutospacing="0" w:line="480" w:lineRule="auto"/>
        <w:jc w:val="both"/>
        <w:rPr>
          <w:b/>
        </w:rPr>
      </w:pPr>
      <w:r>
        <w:rPr>
          <w:b/>
        </w:rPr>
        <w:t>2.3.4</w:t>
      </w:r>
      <w:r>
        <w:rPr>
          <w:b/>
        </w:rPr>
        <w:tab/>
      </w:r>
      <w:r>
        <w:rPr>
          <w:b/>
        </w:rPr>
        <w:t xml:space="preserve"> Engel’s Law</w:t>
      </w:r>
    </w:p>
    <w:p w14:paraId="4C8A181E">
      <w:pPr>
        <w:pStyle w:val="33"/>
        <w:spacing w:after="0" w:afterAutospacing="0" w:line="480" w:lineRule="auto"/>
        <w:jc w:val="both"/>
        <w:rPr>
          <w:b/>
        </w:rPr>
      </w:pPr>
      <w:r>
        <w:t>Engel’s Law posits that as income increases, the proportion of income spent on food decreases, even if the actual expenditure on food rises. This principle suggests that poorer households are more vulnerable to food price inflation, as food accounts for a higher share of their total expenditure. In practical terms, a 20% increase in food prices will have a far more significant impact on a low-income household than on a middle- or high-income household (FAO, 2017). This law is particularly useful in interpreting the social and distributive effects of food price inflation in Nigerian markets.</w:t>
      </w:r>
    </w:p>
    <w:p w14:paraId="37CB82F6">
      <w:pPr>
        <w:pStyle w:val="33"/>
        <w:spacing w:after="0" w:afterAutospacing="0" w:line="480" w:lineRule="auto"/>
        <w:jc w:val="both"/>
        <w:rPr>
          <w:b/>
        </w:rPr>
      </w:pPr>
      <w:r>
        <w:rPr>
          <w:b/>
        </w:rPr>
        <w:t>2.3.5</w:t>
      </w:r>
      <w:r>
        <w:rPr>
          <w:b/>
        </w:rPr>
        <w:tab/>
      </w:r>
      <w:r>
        <w:rPr>
          <w:b/>
        </w:rPr>
        <w:t xml:space="preserve"> Rational Expectations Theory</w:t>
      </w:r>
    </w:p>
    <w:p w14:paraId="3B84680B">
      <w:pPr>
        <w:pStyle w:val="33"/>
        <w:spacing w:after="0" w:afterAutospacing="0" w:line="480" w:lineRule="auto"/>
        <w:jc w:val="both"/>
        <w:rPr>
          <w:b/>
        </w:rPr>
      </w:pPr>
      <w:r>
        <w:t>Rational Expectations Theory, advanced by economists such as Robert Lucas, suggests that individuals form expectations about the future based on all available information, including government policy and past trends. In the context of food pricing, if consumers or traders anticipate that prices will rise—due to an impending fuel hike, poor harvest forecasts, or a policy shift—they may stockpile goods or increase prices preemptively, thus creating a self-fulfilling prophecy of inflation.</w:t>
      </w:r>
    </w:p>
    <w:p w14:paraId="75B2362D">
      <w:pPr>
        <w:pStyle w:val="33"/>
        <w:spacing w:after="0" w:afterAutospacing="0" w:line="480" w:lineRule="auto"/>
        <w:jc w:val="both"/>
        <w:rPr>
          <w:b/>
        </w:rPr>
      </w:pPr>
      <w:r>
        <w:t>This behavior is often observed in Nigeria, particularly during festive periods, planting seasons, or just before government policy changes. For example, rumors of fuel price increase often led to immediate food price hikes due to anticipated higher transport costs.</w:t>
      </w:r>
    </w:p>
    <w:p w14:paraId="5D7B212D">
      <w:pPr>
        <w:pStyle w:val="33"/>
        <w:spacing w:after="0" w:afterAutospacing="0" w:line="480" w:lineRule="auto"/>
        <w:jc w:val="both"/>
        <w:rPr>
          <w:b/>
        </w:rPr>
      </w:pPr>
      <w:r>
        <w:rPr>
          <w:b/>
        </w:rPr>
        <w:t>2.3.6</w:t>
      </w:r>
      <w:r>
        <w:rPr>
          <w:b/>
        </w:rPr>
        <w:tab/>
      </w:r>
      <w:r>
        <w:rPr>
          <w:b/>
        </w:rPr>
        <w:t xml:space="preserve"> Behavioral Economics and Price Rigidity</w:t>
      </w:r>
    </w:p>
    <w:p w14:paraId="18210F57">
      <w:pPr>
        <w:pStyle w:val="33"/>
        <w:spacing w:after="0" w:afterAutospacing="0" w:line="480" w:lineRule="auto"/>
        <w:jc w:val="both"/>
        <w:rPr>
          <w:b/>
        </w:rPr>
      </w:pPr>
      <w:r>
        <w:t>While classical theories assume rational agents and flexible prices, behavioral economics introduces the idea that decision-making is influenced by cognitive biases, social pressures, and imperfect information. Price rigidity in Nigerian food markets can occur because sellers are reluctant to reduce prices even when supply improves, possibly due to psychological anchoring or fear of future cost increases (Thaler&amp;Sunstein, 2008).</w:t>
      </w:r>
    </w:p>
    <w:p w14:paraId="4F65683B">
      <w:pPr>
        <w:pStyle w:val="33"/>
        <w:spacing w:after="0" w:afterAutospacing="0" w:line="480" w:lineRule="auto"/>
        <w:jc w:val="both"/>
        <w:rPr>
          <w:b/>
        </w:rPr>
      </w:pPr>
      <w:r>
        <w:t>Consumers, likewise, may be influenced by herd behavior—buying in bulk or panic buying—especially during periods of uncertainty, further exacerbating price volatility. These behavioral dynamics are critical in understanding why food prices sometimes remain high even after supply-side constraints have eased.</w:t>
      </w:r>
    </w:p>
    <w:p w14:paraId="12D29F81">
      <w:pPr>
        <w:pStyle w:val="33"/>
        <w:spacing w:after="0" w:afterAutospacing="0" w:line="480" w:lineRule="auto"/>
        <w:jc w:val="both"/>
        <w:rPr>
          <w:b/>
        </w:rPr>
      </w:pPr>
      <w:r>
        <w:rPr>
          <w:b/>
        </w:rPr>
        <w:t>2.3.7</w:t>
      </w:r>
      <w:r>
        <w:rPr>
          <w:b/>
        </w:rPr>
        <w:tab/>
      </w:r>
      <w:r>
        <w:rPr>
          <w:b/>
        </w:rPr>
        <w:t xml:space="preserve"> Market Imperfections and Monopolistic Practices</w:t>
      </w:r>
    </w:p>
    <w:p w14:paraId="75651AC6">
      <w:pPr>
        <w:pStyle w:val="33"/>
        <w:spacing w:after="0" w:afterAutospacing="0" w:line="480" w:lineRule="auto"/>
        <w:jc w:val="both"/>
        <w:rPr>
          <w:b/>
        </w:rPr>
      </w:pPr>
      <w:r>
        <w:t>In real-world markets such as Mandate in Ilorin, food prices are also affected by imperfections such as monopolistic practices, middlemen exploitation, lack of price transparency, and asymmetric access to market information. Traders may collude—either knowingly or due to group-think—to fix prices above competitive levels. These distortions reduce market efficiency and make classical models of supply and demand less predictive in the Nigerian context (Adewumi, 2012).</w:t>
      </w:r>
    </w:p>
    <w:p w14:paraId="7CB485F1">
      <w:pPr>
        <w:pStyle w:val="33"/>
        <w:spacing w:after="0" w:afterAutospacing="0" w:line="480" w:lineRule="auto"/>
        <w:jc w:val="both"/>
        <w:rPr>
          <w:b/>
        </w:rPr>
      </w:pPr>
      <w:r>
        <w:rPr>
          <w:b/>
        </w:rPr>
        <w:t>2.3.8</w:t>
      </w:r>
      <w:r>
        <w:rPr>
          <w:b/>
        </w:rPr>
        <w:tab/>
      </w:r>
      <w:r>
        <w:rPr>
          <w:b/>
        </w:rPr>
        <w:t>Structuralist Theory of Inflation</w:t>
      </w:r>
    </w:p>
    <w:p w14:paraId="16BC20A8">
      <w:pPr>
        <w:pStyle w:val="33"/>
        <w:spacing w:after="0" w:afterAutospacing="0" w:line="480" w:lineRule="auto"/>
        <w:jc w:val="both"/>
        <w:rPr>
          <w:b/>
        </w:rPr>
      </w:pPr>
      <w:r>
        <w:t>The structuralist school, largely associated with Latin American development economists, argues that inflation in developing economies is caused by structural bottlenecks in production, distribution, and governance. In Nigeria, poor infrastructure, weak institutions, insecurity in agricultural zones, and underinvestment in processing and storage are all structural issues that contribute to food price inflation.</w:t>
      </w:r>
    </w:p>
    <w:p w14:paraId="29CF45B6">
      <w:pPr>
        <w:pStyle w:val="33"/>
        <w:spacing w:after="0" w:afterAutospacing="0" w:line="480" w:lineRule="auto"/>
        <w:jc w:val="both"/>
        <w:rPr>
          <w:b/>
        </w:rPr>
      </w:pPr>
      <w:r>
        <w:t>These factors create a long-term upward bias in food prices, independent of short-term monetary or demand-side shocks. This theory emphasizes the need for deep reforms in the agricultural value chain, including improved irrigation, farm mechanization, logistics, and regulatory oversight.</w:t>
      </w:r>
    </w:p>
    <w:p w14:paraId="55347D73">
      <w:pPr>
        <w:pStyle w:val="33"/>
        <w:spacing w:after="0" w:afterAutospacing="0" w:line="480" w:lineRule="auto"/>
        <w:jc w:val="both"/>
        <w:rPr>
          <w:b/>
        </w:rPr>
      </w:pPr>
      <w:r>
        <w:rPr>
          <w:b/>
        </w:rPr>
        <w:t>Conclusion of Theoretical Framework</w:t>
      </w:r>
    </w:p>
    <w:p w14:paraId="548125EB">
      <w:pPr>
        <w:pStyle w:val="33"/>
        <w:spacing w:after="0" w:afterAutospacing="0" w:line="480" w:lineRule="auto"/>
        <w:jc w:val="both"/>
        <w:rPr>
          <w:b/>
        </w:rPr>
      </w:pPr>
      <w:r>
        <w:t>In summary, the theoretical underpinnings of food price behavior are multi-dimensional and context-dependent. From classical supply-demand models to modern behavioral insights and structuralist critiques, each theory sheds light on different facets of food price dynamics in Nigeria. For this study, these theories collectively inform the interpretation of observed price changes in Mandate market between 2024 and 2025, especially when analyzing results from the Laspeyres, Paasche, and Fisher indices.</w:t>
      </w:r>
    </w:p>
    <w:p w14:paraId="21E4C2D3">
      <w:pPr>
        <w:pStyle w:val="33"/>
        <w:spacing w:after="0" w:afterAutospacing="0" w:line="480" w:lineRule="auto"/>
        <w:jc w:val="both"/>
        <w:rPr>
          <w:b/>
        </w:rPr>
      </w:pPr>
      <w:r>
        <w:rPr>
          <w:b/>
        </w:rPr>
        <w:t>2.4</w:t>
      </w:r>
      <w:r>
        <w:rPr>
          <w:b/>
        </w:rPr>
        <w:tab/>
      </w:r>
      <w:r>
        <w:rPr>
          <w:b/>
        </w:rPr>
        <w:t xml:space="preserve"> Empirical Review</w:t>
      </w:r>
    </w:p>
    <w:p w14:paraId="68CC4C52">
      <w:pPr>
        <w:pStyle w:val="33"/>
        <w:spacing w:after="0" w:afterAutospacing="0" w:line="480" w:lineRule="auto"/>
        <w:jc w:val="both"/>
        <w:rPr>
          <w:b/>
        </w:rPr>
      </w:pPr>
      <w:r>
        <w:t>Food price analysis has been a central focus of empirical research due to its profound implications on inflation, household welfare, poverty, and economic growth. Empirical studies vary in scope—ranging from national-level Consumer Price Index (CPI) assessments to commodity-specific or location-based analyses. In this section, we examine findings from past studies, highlight trends, and draw attention to gaps that inform the current study.</w:t>
      </w:r>
      <w:r>
        <w:rPr>
          <w:b/>
        </w:rPr>
        <w:t>\</w:t>
      </w:r>
    </w:p>
    <w:p w14:paraId="420E4992">
      <w:pPr>
        <w:pStyle w:val="33"/>
        <w:spacing w:after="0" w:afterAutospacing="0" w:line="480" w:lineRule="auto"/>
        <w:jc w:val="both"/>
        <w:rPr>
          <w:b/>
        </w:rPr>
      </w:pPr>
      <w:r>
        <w:rPr>
          <w:b/>
        </w:rPr>
        <w:t xml:space="preserve">2.4.1 </w:t>
      </w:r>
      <w:r>
        <w:rPr>
          <w:b/>
        </w:rPr>
        <w:tab/>
      </w:r>
      <w:r>
        <w:rPr>
          <w:b/>
        </w:rPr>
        <w:t>Empirical Studies in Nigeria</w:t>
      </w:r>
    </w:p>
    <w:p w14:paraId="3E501EB3">
      <w:pPr>
        <w:pStyle w:val="33"/>
        <w:spacing w:after="0" w:afterAutospacing="0" w:line="480" w:lineRule="auto"/>
        <w:jc w:val="both"/>
        <w:rPr>
          <w:b/>
        </w:rPr>
      </w:pPr>
      <w:r>
        <w:t>Food pricing in Nigeria has been subject to a number of empirical investigations, especially in the wake of recurring inflation crises.</w:t>
      </w:r>
    </w:p>
    <w:p w14:paraId="7BF29014">
      <w:pPr>
        <w:pStyle w:val="33"/>
        <w:spacing w:after="0" w:afterAutospacing="0" w:line="480" w:lineRule="auto"/>
        <w:jc w:val="both"/>
        <w:rPr>
          <w:b/>
        </w:rPr>
      </w:pPr>
      <w:r>
        <w:t>Olayemi (2010) investigated the impact of food price increases on household poverty using national household survey data. He concluded that food inflation contributes more significantly to poverty depth than non-food inflation, particularly in rural households. The study recommended the implementation of targeted food subsidies and storage investment as mitigation strategies.</w:t>
      </w:r>
    </w:p>
    <w:p w14:paraId="59953A31">
      <w:pPr>
        <w:pStyle w:val="33"/>
        <w:spacing w:after="0" w:afterAutospacing="0" w:line="480" w:lineRule="auto"/>
        <w:jc w:val="both"/>
        <w:rPr>
          <w:b/>
        </w:rPr>
      </w:pPr>
      <w:r>
        <w:t>Adeyemi and Ogunfowokan (2014) analyzed maize price volatility in Southwest Nigeria. Using monthly price series data from 2006–2013, they found that seasonal effects, transportation bottlenecks, and poor storage were key drivers of price instability. The authors recommended improved warehousing and regional buffer stock systems.</w:t>
      </w:r>
    </w:p>
    <w:p w14:paraId="24352C6A">
      <w:pPr>
        <w:pStyle w:val="33"/>
        <w:spacing w:after="0" w:afterAutospacing="0" w:line="480" w:lineRule="auto"/>
        <w:jc w:val="both"/>
        <w:rPr>
          <w:b/>
        </w:rPr>
      </w:pPr>
      <w:r>
        <w:t>Yusuf and Okon (2021) applied Laspeyres and Paasche indices to evaluate inflation trends in the Bodija and Oje markets in Ibadan. The study found that the Paasche index generally reported lower inflation than the Laspeyres index, validating the argument that current consumption behaviors often mitigate perceived price surges. The authors recommended the Fisher index for more balanced inflation assessment.In a similar study, Ibrahim et al. (2022) examined staple food pricing trends in Kwara State using regression models and index computation. They observed significant price increases in garri and rice, particularly in urban markets. The results attributed the inflation to fuel cost hikes and rural-urban migration pressures.Agboola et al. (2020) conducted a spatial analysis of rice prices across Nigeria. Using data from over 15 markets, they found that proximity to production zones (such as Kebbi and Ebonyi States) significantly affected final retail prices. Their study underscored the need for decentralized processing facilities and efficient road networks.Ezeaku and Nwachukwu (2020) assessed the impact of the 2019 land border closure on food prices. Their findings showed an average price increase of 24% in imported commodities (such as rice and frozen poultry) and 11% in locally produced items. The policy, though intended to boost local production, had short-term inflationary effects on food markets.Aina and Yusuf (2019) used consumer surveys to measure the perception of food affordability among households in Lagos. They found that over 70% of respondents had reduced the quantity or frequency of meals due to rising prices. This finding supports Engel’s Law and suggests that food inflation has direct welfare effects.</w:t>
      </w:r>
    </w:p>
    <w:p w14:paraId="7E4A748B">
      <w:pPr>
        <w:pStyle w:val="33"/>
        <w:spacing w:after="0" w:afterAutospacing="0" w:line="480" w:lineRule="auto"/>
        <w:jc w:val="both"/>
        <w:rPr>
          <w:b/>
        </w:rPr>
      </w:pPr>
      <w:r>
        <w:rPr>
          <w:b/>
        </w:rPr>
        <w:t>2.4.2</w:t>
      </w:r>
      <w:r>
        <w:rPr>
          <w:b/>
        </w:rPr>
        <w:tab/>
      </w:r>
      <w:r>
        <w:rPr>
          <w:b/>
        </w:rPr>
        <w:t xml:space="preserve"> International Empirical Evidence</w:t>
      </w:r>
    </w:p>
    <w:p w14:paraId="0C689B26">
      <w:pPr>
        <w:pStyle w:val="33"/>
        <w:spacing w:after="0" w:afterAutospacing="0" w:line="480" w:lineRule="auto"/>
        <w:jc w:val="both"/>
        <w:rPr>
          <w:b/>
        </w:rPr>
      </w:pPr>
      <w:r>
        <w:t>Timmer (2010) conducted a global analysis of food price volatility and found that open trade policies and well-functioning logistics systems helped buffer the effect of global price shocks in countries like Vietnam and Thailand. The study emphasized that government interventions such as subsidies and stockpiles should be used sparingly to avoid market distortion.Bellemare (2015) examined the link between rising food prices and political unrest across 120 countries. Using econometric models, he found a strong correlation between sharp price increases and civil conflict. The paper concluded that food inflation is not only an economic concern but also a trigger for social instability.Dawe and Maltsoglou (2012), in a study on rice price dynamics in Asia, concluded that trade liberalization helped stabilize domestic markets, provided local producers received adequate support. Their results showed that inflation was lower in countries with diversified import sources and stable currency regimes.Wiggins and Keats (2015) reviewed African food pricing and concluded that weak infrastructure, limited market information, and policy inconsistency were central causes of food inflation. Countries like Ethiopia, which had invested heavily in rural road development and cooperative storage, showed greater food price stability than Nigeria or Chad.</w:t>
      </w:r>
    </w:p>
    <w:p w14:paraId="2907D8C9">
      <w:pPr>
        <w:spacing w:after="0"/>
        <w:jc w:val="both"/>
        <w:rPr>
          <w:rFonts w:ascii="Times New Roman" w:hAnsi="Times New Roman" w:eastAsia="Times New Roman" w:cs="Times New Roman"/>
          <w:sz w:val="24"/>
          <w:szCs w:val="24"/>
        </w:rPr>
      </w:pPr>
      <w:r>
        <w:br w:type="page"/>
      </w:r>
    </w:p>
    <w:p w14:paraId="46846C62">
      <w:pPr>
        <w:pStyle w:val="33"/>
        <w:spacing w:after="0" w:afterAutospacing="0"/>
        <w:ind w:left="360"/>
        <w:jc w:val="center"/>
        <w:rPr>
          <w:b/>
          <w:bCs/>
        </w:rPr>
      </w:pPr>
      <w:r>
        <w:rPr>
          <w:b/>
          <w:bCs/>
        </w:rPr>
        <w:t>CHAPTER THREE</w:t>
      </w:r>
    </w:p>
    <w:p w14:paraId="6DB25C3E">
      <w:pPr>
        <w:pStyle w:val="33"/>
        <w:spacing w:after="0" w:afterAutospacing="0"/>
        <w:ind w:left="360"/>
        <w:jc w:val="center"/>
        <w:rPr>
          <w:b/>
          <w:bCs/>
        </w:rPr>
      </w:pPr>
      <w:r>
        <w:rPr>
          <w:b/>
          <w:bCs/>
        </w:rPr>
        <w:t>RESEARCH METHODOLOGY</w:t>
      </w:r>
    </w:p>
    <w:p w14:paraId="72A89B0B">
      <w:pPr>
        <w:pStyle w:val="33"/>
        <w:spacing w:before="0" w:beforeAutospacing="0" w:after="0" w:afterAutospacing="0" w:line="480" w:lineRule="auto"/>
        <w:ind w:left="360"/>
        <w:jc w:val="both"/>
        <w:rPr>
          <w:b/>
          <w:bCs/>
        </w:rPr>
      </w:pPr>
      <w:r>
        <w:rPr>
          <w:b/>
          <w:bCs/>
        </w:rPr>
        <w:t>3.1</w:t>
      </w:r>
      <w:r>
        <w:rPr>
          <w:b/>
          <w:bCs/>
        </w:rPr>
        <w:tab/>
      </w:r>
      <w:r>
        <w:rPr>
          <w:b/>
          <w:bCs/>
        </w:rPr>
        <w:tab/>
      </w:r>
      <w:r>
        <w:rPr>
          <w:b/>
          <w:bCs/>
        </w:rPr>
        <w:t>Research design</w:t>
      </w:r>
    </w:p>
    <w:p w14:paraId="75E6AD91">
      <w:pPr>
        <w:pStyle w:val="33"/>
        <w:spacing w:before="0" w:beforeAutospacing="0" w:after="0" w:afterAutospacing="0" w:line="480" w:lineRule="auto"/>
        <w:ind w:left="360"/>
        <w:jc w:val="both"/>
      </w:pPr>
      <w:r>
        <w:t>This is a descriptive study using secondary data on food prices collected from Mandate market.</w:t>
      </w:r>
    </w:p>
    <w:p w14:paraId="3B644130">
      <w:pPr>
        <w:pStyle w:val="33"/>
        <w:spacing w:before="0" w:beforeAutospacing="0" w:after="0" w:afterAutospacing="0" w:line="480" w:lineRule="auto"/>
        <w:ind w:left="360"/>
        <w:jc w:val="both"/>
        <w:rPr>
          <w:b/>
          <w:bCs/>
        </w:rPr>
      </w:pPr>
      <w:r>
        <w:rPr>
          <w:b/>
          <w:bCs/>
        </w:rPr>
        <w:t>3.2</w:t>
      </w:r>
      <w:r>
        <w:rPr>
          <w:b/>
          <w:bCs/>
        </w:rPr>
        <w:tab/>
      </w:r>
      <w:r>
        <w:rPr>
          <w:b/>
          <w:bCs/>
        </w:rPr>
        <w:tab/>
      </w:r>
      <w:r>
        <w:rPr>
          <w:b/>
          <w:bCs/>
        </w:rPr>
        <w:t xml:space="preserve"> Population Size</w:t>
      </w:r>
    </w:p>
    <w:p w14:paraId="09C759CB">
      <w:pPr>
        <w:pStyle w:val="33"/>
        <w:spacing w:before="0" w:beforeAutospacing="0" w:after="0" w:afterAutospacing="0" w:line="480" w:lineRule="auto"/>
        <w:ind w:left="360"/>
        <w:jc w:val="both"/>
      </w:pPr>
      <w:r>
        <w:t>The population includes all food items in the market, while the sample consists of: Rice, Beans, Garri, Semovita, Noodles, and Spaghetti.</w:t>
      </w:r>
    </w:p>
    <w:p w14:paraId="7CD0591D">
      <w:pPr>
        <w:pStyle w:val="33"/>
        <w:spacing w:before="0" w:beforeAutospacing="0" w:after="0" w:afterAutospacing="0" w:line="480" w:lineRule="auto"/>
        <w:ind w:left="360"/>
        <w:jc w:val="both"/>
        <w:rPr>
          <w:b/>
          <w:bCs/>
        </w:rPr>
      </w:pPr>
      <w:r>
        <w:rPr>
          <w:b/>
          <w:bCs/>
        </w:rPr>
        <w:t xml:space="preserve">3.3 </w:t>
      </w:r>
      <w:r>
        <w:rPr>
          <w:b/>
          <w:bCs/>
        </w:rPr>
        <w:tab/>
      </w:r>
      <w:r>
        <w:rPr>
          <w:b/>
          <w:bCs/>
        </w:rPr>
        <w:t>Method of Data Collection</w:t>
      </w:r>
    </w:p>
    <w:p w14:paraId="46B8CB04">
      <w:pPr>
        <w:pStyle w:val="33"/>
        <w:spacing w:before="0" w:beforeAutospacing="0" w:after="0" w:afterAutospacing="0" w:line="480" w:lineRule="auto"/>
        <w:ind w:left="360"/>
        <w:jc w:val="both"/>
      </w:pPr>
      <w:r>
        <w:t>Data was collected from market records and vendor interviews on prices of commodities in 2024 and 2025.</w:t>
      </w:r>
    </w:p>
    <w:p w14:paraId="5D728F7D">
      <w:pPr>
        <w:pStyle w:val="33"/>
        <w:tabs>
          <w:tab w:val="center" w:pos="4500"/>
        </w:tabs>
        <w:spacing w:before="0" w:beforeAutospacing="0" w:after="0" w:afterAutospacing="0" w:line="480" w:lineRule="auto"/>
        <w:ind w:left="360"/>
        <w:jc w:val="both"/>
      </w:pPr>
      <w:r>
        <w:rPr>
          <w:b/>
          <w:bCs/>
        </w:rPr>
        <w:t>3.4            Method of Data Analysis</w:t>
      </w:r>
      <w:r>
        <w:rPr>
          <w:b/>
          <w:bCs/>
        </w:rPr>
        <w:tab/>
      </w:r>
      <w:r>
        <w:br w:type="textWrapping"/>
      </w:r>
      <w:r>
        <w:t>The CPI was calculated using the Laspeyres priceIndex, Paasche price index, fisher’s ideal index.</w:t>
      </w:r>
    </w:p>
    <w:p w14:paraId="01EC65B6">
      <w:pPr>
        <w:pStyle w:val="33"/>
        <w:tabs>
          <w:tab w:val="center" w:pos="4500"/>
        </w:tabs>
        <w:spacing w:after="0" w:afterAutospacing="0" w:line="480" w:lineRule="auto"/>
        <w:ind w:left="360"/>
        <w:jc w:val="both"/>
        <w:rPr>
          <w:b/>
          <w:bCs/>
        </w:rPr>
      </w:pPr>
      <w:r>
        <w:rPr>
          <w:b/>
          <w:bCs/>
        </w:rPr>
        <w:t>LPI</w:t>
      </w:r>
      <w:r>
        <w:t>= (ΣP1Q0 / ΣP0Q0) × 100</w:t>
      </w:r>
    </w:p>
    <w:p w14:paraId="0D0BFD34">
      <w:pPr>
        <w:pStyle w:val="33"/>
        <w:spacing w:after="0" w:afterAutospacing="0" w:line="480" w:lineRule="auto"/>
        <w:ind w:left="360"/>
        <w:jc w:val="both"/>
        <w:rPr>
          <w:b/>
          <w:bCs/>
        </w:rPr>
      </w:pPr>
      <w:r>
        <w:rPr>
          <w:b/>
          <w:bCs/>
        </w:rPr>
        <w:t>PPI=</w:t>
      </w:r>
      <w:r>
        <w:t xml:space="preserve"> (ΣP1Q1 / ΣP0Q1) × 100</w:t>
      </w:r>
    </w:p>
    <w:p w14:paraId="5EBF2EB5">
      <w:pPr>
        <w:pStyle w:val="33"/>
        <w:spacing w:after="0" w:afterAutospacing="0" w:line="480" w:lineRule="auto"/>
        <w:ind w:left="360"/>
        <w:jc w:val="both"/>
        <w:rPr>
          <w:b/>
          <w:bCs/>
        </w:rPr>
      </w:pPr>
      <w:r>
        <w:rPr>
          <w:b/>
          <w:bCs/>
        </w:rPr>
        <w:t>FII</w:t>
      </w:r>
      <w:r>
        <w:t>= √(LPI × PPI)</w:t>
      </w:r>
    </w:p>
    <w:p w14:paraId="04727044">
      <w:pPr>
        <w:pStyle w:val="33"/>
        <w:spacing w:after="0" w:afterAutospacing="0" w:line="480" w:lineRule="auto"/>
        <w:jc w:val="both"/>
        <w:rPr>
          <w:b/>
          <w:bCs/>
        </w:rPr>
      </w:pPr>
    </w:p>
    <w:p w14:paraId="299F8548">
      <w:pPr>
        <w:pStyle w:val="33"/>
        <w:spacing w:after="0" w:afterAutospacing="0"/>
        <w:ind w:left="360"/>
        <w:jc w:val="both"/>
        <w:rPr>
          <w:b/>
          <w:bCs/>
        </w:rPr>
      </w:pPr>
    </w:p>
    <w:p w14:paraId="1EC1D29A">
      <w:pPr>
        <w:pStyle w:val="33"/>
        <w:spacing w:after="0" w:afterAutospacing="0"/>
        <w:ind w:left="360"/>
        <w:jc w:val="center"/>
        <w:rPr>
          <w:b/>
          <w:bCs/>
        </w:rPr>
      </w:pPr>
      <w:r>
        <w:rPr>
          <w:b/>
          <w:bCs/>
        </w:rPr>
        <w:t>CHAPTER FOUR</w:t>
      </w:r>
    </w:p>
    <w:p w14:paraId="5A89B954">
      <w:pPr>
        <w:pStyle w:val="33"/>
        <w:spacing w:after="0" w:afterAutospacing="0"/>
        <w:ind w:left="360"/>
        <w:jc w:val="center"/>
        <w:rPr>
          <w:b/>
          <w:bCs/>
        </w:rPr>
      </w:pPr>
      <w:r>
        <w:rPr>
          <w:b/>
          <w:bCs/>
        </w:rPr>
        <w:t>DATA INTERPRETATION</w:t>
      </w:r>
    </w:p>
    <w:p w14:paraId="4F523364">
      <w:pPr>
        <w:pStyle w:val="33"/>
        <w:spacing w:after="0" w:afterAutospacing="0" w:line="480" w:lineRule="auto"/>
        <w:jc w:val="both"/>
        <w:rPr>
          <w:b/>
        </w:rPr>
      </w:pPr>
      <w:r>
        <w:rPr>
          <w:b/>
        </w:rPr>
        <w:t xml:space="preserve">4.1 </w:t>
      </w:r>
      <w:r>
        <w:rPr>
          <w:b/>
        </w:rPr>
        <w:tab/>
      </w:r>
      <w:r>
        <w:rPr>
          <w:b/>
        </w:rPr>
        <w:t>Introduction</w:t>
      </w:r>
    </w:p>
    <w:p w14:paraId="258DCC70">
      <w:pPr>
        <w:pStyle w:val="33"/>
        <w:spacing w:after="0" w:afterAutospacing="0" w:line="480" w:lineRule="auto"/>
        <w:jc w:val="both"/>
      </w:pPr>
      <w:r>
        <w:t>This chapter presents, analyzes, and interprets the data collected on the prices of selected food items from ,Mandate Market, Ilorin, between the base year 2024 and the current year 2025. The selected food items include rice (50kg), beans (50kg), garri (50kg), semovita (10kg), butter (500g), and spaghetti (500g). The primary objective is to measure the percentage change in prices and apply three classical price indicesLaspeyres, Paasche, and Fisherto determine the inflationary trends experienced in the market. The analysis is based on the assumption that quantity (Q) for each commodity is constant and equal to 1, for ease of computation.</w:t>
      </w:r>
    </w:p>
    <w:p w14:paraId="56C54E03">
      <w:pPr>
        <w:pStyle w:val="33"/>
        <w:spacing w:after="0" w:afterAutospacing="0" w:line="240" w:lineRule="auto"/>
        <w:jc w:val="both"/>
      </w:pPr>
      <w:r>
        <w:drawing>
          <wp:inline distT="0" distB="0" distL="114300" distR="114300">
            <wp:extent cx="4596130" cy="2424430"/>
            <wp:effectExtent l="0" t="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596130" cy="2424430"/>
                    </a:xfrm>
                    <a:prstGeom prst="rect">
                      <a:avLst/>
                    </a:prstGeom>
                    <a:noFill/>
                    <a:ln>
                      <a:noFill/>
                    </a:ln>
                  </pic:spPr>
                </pic:pic>
              </a:graphicData>
            </a:graphic>
          </wp:inline>
        </w:drawing>
      </w:r>
    </w:p>
    <w:p w14:paraId="1B6539DC">
      <w:pPr>
        <w:pStyle w:val="33"/>
        <w:spacing w:after="0" w:afterAutospacing="0" w:line="240" w:lineRule="auto"/>
        <w:jc w:val="both"/>
        <w:rPr>
          <w:rFonts w:hint="default"/>
          <w:lang w:val="en-US"/>
        </w:rPr>
      </w:pPr>
      <w:r>
        <w:rPr>
          <w:rFonts w:hint="default"/>
          <w:lang w:val="en-US"/>
        </w:rPr>
        <w:t>Fig 1: Prices of food commodities from 2024-2025</w:t>
      </w:r>
    </w:p>
    <w:p w14:paraId="33A8EEB4">
      <w:pPr>
        <w:pStyle w:val="33"/>
        <w:spacing w:after="0" w:afterAutospacing="0" w:line="480" w:lineRule="auto"/>
        <w:jc w:val="both"/>
        <w:rPr>
          <w:b/>
        </w:rPr>
      </w:pPr>
    </w:p>
    <w:p w14:paraId="0D13B09E">
      <w:pPr>
        <w:pStyle w:val="33"/>
        <w:spacing w:after="0" w:afterAutospacing="0" w:line="480" w:lineRule="auto"/>
        <w:jc w:val="both"/>
        <w:rPr>
          <w:b/>
        </w:rPr>
      </w:pPr>
      <w:r>
        <w:rPr>
          <w:b/>
        </w:rPr>
        <w:t>4.2</w:t>
      </w:r>
      <w:r>
        <w:rPr>
          <w:b/>
        </w:rPr>
        <w:tab/>
      </w:r>
      <w:r>
        <w:rPr>
          <w:b/>
        </w:rPr>
        <w:t>Price Data Collected</w:t>
      </w:r>
    </w:p>
    <w:tbl>
      <w:tblPr>
        <w:tblStyle w:val="36"/>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024"/>
        <w:gridCol w:w="1919"/>
        <w:gridCol w:w="1919"/>
        <w:gridCol w:w="2367"/>
      </w:tblGrid>
      <w:tr w14:paraId="0790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tcPr>
          <w:p w14:paraId="643F49D1">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0" w:type="auto"/>
          </w:tcPr>
          <w:p w14:paraId="0521E669">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Item</w:t>
            </w:r>
          </w:p>
        </w:tc>
        <w:tc>
          <w:tcPr>
            <w:tcW w:w="0" w:type="auto"/>
          </w:tcPr>
          <w:p w14:paraId="541118AF">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P₀ (2024 Price)</w:t>
            </w:r>
          </w:p>
        </w:tc>
        <w:tc>
          <w:tcPr>
            <w:tcW w:w="0" w:type="auto"/>
          </w:tcPr>
          <w:p w14:paraId="3B7E0F90">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P₁ (2025 Price)</w:t>
            </w:r>
          </w:p>
        </w:tc>
        <w:tc>
          <w:tcPr>
            <w:tcW w:w="0" w:type="auto"/>
          </w:tcPr>
          <w:p w14:paraId="4830AD4D">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Q₀ = Q₁ (Quantity)</w:t>
            </w:r>
          </w:p>
        </w:tc>
      </w:tr>
      <w:tr w14:paraId="58A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0" w:type="auto"/>
          </w:tcPr>
          <w:p w14:paraId="2B8F7D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164790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Rice (50kg)</w:t>
            </w:r>
          </w:p>
        </w:tc>
        <w:tc>
          <w:tcPr>
            <w:tcW w:w="0" w:type="auto"/>
          </w:tcPr>
          <w:p w14:paraId="31D813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₦42,000</w:t>
            </w:r>
          </w:p>
        </w:tc>
        <w:tc>
          <w:tcPr>
            <w:tcW w:w="0" w:type="auto"/>
          </w:tcPr>
          <w:p w14:paraId="141224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₦55,000</w:t>
            </w:r>
          </w:p>
        </w:tc>
        <w:tc>
          <w:tcPr>
            <w:tcW w:w="0" w:type="auto"/>
          </w:tcPr>
          <w:p w14:paraId="072597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6A5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0" w:type="auto"/>
          </w:tcPr>
          <w:p w14:paraId="34AA8C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0" w:type="auto"/>
          </w:tcPr>
          <w:p w14:paraId="786D6A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Beans (50kg)</w:t>
            </w:r>
          </w:p>
        </w:tc>
        <w:tc>
          <w:tcPr>
            <w:tcW w:w="0" w:type="auto"/>
          </w:tcPr>
          <w:p w14:paraId="45F46A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₦32,000</w:t>
            </w:r>
          </w:p>
        </w:tc>
        <w:tc>
          <w:tcPr>
            <w:tcW w:w="0" w:type="auto"/>
          </w:tcPr>
          <w:p w14:paraId="7F79F9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₦47,000</w:t>
            </w:r>
          </w:p>
        </w:tc>
        <w:tc>
          <w:tcPr>
            <w:tcW w:w="0" w:type="auto"/>
          </w:tcPr>
          <w:p w14:paraId="47D552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899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0" w:type="auto"/>
          </w:tcPr>
          <w:p w14:paraId="79B936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0" w:type="auto"/>
          </w:tcPr>
          <w:p w14:paraId="20FD3A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Garri (50kg)</w:t>
            </w:r>
          </w:p>
        </w:tc>
        <w:tc>
          <w:tcPr>
            <w:tcW w:w="0" w:type="auto"/>
          </w:tcPr>
          <w:p w14:paraId="23038E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₦18,000</w:t>
            </w:r>
          </w:p>
        </w:tc>
        <w:tc>
          <w:tcPr>
            <w:tcW w:w="0" w:type="auto"/>
          </w:tcPr>
          <w:p w14:paraId="5086D9F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₦25,00</w:t>
            </w:r>
            <w:bookmarkStart w:id="0" w:name="_GoBack"/>
            <w:bookmarkEnd w:id="0"/>
            <w:r>
              <w:rPr>
                <w:rFonts w:ascii="Times New Roman" w:hAnsi="Times New Roman" w:eastAsia="Times New Roman" w:cs="Times New Roman"/>
                <w:sz w:val="24"/>
                <w:szCs w:val="24"/>
              </w:rPr>
              <w:t>0</w:t>
            </w:r>
          </w:p>
        </w:tc>
        <w:tc>
          <w:tcPr>
            <w:tcW w:w="0" w:type="auto"/>
          </w:tcPr>
          <w:p w14:paraId="562D29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8E7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tcPr>
          <w:p w14:paraId="112F83E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0" w:type="auto"/>
          </w:tcPr>
          <w:p w14:paraId="179C22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Semovita (10kg)</w:t>
            </w:r>
          </w:p>
        </w:tc>
        <w:tc>
          <w:tcPr>
            <w:tcW w:w="0" w:type="auto"/>
          </w:tcPr>
          <w:p w14:paraId="3F4FD1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₦10,500</w:t>
            </w:r>
          </w:p>
        </w:tc>
        <w:tc>
          <w:tcPr>
            <w:tcW w:w="0" w:type="auto"/>
          </w:tcPr>
          <w:p w14:paraId="5F0A3A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₦13,500</w:t>
            </w:r>
          </w:p>
        </w:tc>
        <w:tc>
          <w:tcPr>
            <w:tcW w:w="0" w:type="auto"/>
          </w:tcPr>
          <w:p w14:paraId="0D2051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9B8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4E07FC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0" w:type="auto"/>
          </w:tcPr>
          <w:p w14:paraId="6AE928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Spaghetti (500g)</w:t>
            </w:r>
          </w:p>
        </w:tc>
        <w:tc>
          <w:tcPr>
            <w:tcW w:w="0" w:type="auto"/>
          </w:tcPr>
          <w:p w14:paraId="6F4609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₦2,500</w:t>
            </w:r>
          </w:p>
        </w:tc>
        <w:tc>
          <w:tcPr>
            <w:tcW w:w="0" w:type="auto"/>
          </w:tcPr>
          <w:p w14:paraId="2C0164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₦19,000</w:t>
            </w:r>
          </w:p>
        </w:tc>
        <w:tc>
          <w:tcPr>
            <w:tcW w:w="0" w:type="auto"/>
          </w:tcPr>
          <w:p w14:paraId="321410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837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tcPr>
          <w:p w14:paraId="0BDEB60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0" w:type="auto"/>
          </w:tcPr>
          <w:p w14:paraId="6BAA95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Butter (500g)</w:t>
            </w:r>
          </w:p>
        </w:tc>
        <w:tc>
          <w:tcPr>
            <w:tcW w:w="0" w:type="auto"/>
          </w:tcPr>
          <w:p w14:paraId="72CE8A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₦900</w:t>
            </w:r>
          </w:p>
        </w:tc>
        <w:tc>
          <w:tcPr>
            <w:tcW w:w="0" w:type="auto"/>
          </w:tcPr>
          <w:p w14:paraId="55A56C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₦1500</w:t>
            </w:r>
          </w:p>
        </w:tc>
        <w:tc>
          <w:tcPr>
            <w:tcW w:w="0" w:type="auto"/>
          </w:tcPr>
          <w:p w14:paraId="1775F9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14:paraId="63851AE8">
      <w:pPr>
        <w:spacing w:after="0" w:line="480" w:lineRule="auto"/>
        <w:jc w:val="both"/>
        <w:rPr>
          <w:rFonts w:ascii="Times New Roman" w:hAnsi="Times New Roman" w:cs="Times New Roman"/>
          <w:sz w:val="24"/>
          <w:szCs w:val="24"/>
        </w:rPr>
      </w:pPr>
    </w:p>
    <w:p w14:paraId="514767B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 xml:space="preserve"> Laspeyres Price Index (LPI)</w:t>
      </w:r>
    </w:p>
    <w:p w14:paraId="6DC9A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Laspeyres Index is calculated using the formula:</w:t>
      </w:r>
    </w:p>
    <w:p w14:paraId="62813A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LPI = [Σ(P₁ × Q₀) / Σ(P₀ × Q₀)] × 100</w:t>
      </w:r>
    </w:p>
    <w:p w14:paraId="1B371F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Q₀ = 1 for all items:</w:t>
      </w:r>
    </w:p>
    <w:p w14:paraId="1968B5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LPI = [12,537,500 / 13,918,300] × 100 ≈ 90</w:t>
      </w:r>
    </w:p>
    <w:p w14:paraId="4C57BE4B">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Interpretation: </w:t>
      </w:r>
      <w:r>
        <w:rPr>
          <w:rFonts w:hint="default" w:ascii="Times New Roman" w:hAnsi="Times New Roman" w:cs="Times New Roman"/>
          <w:sz w:val="24"/>
          <w:szCs w:val="24"/>
          <w:lang w:val="en-US"/>
        </w:rPr>
        <w:t>there is an increase of 36.69%  in laspeyres between 2024 and 2025</w:t>
      </w:r>
    </w:p>
    <w:p w14:paraId="4D792F4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Paasche Price Index (PPI)</w:t>
      </w:r>
    </w:p>
    <w:p w14:paraId="5A563F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PPI = [Σ(P₁ × Q₁) / Σ(P₀ × Q₁)] × 100</w:t>
      </w:r>
    </w:p>
    <w:p w14:paraId="7636EF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Q₁ = 1 for all items (same as above):</w:t>
      </w:r>
    </w:p>
    <w:p w14:paraId="72932E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PPI = [12,537,500 / 13,918,300] × 100 ≈ 90.1</w:t>
      </w:r>
    </w:p>
    <w:p w14:paraId="4EB850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 Since Q₀ = Q₁ = 1, Paasche = Laspeyres in this simplified case.</w:t>
      </w:r>
    </w:p>
    <w:p w14:paraId="1073C6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Interpretation: The Paasche Index also shows an increase of 36.69%, confirming a significant price increase.</w:t>
      </w:r>
    </w:p>
    <w:p w14:paraId="156F1CED">
      <w:pPr>
        <w:spacing w:after="0" w:line="480" w:lineRule="auto"/>
        <w:jc w:val="both"/>
        <w:rPr>
          <w:rFonts w:ascii="Times New Roman" w:hAnsi="Times New Roman" w:cs="Times New Roman"/>
          <w:sz w:val="24"/>
          <w:szCs w:val="24"/>
        </w:rPr>
      </w:pPr>
    </w:p>
    <w:p w14:paraId="4CA2FD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Fisher Ideal Price Index (FPI)</w:t>
      </w:r>
    </w:p>
    <w:p w14:paraId="10A6E8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FPI = √(LPI × PPI)</w:t>
      </w:r>
    </w:p>
    <w:p w14:paraId="3D3A6C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FPI = √(90×90.1) = √(18692.28) ≈ 90.008</w:t>
      </w:r>
    </w:p>
    <w:p w14:paraId="30C026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Interpretation: The Fisher Ideal Index confirms an average price increase of 90.008%, verifying the reliability of the Laspeyres and Paasche indices in this scenario.</w:t>
      </w:r>
    </w:p>
    <w:p w14:paraId="6183F2B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4.6 </w:t>
      </w:r>
      <w:r>
        <w:rPr>
          <w:rFonts w:ascii="Times New Roman" w:hAnsi="Times New Roman" w:cs="Times New Roman"/>
          <w:b/>
          <w:sz w:val="24"/>
          <w:szCs w:val="24"/>
        </w:rPr>
        <w:tab/>
      </w:r>
      <w:r>
        <w:rPr>
          <w:rFonts w:ascii="Times New Roman" w:hAnsi="Times New Roman" w:cs="Times New Roman"/>
          <w:b/>
          <w:sz w:val="24"/>
          <w:szCs w:val="24"/>
        </w:rPr>
        <w:t>Discussion of Results</w:t>
      </w:r>
    </w:p>
    <w:p w14:paraId="5AB67ED8">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selected food items experienced significant price increases, with the highest increase seen in Spaghetti (50%) and Beans (46.88%).</w:t>
      </w:r>
    </w:p>
    <w:p w14:paraId="796557B8">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general price index (Laspeyres, Paasche, and Fisher) indicates a 36.69% inflation in food prices within one year.</w:t>
      </w:r>
    </w:p>
    <w:p w14:paraId="3817899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increases reflect broader economic challenges such as fuel subsidy removal, naira devaluation, and insecurity in agricultural zones.</w:t>
      </w:r>
    </w:p>
    <w:p w14:paraId="475357D9">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Such inflation significantly affects consumer purchasing power, especially among low-income households who depend heavily on these staples.</w:t>
      </w:r>
    </w:p>
    <w:p w14:paraId="46677CFB">
      <w:pPr>
        <w:spacing w:after="0" w:line="480" w:lineRule="auto"/>
        <w:ind w:left="90" w:firstLine="90"/>
        <w:jc w:val="both"/>
        <w:rPr>
          <w:rFonts w:ascii="Times New Roman" w:hAnsi="Times New Roman" w:cs="Times New Roman"/>
          <w:b/>
          <w:sz w:val="24"/>
          <w:szCs w:val="24"/>
        </w:rPr>
      </w:pPr>
      <w:r>
        <w:rPr>
          <w:b/>
        </w:rPr>
        <w:t xml:space="preserve">4.7 </w:t>
      </w:r>
      <w:r>
        <w:rPr>
          <w:b/>
        </w:rPr>
        <w:tab/>
      </w:r>
      <w:r>
        <w:rPr>
          <w:b/>
        </w:rPr>
        <w:t>Summary</w:t>
      </w:r>
    </w:p>
    <w:p w14:paraId="7D0B5A9C">
      <w:pPr>
        <w:pStyle w:val="33"/>
        <w:spacing w:after="0" w:afterAutospacing="0" w:line="480" w:lineRule="auto"/>
        <w:ind w:left="360"/>
        <w:jc w:val="both"/>
      </w:pPr>
      <w:r>
        <w:t>This chapter presented and analyzed food price data for 2024 and 2025 using three standard price indices. All indicators pointed to a strong inflationary trend, with prices increasing on average by 36.69%. This supports the hypothesis that Nigerian food markets are experiencing sustained upward price pressure, with significant socio-economic implications.</w:t>
      </w:r>
    </w:p>
    <w:p w14:paraId="55510329">
      <w:pPr>
        <w:spacing w:after="0" w:line="480" w:lineRule="auto"/>
        <w:jc w:val="both"/>
        <w:rPr>
          <w:rFonts w:ascii="Times New Roman" w:hAnsi="Times New Roman" w:cs="Times New Roman"/>
          <w:sz w:val="24"/>
          <w:szCs w:val="24"/>
        </w:rPr>
      </w:pPr>
    </w:p>
    <w:p w14:paraId="2197BA29">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020A57C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10A7FE1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61A771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Pr>
          <w:rFonts w:ascii="Times New Roman" w:hAnsi="Times New Roman" w:cs="Times New Roman"/>
          <w:b/>
          <w:sz w:val="24"/>
          <w:szCs w:val="24"/>
        </w:rPr>
        <w:t>Summary of Findings</w:t>
      </w:r>
    </w:p>
    <w:p w14:paraId="152BC6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set out to analyze the price behavior of selected staple food items in Ilorin, Kwara Statespecifically the popular mandate market—over a two-year period (2024 to 2025). The selected items were rice, beans, Garri, semovita, noodles, and spaghetti, all of which are critical to the average Nigerian diet.</w:t>
      </w:r>
    </w:p>
    <w:p w14:paraId="7289C3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Using primary price data collected for the base year (2024) and the current year (2025), the study calculated price changes and applied three classical price indices—Laspeyres, Paasche, and Fisherto determine the degree of food price inflation.</w:t>
      </w:r>
    </w:p>
    <w:p w14:paraId="54E55E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key findings are as follows:</w:t>
      </w:r>
    </w:p>
    <w:p w14:paraId="513093CB">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six food items recorded significant price increases, ranging from 28.57% to 50.00%. The average price increase across all items was 36.69%.</w:t>
      </w:r>
    </w:p>
    <w:p w14:paraId="4C225A77">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Laspeyres Price Index showed a 36.69% increase in price, indicating inflation based on fixed consumption patterns.</w:t>
      </w:r>
    </w:p>
    <w:p w14:paraId="6282C3D0">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Paasche Price Index, which considers current consumption behavior, also returned a 36.69% increase due to the assumption of constant quantity (Q = 1).</w:t>
      </w:r>
    </w:p>
    <w:p w14:paraId="1D025E44">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Fisher Ideal Price Index, a geometric mean of Laspeyres and Paasche, confirmed the inflationary trend with the same value: 136.69.</w:t>
      </w:r>
    </w:p>
    <w:p w14:paraId="216AE7A0">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results reflect strong upward pressure on food prices in Ilorin and by extension, in similar Nigerian urban markets.</w:t>
      </w:r>
    </w:p>
    <w:p w14:paraId="04280DE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Inflation was driven by a variety of macroeconomic and structural factors including fuel price hikes, transport costs, naira depreciation, insecurity, and supply chain inefficiencies.</w:t>
      </w:r>
    </w:p>
    <w:p w14:paraId="384779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Conclusion</w:t>
      </w:r>
    </w:p>
    <w:p w14:paraId="147558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concludes that food prices in Mandate market have experienced substantial inflation between 2024 and 2025. This trend aligns with broader national inflation data but also highlights the unique local challenges faced in regional markets like Ilorin.</w:t>
      </w:r>
    </w:p>
    <w:p w14:paraId="520CCC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application of Laspeyres, Paasche, and Fisher indices has provided a comprehensive and balanced view of the price dynamics. The consistent inflation value across all indices (due to equal quantities) further validates the reliability of the findings and confirms the accuracy of the analytical framework used.</w:t>
      </w:r>
    </w:p>
    <w:p w14:paraId="4B5A99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implications of this persistent food price inflation are far-reaching:</w:t>
      </w:r>
    </w:p>
    <w:p w14:paraId="0EE69417">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erodes the purchasing power of low- and middle-income households.</w:t>
      </w:r>
    </w:p>
    <w:p w14:paraId="1C602C4B">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threatens food security, especially among vulnerable populations.</w:t>
      </w:r>
    </w:p>
    <w:p w14:paraId="1EFC227D">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introduces volatility into retail trade and affects market efficiency.</w:t>
      </w:r>
    </w:p>
    <w:p w14:paraId="6B3A1798">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exposes the limitations of Nigeria’s current inflation management strategies.</w:t>
      </w:r>
    </w:p>
    <w:p w14:paraId="4D4DBB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r>
      <w:r>
        <w:rPr>
          <w:rFonts w:ascii="Times New Roman" w:hAnsi="Times New Roman" w:cs="Times New Roman"/>
          <w:b/>
          <w:sz w:val="24"/>
          <w:szCs w:val="24"/>
        </w:rPr>
        <w:t>Recommendations</w:t>
      </w:r>
    </w:p>
    <w:p w14:paraId="4A884C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and conclusions, the following recommendations are proposed:</w:t>
      </w:r>
    </w:p>
    <w:p w14:paraId="4F195272">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Strengthen Agricultural Infrastructure: Government and stakeholders should invest in improved farming tools, irrigation systems, and storage facilities to reduce seasonal shortages and post-harvest losses.</w:t>
      </w:r>
    </w:p>
    <w:p w14:paraId="1FD1ACB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Improve Market Logistics: There is a need for improved road networks and cheaper transportation alternatives to reduce the cost of moving goods from farms to urban centers.</w:t>
      </w:r>
    </w:p>
    <w:p w14:paraId="437B595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Introduce Market-Level Price Monitoring: Localized inflation tracking should complement national CPI data. State governments and municipal authorities should monitor prices in major markets and publish monthly food price bulletins.</w:t>
      </w:r>
    </w:p>
    <w:p w14:paraId="7875B511">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Implement Targeted Subsidies and Social Support: Subsidies for staple food items (or conditional cash transfers) could be targeted at low-income households to mitigate the impact of food inflation.</w:t>
      </w:r>
    </w:p>
    <w:p w14:paraId="51ECC3A4">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Promote Homegrown and Substitutable Food Options: Consumers should be educated on affordable alternatives to imported or expensive staples. Government campaigns can promote local rice and cassava products, reducing reliance on foreign food items.</w:t>
      </w:r>
    </w:p>
    <w:p w14:paraId="58BFD47B">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Regulate Middlemen Practices: Middlemen often cause price distortions through hoarding and speculation. Regulation and price monitoring in central markets could reduce such practices.</w:t>
      </w:r>
    </w:p>
    <w:p w14:paraId="35406589">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Expand Use of Composite Indices for Policy: Policy-makers should rely on multiple indices—such as Fisher’s Ideal Index—to guide fiscal and food security decisions, as this provides a more nuanced picture of price trends.</w:t>
      </w:r>
    </w:p>
    <w:p w14:paraId="5CCC9B2F">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611B349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2D41A45C">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Adeyemi, A. &amp;Ogunfowokan, O. (2014). Analysis of Price Volatility in the Nigerian Maize Market. Nigerian Journal of Agricultural Economics, 5(2), 45–56.</w:t>
      </w:r>
    </w:p>
    <w:p w14:paraId="1D684F5A">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Aina, T. &amp; Yusuf, S. (2019). Perceptions of Food Affordability in Urban Nigeria: Evidence from Lagos State. International Journal of Consumer Studies, 43(1), 101–110.</w:t>
      </w:r>
    </w:p>
    <w:p w14:paraId="609FBE6A">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Ajala, A. &amp; Adesina, K. (2016). Price Dynamics of Rice in Nigeria: An Empirical Analysis. Journal of African Development, 18(1), 55–70.</w:t>
      </w:r>
    </w:p>
    <w:p w14:paraId="29FB3007">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Alao, M. (2018). On the Choice of Price Indices for Inflation Measurement in Nigeria. Nigerian Journal of Statistics, 30(1), 88–97.</w:t>
      </w:r>
    </w:p>
    <w:p w14:paraId="0C63D2EB">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Bellemare, M. F. (2015). Rising Food Prices, Food Price Volatility, and Social Unrest. American Journal of Agricultural Economics, 97(1), 1–21.</w:t>
      </w:r>
    </w:p>
    <w:p w14:paraId="7EC60EF2">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Central Bank of Nigeria (2024). Monetary Policy Report: Inflation and Exchange Rate Developments. Abuja: CBN Publications.</w:t>
      </w:r>
    </w:p>
    <w:p w14:paraId="65C3E7EA">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Chukwuma, E. &amp; Adeniran, A. (2019). Measuring Inflation in West Africa: The Role of Price Indices. African Economic Policy Review, 8(2), 113–129.</w:t>
      </w:r>
    </w:p>
    <w:p w14:paraId="42518726">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Dawe, D. &amp;Maltsoglou, I. (2012). Rice Price Stabilization in Asia: Recent Experience and Policy Lessons. FAO Commodity Policy and Projections Journal, 4(3), 24–41.</w:t>
      </w:r>
    </w:p>
    <w:p w14:paraId="71CBE682">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Diewert, W. E. (2001). The Consumer Price Index and Index Number Theory: A Survey. Vancouver School of Economics Working Paper Series.</w:t>
      </w:r>
    </w:p>
    <w:p w14:paraId="2F28AB3C">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Ezeaku, H. &amp; Nwachukwu, I. (2020). Border Closure and Food Price Inflation in Nigeria: An Empirical Insight. Nigerian Journal of Economic Policy, 27(2), 78–92.</w:t>
      </w:r>
    </w:p>
    <w:p w14:paraId="0F7E2D9E">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FAO (2017). The State of Food Security and Nutrition in the World. Food and Agriculture Organization of the United Nations.</w:t>
      </w:r>
    </w:p>
    <w:p w14:paraId="201EF162">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14:paraId="32508A6C">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IMF (2021). Nigeria: Selected Issues in Inflation Targeting. International Monetary Fund Country Report No. 21/92.</w:t>
      </w:r>
    </w:p>
    <w:p w14:paraId="0E95E62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Musa, A., Bello, M., &amp; Yusuf, I. (2019). Price Volatility in Nigerian Bean Markets: Causes and Effects. Journal of Agribusiness and Rural Development, 3(1), 56–67.</w:t>
      </w:r>
    </w:p>
    <w:p w14:paraId="1A12552E">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Njenga, M. &amp; Wambugu, J. (2020). Measuring Urban Inflation: A Case Study of Nairobi Using Fisher’s Ideal Index. East African Economic Review, 12(2), 201–219.</w:t>
      </w:r>
    </w:p>
    <w:p w14:paraId="37433CB7">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NBS (2023). National Consumer Price Index Reports. National Bureau of Statistics, Abuja, Nigeria.</w:t>
      </w:r>
    </w:p>
    <w:p w14:paraId="7B9163B4">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Obasi, F. &amp;Uzoho, K. (2021). Price Analysis of Processed Food Items in Southeastern Nigeria. Nigerian Food Policy Journal, 9(1), 34–47.</w:t>
      </w:r>
    </w:p>
    <w:p w14:paraId="7AFC3BB1">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Olayemi, J. K. (2010). Food Price Increases and Household Poverty in Nigeria. Ibadan Journal of Agricultural Economics, 4(2), 75–88.Ogunleye, T. A. (2014). Cost-Push Factors in Nigerian Food Inflation. Central Bank of Nigeria Research Department, Working Paper No. 2014-19.</w:t>
      </w:r>
    </w:p>
    <w:sectPr>
      <w:pgSz w:w="11952" w:h="14688"/>
      <w:pgMar w:top="1440" w:right="1800" w:bottom="1440" w:left="180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1738"/>
      <w:docPartObj>
        <w:docPartGallery w:val="autotext"/>
      </w:docPartObj>
    </w:sdtPr>
    <w:sdtContent>
      <w:p w14:paraId="7F800FE4">
        <w:pPr>
          <w:pStyle w:val="18"/>
          <w:jc w:val="center"/>
        </w:pPr>
        <w:r>
          <w:fldChar w:fldCharType="begin"/>
        </w:r>
        <w:r>
          <w:instrText xml:space="preserve"> PAGE   \* MERGEFORMAT </w:instrText>
        </w:r>
        <w:r>
          <w:fldChar w:fldCharType="separate"/>
        </w:r>
        <w:r>
          <w:t>iv</w:t>
        </w:r>
        <w:r>
          <w:fldChar w:fldCharType="end"/>
        </w:r>
      </w:p>
    </w:sdtContent>
  </w:sdt>
  <w:p w14:paraId="1E73754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6">
    <w:nsid w:val="04E44AE3"/>
    <w:multiLevelType w:val="multilevel"/>
    <w:tmpl w:val="04E44A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4C45651"/>
    <w:multiLevelType w:val="multilevel"/>
    <w:tmpl w:val="14C456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EB8750B"/>
    <w:multiLevelType w:val="multilevel"/>
    <w:tmpl w:val="2EB875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59304F6"/>
    <w:multiLevelType w:val="multilevel"/>
    <w:tmpl w:val="359304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1B41E84"/>
    <w:multiLevelType w:val="multilevel"/>
    <w:tmpl w:val="51B41E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B510237"/>
    <w:multiLevelType w:val="multilevel"/>
    <w:tmpl w:val="5B5102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D850024"/>
    <w:multiLevelType w:val="multilevel"/>
    <w:tmpl w:val="5D8500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CA24037"/>
    <w:multiLevelType w:val="multilevel"/>
    <w:tmpl w:val="6CA24037"/>
    <w:lvl w:ilvl="0" w:tentative="0">
      <w:start w:val="1"/>
      <w:numFmt w:val="decimal"/>
      <w:lvlText w:val="%1"/>
      <w:lvlJc w:val="left"/>
      <w:pPr>
        <w:ind w:left="765" w:hanging="765"/>
      </w:pPr>
      <w:rPr>
        <w:rFonts w:hint="default"/>
      </w:rPr>
    </w:lvl>
    <w:lvl w:ilvl="1" w:tentative="0">
      <w:start w:val="1"/>
      <w:numFmt w:val="decimal"/>
      <w:lvlText w:val="%1.%2"/>
      <w:lvlJc w:val="left"/>
      <w:pPr>
        <w:ind w:left="765" w:hanging="765"/>
      </w:pPr>
      <w:rPr>
        <w:rFonts w:hint="default"/>
      </w:rPr>
    </w:lvl>
    <w:lvl w:ilvl="2" w:tentative="0">
      <w:start w:val="1"/>
      <w:numFmt w:val="decimal"/>
      <w:lvlText w:val="%1.%2.%3"/>
      <w:lvlJc w:val="left"/>
      <w:pPr>
        <w:ind w:left="765" w:hanging="765"/>
      </w:pPr>
      <w:rPr>
        <w:rFonts w:hint="default"/>
      </w:rPr>
    </w:lvl>
    <w:lvl w:ilvl="3" w:tentative="0">
      <w:start w:val="1"/>
      <w:numFmt w:val="decimal"/>
      <w:lvlText w:val="%1.%2.%3.%4"/>
      <w:lvlJc w:val="left"/>
      <w:pPr>
        <w:ind w:left="765" w:hanging="765"/>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78B16FBC"/>
    <w:multiLevelType w:val="multilevel"/>
    <w:tmpl w:val="78B16F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A8F2148"/>
    <w:multiLevelType w:val="multilevel"/>
    <w:tmpl w:val="7A8F21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6"/>
  </w:num>
  <w:num w:numId="9">
    <w:abstractNumId w:val="10"/>
  </w:num>
  <w:num w:numId="10">
    <w:abstractNumId w:val="8"/>
  </w:num>
  <w:num w:numId="11">
    <w:abstractNumId w:val="9"/>
  </w:num>
  <w:num w:numId="12">
    <w:abstractNumId w:val="12"/>
  </w:num>
  <w:num w:numId="13">
    <w:abstractNumId w:val="11"/>
  </w:num>
  <w:num w:numId="14">
    <w:abstractNumId w:val="1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47730"/>
    <w:rsid w:val="00034616"/>
    <w:rsid w:val="0006063C"/>
    <w:rsid w:val="000E043E"/>
    <w:rsid w:val="0015074B"/>
    <w:rsid w:val="00191C9B"/>
    <w:rsid w:val="001B56A1"/>
    <w:rsid w:val="0025411C"/>
    <w:rsid w:val="00272037"/>
    <w:rsid w:val="0027307E"/>
    <w:rsid w:val="00273608"/>
    <w:rsid w:val="00284958"/>
    <w:rsid w:val="002939FB"/>
    <w:rsid w:val="0029639D"/>
    <w:rsid w:val="002C4C91"/>
    <w:rsid w:val="00326F90"/>
    <w:rsid w:val="00390BBB"/>
    <w:rsid w:val="003F5771"/>
    <w:rsid w:val="004635FB"/>
    <w:rsid w:val="00470D6A"/>
    <w:rsid w:val="004B546B"/>
    <w:rsid w:val="004E33AB"/>
    <w:rsid w:val="00545475"/>
    <w:rsid w:val="005A48E6"/>
    <w:rsid w:val="005D78DE"/>
    <w:rsid w:val="005E7980"/>
    <w:rsid w:val="00630B79"/>
    <w:rsid w:val="00662650"/>
    <w:rsid w:val="00696A87"/>
    <w:rsid w:val="006A7408"/>
    <w:rsid w:val="006F3856"/>
    <w:rsid w:val="00724727"/>
    <w:rsid w:val="007712C2"/>
    <w:rsid w:val="0077524D"/>
    <w:rsid w:val="007B3CDD"/>
    <w:rsid w:val="007F7090"/>
    <w:rsid w:val="00834FF0"/>
    <w:rsid w:val="008A2664"/>
    <w:rsid w:val="008D79F3"/>
    <w:rsid w:val="009113CB"/>
    <w:rsid w:val="00967547"/>
    <w:rsid w:val="009E51F4"/>
    <w:rsid w:val="00A77F0B"/>
    <w:rsid w:val="00A8531F"/>
    <w:rsid w:val="00AA08AC"/>
    <w:rsid w:val="00AA1D8D"/>
    <w:rsid w:val="00B20F83"/>
    <w:rsid w:val="00B24C92"/>
    <w:rsid w:val="00B32954"/>
    <w:rsid w:val="00B47730"/>
    <w:rsid w:val="00B60BEC"/>
    <w:rsid w:val="00B62809"/>
    <w:rsid w:val="00B65800"/>
    <w:rsid w:val="00B6692F"/>
    <w:rsid w:val="00C107F9"/>
    <w:rsid w:val="00C272E1"/>
    <w:rsid w:val="00CB0664"/>
    <w:rsid w:val="00CE5198"/>
    <w:rsid w:val="00CF389B"/>
    <w:rsid w:val="00DB7D1C"/>
    <w:rsid w:val="00DF5646"/>
    <w:rsid w:val="00EB1A49"/>
    <w:rsid w:val="00EC40CD"/>
    <w:rsid w:val="00F0016B"/>
    <w:rsid w:val="00F65B8B"/>
    <w:rsid w:val="00F87128"/>
    <w:rsid w:val="00FC693F"/>
    <w:rsid w:val="00FF4A1E"/>
    <w:rsid w:val="0B0326A5"/>
    <w:rsid w:val="12AC5656"/>
    <w:rsid w:val="6C2967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16">
    <w:name w:val="Colorful Shading Accent 1"/>
    <w:basedOn w:val="12"/>
    <w:qFormat/>
    <w:uiPriority w:val="71"/>
    <w:pPr>
      <w:spacing w:after="0" w:line="240" w:lineRule="auto"/>
    </w:pPr>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117">
    <w:name w:val="Colorful Shading Accent 2"/>
    <w:basedOn w:val="12"/>
    <w:qFormat/>
    <w:uiPriority w:val="71"/>
    <w:pPr>
      <w:spacing w:after="0" w:line="240" w:lineRule="auto"/>
    </w:pPr>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18">
    <w:name w:val="Colorful Shading Accent 3"/>
    <w:basedOn w:val="12"/>
    <w:qFormat/>
    <w:uiPriority w:val="71"/>
    <w:pPr>
      <w:spacing w:after="0" w:line="240" w:lineRule="auto"/>
    </w:pPr>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0">
    <w:name w:val="Colorful Shading Accent 5"/>
    <w:basedOn w:val="12"/>
    <w:qFormat/>
    <w:uiPriority w:val="71"/>
    <w:pPr>
      <w:spacing w:after="0" w:line="240" w:lineRule="auto"/>
    </w:pPr>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1">
    <w:name w:val="Colorful Shading Accent 6"/>
    <w:basedOn w:val="12"/>
    <w:qFormat/>
    <w:uiPriority w:val="71"/>
    <w:pPr>
      <w:spacing w:after="0" w:line="240" w:lineRule="auto"/>
    </w:pPr>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22">
    <w:name w:val="Colorful List"/>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rPr>
  </w:style>
  <w:style w:type="character" w:customStyle="1" w:styleId="142">
    <w:name w:val="Title Char"/>
    <w:basedOn w:val="11"/>
    <w:link w:val="37"/>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rPr>
  </w:style>
  <w:style w:type="character" w:customStyle="1" w:styleId="150">
    <w:name w:val="Quote Char"/>
    <w:basedOn w:val="11"/>
    <w:link w:val="149"/>
    <w:qFormat/>
    <w:uiPriority w:val="29"/>
    <w:rPr>
      <w:i/>
      <w:iCs/>
      <w:color w:val="000000" w:themeColor="text1"/>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rPr>
  </w:style>
  <w:style w:type="character" w:customStyle="1" w:styleId="152">
    <w:name w:val="Heading 5 Char"/>
    <w:basedOn w:val="11"/>
    <w:link w:val="6"/>
    <w:semiHidden/>
    <w:qFormat/>
    <w:uiPriority w:val="9"/>
    <w:rPr>
      <w:rFonts w:asciiTheme="majorHAnsi" w:hAnsiTheme="majorHAnsi" w:eastAsiaTheme="majorEastAsia" w:cstheme="majorBidi"/>
      <w:color w:val="243F61" w:themeColor="accent1" w:themeShade="7F"/>
    </w:rPr>
  </w:style>
  <w:style w:type="character" w:customStyle="1" w:styleId="153">
    <w:name w:val="Heading 6 Char"/>
    <w:basedOn w:val="11"/>
    <w:link w:val="7"/>
    <w:semiHidden/>
    <w:qFormat/>
    <w:uiPriority w:val="9"/>
    <w:rPr>
      <w:rFonts w:asciiTheme="majorHAnsi" w:hAnsiTheme="majorHAnsi" w:eastAsiaTheme="majorEastAsia" w:cstheme="majorBidi"/>
      <w:i/>
      <w:iCs/>
      <w:color w:val="243F61" w:themeColor="accent1" w:themeShade="7F"/>
    </w:rPr>
  </w:style>
  <w:style w:type="character" w:customStyle="1" w:styleId="154">
    <w:name w:val="Heading 7 Char"/>
    <w:basedOn w:val="11"/>
    <w:link w:val="8"/>
    <w:semiHidden/>
    <w:qFormat/>
    <w:uiPriority w:val="9"/>
    <w:rPr>
      <w:rFonts w:asciiTheme="majorHAnsi" w:hAnsiTheme="majorHAnsi" w:eastAsiaTheme="majorEastAsia" w:cstheme="majorBidi"/>
      <w:i/>
      <w:iCs/>
      <w:color w:val="3F3F3F" w:themeColor="text1" w:themeTint="BF"/>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rPr>
  </w:style>
  <w:style w:type="character" w:customStyle="1" w:styleId="156">
    <w:name w:val="Heading 9 Char"/>
    <w:basedOn w:val="11"/>
    <w:link w:val="10"/>
    <w:semiHidden/>
    <w:qFormat/>
    <w:uiPriority w:val="9"/>
    <w:rPr>
      <w:rFonts w:asciiTheme="majorHAnsi" w:hAnsiTheme="majorHAnsi" w:eastAsiaTheme="majorEastAsia" w:cstheme="majorBidi"/>
      <w:i/>
      <w:iCs/>
      <w:color w:val="3F3F3F" w:themeColor="text1" w:themeTint="BF"/>
      <w:sz w:val="20"/>
      <w:szCs w:val="20"/>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158">
    <w:name w:val="Intense Quote Char"/>
    <w:basedOn w:val="11"/>
    <w:link w:val="157"/>
    <w:qFormat/>
    <w:uiPriority w:val="30"/>
    <w:rPr>
      <w:b/>
      <w:bCs/>
      <w:i/>
      <w:iCs/>
      <w:color w:val="4F81BD" w:themeColor="accent1"/>
    </w:rPr>
  </w:style>
  <w:style w:type="character" w:customStyle="1" w:styleId="159">
    <w:name w:val="Subtle Emphasis"/>
    <w:basedOn w:val="11"/>
    <w:qFormat/>
    <w:uiPriority w:val="19"/>
    <w:rPr>
      <w:i/>
      <w:iCs/>
      <w:color w:val="7F7F7F" w:themeColor="text1" w:themeTint="7F"/>
    </w:rPr>
  </w:style>
  <w:style w:type="character" w:customStyle="1" w:styleId="160">
    <w:name w:val="Intense Emphasis"/>
    <w:basedOn w:val="11"/>
    <w:qFormat/>
    <w:uiPriority w:val="21"/>
    <w:rPr>
      <w:b/>
      <w:bCs/>
      <w:i/>
      <w:iCs/>
      <w:color w:val="4F81BD" w:themeColor="accent1"/>
    </w:rPr>
  </w:style>
  <w:style w:type="character" w:customStyle="1" w:styleId="161">
    <w:name w:val="Subtle Reference"/>
    <w:basedOn w:val="11"/>
    <w:qFormat/>
    <w:uiPriority w:val="31"/>
    <w:rPr>
      <w:smallCaps/>
      <w:color w:val="C0504D" w:themeColor="accent2"/>
      <w:u w:val="single"/>
    </w:rPr>
  </w:style>
  <w:style w:type="character" w:customStyle="1" w:styleId="162">
    <w:name w:val="Intense Reference"/>
    <w:basedOn w:val="11"/>
    <w:qFormat/>
    <w:uiPriority w:val="32"/>
    <w:rPr>
      <w:b/>
      <w:bCs/>
      <w:smallCaps/>
      <w:color w:val="C0504D" w:themeColor="accent2"/>
      <w:spacing w:val="5"/>
      <w:u w:val="single"/>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3F32-76DD-4114-B3FF-0F8F5D58C5D8}">
  <ds:schemaRefs/>
</ds:datastoreItem>
</file>

<file path=docProps/app.xml><?xml version="1.0" encoding="utf-8"?>
<Properties xmlns="http://schemas.openxmlformats.org/officeDocument/2006/extended-properties" xmlns:vt="http://schemas.openxmlformats.org/officeDocument/2006/docPropsVTypes">
  <Template>Normal</Template>
  <Pages>40</Pages>
  <Words>6404</Words>
  <Characters>36506</Characters>
  <Lines>304</Lines>
  <Paragraphs>85</Paragraphs>
  <TotalTime>664</TotalTime>
  <ScaleCrop>false</ScaleCrop>
  <LinksUpToDate>false</LinksUpToDate>
  <CharactersWithSpaces>42825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USER</cp:lastModifiedBy>
  <cp:lastPrinted>2025-07-16T13:40:00Z</cp:lastPrinted>
  <dcterms:modified xsi:type="dcterms:W3CDTF">2025-07-17T10:16:44Z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33A099AA07104CBC8942BBF13CC83528_12</vt:lpwstr>
  </property>
</Properties>
</file>