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49B1973" w14:textId="170121AD" w:rsidR="001E2CEA" w:rsidRPr="001E2CEA" w:rsidRDefault="006D67C7" w:rsidP="00477545">
      <w:pPr>
        <w:spacing w:line="240" w:lineRule="auto"/>
        <w:ind w:firstLine="720"/>
        <w:jc w:val="center"/>
        <w:rPr>
          <w:rFonts w:ascii="Cambria" w:hAnsi="Cambria" w:cs="Times New Roman"/>
          <w:b/>
          <w:bCs/>
          <w:sz w:val="40"/>
          <w:szCs w:val="40"/>
        </w:rPr>
      </w:pPr>
      <w:r>
        <w:rPr>
          <w:rFonts w:ascii="Cambria" w:hAnsi="Cambria" w:cs="Times New Roman"/>
          <w:b/>
          <w:bCs/>
          <w:sz w:val="40"/>
          <w:szCs w:val="40"/>
        </w:rPr>
        <w:t>AJARAT UNEKWUOJO SHAFII</w:t>
      </w:r>
    </w:p>
    <w:p w14:paraId="2EFC426B" w14:textId="6F0D2706" w:rsidR="00741285" w:rsidRPr="00477545" w:rsidRDefault="001E2CEA" w:rsidP="001E2CEA">
      <w:pPr>
        <w:spacing w:line="240" w:lineRule="auto"/>
        <w:ind w:left="2880"/>
        <w:rPr>
          <w:rFonts w:ascii="Cambria" w:hAnsi="Cambria" w:cs="Times New Roman"/>
          <w:b/>
          <w:bCs/>
          <w:sz w:val="28"/>
          <w:szCs w:val="24"/>
        </w:rPr>
      </w:pPr>
      <w:r>
        <w:rPr>
          <w:rFonts w:ascii="Cambria" w:hAnsi="Cambria" w:cs="Times New Roman"/>
          <w:b/>
          <w:bCs/>
          <w:sz w:val="32"/>
          <w:szCs w:val="28"/>
        </w:rPr>
        <w:t xml:space="preserve">     </w:t>
      </w:r>
      <w:r w:rsidRPr="001E2CEA">
        <w:rPr>
          <w:rFonts w:ascii="Cambria" w:hAnsi="Cambria" w:cs="Times New Roman"/>
          <w:b/>
          <w:bCs/>
          <w:sz w:val="32"/>
          <w:szCs w:val="28"/>
        </w:rPr>
        <w:t>HND/23/SLT/FT/0</w:t>
      </w:r>
      <w:r w:rsidR="001048D0">
        <w:rPr>
          <w:rFonts w:ascii="Cambria" w:hAnsi="Cambria" w:cs="Times New Roman"/>
          <w:b/>
          <w:bCs/>
          <w:sz w:val="32"/>
          <w:szCs w:val="28"/>
        </w:rPr>
        <w:t>149</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Pr="001E2CEA" w:rsidRDefault="00261A93" w:rsidP="006B1446">
      <w:pPr>
        <w:spacing w:line="240" w:lineRule="auto"/>
        <w:jc w:val="center"/>
        <w:rPr>
          <w:rFonts w:ascii="Cambria" w:hAnsi="Cambria" w:cs="Times New Roman"/>
          <w:b/>
          <w:bCs/>
          <w:sz w:val="12"/>
          <w:szCs w:val="8"/>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743C4FCC" w14:textId="77777777" w:rsidR="005A4F96" w:rsidRDefault="005A4F96" w:rsidP="00477545">
      <w:pPr>
        <w:spacing w:line="360" w:lineRule="auto"/>
        <w:jc w:val="center"/>
        <w:rPr>
          <w:rFonts w:ascii="Times New Roman" w:hAnsi="Times New Roman" w:cs="Times New Roman"/>
          <w:b/>
          <w:bCs/>
          <w:sz w:val="24"/>
          <w:szCs w:val="24"/>
        </w:rPr>
      </w:pPr>
    </w:p>
    <w:p w14:paraId="28BF486B" w14:textId="77777777" w:rsidR="005A4F96" w:rsidRDefault="005A4F96" w:rsidP="00477545">
      <w:pPr>
        <w:spacing w:line="360" w:lineRule="auto"/>
        <w:jc w:val="center"/>
        <w:rPr>
          <w:rFonts w:ascii="Times New Roman" w:hAnsi="Times New Roman" w:cs="Times New Roman"/>
          <w:b/>
          <w:bCs/>
          <w:sz w:val="24"/>
          <w:szCs w:val="24"/>
        </w:rPr>
      </w:pPr>
    </w:p>
    <w:p w14:paraId="2BF72063" w14:textId="77777777" w:rsidR="005A4F96" w:rsidRDefault="005A4F96" w:rsidP="00477545">
      <w:pPr>
        <w:spacing w:line="360" w:lineRule="auto"/>
        <w:jc w:val="center"/>
        <w:rPr>
          <w:rFonts w:ascii="Times New Roman" w:hAnsi="Times New Roman" w:cs="Times New Roman"/>
          <w:b/>
          <w:bCs/>
          <w:sz w:val="24"/>
          <w:szCs w:val="24"/>
        </w:rPr>
      </w:pPr>
    </w:p>
    <w:p w14:paraId="64CBA6D0" w14:textId="77777777" w:rsidR="005A4F96" w:rsidRDefault="005A4F96" w:rsidP="00477545">
      <w:pPr>
        <w:spacing w:line="360" w:lineRule="auto"/>
        <w:jc w:val="center"/>
        <w:rPr>
          <w:rFonts w:ascii="Times New Roman" w:hAnsi="Times New Roman" w:cs="Times New Roman"/>
          <w:b/>
          <w:bCs/>
          <w:sz w:val="24"/>
          <w:szCs w:val="24"/>
        </w:rPr>
      </w:pPr>
    </w:p>
    <w:p w14:paraId="15E89DAE" w14:textId="42A23B59"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proofErr w:type="spellStart"/>
      <w:r w:rsidR="006B1446" w:rsidRPr="006B1446">
        <w:rPr>
          <w:rFonts w:ascii="Times New Roman" w:hAnsi="Times New Roman" w:cs="Times New Roman"/>
          <w:sz w:val="24"/>
          <w:szCs w:val="24"/>
        </w:rPr>
        <w:t>Kwara</w:t>
      </w:r>
      <w:proofErr w:type="spellEnd"/>
      <w:r w:rsidR="006B1446" w:rsidRPr="006B1446">
        <w:rPr>
          <w:rFonts w:ascii="Times New Roman" w:hAnsi="Times New Roman" w:cs="Times New Roman"/>
          <w:sz w:val="24"/>
          <w:szCs w:val="24"/>
        </w:rPr>
        <w:t xml:space="preserve">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179A729B" w14:textId="77777777" w:rsidR="006C2267" w:rsidRDefault="00563B4A"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w:t>
      </w:r>
      <w:r w:rsidR="00280FD8">
        <w:rPr>
          <w:rFonts w:ascii="Times New Roman" w:hAnsi="Times New Roman" w:cs="Times New Roman"/>
          <w:sz w:val="24"/>
          <w:szCs w:val="24"/>
        </w:rPr>
        <w:t xml:space="preserve">project to Almighty God for </w:t>
      </w:r>
      <w:r w:rsidR="00943F57">
        <w:rPr>
          <w:rFonts w:ascii="Times New Roman" w:hAnsi="Times New Roman" w:cs="Times New Roman"/>
          <w:sz w:val="24"/>
          <w:szCs w:val="24"/>
        </w:rPr>
        <w:t xml:space="preserve">his unending grace </w:t>
      </w:r>
      <w:r w:rsidR="00E631A7">
        <w:rPr>
          <w:rFonts w:ascii="Times New Roman" w:hAnsi="Times New Roman" w:cs="Times New Roman"/>
          <w:sz w:val="24"/>
          <w:szCs w:val="24"/>
        </w:rPr>
        <w:t xml:space="preserve">and strength </w:t>
      </w:r>
      <w:r w:rsidR="00EB753C">
        <w:rPr>
          <w:rFonts w:ascii="Times New Roman" w:hAnsi="Times New Roman" w:cs="Times New Roman"/>
          <w:sz w:val="24"/>
          <w:szCs w:val="24"/>
        </w:rPr>
        <w:t>throughout</w:t>
      </w:r>
      <w:r w:rsidR="007052A8">
        <w:rPr>
          <w:rFonts w:ascii="Times New Roman" w:hAnsi="Times New Roman" w:cs="Times New Roman"/>
          <w:sz w:val="24"/>
          <w:szCs w:val="24"/>
        </w:rPr>
        <w:t xml:space="preserve"> this journey</w:t>
      </w:r>
      <w:r w:rsidR="00F02994">
        <w:rPr>
          <w:rFonts w:ascii="Times New Roman" w:hAnsi="Times New Roman" w:cs="Times New Roman"/>
          <w:sz w:val="24"/>
          <w:szCs w:val="24"/>
        </w:rPr>
        <w:t xml:space="preserve">. And to my </w:t>
      </w:r>
      <w:r w:rsidR="005E35CD">
        <w:rPr>
          <w:rFonts w:ascii="Times New Roman" w:hAnsi="Times New Roman" w:cs="Times New Roman"/>
          <w:sz w:val="24"/>
          <w:szCs w:val="24"/>
        </w:rPr>
        <w:t xml:space="preserve">loving parents for their </w:t>
      </w:r>
      <w:r w:rsidR="003B257C">
        <w:rPr>
          <w:rFonts w:ascii="Times New Roman" w:hAnsi="Times New Roman" w:cs="Times New Roman"/>
          <w:sz w:val="24"/>
          <w:szCs w:val="24"/>
        </w:rPr>
        <w:t xml:space="preserve">constant support and </w:t>
      </w:r>
      <w:r w:rsidR="00486609">
        <w:rPr>
          <w:rFonts w:ascii="Times New Roman" w:hAnsi="Times New Roman" w:cs="Times New Roman"/>
          <w:sz w:val="24"/>
          <w:szCs w:val="24"/>
        </w:rPr>
        <w:t xml:space="preserve">prayers, and to my dearest </w:t>
      </w:r>
      <w:r w:rsidR="00225F6C">
        <w:rPr>
          <w:rFonts w:ascii="Times New Roman" w:hAnsi="Times New Roman" w:cs="Times New Roman"/>
          <w:sz w:val="24"/>
          <w:szCs w:val="24"/>
        </w:rPr>
        <w:t xml:space="preserve">sister, whose unwavering </w:t>
      </w:r>
      <w:r w:rsidR="00254B68">
        <w:rPr>
          <w:rFonts w:ascii="Times New Roman" w:hAnsi="Times New Roman" w:cs="Times New Roman"/>
          <w:sz w:val="24"/>
          <w:szCs w:val="24"/>
        </w:rPr>
        <w:t xml:space="preserve">support made this </w:t>
      </w:r>
      <w:r w:rsidR="00B25861">
        <w:rPr>
          <w:rFonts w:ascii="Times New Roman" w:hAnsi="Times New Roman" w:cs="Times New Roman"/>
          <w:sz w:val="24"/>
          <w:szCs w:val="24"/>
        </w:rPr>
        <w:t>academic journey possible</w:t>
      </w:r>
      <w:r w:rsidR="006C2267">
        <w:rPr>
          <w:rFonts w:ascii="Times New Roman" w:hAnsi="Times New Roman" w:cs="Times New Roman"/>
          <w:sz w:val="24"/>
          <w:szCs w:val="24"/>
        </w:rPr>
        <w:t>.</w:t>
      </w:r>
    </w:p>
    <w:p w14:paraId="7B789079" w14:textId="22086EDC" w:rsidR="004F5033" w:rsidRDefault="006C2267"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also dedicate this </w:t>
      </w:r>
      <w:r w:rsidR="003F69B6">
        <w:rPr>
          <w:rFonts w:ascii="Times New Roman" w:hAnsi="Times New Roman" w:cs="Times New Roman"/>
          <w:sz w:val="24"/>
          <w:szCs w:val="24"/>
        </w:rPr>
        <w:t>work to my wonderful</w:t>
      </w:r>
      <w:r w:rsidR="00360C66">
        <w:rPr>
          <w:rFonts w:ascii="Times New Roman" w:hAnsi="Times New Roman" w:cs="Times New Roman"/>
          <w:sz w:val="24"/>
          <w:szCs w:val="24"/>
        </w:rPr>
        <w:t xml:space="preserve"> friends, who stood </w:t>
      </w:r>
      <w:r w:rsidR="004C7679">
        <w:rPr>
          <w:rFonts w:ascii="Times New Roman" w:hAnsi="Times New Roman" w:cs="Times New Roman"/>
          <w:sz w:val="24"/>
          <w:szCs w:val="24"/>
        </w:rPr>
        <w:t xml:space="preserve">by me </w:t>
      </w:r>
      <w:r w:rsidR="00D340BD">
        <w:rPr>
          <w:rFonts w:ascii="Times New Roman" w:hAnsi="Times New Roman" w:cs="Times New Roman"/>
          <w:sz w:val="24"/>
          <w:szCs w:val="24"/>
        </w:rPr>
        <w:t>through</w:t>
      </w:r>
      <w:r w:rsidR="004C7679">
        <w:rPr>
          <w:rFonts w:ascii="Times New Roman" w:hAnsi="Times New Roman" w:cs="Times New Roman"/>
          <w:sz w:val="24"/>
          <w:szCs w:val="24"/>
        </w:rPr>
        <w:t xml:space="preserve"> thick and thin</w:t>
      </w:r>
      <w:r w:rsidR="00482A04">
        <w:rPr>
          <w:rFonts w:ascii="Times New Roman" w:hAnsi="Times New Roman" w:cs="Times New Roman"/>
          <w:sz w:val="24"/>
          <w:szCs w:val="24"/>
        </w:rPr>
        <w:t>.</w:t>
      </w:r>
    </w:p>
    <w:p w14:paraId="3891BFAB" w14:textId="7101B2C1" w:rsidR="00482A04" w:rsidRDefault="00482A04"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Finally</w:t>
      </w:r>
      <w:r w:rsidR="00CA368C">
        <w:rPr>
          <w:rFonts w:ascii="Times New Roman" w:hAnsi="Times New Roman" w:cs="Times New Roman"/>
          <w:sz w:val="24"/>
          <w:szCs w:val="24"/>
        </w:rPr>
        <w:t xml:space="preserve">, </w:t>
      </w:r>
      <w:r>
        <w:rPr>
          <w:rFonts w:ascii="Times New Roman" w:hAnsi="Times New Roman" w:cs="Times New Roman"/>
          <w:sz w:val="24"/>
          <w:szCs w:val="24"/>
        </w:rPr>
        <w:t>this project is dedi</w:t>
      </w:r>
      <w:r w:rsidR="00391D66">
        <w:rPr>
          <w:rFonts w:ascii="Times New Roman" w:hAnsi="Times New Roman" w:cs="Times New Roman"/>
          <w:sz w:val="24"/>
          <w:szCs w:val="24"/>
        </w:rPr>
        <w:t>cated</w:t>
      </w:r>
      <w:r w:rsidR="0094176C">
        <w:rPr>
          <w:rFonts w:ascii="Times New Roman" w:hAnsi="Times New Roman" w:cs="Times New Roman"/>
          <w:sz w:val="24"/>
          <w:szCs w:val="24"/>
        </w:rPr>
        <w:t xml:space="preserve"> to the entire Biochemistry</w:t>
      </w:r>
      <w:r w:rsidR="005971E7">
        <w:rPr>
          <w:rFonts w:ascii="Times New Roman" w:hAnsi="Times New Roman" w:cs="Times New Roman"/>
          <w:sz w:val="24"/>
          <w:szCs w:val="24"/>
        </w:rPr>
        <w:t xml:space="preserve"> Unit, for being part of </w:t>
      </w:r>
      <w:r w:rsidR="008C79D8">
        <w:rPr>
          <w:rFonts w:ascii="Times New Roman" w:hAnsi="Times New Roman" w:cs="Times New Roman"/>
          <w:sz w:val="24"/>
          <w:szCs w:val="24"/>
        </w:rPr>
        <w:t>my academic</w:t>
      </w:r>
      <w:r w:rsidR="00084443">
        <w:rPr>
          <w:rFonts w:ascii="Times New Roman" w:hAnsi="Times New Roman" w:cs="Times New Roman"/>
          <w:sz w:val="24"/>
          <w:szCs w:val="24"/>
        </w:rPr>
        <w:t xml:space="preserve"> growth.</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7B388E42" w14:textId="77777777" w:rsidR="00335CDA" w:rsidRDefault="00D40F72"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I would like to express my sincere</w:t>
      </w:r>
      <w:r w:rsidR="00650E02">
        <w:rPr>
          <w:rFonts w:ascii="Times New Roman" w:hAnsi="Times New Roman" w:cs="Times New Roman"/>
          <w:sz w:val="24"/>
          <w:szCs w:val="24"/>
        </w:rPr>
        <w:t xml:space="preserve"> gratitude to all those</w:t>
      </w:r>
      <w:r w:rsidR="00335CDA">
        <w:rPr>
          <w:rFonts w:ascii="Times New Roman" w:hAnsi="Times New Roman" w:cs="Times New Roman"/>
          <w:sz w:val="24"/>
          <w:szCs w:val="24"/>
        </w:rPr>
        <w:t xml:space="preserve"> who contributed to the successful completion of this project</w:t>
      </w:r>
      <w:r w:rsidR="00650E02">
        <w:rPr>
          <w:rFonts w:ascii="Times New Roman" w:hAnsi="Times New Roman" w:cs="Times New Roman"/>
          <w:sz w:val="24"/>
          <w:szCs w:val="24"/>
        </w:rPr>
        <w:t xml:space="preserve"> </w:t>
      </w:r>
    </w:p>
    <w:p w14:paraId="150C5D29" w14:textId="226FC251" w:rsidR="007C1988" w:rsidRDefault="007420A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I extend my deepest appreciation to my supervisor, Mrs. E. O, Amira, for her invaluable guidance, </w:t>
      </w:r>
      <w:r w:rsidR="00E22023">
        <w:rPr>
          <w:rFonts w:ascii="Times New Roman" w:hAnsi="Times New Roman" w:cs="Times New Roman"/>
          <w:sz w:val="24"/>
          <w:szCs w:val="24"/>
        </w:rPr>
        <w:t>constant support, and encouragement</w:t>
      </w:r>
      <w:r w:rsidR="005C7DCC">
        <w:rPr>
          <w:rFonts w:ascii="Times New Roman" w:hAnsi="Times New Roman" w:cs="Times New Roman"/>
          <w:sz w:val="24"/>
          <w:szCs w:val="24"/>
        </w:rPr>
        <w:t xml:space="preserve"> throughout the duration of this project. Her insightful feedback and dedication played </w:t>
      </w:r>
      <w:r w:rsidR="002A56B0">
        <w:rPr>
          <w:rFonts w:ascii="Times New Roman" w:hAnsi="Times New Roman" w:cs="Times New Roman"/>
          <w:sz w:val="24"/>
          <w:szCs w:val="24"/>
        </w:rPr>
        <w:t>a pivotal role in shaping the outcome of this work</w:t>
      </w:r>
      <w:r w:rsidR="007563E0">
        <w:rPr>
          <w:rFonts w:ascii="Times New Roman" w:hAnsi="Times New Roman" w:cs="Times New Roman"/>
          <w:sz w:val="24"/>
          <w:szCs w:val="24"/>
        </w:rPr>
        <w:t>.</w:t>
      </w:r>
    </w:p>
    <w:p w14:paraId="347E6668" w14:textId="7181B29F" w:rsidR="007563E0" w:rsidRDefault="007563E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I am also grateful to the entire staff of the Department</w:t>
      </w:r>
      <w:r w:rsidR="00657423">
        <w:rPr>
          <w:rFonts w:ascii="Times New Roman" w:hAnsi="Times New Roman" w:cs="Times New Roman"/>
          <w:sz w:val="24"/>
          <w:szCs w:val="24"/>
        </w:rPr>
        <w:t xml:space="preserve"> of Science Laboratory</w:t>
      </w:r>
      <w:r>
        <w:rPr>
          <w:rFonts w:ascii="Times New Roman" w:hAnsi="Times New Roman" w:cs="Times New Roman"/>
          <w:sz w:val="24"/>
          <w:szCs w:val="24"/>
        </w:rPr>
        <w:t xml:space="preserve"> </w:t>
      </w:r>
      <w:r w:rsidR="00F61B28">
        <w:rPr>
          <w:rFonts w:ascii="Times New Roman" w:hAnsi="Times New Roman" w:cs="Times New Roman"/>
          <w:sz w:val="24"/>
          <w:szCs w:val="24"/>
        </w:rPr>
        <w:t>Technology, Biochemistry</w:t>
      </w:r>
      <w:r w:rsidR="008E4DEF">
        <w:rPr>
          <w:rFonts w:ascii="Times New Roman" w:hAnsi="Times New Roman" w:cs="Times New Roman"/>
          <w:sz w:val="24"/>
          <w:szCs w:val="24"/>
        </w:rPr>
        <w:t xml:space="preserve"> Unit</w:t>
      </w:r>
      <w:r w:rsidR="000D14A9">
        <w:rPr>
          <w:rFonts w:ascii="Times New Roman" w:hAnsi="Times New Roman" w:cs="Times New Roman"/>
          <w:sz w:val="24"/>
          <w:szCs w:val="24"/>
        </w:rPr>
        <w:t xml:space="preserve">, for providing the academic foundation and resources </w:t>
      </w:r>
      <w:r w:rsidR="00CF4771">
        <w:rPr>
          <w:rFonts w:ascii="Times New Roman" w:hAnsi="Times New Roman" w:cs="Times New Roman"/>
          <w:sz w:val="24"/>
          <w:szCs w:val="24"/>
        </w:rPr>
        <w:t>necessary to carry</w:t>
      </w:r>
      <w:r w:rsidR="002A5947">
        <w:rPr>
          <w:rFonts w:ascii="Times New Roman" w:hAnsi="Times New Roman" w:cs="Times New Roman"/>
          <w:sz w:val="24"/>
          <w:szCs w:val="24"/>
        </w:rPr>
        <w:t xml:space="preserve"> out </w:t>
      </w:r>
      <w:r w:rsidR="003F3AFE">
        <w:rPr>
          <w:rFonts w:ascii="Times New Roman" w:hAnsi="Times New Roman" w:cs="Times New Roman"/>
          <w:sz w:val="24"/>
          <w:szCs w:val="24"/>
        </w:rPr>
        <w:t>this project effectively.</w:t>
      </w:r>
    </w:p>
    <w:p w14:paraId="17AE71E7" w14:textId="34E20F21" w:rsidR="00792C1C" w:rsidRDefault="00792C1C"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A special thanks</w:t>
      </w:r>
      <w:r w:rsidR="006217D5">
        <w:rPr>
          <w:rFonts w:ascii="Times New Roman" w:hAnsi="Times New Roman" w:cs="Times New Roman"/>
          <w:sz w:val="24"/>
          <w:szCs w:val="24"/>
        </w:rPr>
        <w:t xml:space="preserve"> goes to my beloved parents</w:t>
      </w:r>
      <w:r w:rsidR="006B0CD0">
        <w:rPr>
          <w:rFonts w:ascii="Times New Roman" w:hAnsi="Times New Roman" w:cs="Times New Roman"/>
          <w:sz w:val="24"/>
          <w:szCs w:val="24"/>
        </w:rPr>
        <w:t xml:space="preserve"> for their</w:t>
      </w:r>
      <w:r w:rsidR="00F563E7">
        <w:rPr>
          <w:rFonts w:ascii="Times New Roman" w:hAnsi="Times New Roman" w:cs="Times New Roman"/>
          <w:sz w:val="24"/>
          <w:szCs w:val="24"/>
        </w:rPr>
        <w:t xml:space="preserve"> unwavering love</w:t>
      </w:r>
      <w:r w:rsidR="00A8672C">
        <w:rPr>
          <w:rFonts w:ascii="Times New Roman" w:hAnsi="Times New Roman" w:cs="Times New Roman"/>
          <w:sz w:val="24"/>
          <w:szCs w:val="24"/>
        </w:rPr>
        <w:t xml:space="preserve">, prayers, </w:t>
      </w:r>
      <w:r w:rsidR="00524B7B">
        <w:rPr>
          <w:rFonts w:ascii="Times New Roman" w:hAnsi="Times New Roman" w:cs="Times New Roman"/>
          <w:sz w:val="24"/>
          <w:szCs w:val="24"/>
        </w:rPr>
        <w:t>and fina</w:t>
      </w:r>
      <w:r w:rsidR="005E5EDC">
        <w:rPr>
          <w:rFonts w:ascii="Times New Roman" w:hAnsi="Times New Roman" w:cs="Times New Roman"/>
          <w:sz w:val="24"/>
          <w:szCs w:val="24"/>
        </w:rPr>
        <w:t>n</w:t>
      </w:r>
      <w:r w:rsidR="00524B7B">
        <w:rPr>
          <w:rFonts w:ascii="Times New Roman" w:hAnsi="Times New Roman" w:cs="Times New Roman"/>
          <w:sz w:val="24"/>
          <w:szCs w:val="24"/>
        </w:rPr>
        <w:t>cial</w:t>
      </w:r>
      <w:r w:rsidR="008C2BDD">
        <w:rPr>
          <w:rFonts w:ascii="Times New Roman" w:hAnsi="Times New Roman" w:cs="Times New Roman"/>
          <w:sz w:val="24"/>
          <w:szCs w:val="24"/>
        </w:rPr>
        <w:t xml:space="preserve"> and emotional support</w:t>
      </w:r>
      <w:r w:rsidR="00002313">
        <w:rPr>
          <w:rFonts w:ascii="Times New Roman" w:hAnsi="Times New Roman" w:cs="Times New Roman"/>
          <w:sz w:val="24"/>
          <w:szCs w:val="24"/>
        </w:rPr>
        <w:t>. Their encouragement</w:t>
      </w:r>
      <w:r w:rsidR="00EB2A4F">
        <w:rPr>
          <w:rFonts w:ascii="Times New Roman" w:hAnsi="Times New Roman" w:cs="Times New Roman"/>
          <w:sz w:val="24"/>
          <w:szCs w:val="24"/>
        </w:rPr>
        <w:t xml:space="preserve"> has been a constant</w:t>
      </w:r>
      <w:r w:rsidR="00813BE4">
        <w:rPr>
          <w:rFonts w:ascii="Times New Roman" w:hAnsi="Times New Roman" w:cs="Times New Roman"/>
          <w:sz w:val="24"/>
          <w:szCs w:val="24"/>
        </w:rPr>
        <w:t xml:space="preserve"> source of strength and </w:t>
      </w:r>
      <w:r w:rsidR="00294795">
        <w:rPr>
          <w:rFonts w:ascii="Times New Roman" w:hAnsi="Times New Roman" w:cs="Times New Roman"/>
          <w:sz w:val="24"/>
          <w:szCs w:val="24"/>
        </w:rPr>
        <w:t>motivation</w:t>
      </w:r>
      <w:r w:rsidR="00A56A26">
        <w:rPr>
          <w:rFonts w:ascii="Times New Roman" w:hAnsi="Times New Roman" w:cs="Times New Roman"/>
          <w:sz w:val="24"/>
          <w:szCs w:val="24"/>
        </w:rPr>
        <w:t>.</w:t>
      </w:r>
    </w:p>
    <w:p w14:paraId="44526063" w14:textId="1462C0E8" w:rsidR="00A56A26" w:rsidRDefault="0097280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heartfelt thanks also </w:t>
      </w:r>
      <w:proofErr w:type="gramStart"/>
      <w:r w:rsidR="00424E70">
        <w:rPr>
          <w:rFonts w:ascii="Times New Roman" w:hAnsi="Times New Roman" w:cs="Times New Roman"/>
          <w:sz w:val="24"/>
          <w:szCs w:val="24"/>
        </w:rPr>
        <w:t>goes</w:t>
      </w:r>
      <w:proofErr w:type="gramEnd"/>
      <w:r>
        <w:rPr>
          <w:rFonts w:ascii="Times New Roman" w:hAnsi="Times New Roman" w:cs="Times New Roman"/>
          <w:sz w:val="24"/>
          <w:szCs w:val="24"/>
        </w:rPr>
        <w:t xml:space="preserve"> </w:t>
      </w:r>
      <w:r w:rsidR="00214E77">
        <w:rPr>
          <w:rFonts w:ascii="Times New Roman" w:hAnsi="Times New Roman" w:cs="Times New Roman"/>
          <w:sz w:val="24"/>
          <w:szCs w:val="24"/>
        </w:rPr>
        <w:t>to</w:t>
      </w:r>
      <w:r w:rsidR="008643F9">
        <w:rPr>
          <w:rFonts w:ascii="Times New Roman" w:hAnsi="Times New Roman" w:cs="Times New Roman"/>
          <w:sz w:val="24"/>
          <w:szCs w:val="24"/>
        </w:rPr>
        <w:t xml:space="preserve"> my friends and colleagues for their </w:t>
      </w:r>
      <w:r w:rsidR="00364B5C">
        <w:rPr>
          <w:rFonts w:ascii="Times New Roman" w:hAnsi="Times New Roman" w:cs="Times New Roman"/>
          <w:sz w:val="24"/>
          <w:szCs w:val="24"/>
        </w:rPr>
        <w:t xml:space="preserve">support, </w:t>
      </w:r>
      <w:r w:rsidR="00670574">
        <w:rPr>
          <w:rFonts w:ascii="Times New Roman" w:hAnsi="Times New Roman" w:cs="Times New Roman"/>
          <w:sz w:val="24"/>
          <w:szCs w:val="24"/>
        </w:rPr>
        <w:t>cooperation</w:t>
      </w:r>
      <w:r w:rsidR="007D7968">
        <w:rPr>
          <w:rFonts w:ascii="Times New Roman" w:hAnsi="Times New Roman" w:cs="Times New Roman"/>
          <w:sz w:val="24"/>
          <w:szCs w:val="24"/>
        </w:rPr>
        <w:t xml:space="preserve"> and understanding </w:t>
      </w:r>
      <w:r w:rsidR="003742A1">
        <w:rPr>
          <w:rFonts w:ascii="Times New Roman" w:hAnsi="Times New Roman" w:cs="Times New Roman"/>
          <w:sz w:val="24"/>
          <w:szCs w:val="24"/>
        </w:rPr>
        <w:t xml:space="preserve">during the course </w:t>
      </w:r>
      <w:r w:rsidR="00B94A62">
        <w:rPr>
          <w:rFonts w:ascii="Times New Roman" w:hAnsi="Times New Roman" w:cs="Times New Roman"/>
          <w:sz w:val="24"/>
          <w:szCs w:val="24"/>
        </w:rPr>
        <w:t>of this work.</w:t>
      </w:r>
      <w:r w:rsidR="00214E77">
        <w:rPr>
          <w:rFonts w:ascii="Times New Roman" w:hAnsi="Times New Roman" w:cs="Times New Roman"/>
          <w:sz w:val="24"/>
          <w:szCs w:val="24"/>
        </w:rPr>
        <w:t xml:space="preserve"> </w:t>
      </w:r>
    </w:p>
    <w:p w14:paraId="78375449" w14:textId="1563A7DD" w:rsidR="00512F49" w:rsidRPr="00951707" w:rsidRDefault="00424E7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Finall</w:t>
      </w:r>
      <w:r w:rsidR="00711E5B">
        <w:rPr>
          <w:rFonts w:ascii="Times New Roman" w:hAnsi="Times New Roman" w:cs="Times New Roman"/>
          <w:sz w:val="24"/>
          <w:szCs w:val="24"/>
        </w:rPr>
        <w:t xml:space="preserve">y, I </w:t>
      </w:r>
      <w:r w:rsidR="000C68E8">
        <w:rPr>
          <w:rFonts w:ascii="Times New Roman" w:hAnsi="Times New Roman" w:cs="Times New Roman"/>
          <w:sz w:val="24"/>
          <w:szCs w:val="24"/>
        </w:rPr>
        <w:t>acknowledge</w:t>
      </w:r>
      <w:r w:rsidR="00A00750">
        <w:rPr>
          <w:rFonts w:ascii="Times New Roman" w:hAnsi="Times New Roman" w:cs="Times New Roman"/>
          <w:sz w:val="24"/>
          <w:szCs w:val="24"/>
        </w:rPr>
        <w:t xml:space="preserve"> everyone whose contribution, whether directly or </w:t>
      </w:r>
      <w:r w:rsidR="001C2585">
        <w:rPr>
          <w:rFonts w:ascii="Times New Roman" w:hAnsi="Times New Roman" w:cs="Times New Roman"/>
          <w:sz w:val="24"/>
          <w:szCs w:val="24"/>
        </w:rPr>
        <w:t>indirectly, made this project a success</w:t>
      </w:r>
      <w:r w:rsidR="00711E5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(BHT)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proofErr w:type="gramStart"/>
      <w:r w:rsidRPr="00DF31F3">
        <w:rPr>
          <w:rFonts w:ascii="Times New Roman" w:hAnsi="Times New Roman" w:cs="Times New Roman"/>
          <w:color w:val="000000" w:themeColor="text1"/>
          <w:sz w:val="24"/>
          <w:szCs w:val="24"/>
        </w:rPr>
        <w:t>Hexane:Acetone</w:t>
      </w:r>
      <w:proofErr w:type="spellEnd"/>
      <w:proofErr w:type="gram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proofErr w:type="gramStart"/>
      <w:r w:rsidRPr="00DF31F3">
        <w:rPr>
          <w:rFonts w:ascii="Times New Roman" w:hAnsi="Times New Roman" w:cs="Times New Roman"/>
          <w:color w:val="000000" w:themeColor="text1"/>
          <w:sz w:val="24"/>
          <w:szCs w:val="24"/>
        </w:rPr>
        <w:t>Hexane:Acetone</w:t>
      </w:r>
      <w:proofErr w:type="spellEnd"/>
      <w:proofErr w:type="gram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proofErr w:type="gramStart"/>
            <w:r>
              <w:rPr>
                <w:rFonts w:ascii="Times New Roman" w:hAnsi="Times New Roman" w:cs="Times New Roman"/>
                <w:sz w:val="24"/>
                <w:szCs w:val="24"/>
              </w:rPr>
              <w:t>Hager;s</w:t>
            </w:r>
            <w:proofErr w:type="spellEnd"/>
            <w:proofErr w:type="gram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proofErr w:type="gramStart"/>
            <w:r>
              <w:rPr>
                <w:rFonts w:ascii="Times New Roman" w:hAnsi="Times New Roman" w:cs="Times New Roman"/>
                <w:sz w:val="24"/>
                <w:szCs w:val="24"/>
              </w:rPr>
              <w:t>Wagner;s</w:t>
            </w:r>
            <w:proofErr w:type="spellEnd"/>
            <w:proofErr w:type="gram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cinerea</w:t>
      </w:r>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indica,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Pharmaceutica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012C" w14:textId="77777777" w:rsidR="00881171" w:rsidRDefault="00881171" w:rsidP="00477545">
      <w:pPr>
        <w:spacing w:after="0" w:line="240" w:lineRule="auto"/>
      </w:pPr>
      <w:r>
        <w:separator/>
      </w:r>
    </w:p>
  </w:endnote>
  <w:endnote w:type="continuationSeparator" w:id="0">
    <w:p w14:paraId="2A85D65D" w14:textId="77777777" w:rsidR="00881171" w:rsidRDefault="00881171"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881171">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C9DF" w14:textId="77777777" w:rsidR="00881171" w:rsidRDefault="00881171" w:rsidP="00477545">
      <w:pPr>
        <w:spacing w:after="0" w:line="240" w:lineRule="auto"/>
      </w:pPr>
      <w:r>
        <w:separator/>
      </w:r>
    </w:p>
  </w:footnote>
  <w:footnote w:type="continuationSeparator" w:id="0">
    <w:p w14:paraId="3F90293D" w14:textId="77777777" w:rsidR="00881171" w:rsidRDefault="00881171"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2313"/>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0528"/>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84443"/>
    <w:rsid w:val="0009133D"/>
    <w:rsid w:val="00092680"/>
    <w:rsid w:val="000944A8"/>
    <w:rsid w:val="00094B7E"/>
    <w:rsid w:val="000A2B80"/>
    <w:rsid w:val="000A6345"/>
    <w:rsid w:val="000A7D4E"/>
    <w:rsid w:val="000B4724"/>
    <w:rsid w:val="000B7F8A"/>
    <w:rsid w:val="000C165B"/>
    <w:rsid w:val="000C68E8"/>
    <w:rsid w:val="000D14A9"/>
    <w:rsid w:val="000D716A"/>
    <w:rsid w:val="000D7220"/>
    <w:rsid w:val="000E348B"/>
    <w:rsid w:val="000E50A8"/>
    <w:rsid w:val="000E7209"/>
    <w:rsid w:val="000E781F"/>
    <w:rsid w:val="000F2ADA"/>
    <w:rsid w:val="000F44C7"/>
    <w:rsid w:val="0010218B"/>
    <w:rsid w:val="00103976"/>
    <w:rsid w:val="001048D0"/>
    <w:rsid w:val="00114CC3"/>
    <w:rsid w:val="00120314"/>
    <w:rsid w:val="0012752B"/>
    <w:rsid w:val="00137FC5"/>
    <w:rsid w:val="00141656"/>
    <w:rsid w:val="00142A72"/>
    <w:rsid w:val="001601E8"/>
    <w:rsid w:val="00162395"/>
    <w:rsid w:val="00180091"/>
    <w:rsid w:val="00185500"/>
    <w:rsid w:val="00194C76"/>
    <w:rsid w:val="00195A7B"/>
    <w:rsid w:val="001A3579"/>
    <w:rsid w:val="001C2585"/>
    <w:rsid w:val="001C3A5C"/>
    <w:rsid w:val="001C3B91"/>
    <w:rsid w:val="001C7CCF"/>
    <w:rsid w:val="001D1E02"/>
    <w:rsid w:val="001D4BFB"/>
    <w:rsid w:val="001D7745"/>
    <w:rsid w:val="001E2CEA"/>
    <w:rsid w:val="001F07A2"/>
    <w:rsid w:val="001F4408"/>
    <w:rsid w:val="001F4BCE"/>
    <w:rsid w:val="00206091"/>
    <w:rsid w:val="00211EC2"/>
    <w:rsid w:val="002129D7"/>
    <w:rsid w:val="00214E77"/>
    <w:rsid w:val="00217236"/>
    <w:rsid w:val="0022051E"/>
    <w:rsid w:val="0022438E"/>
    <w:rsid w:val="00224C16"/>
    <w:rsid w:val="00225E7D"/>
    <w:rsid w:val="00225F6C"/>
    <w:rsid w:val="0022687D"/>
    <w:rsid w:val="00232588"/>
    <w:rsid w:val="00234677"/>
    <w:rsid w:val="0023581A"/>
    <w:rsid w:val="0023720D"/>
    <w:rsid w:val="002413CF"/>
    <w:rsid w:val="00241439"/>
    <w:rsid w:val="00246795"/>
    <w:rsid w:val="00254B68"/>
    <w:rsid w:val="002558A4"/>
    <w:rsid w:val="002568E9"/>
    <w:rsid w:val="002602C3"/>
    <w:rsid w:val="00261A93"/>
    <w:rsid w:val="00264374"/>
    <w:rsid w:val="00272002"/>
    <w:rsid w:val="00277831"/>
    <w:rsid w:val="00277C20"/>
    <w:rsid w:val="00280FD8"/>
    <w:rsid w:val="00283382"/>
    <w:rsid w:val="002916D1"/>
    <w:rsid w:val="00293D2A"/>
    <w:rsid w:val="00294795"/>
    <w:rsid w:val="0029718F"/>
    <w:rsid w:val="002A161B"/>
    <w:rsid w:val="002A205A"/>
    <w:rsid w:val="002A2D0F"/>
    <w:rsid w:val="002A4252"/>
    <w:rsid w:val="002A56B0"/>
    <w:rsid w:val="002A5947"/>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5CDA"/>
    <w:rsid w:val="0033608C"/>
    <w:rsid w:val="00341D28"/>
    <w:rsid w:val="0035284C"/>
    <w:rsid w:val="00353DFD"/>
    <w:rsid w:val="0035532C"/>
    <w:rsid w:val="003572A8"/>
    <w:rsid w:val="00357793"/>
    <w:rsid w:val="00360C66"/>
    <w:rsid w:val="00362500"/>
    <w:rsid w:val="0036333D"/>
    <w:rsid w:val="00364B5C"/>
    <w:rsid w:val="00366325"/>
    <w:rsid w:val="003720B9"/>
    <w:rsid w:val="00372A5E"/>
    <w:rsid w:val="003742A1"/>
    <w:rsid w:val="00374FE8"/>
    <w:rsid w:val="0038042B"/>
    <w:rsid w:val="00385FA0"/>
    <w:rsid w:val="00391D66"/>
    <w:rsid w:val="00393D75"/>
    <w:rsid w:val="003A2720"/>
    <w:rsid w:val="003A2893"/>
    <w:rsid w:val="003A4873"/>
    <w:rsid w:val="003A5138"/>
    <w:rsid w:val="003A67D6"/>
    <w:rsid w:val="003B257C"/>
    <w:rsid w:val="003B5FB8"/>
    <w:rsid w:val="003C297D"/>
    <w:rsid w:val="003C4682"/>
    <w:rsid w:val="003D0905"/>
    <w:rsid w:val="003E1C9D"/>
    <w:rsid w:val="003E7421"/>
    <w:rsid w:val="003F092E"/>
    <w:rsid w:val="003F0974"/>
    <w:rsid w:val="003F3AFE"/>
    <w:rsid w:val="003F3D8F"/>
    <w:rsid w:val="003F4D9F"/>
    <w:rsid w:val="003F5818"/>
    <w:rsid w:val="003F69B6"/>
    <w:rsid w:val="004004EB"/>
    <w:rsid w:val="00410D40"/>
    <w:rsid w:val="004148E6"/>
    <w:rsid w:val="00415EA7"/>
    <w:rsid w:val="00424E70"/>
    <w:rsid w:val="004307CB"/>
    <w:rsid w:val="00440A61"/>
    <w:rsid w:val="00447CE8"/>
    <w:rsid w:val="00454C59"/>
    <w:rsid w:val="00455041"/>
    <w:rsid w:val="00462490"/>
    <w:rsid w:val="00463C7E"/>
    <w:rsid w:val="00464C30"/>
    <w:rsid w:val="004706C0"/>
    <w:rsid w:val="00475993"/>
    <w:rsid w:val="00477545"/>
    <w:rsid w:val="00482A04"/>
    <w:rsid w:val="00482C01"/>
    <w:rsid w:val="00485851"/>
    <w:rsid w:val="00486609"/>
    <w:rsid w:val="0049275E"/>
    <w:rsid w:val="004950CC"/>
    <w:rsid w:val="00496D55"/>
    <w:rsid w:val="004A2E66"/>
    <w:rsid w:val="004A6928"/>
    <w:rsid w:val="004A7BBF"/>
    <w:rsid w:val="004B157E"/>
    <w:rsid w:val="004B193A"/>
    <w:rsid w:val="004B240D"/>
    <w:rsid w:val="004B37E4"/>
    <w:rsid w:val="004B4814"/>
    <w:rsid w:val="004C588D"/>
    <w:rsid w:val="004C7679"/>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24B7B"/>
    <w:rsid w:val="00530101"/>
    <w:rsid w:val="005319F2"/>
    <w:rsid w:val="00534320"/>
    <w:rsid w:val="00540169"/>
    <w:rsid w:val="00541D0B"/>
    <w:rsid w:val="0055227F"/>
    <w:rsid w:val="00557442"/>
    <w:rsid w:val="00562B17"/>
    <w:rsid w:val="005630DD"/>
    <w:rsid w:val="00563B4A"/>
    <w:rsid w:val="00563F5A"/>
    <w:rsid w:val="00565DAC"/>
    <w:rsid w:val="00572555"/>
    <w:rsid w:val="0057732F"/>
    <w:rsid w:val="00583F18"/>
    <w:rsid w:val="0058512F"/>
    <w:rsid w:val="00593CD1"/>
    <w:rsid w:val="00594DAA"/>
    <w:rsid w:val="00595FE3"/>
    <w:rsid w:val="005971E7"/>
    <w:rsid w:val="005A1F71"/>
    <w:rsid w:val="005A4F96"/>
    <w:rsid w:val="005B22D5"/>
    <w:rsid w:val="005C1EE2"/>
    <w:rsid w:val="005C7404"/>
    <w:rsid w:val="005C7DCC"/>
    <w:rsid w:val="005D6066"/>
    <w:rsid w:val="005D6322"/>
    <w:rsid w:val="005D7F9F"/>
    <w:rsid w:val="005E0AA6"/>
    <w:rsid w:val="005E1B22"/>
    <w:rsid w:val="005E35CD"/>
    <w:rsid w:val="005E4F59"/>
    <w:rsid w:val="005E5EDC"/>
    <w:rsid w:val="005E7441"/>
    <w:rsid w:val="005E7C95"/>
    <w:rsid w:val="00605E2B"/>
    <w:rsid w:val="00606B30"/>
    <w:rsid w:val="00606C08"/>
    <w:rsid w:val="00607898"/>
    <w:rsid w:val="0061272A"/>
    <w:rsid w:val="00613654"/>
    <w:rsid w:val="0061668E"/>
    <w:rsid w:val="006178A2"/>
    <w:rsid w:val="00620F42"/>
    <w:rsid w:val="00621296"/>
    <w:rsid w:val="0062165D"/>
    <w:rsid w:val="006217D5"/>
    <w:rsid w:val="006309BB"/>
    <w:rsid w:val="00631405"/>
    <w:rsid w:val="00643BE9"/>
    <w:rsid w:val="00645A2F"/>
    <w:rsid w:val="00650E02"/>
    <w:rsid w:val="00652035"/>
    <w:rsid w:val="00653B1E"/>
    <w:rsid w:val="00653DF9"/>
    <w:rsid w:val="00657423"/>
    <w:rsid w:val="00664CEC"/>
    <w:rsid w:val="006657CD"/>
    <w:rsid w:val="00670574"/>
    <w:rsid w:val="00671D29"/>
    <w:rsid w:val="00674016"/>
    <w:rsid w:val="00674F4A"/>
    <w:rsid w:val="00681F3A"/>
    <w:rsid w:val="00687DBF"/>
    <w:rsid w:val="006921B6"/>
    <w:rsid w:val="006932C0"/>
    <w:rsid w:val="00695468"/>
    <w:rsid w:val="00695ED9"/>
    <w:rsid w:val="006A1A6C"/>
    <w:rsid w:val="006B0CD0"/>
    <w:rsid w:val="006B105B"/>
    <w:rsid w:val="006B1446"/>
    <w:rsid w:val="006B3067"/>
    <w:rsid w:val="006B55CE"/>
    <w:rsid w:val="006B5ED4"/>
    <w:rsid w:val="006B7005"/>
    <w:rsid w:val="006B74A4"/>
    <w:rsid w:val="006C0C1B"/>
    <w:rsid w:val="006C2267"/>
    <w:rsid w:val="006C3C11"/>
    <w:rsid w:val="006D08C0"/>
    <w:rsid w:val="006D1DCD"/>
    <w:rsid w:val="006D2A98"/>
    <w:rsid w:val="006D54B3"/>
    <w:rsid w:val="006D67C7"/>
    <w:rsid w:val="006D6B1A"/>
    <w:rsid w:val="006E107F"/>
    <w:rsid w:val="006E265C"/>
    <w:rsid w:val="006E2F35"/>
    <w:rsid w:val="006F434B"/>
    <w:rsid w:val="006F4DA1"/>
    <w:rsid w:val="007052A8"/>
    <w:rsid w:val="007052B4"/>
    <w:rsid w:val="00711E5B"/>
    <w:rsid w:val="0071794D"/>
    <w:rsid w:val="0072452A"/>
    <w:rsid w:val="00725ACE"/>
    <w:rsid w:val="00727BC2"/>
    <w:rsid w:val="00733783"/>
    <w:rsid w:val="00741285"/>
    <w:rsid w:val="007420A0"/>
    <w:rsid w:val="0074639A"/>
    <w:rsid w:val="007511F9"/>
    <w:rsid w:val="007541C8"/>
    <w:rsid w:val="007563E0"/>
    <w:rsid w:val="00765554"/>
    <w:rsid w:val="00765ECE"/>
    <w:rsid w:val="00766F7C"/>
    <w:rsid w:val="007752DE"/>
    <w:rsid w:val="0077590A"/>
    <w:rsid w:val="007805EF"/>
    <w:rsid w:val="00783949"/>
    <w:rsid w:val="007863FD"/>
    <w:rsid w:val="00787341"/>
    <w:rsid w:val="00791058"/>
    <w:rsid w:val="0079218B"/>
    <w:rsid w:val="00792932"/>
    <w:rsid w:val="00792C1C"/>
    <w:rsid w:val="00793D79"/>
    <w:rsid w:val="007950A0"/>
    <w:rsid w:val="00795625"/>
    <w:rsid w:val="007A264B"/>
    <w:rsid w:val="007A3476"/>
    <w:rsid w:val="007A36E6"/>
    <w:rsid w:val="007A4658"/>
    <w:rsid w:val="007C13CE"/>
    <w:rsid w:val="007C1988"/>
    <w:rsid w:val="007C2833"/>
    <w:rsid w:val="007C68A3"/>
    <w:rsid w:val="007D1835"/>
    <w:rsid w:val="007D3CEC"/>
    <w:rsid w:val="007D7968"/>
    <w:rsid w:val="007E2E2B"/>
    <w:rsid w:val="007E481E"/>
    <w:rsid w:val="007E4916"/>
    <w:rsid w:val="007F298B"/>
    <w:rsid w:val="008126E6"/>
    <w:rsid w:val="00813493"/>
    <w:rsid w:val="00813BE4"/>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43F9"/>
    <w:rsid w:val="00865014"/>
    <w:rsid w:val="00870974"/>
    <w:rsid w:val="00871FD9"/>
    <w:rsid w:val="00873C45"/>
    <w:rsid w:val="0087687B"/>
    <w:rsid w:val="008804AF"/>
    <w:rsid w:val="00880569"/>
    <w:rsid w:val="00881171"/>
    <w:rsid w:val="00882FA3"/>
    <w:rsid w:val="008838E7"/>
    <w:rsid w:val="008846D3"/>
    <w:rsid w:val="00896562"/>
    <w:rsid w:val="008A23CB"/>
    <w:rsid w:val="008A7797"/>
    <w:rsid w:val="008B1E06"/>
    <w:rsid w:val="008B66FB"/>
    <w:rsid w:val="008C2BDD"/>
    <w:rsid w:val="008C2FCA"/>
    <w:rsid w:val="008C79D8"/>
    <w:rsid w:val="008C7CDF"/>
    <w:rsid w:val="008D3357"/>
    <w:rsid w:val="008E4DEF"/>
    <w:rsid w:val="008F05B1"/>
    <w:rsid w:val="008F1A98"/>
    <w:rsid w:val="008F3A63"/>
    <w:rsid w:val="008F4DC9"/>
    <w:rsid w:val="00903FE0"/>
    <w:rsid w:val="00912445"/>
    <w:rsid w:val="00917423"/>
    <w:rsid w:val="0092322D"/>
    <w:rsid w:val="00925BC2"/>
    <w:rsid w:val="0092601A"/>
    <w:rsid w:val="009270D5"/>
    <w:rsid w:val="00935D24"/>
    <w:rsid w:val="0094176C"/>
    <w:rsid w:val="009419ED"/>
    <w:rsid w:val="00943F57"/>
    <w:rsid w:val="009473F4"/>
    <w:rsid w:val="00950CC4"/>
    <w:rsid w:val="00951707"/>
    <w:rsid w:val="009606AF"/>
    <w:rsid w:val="00961F34"/>
    <w:rsid w:val="0096530E"/>
    <w:rsid w:val="009728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3938"/>
    <w:rsid w:val="009E54A3"/>
    <w:rsid w:val="00A00750"/>
    <w:rsid w:val="00A10080"/>
    <w:rsid w:val="00A104E3"/>
    <w:rsid w:val="00A2395A"/>
    <w:rsid w:val="00A24E98"/>
    <w:rsid w:val="00A353C3"/>
    <w:rsid w:val="00A35757"/>
    <w:rsid w:val="00A3776E"/>
    <w:rsid w:val="00A37E8A"/>
    <w:rsid w:val="00A4087A"/>
    <w:rsid w:val="00A4311C"/>
    <w:rsid w:val="00A43A0D"/>
    <w:rsid w:val="00A452FA"/>
    <w:rsid w:val="00A51A10"/>
    <w:rsid w:val="00A56A26"/>
    <w:rsid w:val="00A612FD"/>
    <w:rsid w:val="00A6441E"/>
    <w:rsid w:val="00A64DED"/>
    <w:rsid w:val="00A70C29"/>
    <w:rsid w:val="00A7779A"/>
    <w:rsid w:val="00A83C9B"/>
    <w:rsid w:val="00A8672C"/>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25861"/>
    <w:rsid w:val="00B27F2A"/>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4A62"/>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368C"/>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771"/>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40BD"/>
    <w:rsid w:val="00D37629"/>
    <w:rsid w:val="00D40F72"/>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22023"/>
    <w:rsid w:val="00E31410"/>
    <w:rsid w:val="00E33FC1"/>
    <w:rsid w:val="00E3785E"/>
    <w:rsid w:val="00E37FD5"/>
    <w:rsid w:val="00E41943"/>
    <w:rsid w:val="00E421BE"/>
    <w:rsid w:val="00E44CA2"/>
    <w:rsid w:val="00E4547A"/>
    <w:rsid w:val="00E45677"/>
    <w:rsid w:val="00E6237F"/>
    <w:rsid w:val="00E631A7"/>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2A4F"/>
    <w:rsid w:val="00EB3463"/>
    <w:rsid w:val="00EB43DF"/>
    <w:rsid w:val="00EB71D0"/>
    <w:rsid w:val="00EB753C"/>
    <w:rsid w:val="00EC7FCE"/>
    <w:rsid w:val="00ED5E39"/>
    <w:rsid w:val="00EE2CFD"/>
    <w:rsid w:val="00EE3949"/>
    <w:rsid w:val="00EE3DA0"/>
    <w:rsid w:val="00EE6E08"/>
    <w:rsid w:val="00EE7FE4"/>
    <w:rsid w:val="00EF298D"/>
    <w:rsid w:val="00EF41B0"/>
    <w:rsid w:val="00EF75DE"/>
    <w:rsid w:val="00F02154"/>
    <w:rsid w:val="00F02994"/>
    <w:rsid w:val="00F03D55"/>
    <w:rsid w:val="00F25EE0"/>
    <w:rsid w:val="00F305A2"/>
    <w:rsid w:val="00F3073C"/>
    <w:rsid w:val="00F354A7"/>
    <w:rsid w:val="00F37252"/>
    <w:rsid w:val="00F4207D"/>
    <w:rsid w:val="00F4545A"/>
    <w:rsid w:val="00F45F78"/>
    <w:rsid w:val="00F45F81"/>
    <w:rsid w:val="00F520BD"/>
    <w:rsid w:val="00F53056"/>
    <w:rsid w:val="00F5358F"/>
    <w:rsid w:val="00F563E7"/>
    <w:rsid w:val="00F61B28"/>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8283</Words>
  <Characters>47217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AJAGBE</cp:lastModifiedBy>
  <cp:revision>2</cp:revision>
  <cp:lastPrinted>2025-07-16T14:09:00Z</cp:lastPrinted>
  <dcterms:created xsi:type="dcterms:W3CDTF">2025-07-13T10:18:00Z</dcterms:created>
  <dcterms:modified xsi:type="dcterms:W3CDTF">2025-07-13T10:18:00Z</dcterms:modified>
</cp:coreProperties>
</file>