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ED08D9E" w14:textId="5C97E8AA" w:rsidR="00B47B08" w:rsidRPr="00B47B08" w:rsidRDefault="002D13F7" w:rsidP="00B47B08">
      <w:pPr>
        <w:jc w:val="center"/>
        <w:rPr>
          <w:rFonts w:ascii="Times New Roman" w:hAnsi="Times New Roman" w:cs="Times New Roman"/>
          <w:b/>
          <w:sz w:val="28"/>
          <w:szCs w:val="28"/>
        </w:rPr>
      </w:pPr>
      <w:r w:rsidRPr="00B47B08">
        <w:rPr>
          <w:rFonts w:ascii="Times New Roman" w:hAnsi="Times New Roman" w:cs="Times New Roman"/>
          <w:b/>
          <w:sz w:val="28"/>
          <w:szCs w:val="28"/>
        </w:rPr>
        <w:t xml:space="preserve">OYEWOLE MOSUNMOLA TOYIBAH </w:t>
      </w:r>
    </w:p>
    <w:p w14:paraId="29E30537" w14:textId="1C2274E9" w:rsidR="00FA7D6F" w:rsidRDefault="002D13F7" w:rsidP="00B47B08">
      <w:pPr>
        <w:jc w:val="center"/>
        <w:rPr>
          <w:rFonts w:ascii="Times New Roman" w:hAnsi="Times New Roman" w:cs="Times New Roman"/>
          <w:b/>
          <w:sz w:val="28"/>
          <w:szCs w:val="28"/>
        </w:rPr>
      </w:pPr>
      <w:r w:rsidRPr="00B47B08">
        <w:rPr>
          <w:rFonts w:ascii="Times New Roman" w:hAnsi="Times New Roman" w:cs="Times New Roman"/>
          <w:b/>
          <w:sz w:val="28"/>
          <w:szCs w:val="28"/>
        </w:rPr>
        <w:t>HND/23/SLT/FT/1001</w:t>
      </w:r>
    </w:p>
    <w:p w14:paraId="70EBBF92" w14:textId="77777777" w:rsidR="002D13F7" w:rsidRDefault="002D13F7" w:rsidP="00B47B08">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27EE5D20"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2D13F7" w:rsidRPr="002D13F7">
        <w:rPr>
          <w:rFonts w:ascii="Times New Roman" w:hAnsi="Times New Roman" w:cs="Times New Roman"/>
          <w:b/>
          <w:bCs/>
          <w:sz w:val="28"/>
          <w:szCs w:val="28"/>
        </w:rPr>
        <w:t xml:space="preserve">OYEWOLE MOSUNMOLA TOYIBAH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2D13F7">
        <w:rPr>
          <w:rFonts w:ascii="Times New Roman" w:hAnsi="Times New Roman" w:cs="Times New Roman"/>
          <w:b/>
          <w:bCs/>
          <w:sz w:val="28"/>
          <w:szCs w:val="28"/>
        </w:rPr>
        <w:t>HND/23/SLT/FT/1001</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0237D167" w:rsidR="001A7082" w:rsidRDefault="006D2BFB"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w:t>
      </w:r>
      <w:bookmarkStart w:id="1" w:name="_GoBack"/>
      <w:bookmarkEnd w:id="1"/>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B762799" w14:textId="6AE26E9C" w:rsidR="002D13F7" w:rsidRPr="002D13F7" w:rsidRDefault="002D13F7" w:rsidP="002D13F7">
      <w:pPr>
        <w:rPr>
          <w:rFonts w:ascii="Times New Roman" w:hAnsi="Times New Roman" w:cs="Times New Roman"/>
          <w:sz w:val="28"/>
          <w:szCs w:val="28"/>
        </w:rPr>
      </w:pPr>
      <w:r w:rsidRPr="002D13F7">
        <w:rPr>
          <w:rFonts w:ascii="Times New Roman" w:hAnsi="Times New Roman" w:cs="Times New Roman"/>
          <w:sz w:val="28"/>
          <w:szCs w:val="28"/>
        </w:rPr>
        <w:t>I dedicate this project to almighty Allah,</w:t>
      </w:r>
      <w:r>
        <w:rPr>
          <w:rFonts w:ascii="Times New Roman" w:hAnsi="Times New Roman" w:cs="Times New Roman"/>
          <w:sz w:val="28"/>
          <w:szCs w:val="28"/>
        </w:rPr>
        <w:t xml:space="preserve"> </w:t>
      </w:r>
      <w:r w:rsidRPr="002D13F7">
        <w:rPr>
          <w:rFonts w:ascii="Times New Roman" w:hAnsi="Times New Roman" w:cs="Times New Roman"/>
          <w:sz w:val="28"/>
          <w:szCs w:val="28"/>
        </w:rPr>
        <w:t>who as seen me through it all</w:t>
      </w:r>
    </w:p>
    <w:p w14:paraId="123E5B38" w14:textId="0BBA3D54" w:rsidR="001A7082" w:rsidRDefault="002D13F7" w:rsidP="002D13F7">
      <w:pPr>
        <w:rPr>
          <w:rFonts w:ascii="Times New Roman" w:eastAsia="Times New Roman" w:hAnsi="Times New Roman" w:cs="Times New Roman"/>
          <w:sz w:val="28"/>
          <w:szCs w:val="28"/>
        </w:rPr>
      </w:pPr>
      <w:r w:rsidRPr="002D13F7">
        <w:rPr>
          <w:rFonts w:ascii="Times New Roman" w:hAnsi="Times New Roman" w:cs="Times New Roman"/>
          <w:sz w:val="28"/>
          <w:szCs w:val="28"/>
        </w:rPr>
        <w:t>Also to my family for their love and support,</w:t>
      </w:r>
      <w:r>
        <w:rPr>
          <w:rFonts w:ascii="Times New Roman" w:hAnsi="Times New Roman" w:cs="Times New Roman"/>
          <w:sz w:val="28"/>
          <w:szCs w:val="28"/>
        </w:rPr>
        <w:t xml:space="preserve"> </w:t>
      </w:r>
      <w:r w:rsidRPr="002D13F7">
        <w:rPr>
          <w:rFonts w:ascii="Times New Roman" w:hAnsi="Times New Roman" w:cs="Times New Roman"/>
          <w:sz w:val="28"/>
          <w:szCs w:val="28"/>
        </w:rPr>
        <w:t>I really appreciate.</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0FB2F0CB" w14:textId="00926867" w:rsidR="002D13F7" w:rsidRPr="002D13F7" w:rsidRDefault="002D13F7" w:rsidP="002D13F7">
      <w:pPr>
        <w:spacing w:line="480" w:lineRule="auto"/>
        <w:jc w:val="both"/>
        <w:rPr>
          <w:rFonts w:ascii="Times New Roman" w:hAnsi="Times New Roman" w:cs="Times New Roman"/>
          <w:sz w:val="28"/>
          <w:szCs w:val="28"/>
        </w:rPr>
      </w:pPr>
      <w:r w:rsidRPr="002D13F7">
        <w:rPr>
          <w:rFonts w:ascii="Times New Roman" w:hAnsi="Times New Roman" w:cs="Times New Roman"/>
          <w:sz w:val="28"/>
          <w:szCs w:val="28"/>
        </w:rPr>
        <w:t xml:space="preserve">My first and deepest appreciation goes to almighty </w:t>
      </w:r>
      <w:proofErr w:type="spellStart"/>
      <w:r w:rsidRPr="002D13F7">
        <w:rPr>
          <w:rFonts w:ascii="Times New Roman" w:hAnsi="Times New Roman" w:cs="Times New Roman"/>
          <w:sz w:val="28"/>
          <w:szCs w:val="28"/>
        </w:rPr>
        <w:t>Allah</w:t>
      </w:r>
      <w:proofErr w:type="gramStart"/>
      <w:r w:rsidRPr="002D13F7">
        <w:rPr>
          <w:rFonts w:ascii="Times New Roman" w:hAnsi="Times New Roman" w:cs="Times New Roman"/>
          <w:sz w:val="28"/>
          <w:szCs w:val="28"/>
        </w:rPr>
        <w:t>,the</w:t>
      </w:r>
      <w:proofErr w:type="spellEnd"/>
      <w:proofErr w:type="gramEnd"/>
      <w:r w:rsidRPr="002D13F7">
        <w:rPr>
          <w:rFonts w:ascii="Times New Roman" w:hAnsi="Times New Roman" w:cs="Times New Roman"/>
          <w:sz w:val="28"/>
          <w:szCs w:val="28"/>
        </w:rPr>
        <w:t xml:space="preserve"> beneficent,</w:t>
      </w:r>
      <w:r w:rsidR="006D2BFB">
        <w:rPr>
          <w:rFonts w:ascii="Times New Roman" w:hAnsi="Times New Roman" w:cs="Times New Roman"/>
          <w:sz w:val="28"/>
          <w:szCs w:val="28"/>
        </w:rPr>
        <w:t xml:space="preserve"> </w:t>
      </w:r>
      <w:r w:rsidRPr="002D13F7">
        <w:rPr>
          <w:rFonts w:ascii="Times New Roman" w:hAnsi="Times New Roman" w:cs="Times New Roman"/>
          <w:sz w:val="28"/>
          <w:szCs w:val="28"/>
        </w:rPr>
        <w:t>and the most merciful for guiding and protecting me throughout my journey on campus and for fulfillment of his promises concerning my li</w:t>
      </w:r>
      <w:r>
        <w:rPr>
          <w:rFonts w:ascii="Times New Roman" w:hAnsi="Times New Roman" w:cs="Times New Roman"/>
          <w:sz w:val="28"/>
          <w:szCs w:val="28"/>
        </w:rPr>
        <w:t xml:space="preserve">fe. </w:t>
      </w:r>
      <w:r w:rsidRPr="002D13F7">
        <w:rPr>
          <w:rFonts w:ascii="Times New Roman" w:hAnsi="Times New Roman" w:cs="Times New Roman"/>
          <w:sz w:val="28"/>
          <w:szCs w:val="28"/>
        </w:rPr>
        <w:t>All thanks to my supervisor MR IBRAHIM A.W for his guidance and support throu</w:t>
      </w:r>
      <w:r>
        <w:rPr>
          <w:rFonts w:ascii="Times New Roman" w:hAnsi="Times New Roman" w:cs="Times New Roman"/>
          <w:sz w:val="28"/>
          <w:szCs w:val="28"/>
        </w:rPr>
        <w:t xml:space="preserve">ghout this </w:t>
      </w:r>
      <w:proofErr w:type="spellStart"/>
      <w:r>
        <w:rPr>
          <w:rFonts w:ascii="Times New Roman" w:hAnsi="Times New Roman" w:cs="Times New Roman"/>
          <w:sz w:val="28"/>
          <w:szCs w:val="28"/>
        </w:rPr>
        <w:t>project.To</w:t>
      </w:r>
      <w:proofErr w:type="spellEnd"/>
      <w:r>
        <w:rPr>
          <w:rFonts w:ascii="Times New Roman" w:hAnsi="Times New Roman" w:cs="Times New Roman"/>
          <w:sz w:val="28"/>
          <w:szCs w:val="28"/>
        </w:rPr>
        <w:t xml:space="preserve"> my HOU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r w:rsidRPr="002D13F7">
        <w:rPr>
          <w:rFonts w:ascii="Times New Roman" w:hAnsi="Times New Roman" w:cs="Times New Roman"/>
          <w:sz w:val="28"/>
          <w:szCs w:val="28"/>
        </w:rPr>
        <w:t xml:space="preserve">Also to my Head of department HOD DR </w:t>
      </w:r>
      <w:proofErr w:type="spellStart"/>
      <w:r w:rsidRPr="002D13F7">
        <w:rPr>
          <w:rFonts w:ascii="Times New Roman" w:hAnsi="Times New Roman" w:cs="Times New Roman"/>
          <w:sz w:val="28"/>
          <w:szCs w:val="28"/>
        </w:rPr>
        <w:t>Abdulkareem</w:t>
      </w:r>
      <w:proofErr w:type="spellEnd"/>
      <w:r w:rsidRPr="002D13F7">
        <w:rPr>
          <w:rFonts w:ascii="Times New Roman" w:hAnsi="Times New Roman" w:cs="Times New Roman"/>
          <w:sz w:val="28"/>
          <w:szCs w:val="28"/>
        </w:rPr>
        <w:t xml:space="preserve"> Usman  For </w:t>
      </w:r>
      <w:proofErr w:type="spellStart"/>
      <w:r w:rsidRPr="002D13F7">
        <w:rPr>
          <w:rFonts w:ascii="Times New Roman" w:hAnsi="Times New Roman" w:cs="Times New Roman"/>
          <w:sz w:val="28"/>
          <w:szCs w:val="28"/>
        </w:rPr>
        <w:t>there</w:t>
      </w:r>
      <w:proofErr w:type="spellEnd"/>
      <w:r w:rsidRPr="002D13F7">
        <w:rPr>
          <w:rFonts w:ascii="Times New Roman" w:hAnsi="Times New Roman" w:cs="Times New Roman"/>
          <w:sz w:val="28"/>
          <w:szCs w:val="28"/>
        </w:rPr>
        <w:t xml:space="preserve">  encouragement.</w:t>
      </w:r>
    </w:p>
    <w:p w14:paraId="614E7F37" w14:textId="77777777" w:rsidR="002D13F7" w:rsidRDefault="002D13F7" w:rsidP="002D13F7">
      <w:pPr>
        <w:spacing w:line="480" w:lineRule="auto"/>
        <w:jc w:val="both"/>
        <w:rPr>
          <w:rFonts w:ascii="Times New Roman" w:eastAsia="Times New Roman" w:hAnsi="Times New Roman" w:cs="Times New Roman"/>
          <w:sz w:val="28"/>
          <w:szCs w:val="28"/>
        </w:rPr>
      </w:pPr>
      <w:r w:rsidRPr="002D13F7">
        <w:rPr>
          <w:rFonts w:ascii="Times New Roman" w:hAnsi="Times New Roman" w:cs="Times New Roman"/>
          <w:sz w:val="28"/>
          <w:szCs w:val="28"/>
        </w:rPr>
        <w:t>My appreciation is not complete without acknowledging my small mummy for her unwavering support and encouragement throughout this journey, thanks for always been the</w:t>
      </w:r>
      <w:r>
        <w:rPr>
          <w:rFonts w:ascii="Times New Roman" w:hAnsi="Times New Roman" w:cs="Times New Roman"/>
          <w:sz w:val="28"/>
          <w:szCs w:val="28"/>
        </w:rPr>
        <w:t xml:space="preserve">re for me, I really appreciate. </w:t>
      </w:r>
      <w:r w:rsidRPr="002D13F7">
        <w:rPr>
          <w:rFonts w:ascii="Times New Roman" w:hAnsi="Times New Roman" w:cs="Times New Roman"/>
          <w:sz w:val="28"/>
          <w:szCs w:val="28"/>
        </w:rPr>
        <w:t xml:space="preserve">My sincere and deepest appreciation goes to my mom your </w:t>
      </w:r>
      <w:proofErr w:type="spellStart"/>
      <w:r w:rsidRPr="002D13F7">
        <w:rPr>
          <w:rFonts w:ascii="Times New Roman" w:hAnsi="Times New Roman" w:cs="Times New Roman"/>
          <w:sz w:val="28"/>
          <w:szCs w:val="28"/>
        </w:rPr>
        <w:t>support</w:t>
      </w:r>
      <w:proofErr w:type="gramStart"/>
      <w:r w:rsidRPr="002D13F7">
        <w:rPr>
          <w:rFonts w:ascii="Times New Roman" w:hAnsi="Times New Roman" w:cs="Times New Roman"/>
          <w:sz w:val="28"/>
          <w:szCs w:val="28"/>
        </w:rPr>
        <w:t>,patience</w:t>
      </w:r>
      <w:proofErr w:type="spellEnd"/>
      <w:proofErr w:type="gramEnd"/>
      <w:r w:rsidRPr="002D13F7">
        <w:rPr>
          <w:rFonts w:ascii="Times New Roman" w:hAnsi="Times New Roman" w:cs="Times New Roman"/>
          <w:sz w:val="28"/>
          <w:szCs w:val="28"/>
        </w:rPr>
        <w:t xml:space="preserve"> encouragement and love have been my pillars of strength and I am forever gratefu</w:t>
      </w:r>
      <w:r>
        <w:rPr>
          <w:rFonts w:ascii="Times New Roman" w:hAnsi="Times New Roman" w:cs="Times New Roman"/>
          <w:sz w:val="28"/>
          <w:szCs w:val="28"/>
        </w:rPr>
        <w:t xml:space="preserve">l for your presence in my life. </w:t>
      </w:r>
      <w:r w:rsidRPr="002D13F7">
        <w:rPr>
          <w:rFonts w:ascii="Times New Roman" w:hAnsi="Times New Roman" w:cs="Times New Roman"/>
          <w:sz w:val="28"/>
          <w:szCs w:val="28"/>
        </w:rPr>
        <w:t xml:space="preserve">I would like to </w:t>
      </w:r>
      <w:proofErr w:type="spellStart"/>
      <w:r w:rsidRPr="002D13F7">
        <w:rPr>
          <w:rFonts w:ascii="Times New Roman" w:hAnsi="Times New Roman" w:cs="Times New Roman"/>
          <w:sz w:val="28"/>
          <w:szCs w:val="28"/>
        </w:rPr>
        <w:t>entend</w:t>
      </w:r>
      <w:proofErr w:type="spellEnd"/>
      <w:r w:rsidRPr="002D13F7">
        <w:rPr>
          <w:rFonts w:ascii="Times New Roman" w:hAnsi="Times New Roman" w:cs="Times New Roman"/>
          <w:sz w:val="28"/>
          <w:szCs w:val="28"/>
        </w:rPr>
        <w:t xml:space="preserve"> my heartfelt gratitude to my fiancé your </w:t>
      </w:r>
      <w:proofErr w:type="spellStart"/>
      <w:r w:rsidRPr="002D13F7">
        <w:rPr>
          <w:rFonts w:ascii="Times New Roman" w:hAnsi="Times New Roman" w:cs="Times New Roman"/>
          <w:sz w:val="28"/>
          <w:szCs w:val="28"/>
        </w:rPr>
        <w:t>love</w:t>
      </w:r>
      <w:proofErr w:type="gramStart"/>
      <w:r w:rsidRPr="002D13F7">
        <w:rPr>
          <w:rFonts w:ascii="Times New Roman" w:hAnsi="Times New Roman" w:cs="Times New Roman"/>
          <w:sz w:val="28"/>
          <w:szCs w:val="28"/>
        </w:rPr>
        <w:t>,patience,support,encouragement</w:t>
      </w:r>
      <w:proofErr w:type="spellEnd"/>
      <w:proofErr w:type="gramEnd"/>
      <w:r w:rsidRPr="002D13F7">
        <w:rPr>
          <w:rFonts w:ascii="Times New Roman" w:hAnsi="Times New Roman" w:cs="Times New Roman"/>
          <w:sz w:val="28"/>
          <w:szCs w:val="28"/>
        </w:rPr>
        <w:t xml:space="preserve"> and understanding meant the world to me.</w:t>
      </w:r>
      <w:r>
        <w:rPr>
          <w:rFonts w:ascii="Times New Roman" w:hAnsi="Times New Roman" w:cs="Times New Roman"/>
          <w:sz w:val="28"/>
          <w:szCs w:val="28"/>
        </w:rPr>
        <w:t xml:space="preserve"> </w:t>
      </w:r>
      <w:r w:rsidRPr="002D13F7">
        <w:rPr>
          <w:rFonts w:ascii="Times New Roman" w:hAnsi="Times New Roman" w:cs="Times New Roman"/>
          <w:sz w:val="28"/>
          <w:szCs w:val="28"/>
        </w:rPr>
        <w:t>I'm grateful to my siblings and friends for their unwavering support, encouragement, and love throughout this journey.</w:t>
      </w:r>
      <w:r w:rsidR="001A7082">
        <w:rPr>
          <w:rFonts w:ascii="Times New Roman" w:eastAsia="Times New Roman" w:hAnsi="Times New Roman" w:cs="Times New Roman"/>
          <w:sz w:val="28"/>
          <w:szCs w:val="28"/>
        </w:rPr>
        <w:br/>
      </w:r>
    </w:p>
    <w:p w14:paraId="4F7122BA" w14:textId="1B735BA4" w:rsidR="001A7082" w:rsidRPr="002D13F7" w:rsidRDefault="001A7082" w:rsidP="002D13F7">
      <w:pPr>
        <w:spacing w:line="480" w:lineRule="auto"/>
        <w:jc w:val="center"/>
        <w:rPr>
          <w:rFonts w:ascii="Times New Roman" w:hAnsi="Times New Roman" w:cs="Times New Roman"/>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3F6DD6">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3F6DD6">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AAB8" w14:textId="77777777" w:rsidR="003F6DD6" w:rsidRDefault="003F6DD6" w:rsidP="00A87CC6">
      <w:pPr>
        <w:spacing w:after="0" w:line="240" w:lineRule="auto"/>
      </w:pPr>
      <w:r>
        <w:separator/>
      </w:r>
    </w:p>
  </w:endnote>
  <w:endnote w:type="continuationSeparator" w:id="0">
    <w:p w14:paraId="3A7BE5A5" w14:textId="77777777" w:rsidR="003F6DD6" w:rsidRDefault="003F6DD6"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6D2BFB">
          <w:rPr>
            <w:noProof/>
          </w:rPr>
          <w:t>iii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E3E4E" w14:textId="77777777" w:rsidR="003F6DD6" w:rsidRDefault="003F6DD6" w:rsidP="00A87CC6">
      <w:pPr>
        <w:spacing w:after="0" w:line="240" w:lineRule="auto"/>
      </w:pPr>
      <w:r>
        <w:separator/>
      </w:r>
    </w:p>
  </w:footnote>
  <w:footnote w:type="continuationSeparator" w:id="0">
    <w:p w14:paraId="014B96DC" w14:textId="77777777" w:rsidR="003F6DD6" w:rsidRDefault="003F6DD6"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2D13F7"/>
    <w:rsid w:val="003F6DD6"/>
    <w:rsid w:val="0043413C"/>
    <w:rsid w:val="00470EE1"/>
    <w:rsid w:val="00495C42"/>
    <w:rsid w:val="00574E53"/>
    <w:rsid w:val="006413CD"/>
    <w:rsid w:val="0064162D"/>
    <w:rsid w:val="00645FF4"/>
    <w:rsid w:val="006719CF"/>
    <w:rsid w:val="006D2BFB"/>
    <w:rsid w:val="0078606D"/>
    <w:rsid w:val="007A5C16"/>
    <w:rsid w:val="008415ED"/>
    <w:rsid w:val="008E05E5"/>
    <w:rsid w:val="0092576D"/>
    <w:rsid w:val="0098466D"/>
    <w:rsid w:val="009D571B"/>
    <w:rsid w:val="00A87CC6"/>
    <w:rsid w:val="00B47B08"/>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D520-9CCD-48C9-8EAA-80F285BB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6283</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2025-06-17T13:16:00Z</cp:lastPrinted>
  <dcterms:created xsi:type="dcterms:W3CDTF">2025-07-11T04:49:00Z</dcterms:created>
  <dcterms:modified xsi:type="dcterms:W3CDTF">2025-07-11T20:13:00Z</dcterms:modified>
</cp:coreProperties>
</file>