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Cambria" w:cs="Times New Roman" w:hAnsi="Cambria"/>
          <w:b/>
          <w:bCs/>
          <w:sz w:val="32"/>
          <w:szCs w:val="24"/>
        </w:rPr>
      </w:pPr>
      <w:bookmarkStart w:id="0" w:name="_GoBack"/>
      <w:bookmarkEnd w:id="0"/>
      <w:r>
        <w:rPr>
          <w:rFonts w:ascii="Cambria" w:cs="Times New Roman" w:hAnsi="Cambria"/>
          <w:b/>
          <w:bCs/>
          <w:noProof/>
          <w:sz w:val="32"/>
          <w:szCs w:val="24"/>
        </w:rPr>
        <w:drawing>
          <wp:inline distL="0" distT="0" distB="0" distR="0">
            <wp:extent cx="1513999" cy="1266825"/>
            <wp:effectExtent l="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1513999" cy="1266825"/>
                    </a:xfrm>
                    <a:prstGeom prst="rect"/>
                  </pic:spPr>
                </pic:pic>
              </a:graphicData>
            </a:graphic>
          </wp:inline>
        </w:drawing>
      </w:r>
    </w:p>
    <w:p>
      <w:pPr>
        <w:pStyle w:val="style0"/>
        <w:spacing w:lineRule="auto" w:line="240"/>
        <w:jc w:val="center"/>
        <w:rPr>
          <w:rFonts w:ascii="Cambria" w:cs="Times New Roman" w:hAnsi="Cambria"/>
          <w:b/>
          <w:bCs/>
          <w:sz w:val="32"/>
          <w:szCs w:val="24"/>
        </w:rPr>
      </w:pPr>
      <w:r>
        <w:rPr>
          <w:rFonts w:ascii="Cambria" w:cs="Times New Roman" w:hAnsi="Cambria"/>
          <w:b/>
          <w:bCs/>
          <w:sz w:val="32"/>
          <w:szCs w:val="24"/>
        </w:rPr>
        <w:t>PHYTOCHEMICAL ANALYSIS AND ANTIOXIDANT ACTIVITIES OF ETHANOLIC EXTRACT OF ACACIA NILOTICA SEEDS</w:t>
      </w:r>
    </w:p>
    <w:p>
      <w:pPr>
        <w:pStyle w:val="style0"/>
        <w:spacing w:lineRule="auto" w:line="240"/>
        <w:jc w:val="center"/>
        <w:rPr>
          <w:rFonts w:ascii="Times New Roman" w:cs="Times New Roman" w:hAnsi="Times New Roman"/>
          <w:b/>
          <w:bCs/>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lineRule="auto" w:line="240"/>
        <w:ind w:firstLine="720"/>
        <w:jc w:val="center"/>
        <w:rPr>
          <w:rFonts w:ascii="Cambria" w:cs="Times New Roman" w:hAnsi="Cambria"/>
          <w:b/>
          <w:bCs/>
          <w:sz w:val="28"/>
          <w:szCs w:val="24"/>
        </w:rPr>
      </w:pPr>
      <w:r>
        <w:rPr>
          <w:rFonts w:cs="Times New Roman" w:hAnsi="Cambria"/>
          <w:b/>
          <w:bCs/>
          <w:sz w:val="28"/>
          <w:szCs w:val="24"/>
          <w:lang w:val="en-US"/>
        </w:rPr>
        <w:t xml:space="preserve">ABIOYE TOMIWA RACHEAL </w:t>
      </w:r>
    </w:p>
    <w:p>
      <w:pPr>
        <w:pStyle w:val="style0"/>
        <w:spacing w:lineRule="auto" w:line="240"/>
        <w:ind w:firstLine="720"/>
        <w:jc w:val="center"/>
        <w:rPr>
          <w:rFonts w:ascii="Cambria" w:cs="Times New Roman" w:hAnsi="Cambria"/>
          <w:b/>
          <w:bCs/>
          <w:sz w:val="28"/>
          <w:szCs w:val="24"/>
        </w:rPr>
      </w:pPr>
      <w:r>
        <w:rPr>
          <w:rFonts w:cs="Times New Roman" w:hAnsi="Cambria"/>
          <w:b/>
          <w:bCs/>
          <w:sz w:val="28"/>
          <w:szCs w:val="24"/>
          <w:lang w:val="en-US"/>
        </w:rPr>
        <w:t xml:space="preserve">                                   </w:t>
      </w:r>
      <w:r>
        <w:rPr>
          <w:rFonts w:ascii="Cambria" w:cs="Times New Roman" w:hAnsi="Cambria"/>
          <w:b/>
          <w:bCs/>
          <w:sz w:val="28"/>
          <w:szCs w:val="24"/>
        </w:rPr>
        <w:t>HND/23/SLT/FT/0601</w:t>
      </w:r>
      <w:r>
        <w:rPr>
          <w:rFonts w:ascii="Cambria" w:cs="Times New Roman" w:hAnsi="Cambria"/>
          <w:b/>
          <w:bCs/>
          <w:sz w:val="28"/>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p>
    <w:p>
      <w:pPr>
        <w:pStyle w:val="style0"/>
        <w:spacing w:lineRule="auto" w:line="240"/>
        <w:jc w:val="center"/>
        <w:rPr>
          <w:rFonts w:ascii="Cambria" w:cs="Times New Roman" w:hAnsi="Cambria"/>
          <w:b/>
          <w:bCs/>
          <w:sz w:val="32"/>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SUBMITTED TO</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DEPARTMENT OF SCIENCE LABORATORY TECHNOLOGY,</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(BIOCHEMISTRY UNIT)</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INSTITUTE OF APPLIED SCIENCES (I.A.S),</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KWARA STATE POLYTECHNIC, ILORIN</w:t>
      </w:r>
    </w:p>
    <w:p>
      <w:pPr>
        <w:pStyle w:val="style0"/>
        <w:spacing w:lineRule="auto" w:line="240"/>
        <w:jc w:val="center"/>
        <w:rPr>
          <w:rFonts w:ascii="Times New Roman" w:cs="Times New Roman" w:hAnsi="Times New Roman"/>
          <w:b/>
          <w:bCs/>
          <w:sz w:val="28"/>
          <w:szCs w:val="24"/>
        </w:rPr>
      </w:pP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 PARTIAL FULFILMENT OF THE REQUIREMENTS OF HIGHER NATIONAL DIPLOMA (HND), IN SCIENCE LABORATORY TECHNOLOGY</w:t>
      </w:r>
      <w:r>
        <w:rPr>
          <w:rFonts w:ascii="Times New Roman" w:cs="Times New Roman" w:hAnsi="Times New Roman"/>
          <w:b/>
          <w:bCs/>
          <w:sz w:val="28"/>
          <w:szCs w:val="24"/>
        </w:rPr>
        <w:t xml:space="preserve"> (SLT), BIOCHEMISTRY UNIT</w:t>
      </w:r>
    </w:p>
    <w:p>
      <w:pPr>
        <w:pStyle w:val="style0"/>
        <w:spacing w:lineRule="auto" w:line="240"/>
        <w:jc w:val="right"/>
        <w:rPr>
          <w:rFonts w:ascii="Times New Roman" w:cs="Times New Roman" w:hAnsi="Times New Roman"/>
          <w:b/>
          <w:bCs/>
          <w:sz w:val="32"/>
          <w:szCs w:val="24"/>
        </w:rPr>
      </w:pPr>
    </w:p>
    <w:p>
      <w:pPr>
        <w:pStyle w:val="style0"/>
        <w:spacing w:lineRule="auto" w:line="240"/>
        <w:jc w:val="right"/>
        <w:rPr>
          <w:rFonts w:ascii="Times New Roman" w:cs="Times New Roman" w:hAnsi="Times New Roman"/>
          <w:b/>
          <w:bCs/>
          <w:sz w:val="32"/>
          <w:szCs w:val="24"/>
        </w:rPr>
      </w:pPr>
      <w:r>
        <w:rPr>
          <w:rFonts w:ascii="Times New Roman" w:cs="Times New Roman" w:hAnsi="Times New Roman"/>
          <w:b/>
          <w:bCs/>
          <w:sz w:val="32"/>
          <w:szCs w:val="24"/>
        </w:rPr>
        <w:t>2024/2025 SESSION</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CERTIFICATION PAGE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to certify that this project titled</w:t>
      </w:r>
      <w:r>
        <w:rPr>
          <w:rFonts w:ascii="Times New Roman" w:cs="Times New Roman" w:hAnsi="Times New Roman"/>
          <w:sz w:val="24"/>
          <w:szCs w:val="24"/>
        </w:rPr>
        <w:t xml:space="preserve"> "</w:t>
      </w:r>
      <w:r>
        <w:rPr>
          <w:rFonts w:ascii="Times New Roman" w:cs="Times New Roman" w:hAnsi="Times New Roman"/>
          <w:b/>
          <w:sz w:val="24"/>
          <w:szCs w:val="24"/>
        </w:rPr>
        <w:t>PHYTOCHEMICAL ANALYSIS AND ANTIOXIDANT ACTIVITY OF ETHANOLIC EXTRACT OF ACACIA NILOTICA SEEDS</w:t>
      </w:r>
      <w:r>
        <w:rPr>
          <w:rFonts w:ascii="Times New Roman" w:cs="Times New Roman" w:hAnsi="Times New Roman"/>
          <w:sz w:val="24"/>
          <w:szCs w:val="24"/>
        </w:rPr>
        <w:t>"</w:t>
      </w:r>
      <w:r>
        <w:rPr>
          <w:rFonts w:ascii="Times New Roman" w:cs="Times New Roman" w:hAnsi="Times New Roman"/>
          <w:sz w:val="24"/>
          <w:szCs w:val="24"/>
        </w:rPr>
        <w:t xml:space="preserve"> has been read</w:t>
      </w:r>
      <w:r>
        <w:rPr>
          <w:rFonts w:ascii="Times New Roman" w:cs="Times New Roman" w:hAnsi="Times New Roman"/>
          <w:sz w:val="24"/>
          <w:szCs w:val="24"/>
        </w:rPr>
        <w:t>, certified</w:t>
      </w:r>
      <w:r>
        <w:rPr>
          <w:rFonts w:ascii="Times New Roman" w:cs="Times New Roman" w:hAnsi="Times New Roman"/>
          <w:sz w:val="24"/>
          <w:szCs w:val="24"/>
        </w:rPr>
        <w:t xml:space="preserve"> and approved as </w:t>
      </w:r>
      <w:r>
        <w:rPr>
          <w:rFonts w:ascii="Times New Roman" w:cs="Times New Roman" w:hAnsi="Times New Roman"/>
          <w:sz w:val="24"/>
          <w:szCs w:val="24"/>
        </w:rPr>
        <w:t>meeting part of the requireme</w:t>
      </w:r>
      <w:r>
        <w:rPr>
          <w:rFonts w:ascii="Times New Roman" w:cs="Times New Roman" w:hAnsi="Times New Roman"/>
          <w:sz w:val="24"/>
          <w:szCs w:val="24"/>
        </w:rPr>
        <w:t>nts of the D</w:t>
      </w:r>
      <w:r>
        <w:rPr>
          <w:rFonts w:ascii="Times New Roman" w:cs="Times New Roman" w:hAnsi="Times New Roman"/>
          <w:sz w:val="24"/>
          <w:szCs w:val="24"/>
        </w:rPr>
        <w:t>epartment of Science Laboratory Technology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n partial fulfilment of the requirement for the award of Higher National Diploma (HND) in Science Laboratory Technology, (Biochemistry Unit), Institute of Applied Sciences,</w:t>
      </w:r>
      <w:r>
        <w:rPr>
          <w:rFonts w:ascii="Times New Roman" w:cs="Times New Roman" w:hAnsi="Times New Roman"/>
          <w:sz w:val="24"/>
          <w:szCs w:val="24"/>
        </w:rPr>
        <w:t xml:space="preserve"> </w:t>
      </w:r>
      <w:r>
        <w:rPr>
          <w:rFonts w:ascii="Times New Roman" w:cs="Times New Roman" w:hAnsi="Times New Roman"/>
          <w:sz w:val="24"/>
          <w:szCs w:val="24"/>
        </w:rPr>
        <w:t>Kwara State Polytechnic, Ilorin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MRS AMIRA </w:t>
      </w:r>
      <w:r>
        <w:rPr>
          <w:rFonts w:ascii="Times New Roman" w:cs="Times New Roman" w:hAnsi="Times New Roman"/>
          <w:b/>
          <w:sz w:val="24"/>
          <w:szCs w:val="24"/>
        </w:rPr>
        <w:t>E. 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K. A. SALAUDEEN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HEAD OF UNIT (BIOCHEMISTRY</w:t>
      </w:r>
      <w:r>
        <w:rPr>
          <w:rFonts w:ascii="Times New Roman" w:cs="Times New Roman" w:hAnsi="Times New Roman"/>
          <w:b/>
          <w:sz w:val="24"/>
          <w:szCs w:val="24"/>
        </w:rPr>
        <w:t xml:space="preserve"> UNIT</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DR. USMAN ABDULKAREEM</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HEAD OF </w:t>
      </w:r>
      <w:r>
        <w:rPr>
          <w:rFonts w:ascii="Times New Roman" w:cs="Times New Roman" w:hAnsi="Times New Roman"/>
          <w:b/>
          <w:sz w:val="24"/>
          <w:szCs w:val="24"/>
        </w:rPr>
        <w:t>DEPARTMENT</w:t>
      </w:r>
      <w:r>
        <w:rPr>
          <w:rFonts w:ascii="Times New Roman" w:cs="Times New Roman" w:hAnsi="Times New Roman"/>
          <w:b/>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I </w:t>
      </w:r>
      <w:r>
        <w:rPr>
          <w:rFonts w:ascii="Times New Roman" w:cs="Times New Roman" w:hAnsi="Times New Roman"/>
          <w:sz w:val="24"/>
          <w:szCs w:val="24"/>
        </w:rPr>
        <w:t xml:space="preserve">dedicate this research work to Almighty God for his grace and guidance, and to </w:t>
      </w:r>
      <w:r>
        <w:rPr>
          <w:rFonts w:ascii="Times New Roman" w:cs="Times New Roman" w:hAnsi="Times New Roman"/>
          <w:sz w:val="24"/>
          <w:szCs w:val="24"/>
          <w:lang w:val="en-US"/>
        </w:rPr>
        <w:t xml:space="preserve">my </w:t>
      </w:r>
      <w:r>
        <w:rPr>
          <w:rFonts w:ascii="Times New Roman" w:cs="Times New Roman" w:hAnsi="Times New Roman"/>
          <w:sz w:val="24"/>
          <w:szCs w:val="24"/>
        </w:rPr>
        <w:t>famil</w:t>
      </w:r>
      <w:r>
        <w:rPr>
          <w:rFonts w:ascii="Times New Roman" w:cs="Times New Roman" w:hAnsi="Times New Roman"/>
          <w:sz w:val="24"/>
          <w:szCs w:val="24"/>
          <w:lang w:val="en-US"/>
        </w:rPr>
        <w:t xml:space="preserve">y </w:t>
      </w:r>
      <w:r>
        <w:rPr>
          <w:rFonts w:ascii="Times New Roman" w:cs="Times New Roman" w:hAnsi="Times New Roman"/>
          <w:sz w:val="24"/>
          <w:szCs w:val="24"/>
        </w:rPr>
        <w:t>for their constant</w:t>
      </w:r>
      <w:r>
        <w:rPr>
          <w:rFonts w:ascii="Times New Roman" w:cs="Times New Roman" w:hAnsi="Times New Roman"/>
          <w:sz w:val="24"/>
          <w:szCs w:val="24"/>
        </w:rPr>
        <w:t xml:space="preserve"> support</w:t>
      </w:r>
      <w:r>
        <w:rPr>
          <w:rFonts w:ascii="Times New Roman" w:cs="Times New Roman" w:hAnsi="Times New Roman"/>
          <w:sz w:val="24"/>
          <w:szCs w:val="24"/>
        </w:rPr>
        <w:t xml:space="preserve"> and encouragement throughout the duration of this project</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AKNOWLEDGEMNT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sincere gratitude goes to Almighty God for the privilege given to me to complete this project work; He has been helping me from the beginning till the end of my program</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sincere gratitude goes to my kind and esteem supervisor in person of Mrs. Amira E.O, for her advice through supervision, moral support and word of encouragement to the success of this project. May God almighty continue to preserve, guide, and shower his blessings on you ma.</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upmost and sincere appreciation goes to my beloved parents in person of MR&amp; MRS ABIOYE for being my backbone and supporters, without them, i have no power to be where l am  today. I thank you for your support financially, morally, and spiritually, and for always encouraging me to be of my best behavior. May God in his absolute mercy enrich their course and grant them long life and prosperity to reap the fruit of their labor.</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My second appreciation goes to my lovely brother in person of ABIOYE OLAMILEKAN thank you for for being there for me always I really appreciate everything starting from my ND days the lord will continue to enrich ur pocket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And to all my siblings thank you all for still have that believe in me I love you all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And to my lovely daughter Olorunwa thank you for being a blessing to me I love you so much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Lastly I want to specially appreciate my daddy as I use to call him in person of Mr Oluwafemi thank you so much for your word of encouragement for ur support every time I love you so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And to my sister from another mother person of mummy Enoch thank you for always being there for me I love you so much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To all my friends i say a big thank you for everything I love you so we sha meet at higher higher in Jesus name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special appreciation goes to the Head of Department of S.L.T, Head of Biochemistry Unit and all my lectures for their kind gesture and academical support. May God Almighty continue to bless you all.</w:t>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after="0"/>
        <w:jc w:val="center"/>
        <w:rPr>
          <w:rFonts w:ascii="Times New Roman" w:cs="Times New Roman" w:hAnsi="Times New Roman"/>
          <w:b/>
          <w:bCs/>
          <w:sz w:val="24"/>
          <w:szCs w:val="24"/>
        </w:rPr>
      </w:pP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Certification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Dedication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Acknowledgements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Table of Contents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Abstract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vi</w:t>
      </w:r>
      <w:r>
        <w:rPr>
          <w:rFonts w:ascii="Times New Roman" w:cs="Times New Roman" w:hAnsi="Times New Roman"/>
          <w:bCs/>
          <w:sz w:val="24"/>
          <w:szCs w:val="24"/>
        </w:rPr>
        <w:t>i</w:t>
      </w:r>
    </w:p>
    <w:p>
      <w:pPr>
        <w:pStyle w:val="style0"/>
        <w:spacing w:before="100" w:beforeAutospacing="true" w:after="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numPr>
          <w:ilvl w:val="0"/>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p>
    <w:p>
      <w:pPr>
        <w:pStyle w:val="style179"/>
        <w:numPr>
          <w:ilvl w:val="1"/>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Scope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179"/>
        <w:numPr>
          <w:ilvl w:val="1"/>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Statement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4</w:t>
      </w:r>
    </w:p>
    <w:p>
      <w:pPr>
        <w:pStyle w:val="style179"/>
        <w:numPr>
          <w:ilvl w:val="1"/>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Justification o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5</w:t>
      </w:r>
    </w:p>
    <w:p>
      <w:pPr>
        <w:pStyle w:val="style179"/>
        <w:numPr>
          <w:ilvl w:val="1"/>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Aim and objectives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179"/>
        <w:spacing w:after="0"/>
        <w:ind w:left="54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b/>
          <w:bCs/>
          <w:sz w:val="24"/>
          <w:szCs w:val="24"/>
        </w:rPr>
        <w:t>CHAPTER TWO</w:t>
      </w:r>
    </w:p>
    <w:p>
      <w:pPr>
        <w:pStyle w:val="style179"/>
        <w:numPr>
          <w:ilvl w:val="0"/>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179"/>
        <w:numPr>
          <w:ilvl w:val="1"/>
          <w:numId w:val="1"/>
        </w:numPr>
        <w:tabs>
          <w:tab w:val="left" w:leader="none" w:pos="630"/>
        </w:tabs>
        <w:spacing w:after="0"/>
        <w:ind w:left="540" w:hanging="540"/>
        <w:jc w:val="both"/>
        <w:rPr>
          <w:rFonts w:ascii="Times New Roman" w:cs="Times New Roman" w:hAnsi="Times New Roman"/>
          <w:sz w:val="24"/>
          <w:szCs w:val="24"/>
        </w:rPr>
      </w:pPr>
      <w:r>
        <w:rPr>
          <w:rFonts w:ascii="Times New Roman" w:cs="Times New Roman" w:hAnsi="Times New Roman"/>
          <w:sz w:val="24"/>
          <w:szCs w:val="24"/>
        </w:rPr>
        <w:t>Plant of study</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10</w:t>
      </w:r>
    </w:p>
    <w:p>
      <w:pPr>
        <w:pStyle w:val="style179"/>
        <w:numPr>
          <w:ilvl w:val="2"/>
          <w:numId w:val="1"/>
        </w:numPr>
        <w:tabs>
          <w:tab w:val="left" w:leader="none" w:pos="630"/>
        </w:tabs>
        <w:spacing w:after="0"/>
        <w:ind w:left="540" w:hanging="540"/>
        <w:jc w:val="both"/>
        <w:rPr>
          <w:rFonts w:ascii="Times New Roman" w:cs="Times New Roman" w:hAnsi="Times New Roman"/>
          <w:sz w:val="24"/>
          <w:szCs w:val="24"/>
        </w:rPr>
      </w:pPr>
      <w:r>
        <w:rPr>
          <w:rFonts w:ascii="Times New Roman" w:cs="Times New Roman" w:hAnsi="Times New Roman"/>
          <w:sz w:val="24"/>
          <w:szCs w:val="24"/>
        </w:rPr>
        <w:t>Botanical characteristics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179"/>
        <w:numPr>
          <w:ilvl w:val="2"/>
          <w:numId w:val="1"/>
        </w:numPr>
        <w:tabs>
          <w:tab w:val="left" w:leader="none" w:pos="630"/>
        </w:tabs>
        <w:spacing w:after="0"/>
        <w:ind w:left="540" w:hanging="540"/>
        <w:jc w:val="both"/>
        <w:rPr>
          <w:rFonts w:ascii="Times New Roman" w:cs="Times New Roman" w:hAnsi="Times New Roman"/>
          <w:sz w:val="24"/>
          <w:szCs w:val="24"/>
        </w:rPr>
      </w:pPr>
      <w:r>
        <w:rPr>
          <w:rFonts w:ascii="Times New Roman" w:cs="Times New Roman" w:hAnsi="Times New Roman"/>
          <w:sz w:val="24"/>
          <w:szCs w:val="24"/>
        </w:rPr>
        <w:t>Ethnomedical</w:t>
      </w:r>
      <w:r>
        <w:rPr>
          <w:rFonts w:ascii="Times New Roman" w:cs="Times New Roman" w:hAnsi="Times New Roman"/>
          <w:sz w:val="24"/>
          <w:szCs w:val="24"/>
        </w:rPr>
        <w:t xml:space="preserve"> and pharmacological relevance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10</w:t>
      </w:r>
    </w:p>
    <w:p>
      <w:pPr>
        <w:pStyle w:val="style179"/>
        <w:tabs>
          <w:tab w:val="left" w:leader="none" w:pos="630"/>
        </w:tabs>
        <w:spacing w:after="0"/>
        <w:ind w:left="540" w:hanging="54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Extraction method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 xml:space="preserve">Phytochemical composition of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i/>
          <w:iCs/>
          <w:sz w:val="24"/>
          <w:szCs w:val="24"/>
        </w:rPr>
        <w:t xml:space="preserve"> </w:t>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Cs/>
          <w:sz w:val="24"/>
          <w:szCs w:val="24"/>
        </w:rPr>
        <w:t>12</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Antioxidant studies of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Cs/>
          <w:sz w:val="24"/>
          <w:szCs w:val="24"/>
        </w:rPr>
        <w:t>13</w:t>
      </w:r>
    </w:p>
    <w:p>
      <w:pPr>
        <w:pStyle w:val="style179"/>
        <w:spacing w:after="0"/>
        <w:ind w:left="0"/>
        <w:jc w:val="both"/>
        <w:rPr>
          <w:rFonts w:ascii="Times New Roman" w:cs="Times New Roman" w:hAnsi="Times New Roman"/>
          <w:sz w:val="24"/>
          <w:szCs w:val="24"/>
        </w:rPr>
      </w:pP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179"/>
        <w:numPr>
          <w:ilvl w:val="0"/>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 xml:space="preserve">Collections and preparations of sample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Materials and Method used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3.3.1</w:t>
      </w:r>
      <w:r>
        <w:rPr>
          <w:rFonts w:ascii="Times New Roman" w:cs="Times New Roman" w:hAnsi="Times New Roman"/>
          <w:sz w:val="24"/>
          <w:szCs w:val="24"/>
        </w:rPr>
        <w:tab/>
      </w:r>
      <w:r>
        <w:rPr>
          <w:rFonts w:ascii="Times New Roman" w:cs="Times New Roman" w:hAnsi="Times New Roman"/>
          <w:sz w:val="24"/>
          <w:szCs w:val="24"/>
        </w:rPr>
        <w:t>Reagents used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3.1.2</w:t>
      </w:r>
      <w:r>
        <w:rPr>
          <w:rFonts w:ascii="Times New Roman" w:cs="Times New Roman" w:hAnsi="Times New Roman"/>
          <w:sz w:val="24"/>
          <w:szCs w:val="24"/>
        </w:rPr>
        <w:tab/>
      </w:r>
      <w:r>
        <w:rPr>
          <w:rFonts w:ascii="Times New Roman" w:cs="Times New Roman" w:hAnsi="Times New Roman"/>
          <w:sz w:val="24"/>
          <w:szCs w:val="24"/>
        </w:rPr>
        <w:t>Equipment and Instruments used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Procedure for extraction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15</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Phytochemical test procedures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15</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3.3.1</w:t>
      </w:r>
      <w:r>
        <w:rPr>
          <w:rFonts w:ascii="Times New Roman" w:cs="Times New Roman" w:hAnsi="Times New Roman"/>
          <w:sz w:val="24"/>
          <w:szCs w:val="24"/>
        </w:rPr>
        <w:tab/>
      </w:r>
      <w:r>
        <w:rPr>
          <w:rFonts w:ascii="Times New Roman" w:cs="Times New Roman" w:hAnsi="Times New Roman"/>
          <w:sz w:val="24"/>
          <w:szCs w:val="24"/>
        </w:rPr>
        <w:t>Tests for Steroid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16</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3.3.2</w:t>
      </w:r>
      <w:r>
        <w:rPr>
          <w:rFonts w:ascii="Times New Roman" w:cs="Times New Roman" w:hAnsi="Times New Roman"/>
          <w:sz w:val="24"/>
          <w:szCs w:val="24"/>
        </w:rPr>
        <w:tab/>
      </w:r>
      <w:r>
        <w:rPr>
          <w:rFonts w:ascii="Times New Roman" w:cs="Times New Roman" w:hAnsi="Times New Roman"/>
          <w:sz w:val="24"/>
          <w:szCs w:val="24"/>
        </w:rPr>
        <w:t>Tests for</w:t>
      </w:r>
      <w:r>
        <w:rPr>
          <w:rFonts w:ascii="Times New Roman" w:cs="Times New Roman" w:hAnsi="Times New Roman"/>
          <w:sz w:val="24"/>
          <w:szCs w:val="24"/>
        </w:rPr>
        <w:tab/>
      </w:r>
      <w:r>
        <w:rPr>
          <w:rFonts w:ascii="Times New Roman" w:cs="Times New Roman" w:hAnsi="Times New Roman"/>
          <w:sz w:val="24"/>
          <w:szCs w:val="24"/>
        </w:rPr>
        <w:t>Triterpene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16</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3.3.3</w:t>
      </w:r>
      <w:r>
        <w:rPr>
          <w:rFonts w:ascii="Times New Roman" w:cs="Times New Roman" w:hAnsi="Times New Roman"/>
          <w:sz w:val="24"/>
          <w:szCs w:val="24"/>
        </w:rPr>
        <w:tab/>
      </w:r>
      <w:r>
        <w:rPr>
          <w:rFonts w:ascii="Times New Roman" w:cs="Times New Roman" w:hAnsi="Times New Roman"/>
          <w:sz w:val="24"/>
          <w:szCs w:val="24"/>
        </w:rPr>
        <w:t xml:space="preserve">Tests for </w:t>
      </w:r>
      <w:r>
        <w:rPr>
          <w:rFonts w:ascii="Times New Roman" w:cs="Times New Roman" w:hAnsi="Times New Roman"/>
          <w:sz w:val="24"/>
          <w:szCs w:val="24"/>
        </w:rPr>
        <w:t xml:space="preserve">Alkaloids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3.3.4</w:t>
      </w:r>
      <w:r>
        <w:rPr>
          <w:rFonts w:ascii="Times New Roman" w:cs="Times New Roman" w:hAnsi="Times New Roman"/>
          <w:sz w:val="24"/>
          <w:szCs w:val="24"/>
        </w:rPr>
        <w:tab/>
      </w:r>
      <w:r>
        <w:rPr>
          <w:rFonts w:ascii="Times New Roman" w:cs="Times New Roman" w:hAnsi="Times New Roman"/>
          <w:sz w:val="24"/>
          <w:szCs w:val="24"/>
        </w:rPr>
        <w:t xml:space="preserve">Test for </w:t>
      </w:r>
      <w:r>
        <w:rPr>
          <w:rFonts w:ascii="Times New Roman" w:cs="Times New Roman" w:hAnsi="Times New Roman"/>
          <w:sz w:val="24"/>
          <w:szCs w:val="24"/>
        </w:rPr>
        <w:t>Tannin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17</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3.3.5</w:t>
      </w:r>
      <w:r>
        <w:rPr>
          <w:rFonts w:ascii="Times New Roman" w:cs="Times New Roman" w:hAnsi="Times New Roman"/>
          <w:sz w:val="24"/>
          <w:szCs w:val="24"/>
        </w:rPr>
        <w:tab/>
      </w:r>
      <w:r>
        <w:rPr>
          <w:rFonts w:ascii="Times New Roman" w:cs="Times New Roman" w:hAnsi="Times New Roman"/>
          <w:sz w:val="24"/>
          <w:szCs w:val="24"/>
        </w:rPr>
        <w:t>Lactone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3.3.6</w:t>
      </w:r>
      <w:r>
        <w:rPr>
          <w:rFonts w:ascii="Times New Roman" w:cs="Times New Roman" w:hAnsi="Times New Roman"/>
          <w:sz w:val="24"/>
          <w:szCs w:val="24"/>
        </w:rPr>
        <w:tab/>
      </w:r>
      <w:r>
        <w:rPr>
          <w:rFonts w:ascii="Times New Roman" w:cs="Times New Roman" w:hAnsi="Times New Roman"/>
          <w:sz w:val="24"/>
          <w:szCs w:val="24"/>
        </w:rPr>
        <w:t>Diterpene</w:t>
      </w:r>
      <w:r>
        <w:rPr>
          <w:rFonts w:ascii="Times New Roman" w:cs="Times New Roman" w:hAnsi="Times New Roman"/>
          <w:sz w:val="24"/>
          <w:szCs w:val="24"/>
        </w:rPr>
        <w:t xml:space="preserve">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3.3.7</w:t>
      </w:r>
      <w:r>
        <w:rPr>
          <w:rFonts w:ascii="Times New Roman" w:cs="Times New Roman" w:hAnsi="Times New Roman"/>
          <w:sz w:val="24"/>
          <w:szCs w:val="24"/>
        </w:rPr>
        <w:tab/>
      </w:r>
      <w:r>
        <w:rPr>
          <w:rFonts w:ascii="Times New Roman" w:cs="Times New Roman" w:hAnsi="Times New Roman"/>
          <w:sz w:val="24"/>
          <w:szCs w:val="24"/>
        </w:rPr>
        <w:t>Glycoside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3.3.8</w:t>
      </w:r>
      <w:r>
        <w:rPr>
          <w:rFonts w:ascii="Times New Roman" w:cs="Times New Roman" w:hAnsi="Times New Roman"/>
          <w:sz w:val="24"/>
          <w:szCs w:val="24"/>
        </w:rPr>
        <w:tab/>
      </w:r>
      <w:r>
        <w:rPr>
          <w:rFonts w:ascii="Times New Roman" w:cs="Times New Roman" w:hAnsi="Times New Roman"/>
          <w:sz w:val="24"/>
          <w:szCs w:val="24"/>
        </w:rPr>
        <w:t>Saponin</w:t>
      </w:r>
      <w:r>
        <w:rPr>
          <w:rFonts w:ascii="Times New Roman" w:cs="Times New Roman" w:hAnsi="Times New Roman"/>
          <w:sz w:val="24"/>
          <w:szCs w:val="24"/>
        </w:rPr>
        <w:t xml:space="preserve">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Antioxidant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3.4.1</w:t>
      </w:r>
      <w:r>
        <w:rPr>
          <w:rFonts w:ascii="Times New Roman" w:cs="Times New Roman" w:hAnsi="Times New Roman"/>
          <w:sz w:val="24"/>
          <w:szCs w:val="24"/>
        </w:rPr>
        <w:tab/>
      </w:r>
      <w:r>
        <w:rPr>
          <w:rFonts w:ascii="Times New Roman" w:cs="Times New Roman" w:hAnsi="Times New Roman"/>
          <w:sz w:val="24"/>
          <w:szCs w:val="24"/>
        </w:rPr>
        <w:t>DPPH</w:t>
      </w:r>
      <w:r>
        <w:rPr>
          <w:rFonts w:ascii="Times New Roman" w:cs="Times New Roman" w:hAnsi="Times New Roman"/>
          <w:sz w:val="24"/>
          <w:szCs w:val="24"/>
        </w:rPr>
        <w:t xml:space="preserve"> (2</w:t>
      </w:r>
      <w:r>
        <w:rPr>
          <w:rFonts w:ascii="Times New Roman" w:cs="Times New Roman" w:hAnsi="Times New Roman"/>
          <w:sz w:val="24"/>
          <w:szCs w:val="24"/>
        </w:rPr>
        <w:t>,2</w:t>
      </w:r>
      <w:r>
        <w:rPr>
          <w:rFonts w:ascii="Times New Roman" w:cs="Times New Roman" w:hAnsi="Times New Roman"/>
          <w:sz w:val="24"/>
          <w:szCs w:val="24"/>
        </w:rPr>
        <w:t>-Diphenyl-1-picrylhydraxyl)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3.4.2</w:t>
      </w:r>
      <w:r>
        <w:rPr>
          <w:rFonts w:ascii="Times New Roman" w:cs="Times New Roman" w:hAnsi="Times New Roman"/>
          <w:sz w:val="24"/>
          <w:szCs w:val="24"/>
        </w:rPr>
        <w:tab/>
      </w:r>
      <w:r>
        <w:rPr>
          <w:rFonts w:ascii="Times New Roman" w:cs="Times New Roman" w:hAnsi="Times New Roman"/>
          <w:sz w:val="24"/>
          <w:szCs w:val="24"/>
        </w:rPr>
        <w:t>TPC</w:t>
      </w:r>
      <w:r>
        <w:rPr>
          <w:rFonts w:ascii="Times New Roman" w:cs="Times New Roman" w:hAnsi="Times New Roman"/>
          <w:sz w:val="24"/>
          <w:szCs w:val="24"/>
        </w:rPr>
        <w:t xml:space="preserve"> (Total Phenolic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19</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Estimation of Lycopene &amp; β-carotene (Determination of carotenoids)</w:t>
      </w:r>
      <w:r>
        <w:rPr>
          <w:rFonts w:ascii="Times New Roman" w:cs="Times New Roman" w:hAnsi="Times New Roman"/>
          <w:sz w:val="24"/>
          <w:szCs w:val="24"/>
        </w:rPr>
        <w:tab/>
      </w:r>
      <w:r>
        <w:rPr>
          <w:rFonts w:ascii="Times New Roman" w:cs="Times New Roman" w:hAnsi="Times New Roman"/>
          <w:sz w:val="24"/>
          <w:szCs w:val="24"/>
        </w:rPr>
        <w:tab/>
        <w:t>20</w:t>
      </w:r>
    </w:p>
    <w:p>
      <w:pPr>
        <w:pStyle w:val="style179"/>
        <w:spacing w:after="0"/>
        <w:ind w:left="540" w:hanging="540"/>
        <w:jc w:val="both"/>
        <w:rPr>
          <w:rFonts w:ascii="Times New Roman" w:cs="Times New Roman" w:hAnsi="Times New Roman"/>
          <w:sz w:val="24"/>
          <w:szCs w:val="24"/>
        </w:rPr>
      </w:pP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179"/>
        <w:numPr>
          <w:ilvl w:val="0"/>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Discussions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4.1.1</w:t>
      </w:r>
      <w:r>
        <w:rPr>
          <w:rFonts w:ascii="Times New Roman" w:cs="Times New Roman" w:hAnsi="Times New Roman"/>
          <w:sz w:val="24"/>
          <w:szCs w:val="24"/>
        </w:rPr>
        <w:tab/>
      </w:r>
      <w:r>
        <w:rPr>
          <w:rFonts w:ascii="Times New Roman" w:cs="Times New Roman" w:hAnsi="Times New Roman"/>
          <w:sz w:val="24"/>
          <w:szCs w:val="24"/>
        </w:rPr>
        <w:t>Inferences on phytochemical screening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23</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4.1.2</w:t>
      </w:r>
      <w:r>
        <w:rPr>
          <w:rFonts w:ascii="Times New Roman" w:cs="Times New Roman" w:hAnsi="Times New Roman"/>
          <w:sz w:val="24"/>
          <w:szCs w:val="24"/>
        </w:rPr>
        <w:tab/>
      </w:r>
      <w:r>
        <w:rPr>
          <w:rFonts w:ascii="Times New Roman" w:cs="Times New Roman" w:hAnsi="Times New Roman"/>
          <w:sz w:val="24"/>
          <w:szCs w:val="24"/>
        </w:rPr>
        <w:t>Discussion</w:t>
      </w:r>
      <w:r>
        <w:rPr>
          <w:rFonts w:ascii="Times New Roman" w:cs="Times New Roman" w:hAnsi="Times New Roman"/>
          <w:sz w:val="24"/>
          <w:szCs w:val="24"/>
        </w:rPr>
        <w:t xml:space="preserve"> on Phytochemical screening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w:t>
      </w:r>
      <w:r>
        <w:rPr>
          <w:rFonts w:ascii="Times New Roman" w:cs="Times New Roman" w:hAnsi="Times New Roman"/>
          <w:sz w:val="24"/>
          <w:szCs w:val="24"/>
        </w:rPr>
        <w:tab/>
      </w:r>
      <w:r>
        <w:rPr>
          <w:rFonts w:ascii="Times New Roman" w:cs="Times New Roman" w:hAnsi="Times New Roman"/>
          <w:sz w:val="24"/>
          <w:szCs w:val="24"/>
        </w:rPr>
        <w:t>Discussion</w:t>
      </w:r>
      <w:r>
        <w:rPr>
          <w:rFonts w:ascii="Times New Roman" w:cs="Times New Roman" w:hAnsi="Times New Roman"/>
          <w:sz w:val="24"/>
          <w:szCs w:val="24"/>
        </w:rPr>
        <w:t xml:space="preserve"> on Antioxidant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4.1.3.1</w:t>
      </w:r>
      <w:r>
        <w:rPr>
          <w:rFonts w:ascii="Times New Roman" w:cs="Times New Roman" w:hAnsi="Times New Roman"/>
          <w:sz w:val="24"/>
          <w:szCs w:val="24"/>
        </w:rPr>
        <w:tab/>
      </w:r>
      <w:r>
        <w:rPr>
          <w:rFonts w:ascii="Times New Roman" w:cs="Times New Roman" w:hAnsi="Times New Roman"/>
          <w:sz w:val="24"/>
          <w:szCs w:val="24"/>
        </w:rPr>
        <w:t xml:space="preserve">DPPH </w:t>
      </w:r>
      <w:r>
        <w:rPr>
          <w:rFonts w:ascii="Times New Roman" w:cs="Times New Roman" w:hAnsi="Times New Roman"/>
          <w:sz w:val="24"/>
          <w:szCs w:val="24"/>
        </w:rPr>
        <w:t>Antiradical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29</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4.1.3.2</w:t>
      </w:r>
      <w:r>
        <w:rPr>
          <w:rFonts w:ascii="Times New Roman" w:cs="Times New Roman" w:hAnsi="Times New Roman"/>
          <w:sz w:val="24"/>
          <w:szCs w:val="24"/>
        </w:rPr>
        <w:tab/>
      </w:r>
      <w:r>
        <w:rPr>
          <w:rFonts w:ascii="Times New Roman" w:cs="Times New Roman" w:hAnsi="Times New Roman"/>
          <w:sz w:val="24"/>
          <w:szCs w:val="24"/>
        </w:rPr>
        <w:t>TPC Antioxidant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30</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4.1.3.3</w:t>
      </w:r>
      <w:r>
        <w:rPr>
          <w:rFonts w:ascii="Times New Roman" w:cs="Times New Roman" w:hAnsi="Times New Roman"/>
          <w:sz w:val="24"/>
          <w:szCs w:val="24"/>
        </w:rPr>
        <w:tab/>
      </w:r>
      <w:r>
        <w:rPr>
          <w:rFonts w:ascii="Times New Roman" w:cs="Times New Roman" w:hAnsi="Times New Roman"/>
          <w:sz w:val="24"/>
          <w:szCs w:val="24"/>
        </w:rPr>
        <w:t>Comparative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31</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4.1.3.4</w:t>
      </w:r>
      <w:r>
        <w:rPr>
          <w:rFonts w:ascii="Times New Roman" w:cs="Times New Roman" w:hAnsi="Times New Roman"/>
          <w:sz w:val="24"/>
          <w:szCs w:val="24"/>
        </w:rPr>
        <w:tab/>
      </w:r>
      <w:r>
        <w:rPr>
          <w:rFonts w:ascii="Times New Roman" w:cs="Times New Roman" w:hAnsi="Times New Roman"/>
          <w:sz w:val="24"/>
          <w:szCs w:val="24"/>
        </w:rPr>
        <w:t>Possible cases for differences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31</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4.1.3.5</w:t>
      </w:r>
      <w:r>
        <w:rPr>
          <w:rFonts w:ascii="Times New Roman" w:cs="Times New Roman" w:hAnsi="Times New Roman"/>
          <w:sz w:val="24"/>
          <w:szCs w:val="24"/>
        </w:rPr>
        <w:tab/>
      </w:r>
      <w:r>
        <w:rPr>
          <w:rFonts w:ascii="Times New Roman" w:cs="Times New Roman" w:hAnsi="Times New Roman"/>
          <w:sz w:val="24"/>
          <w:szCs w:val="24"/>
        </w:rPr>
        <w:t>Lycopene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32</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4.1.3.6</w:t>
      </w:r>
      <w:r>
        <w:rPr>
          <w:rFonts w:ascii="Times New Roman" w:cs="Times New Roman" w:hAnsi="Times New Roman"/>
          <w:sz w:val="24"/>
          <w:szCs w:val="24"/>
        </w:rPr>
        <w:tab/>
      </w:r>
      <w:r>
        <w:rPr>
          <w:rFonts w:ascii="Times New Roman" w:cs="Times New Roman" w:hAnsi="Times New Roman"/>
          <w:sz w:val="24"/>
          <w:szCs w:val="24"/>
        </w:rPr>
        <w:t xml:space="preserve">β-carotene </w:t>
      </w:r>
      <w:r>
        <w:rPr>
          <w:rFonts w:ascii="Times New Roman" w:cs="Times New Roman" w:hAnsi="Times New Roman"/>
          <w:sz w:val="24"/>
          <w:szCs w:val="24"/>
        </w:rPr>
        <w:t>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ab/>
      </w:r>
      <w:r>
        <w:rPr>
          <w:rFonts w:ascii="Times New Roman" w:cs="Times New Roman" w:hAnsi="Times New Roman"/>
          <w:sz w:val="24"/>
          <w:szCs w:val="24"/>
        </w:rPr>
        <w:t>32</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4.1.3.7</w:t>
      </w:r>
      <w:r>
        <w:rPr>
          <w:rFonts w:ascii="Times New Roman" w:cs="Times New Roman" w:hAnsi="Times New Roman"/>
          <w:sz w:val="24"/>
          <w:szCs w:val="24"/>
        </w:rPr>
        <w:tab/>
      </w:r>
      <w:r>
        <w:rPr>
          <w:rFonts w:ascii="Times New Roman" w:cs="Times New Roman" w:hAnsi="Times New Roman"/>
          <w:sz w:val="24"/>
          <w:szCs w:val="24"/>
        </w:rPr>
        <w:t>Deviant Observation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33</w:t>
      </w:r>
    </w:p>
    <w:p>
      <w:pPr>
        <w:pStyle w:val="style179"/>
        <w:spacing w:after="0"/>
        <w:ind w:left="540" w:hanging="540"/>
        <w:jc w:val="both"/>
        <w:rPr>
          <w:rFonts w:ascii="Times New Roman" w:cs="Times New Roman" w:hAnsi="Times New Roman"/>
          <w:sz w:val="24"/>
          <w:szCs w:val="24"/>
        </w:rPr>
      </w:pP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CONCLUSION</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34</w:t>
      </w: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APPENDIX</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35</w:t>
      </w: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REFERENCES</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40</w:t>
      </w:r>
    </w:p>
    <w:p>
      <w:pPr>
        <w:pStyle w:val="style179"/>
        <w:ind w:left="540" w:hanging="540"/>
        <w:jc w:val="center"/>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179"/>
        <w:ind w:left="540" w:hanging="54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i/>
          <w:iCs/>
          <w:sz w:val="24"/>
          <w:szCs w:val="24"/>
        </w:rPr>
      </w:pPr>
      <w:r>
        <w:rPr>
          <w:rFonts w:ascii="Times New Roman" w:cs="Times New Roman" w:hAnsi="Times New Roman"/>
          <w:i/>
          <w:iCs/>
          <w:sz w:val="24"/>
          <w:szCs w:val="24"/>
        </w:rPr>
        <w:t xml:space="preserve">This study investigates the phytochemical constituents and antioxidant activity of ethanolic extracts from the seeds and endocarp of </w:t>
      </w:r>
      <w:r>
        <w:rPr>
          <w:rStyle w:val="style88"/>
          <w:rFonts w:ascii="Times New Roman" w:cs="Times New Roman" w:hAnsi="Times New Roman"/>
          <w:i w:val="false"/>
          <w:iCs w:val="false"/>
          <w:sz w:val="24"/>
          <w:szCs w:val="24"/>
        </w:rPr>
        <w:t xml:space="preserve">Acacia </w:t>
      </w:r>
      <w:r>
        <w:rPr>
          <w:rStyle w:val="style88"/>
          <w:rFonts w:ascii="Times New Roman" w:cs="Times New Roman" w:hAnsi="Times New Roman"/>
          <w:i w:val="false"/>
          <w:iCs w:val="false"/>
          <w:sz w:val="24"/>
          <w:szCs w:val="24"/>
        </w:rPr>
        <w:t>nilotica</w:t>
      </w:r>
      <w:r>
        <w:rPr>
          <w:rFonts w:ascii="Times New Roman" w:cs="Times New Roman" w:hAnsi="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cs="Times New Roman" w:hAnsi="Times New Roman"/>
          <w:i/>
          <w:iCs/>
          <w:sz w:val="24"/>
          <w:szCs w:val="24"/>
        </w:rPr>
        <w:t>13</w:t>
      </w:r>
      <w:r>
        <w:rPr>
          <w:rFonts w:ascii="Times New Roman" w:cs="Times New Roman" w:hAnsi="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Pr>
          <w:rStyle w:val="style88"/>
          <w:rFonts w:ascii="Times New Roman" w:cs="Times New Roman" w:hAnsi="Times New Roman"/>
          <w:i w:val="false"/>
          <w:iCs w:val="false"/>
          <w:sz w:val="24"/>
          <w:szCs w:val="24"/>
        </w:rPr>
        <w:t xml:space="preserve">Acacia </w:t>
      </w:r>
      <w:r>
        <w:rPr>
          <w:rStyle w:val="style88"/>
          <w:rFonts w:ascii="Times New Roman" w:cs="Times New Roman" w:hAnsi="Times New Roman"/>
          <w:i w:val="false"/>
          <w:iCs w:val="false"/>
          <w:sz w:val="24"/>
          <w:szCs w:val="24"/>
        </w:rPr>
        <w:t>nilotica</w:t>
      </w:r>
      <w:r>
        <w:rPr>
          <w:rFonts w:ascii="Times New Roman" w:cs="Times New Roman" w:hAnsi="Times New Roman"/>
          <w:i/>
          <w:iCs/>
          <w:sz w:val="24"/>
          <w:szCs w:val="24"/>
        </w:rPr>
        <w:t>, particularly in the endocarp, and support its application as a natural source of bioactive compounds for medicinal and nutraceutical use.</w:t>
      </w:r>
    </w:p>
    <w:p>
      <w:pPr>
        <w:pStyle w:val="style0"/>
        <w:spacing w:lineRule="auto" w:line="480"/>
        <w:jc w:val="center"/>
        <w:rPr>
          <w:rFonts w:ascii="Times New Roman" w:cs="Times New Roman" w:hAnsi="Times New Roman"/>
          <w:b/>
          <w:bCs/>
          <w:sz w:val="24"/>
          <w:szCs w:val="24"/>
        </w:rPr>
        <w:sectPr>
          <w:footerReference w:type="default" r:id="rId3"/>
          <w:pgSz w:w="12240" w:h="15840" w:orient="portrait"/>
          <w:pgMar w:top="1440" w:right="1440" w:bottom="1440" w:left="1440" w:header="720" w:footer="720" w:gutter="0"/>
          <w:pgNumType w:fmt="lowerRoman"/>
          <w:cols w:space="720"/>
          <w:titlePg/>
          <w:docGrid w:linePitch="360"/>
        </w:sect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(L.), commonly known as gum </w:t>
      </w:r>
      <w:r>
        <w:rPr>
          <w:rFonts w:ascii="Times New Roman" w:cs="Times New Roman" w:eastAsia="Times New Roman" w:hAnsi="Times New Roman"/>
          <w:sz w:val="24"/>
          <w:szCs w:val="24"/>
        </w:rPr>
        <w:t>arabic</w:t>
      </w:r>
      <w:r>
        <w:rPr>
          <w:rFonts w:ascii="Times New Roman" w:cs="Times New Roman" w:eastAsia="Times New Roman" w:hAnsi="Times New Roman"/>
          <w:sz w:val="24"/>
          <w:szCs w:val="24"/>
        </w:rPr>
        <w:t xml:space="preserve"> tree or babul. Belonging to the family </w:t>
      </w:r>
      <w:r>
        <w:rPr>
          <w:rFonts w:ascii="Times New Roman" w:cs="Times New Roman" w:eastAsia="Times New Roman" w:hAnsi="Times New Roman"/>
          <w:sz w:val="24"/>
          <w:szCs w:val="24"/>
        </w:rPr>
        <w:t>Fabaceae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leaves, bark, pods, and seeds. T</w:t>
      </w:r>
      <w:r>
        <w:rPr>
          <w:rFonts w:ascii="Times New Roman" w:cs="Times New Roman" w:eastAsia="Times New Roman" w:hAnsi="Times New Roman"/>
          <w:sz w:val="24"/>
          <w:szCs w:val="24"/>
        </w:rPr>
        <w:t>he seeds have garnered attention due to their rich reservoir of phytochemicals with potential health benefits.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Pr>
          <w:rFonts w:ascii="Times New Roman" w:cs="Times New Roman" w:eastAsia="Times New Roman" w:hAnsi="Times New Roman"/>
          <w:sz w:val="24"/>
          <w:szCs w:val="24"/>
        </w:rPr>
        <w:t>The antioxidant potential of plant-derived compounds is primarily attributed to their ability to scavenge free radicals, chelate metal ions, and inhibit lipid peroxidation.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exhibit strong antioxidant properties, suggesting the presence of potent natural antioxidants with therapeutic relevance (</w:t>
      </w:r>
      <w:r>
        <w:rPr>
          <w:rFonts w:ascii="Times New Roman" w:cs="Times New Roman" w:eastAsia="Times New Roman" w:hAnsi="Times New Roman"/>
          <w:sz w:val="24"/>
          <w:szCs w:val="24"/>
        </w:rPr>
        <w:t>Banso</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Adeyemo</w:t>
      </w:r>
      <w:r>
        <w:rPr>
          <w:rFonts w:ascii="Times New Roman" w:cs="Times New Roman" w:eastAsia="Times New Roman" w:hAnsi="Times New Roman"/>
          <w:sz w:val="24"/>
          <w:szCs w:val="24"/>
        </w:rPr>
        <w:t>, 2007).</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increasing burden of oxidative stress-related disorders and the global shift toward plant-based therapeutics, the phytochemical screening and antioxidant assessment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 extracts remain scientifically valuable. This study aims to perform a comprehensive phytochemical analysis and evaluate the in vitro antioxidant activity of the ethanolic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thereby contributing to the growing body of evidence supporting its traditional uses and potential in drug development.</w:t>
      </w:r>
    </w:p>
    <w:p>
      <w:pPr>
        <w:pStyle w:val="style179"/>
        <w:numPr>
          <w:ilvl w:val="1"/>
          <w:numId w:val="2"/>
        </w:numPr>
        <w:spacing w:before="100" w:beforeAutospacing="true" w:after="100" w:afterAutospacing="true" w:lineRule="auto" w:line="480"/>
        <w:ind w:left="72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SCOPE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focuses on the </w:t>
      </w:r>
      <w:r>
        <w:rPr>
          <w:rFonts w:ascii="Times New Roman" w:cs="Times New Roman" w:eastAsia="Times New Roman" w:hAnsi="Times New Roman"/>
          <w:i/>
          <w:iCs/>
          <w:sz w:val="24"/>
          <w:szCs w:val="24"/>
        </w:rPr>
        <w:t>phytochemical analysis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antioxidant activity</w:t>
      </w:r>
      <w:r>
        <w:rPr>
          <w:rFonts w:ascii="Times New Roman" w:cs="Times New Roman" w:eastAsia="Times New Roman" w:hAnsi="Times New Roman"/>
          <w:sz w:val="24"/>
          <w:szCs w:val="24"/>
        </w:rPr>
        <w:t xml:space="preserve"> of the ethanolic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Pr>
          <w:rFonts w:ascii="Times New Roman" w:cs="Times New Roman" w:eastAsia="Times New Roman" w:hAnsi="Times New Roman"/>
          <w:sz w:val="24"/>
          <w:szCs w:val="24"/>
        </w:rPr>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antioxidant component of the study involves in vitro assays such as DPPH (2</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Geographically, the study is limited to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Shabbir</w:t>
      </w:r>
      <w:r>
        <w:rPr>
          <w:rFonts w:ascii="Times New Roman" w:cs="Times New Roman" w:eastAsia="Times New Roman" w:hAnsi="Times New Roman"/>
          <w:sz w:val="24"/>
          <w:szCs w:val="24"/>
        </w:rPr>
        <w:t>,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essence, the scope of this study is designed to provide foundational phytochemical and antioxidant data on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 extract that could support further pharmacological investigations and the development of natural antioxidant agents.</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STATEMENT OF PROBLEM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w:t>
      </w:r>
      <w:r>
        <w:rPr>
          <w:rFonts w:ascii="Times New Roman" w:cs="Times New Roman" w:eastAsia="Times New Roman" w:hAnsi="Times New Roman"/>
          <w:sz w:val="24"/>
          <w:szCs w:val="24"/>
        </w:rPr>
        <w:t>butylated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hydroxytoluene</w:t>
      </w:r>
      <w:r>
        <w:rPr>
          <w:rFonts w:ascii="Times New Roman" w:cs="Times New Roman" w:eastAsia="Times New Roman" w:hAnsi="Times New Roman"/>
          <w:sz w:val="24"/>
          <w:szCs w:val="24"/>
        </w:rPr>
        <w:t xml:space="preserve"> (BHT) and </w:t>
      </w:r>
      <w:r>
        <w:rPr>
          <w:rFonts w:ascii="Times New Roman" w:cs="Times New Roman" w:eastAsia="Times New Roman" w:hAnsi="Times New Roman"/>
          <w:sz w:val="24"/>
          <w:szCs w:val="24"/>
        </w:rPr>
        <w:t>butylated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hydroxyanisole</w:t>
      </w:r>
      <w:r>
        <w:rPr>
          <w:rFonts w:ascii="Times New Roman" w:cs="Times New Roman" w:eastAsia="Times New Roman" w:hAnsi="Times New Roman"/>
          <w:sz w:val="24"/>
          <w:szCs w:val="24"/>
        </w:rPr>
        <w:t xml:space="preserv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well-documented traditional uses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ethnomedicine</w:t>
      </w:r>
      <w:r>
        <w:rPr>
          <w:rFonts w:ascii="Times New Roman" w:cs="Times New Roman" w:eastAsia="Times New Roman" w:hAnsi="Times New Roman"/>
          <w:sz w:val="24"/>
          <w:szCs w:val="24"/>
        </w:rPr>
        <w:t xml:space="preserv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Pr>
          <w:rFonts w:ascii="Times New Roman" w:cs="Times New Roman" w:eastAsia="Times New Roman" w:hAnsi="Times New Roman"/>
          <w:sz w:val="24"/>
          <w:szCs w:val="24"/>
        </w:rPr>
        <w:t>extraction methods and inadequate phytochemical profiling contribute to inconsistent and inconclusive data on its therapeutic efficacy (Shabbir,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there is a compelling need to systematically investigate the phytochemical constituents and antioxidant activities of the ethanolic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This will not only help validate the plant’s traditional use but also potentially reveal new, natural compounds for the development of antioxidant-based therapies and nutraceuticals.</w:t>
      </w:r>
    </w:p>
    <w:p>
      <w:pPr>
        <w:pStyle w:val="style179"/>
        <w:numPr>
          <w:ilvl w:val="1"/>
          <w:numId w:val="21"/>
        </w:numPr>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JUSTIFICATION</w:t>
      </w:r>
      <w:r>
        <w:rPr>
          <w:rFonts w:ascii="Times New Roman" w:cs="Times New Roman" w:eastAsia="Times New Roman" w:hAnsi="Times New Roman"/>
          <w:b/>
          <w:bCs/>
          <w:sz w:val="24"/>
          <w:szCs w:val="24"/>
        </w:rPr>
        <w:t xml:space="preserve"> OF THIS STUDY</w:t>
      </w:r>
    </w:p>
    <w:p>
      <w:pPr>
        <w:pStyle w:val="style179"/>
        <w:spacing w:before="100" w:beforeAutospacing="true" w:after="100" w:afterAutospacing="true" w:lineRule="auto" w:line="480"/>
        <w:jc w:val="both"/>
        <w:rPr>
          <w:rFonts w:ascii="Times New Roman" w:cs="Times New Roman" w:eastAsia="Times New Roman" w:hAnsi="Times New Roman"/>
          <w:b/>
          <w:bCs/>
          <w:sz w:val="24"/>
          <w:szCs w:val="24"/>
        </w:rPr>
      </w:pP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a plant with deep roots in traditional medicine, presents a promising candidate due to its reported pharmacological properties and availability in many tropical and subtropical regions (Kaur et al., 2005).</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promote further pharmacological research, and potentially lead to the development of antioxidant-rich formulations for clinical or commercial use.</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this study is justified not only in terms of advancing scientific knowledge but also in its potential to support public health through the development of plant-derived antioxidant agents.</w:t>
      </w:r>
    </w:p>
    <w:p>
      <w:pPr>
        <w:pStyle w:val="style179"/>
        <w:numPr>
          <w:ilvl w:val="1"/>
          <w:numId w:val="7"/>
        </w:numPr>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AIM AND OBJECTIVES</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The primary aim of this study is to investigate the phytochemical composition and evaluate the antioxidant activity of the ethanolic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Specific Objectives: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sz w:val="24"/>
          <w:szCs w:val="24"/>
        </w:rPr>
        <w:t>st</w:t>
      </w:r>
      <w:r>
        <w:rPr>
          <w:rFonts w:ascii="Times New Roman" w:cs="Times New Roman" w:eastAsia="Times New Roman" w:hAnsi="Times New Roman"/>
          <w:sz w:val="24"/>
          <w:szCs w:val="24"/>
        </w:rPr>
        <w:t>udy the</w:t>
      </w:r>
      <w:r>
        <w:rPr>
          <w:rFonts w:ascii="Times New Roman" w:cs="Times New Roman" w:eastAsia="Times New Roman" w:hAnsi="Times New Roman"/>
          <w:sz w:val="24"/>
          <w:szCs w:val="24"/>
        </w:rPr>
        <w:t xml:space="preserve"> extraction</w:t>
      </w:r>
      <w:r>
        <w:rPr>
          <w:rFonts w:ascii="Times New Roman" w:cs="Times New Roman" w:eastAsia="Times New Roman" w:hAnsi="Times New Roman"/>
          <w:sz w:val="24"/>
          <w:szCs w:val="24"/>
        </w:rPr>
        <w:t xml:space="preserve"> process</w:t>
      </w:r>
      <w:r>
        <w:rPr>
          <w:rFonts w:ascii="Times New Roman" w:cs="Times New Roman" w:eastAsia="Times New Roman" w:hAnsi="Times New Roman"/>
          <w:sz w:val="24"/>
          <w:szCs w:val="24"/>
        </w:rPr>
        <w:t xml:space="preserve"> from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using ethanol as the solvent.</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 perform qualitative phytochemical screening to identify the presence of major phytochemical constituents such as alkaloids, flavonoids, phenolics, tannins, saponins, glycosides, and terpenoids.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quantify </w:t>
      </w:r>
      <w:r>
        <w:rPr>
          <w:rFonts w:ascii="Times New Roman" w:cs="Times New Roman" w:eastAsia="Times New Roman" w:hAnsi="Times New Roman"/>
          <w:sz w:val="24"/>
          <w:szCs w:val="24"/>
        </w:rPr>
        <w:t>DPPH anti</w:t>
      </w:r>
      <w:r>
        <w:rPr>
          <w:rFonts w:ascii="Times New Roman" w:cs="Times New Roman" w:eastAsia="Times New Roman" w:hAnsi="Times New Roman"/>
          <w:sz w:val="24"/>
          <w:szCs w:val="24"/>
        </w:rPr>
        <w:t>radical</w:t>
      </w:r>
      <w:r>
        <w:rPr>
          <w:rFonts w:ascii="Times New Roman" w:cs="Times New Roman" w:eastAsia="Times New Roman" w:hAnsi="Times New Roman"/>
          <w:sz w:val="24"/>
          <w:szCs w:val="24"/>
        </w:rPr>
        <w:t xml:space="preserve"> activity</w:t>
      </w:r>
      <w:r>
        <w:rPr>
          <w:rFonts w:ascii="Times New Roman" w:cs="Times New Roman" w:eastAsia="Times New Roman" w:hAnsi="Times New Roman"/>
          <w:sz w:val="24"/>
          <w:szCs w:val="24"/>
        </w:rPr>
        <w:t xml:space="preserve"> of the ethanolic seed extract.</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evaluate the </w:t>
      </w:r>
      <w:r>
        <w:rPr>
          <w:rFonts w:ascii="Times New Roman" w:cs="Times New Roman" w:eastAsia="Times New Roman" w:hAnsi="Times New Roman"/>
          <w:sz w:val="24"/>
          <w:szCs w:val="24"/>
        </w:rPr>
        <w:t>carotenoids antioxidants activities such as lycopene and β-Carotene</w:t>
      </w:r>
      <w:r>
        <w:rPr>
          <w:rFonts w:ascii="Times New Roman" w:cs="Times New Roman" w:eastAsia="Times New Roman" w:hAnsi="Times New Roman"/>
          <w:sz w:val="24"/>
          <w:szCs w:val="24"/>
        </w:rPr>
        <w:t xml:space="preserve"> of the extract</w:t>
      </w:r>
      <w:r>
        <w:rPr>
          <w:rFonts w:ascii="Times New Roman" w:cs="Times New Roman" w:eastAsia="Times New Roman" w:hAnsi="Times New Roman"/>
          <w:sz w:val="24"/>
          <w:szCs w:val="24"/>
        </w:rPr>
        <w:t>.</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 establish a correlation between the phytochemical content and the observed antioxidant activity of the seed extract.</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provide scientific validation for the traditional use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as a source of natural antioxidants.</w:t>
      </w:r>
    </w:p>
    <w:p>
      <w:pPr>
        <w:pStyle w:val="style0"/>
        <w:spacing w:after="0" w:lineRule="auto" w:line="480"/>
        <w:rPr>
          <w:rFonts w:ascii="Times New Roman" w:cs="Times New Roman" w:eastAsia="Times New Roman" w:hAnsi="Times New Roman"/>
          <w:sz w:val="24"/>
          <w:szCs w:val="24"/>
        </w:rPr>
      </w:pPr>
    </w:p>
    <w:p>
      <w:pPr>
        <w:pStyle w:val="style0"/>
        <w:spacing w:before="100" w:beforeAutospacing="true" w:after="100" w:afterAutospacing="true" w:lineRule="auto" w:line="480"/>
        <w:rPr>
          <w:rFonts w:ascii="Times New Roman" w:cs="Times New Roman" w:eastAsia="Times New Roman" w:hAnsi="Times New Roman"/>
          <w:sz w:val="24"/>
          <w:szCs w:val="24"/>
        </w:rPr>
      </w:pPr>
    </w:p>
    <w:p>
      <w:pPr>
        <w:pStyle w:val="style0"/>
        <w:spacing w:before="100" w:beforeAutospacing="true" w:after="100" w:afterAutospacing="true" w:lineRule="auto" w:line="480"/>
        <w:rPr>
          <w:rFonts w:ascii="Times New Roman" w:cs="Times New Roman" w:eastAsia="Times New Roman" w:hAnsi="Times New Roman"/>
          <w:sz w:val="24"/>
          <w:szCs w:val="24"/>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179"/>
        <w:numPr>
          <w:ilvl w:val="0"/>
          <w:numId w:val="2"/>
        </w:numPr>
        <w:spacing w:before="100" w:beforeAutospacing="true" w:after="100" w:afterAutospacing="true"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LITERATURE REVIEW</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commonly known as babul. It belongs to the family Fabaceae and is native to tropical and subtropical regions of Africa, the Indian subcontinent, and parts of the Middle East. Traditionally, various parts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including th</w:t>
      </w:r>
      <w:r>
        <w:rPr>
          <w:rFonts w:ascii="Times New Roman" w:cs="Times New Roman" w:eastAsia="Times New Roman" w:hAnsi="Times New Roman"/>
          <w:sz w:val="24"/>
          <w:szCs w:val="24"/>
        </w:rPr>
        <w:t xml:space="preserve">e bark, pods, leaves, and seeds </w:t>
      </w:r>
      <w:r>
        <w:rPr>
          <w:rFonts w:ascii="Times New Roman" w:cs="Times New Roman" w:eastAsia="Times New Roman" w:hAnsi="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Phytochemicals are naturally occurring compounds in plants that contribute to their biological activity. Several studies have shown that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antioxidant potential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has been demonstrated in various plant parts. For example, Singh et al. (2009) reported that the ethyl acetate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bark exhibited </w:t>
      </w:r>
      <w:r>
        <w:rPr>
          <w:rFonts w:ascii="Times New Roman" w:cs="Times New Roman" w:eastAsia="Times New Roman" w:hAnsi="Times New Roman"/>
          <w:sz w:val="24"/>
          <w:szCs w:val="24"/>
        </w:rPr>
        <w:t xml:space="preserve">significant antioxidant activity, comparable to standard antioxidants like ascorbic acid and BHT. Similarly, </w:t>
      </w:r>
      <w:r>
        <w:rPr>
          <w:rFonts w:ascii="Times New Roman" w:cs="Times New Roman" w:eastAsia="Times New Roman" w:hAnsi="Times New Roman"/>
          <w:sz w:val="24"/>
          <w:szCs w:val="24"/>
        </w:rPr>
        <w:t>Banso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Adeyemo</w:t>
      </w:r>
      <w:r>
        <w:rPr>
          <w:rFonts w:ascii="Times New Roman" w:cs="Times New Roman" w:eastAsia="Times New Roman" w:hAnsi="Times New Roman"/>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demonstrated medicinal potential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for its phytochemical constituents and in vitro antioxidant properties.</w:t>
      </w:r>
    </w:p>
    <w:p>
      <w:pPr>
        <w:pStyle w:val="style179"/>
        <w:numPr>
          <w:ilvl w:val="1"/>
          <w:numId w:val="2"/>
        </w:numPr>
        <w:spacing w:before="100" w:beforeAutospacing="true" w:after="100" w:afterAutospacing="true" w:lineRule="auto" w:line="480"/>
        <w:ind w:left="72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PLANT OF STUDY</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(L.) Delile, commonly referred to as "babul" or "gum </w:t>
      </w:r>
      <w:r>
        <w:rPr>
          <w:rFonts w:ascii="Times New Roman" w:cs="Times New Roman" w:eastAsia="Times New Roman" w:hAnsi="Times New Roman"/>
          <w:sz w:val="24"/>
          <w:szCs w:val="24"/>
        </w:rPr>
        <w:t>arabic</w:t>
      </w:r>
      <w:r>
        <w:rPr>
          <w:rFonts w:ascii="Times New Roman" w:cs="Times New Roman" w:eastAsia="Times New Roman" w:hAnsi="Times New Roman"/>
          <w:sz w:val="24"/>
          <w:szCs w:val="24"/>
        </w:rPr>
        <w:t xml:space="preserve"> tree," is a multipurpose tree species belonging to the family </w:t>
      </w:r>
      <w:r>
        <w:rPr>
          <w:rFonts w:ascii="Times New Roman" w:cs="Times New Roman" w:eastAsia="Times New Roman" w:hAnsi="Times New Roman"/>
          <w:sz w:val="24"/>
          <w:szCs w:val="24"/>
        </w:rPr>
        <w:t>Fabaceae</w:t>
      </w:r>
      <w:r>
        <w:rPr>
          <w:rFonts w:ascii="Times New Roman" w:cs="Times New Roman" w:eastAsia="Times New Roman" w:hAnsi="Times New Roman"/>
          <w:sz w:val="24"/>
          <w:szCs w:val="24"/>
        </w:rPr>
        <w:t xml:space="preserve"> (subfamily </w:t>
      </w:r>
      <w:r>
        <w:rPr>
          <w:rFonts w:ascii="Times New Roman" w:cs="Times New Roman" w:eastAsia="Times New Roman" w:hAnsi="Times New Roman"/>
          <w:sz w:val="24"/>
          <w:szCs w:val="24"/>
        </w:rPr>
        <w:t>Mimosoideae</w:t>
      </w:r>
      <w:r>
        <w:rPr>
          <w:rFonts w:ascii="Times New Roman" w:cs="Times New Roman" w:eastAsia="Times New Roman" w:hAnsi="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Pr>
          <w:rFonts w:ascii="Times New Roman" w:cs="Times New Roman" w:eastAsia="Times New Roman" w:hAnsi="Times New Roman"/>
          <w:sz w:val="24"/>
          <w:szCs w:val="24"/>
        </w:rPr>
        <w:t xml:space="preserve"> Unani, where its various parts, </w:t>
      </w:r>
      <w:r>
        <w:rPr>
          <w:rFonts w:ascii="Times New Roman" w:cs="Times New Roman" w:eastAsia="Times New Roman" w:hAnsi="Times New Roman"/>
          <w:sz w:val="24"/>
          <w:szCs w:val="24"/>
        </w:rPr>
        <w:t>bar</w:t>
      </w:r>
      <w:r>
        <w:rPr>
          <w:rFonts w:ascii="Times New Roman" w:cs="Times New Roman" w:eastAsia="Times New Roman" w:hAnsi="Times New Roman"/>
          <w:sz w:val="24"/>
          <w:szCs w:val="24"/>
        </w:rPr>
        <w:t xml:space="preserve">k, leaves, pods, seeds, and gum </w:t>
      </w:r>
      <w:r>
        <w:rPr>
          <w:rFonts w:ascii="Times New Roman" w:cs="Times New Roman" w:eastAsia="Times New Roman" w:hAnsi="Times New Roman"/>
          <w:sz w:val="24"/>
          <w:szCs w:val="24"/>
        </w:rPr>
        <w:t>are used to treat a wide range of diseases such as skin infections, respiratory issues, gastrointestinal disorders, and diabetes (Shabbir, 2014; Ali et al., 2012).</w:t>
      </w:r>
    </w:p>
    <w:p>
      <w:pPr>
        <w:pStyle w:val="style179"/>
        <w:numPr>
          <w:ilvl w:val="2"/>
          <w:numId w:val="2"/>
        </w:numPr>
        <w:spacing w:before="100" w:beforeAutospacing="true" w:after="100" w:afterAutospacing="true" w:lineRule="auto" w:line="480"/>
        <w:ind w:left="0" w:firstLine="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BOTANICAL CHARACTERISTICS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br/>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pPr>
        <w:pStyle w:val="style179"/>
        <w:numPr>
          <w:ilvl w:val="2"/>
          <w:numId w:val="2"/>
        </w:numPr>
        <w:spacing w:before="100" w:beforeAutospacing="true" w:after="100" w:afterAutospacing="true" w:lineRule="auto" w:line="480"/>
        <w:ind w:left="0" w:firstLine="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ETHNOMEDICAL AND PHAMACOLOGICAL RELEVANCE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pPr>
        <w:pStyle w:val="style179"/>
        <w:spacing w:lineRule="auto" w:line="480"/>
        <w:jc w:val="both"/>
        <w:rPr>
          <w:rFonts w:ascii="Times New Roman" w:cs="Times New Roman" w:eastAsia="Times New Roman" w:hAnsi="Times New Roman"/>
          <w:b/>
          <w:bCs/>
          <w:sz w:val="24"/>
          <w:szCs w:val="24"/>
        </w:rPr>
      </w:pPr>
    </w:p>
    <w:p>
      <w:pPr>
        <w:pStyle w:val="style179"/>
        <w:numPr>
          <w:ilvl w:val="1"/>
          <w:numId w:val="2"/>
        </w:numPr>
        <w:spacing w:before="100" w:beforeAutospacing="true" w:after="100" w:afterAutospacing="true" w:lineRule="auto" w:line="480"/>
        <w:ind w:left="72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EXTRACTION METHOD</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Extraction is a fundamental step in phytochemical and antioxidant studies, as it determines the efficiency and accuracy of bioactive compound isolation from plant materials. In studies involving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r>
        <w:rPr>
          <w:rFonts w:ascii="Times New Roman" w:cs="Times New Roman" w:eastAsia="Times New Roman" w:hAnsi="Times New Roman"/>
          <w:sz w:val="24"/>
          <w:szCs w:val="24"/>
        </w:rPr>
        <w:t>Azwanida</w:t>
      </w:r>
      <w:r>
        <w:rPr>
          <w:rFonts w:ascii="Times New Roman" w:cs="Times New Roman" w:eastAsia="Times New Roman" w:hAnsi="Times New Roman"/>
          <w:sz w:val="24"/>
          <w:szCs w:val="24"/>
        </w:rPr>
        <w:t>, 2015).</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Among the commonly used solvents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such as methanol, ethanol, acetone, and water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ethanol</w:t>
      </w:r>
      <w:r>
        <w:rPr>
          <w:rFonts w:ascii="Times New Roman" w:cs="Times New Roman" w:eastAsia="Times New Roman" w:hAnsi="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Cold maceration,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and ultrasound-assisted extraction</w:t>
      </w:r>
      <w:r>
        <w:rPr>
          <w:rFonts w:ascii="Times New Roman" w:cs="Times New Roman" w:eastAsia="Times New Roman" w:hAnsi="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Pr>
          <w:rFonts w:ascii="Times New Roman" w:cs="Times New Roman" w:eastAsia="Times New Roman" w:hAnsi="Times New Roman"/>
          <w:sz w:val="24"/>
          <w:szCs w:val="24"/>
        </w:rPr>
        <w:t>flavonoids and ascorbic acid (</w:t>
      </w:r>
      <w:r>
        <w:rPr>
          <w:rFonts w:ascii="Times New Roman" w:cs="Times New Roman" w:eastAsia="Times New Roman" w:hAnsi="Times New Roman"/>
          <w:sz w:val="24"/>
          <w:szCs w:val="24"/>
        </w:rPr>
        <w:t>Azwanida</w:t>
      </w:r>
      <w:r>
        <w:rPr>
          <w:rFonts w:ascii="Times New Roman" w:cs="Times New Roman" w:eastAsia="Times New Roman" w:hAnsi="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context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most antioxidant and phytochemical studies have used </w:t>
      </w:r>
      <w:r>
        <w:rPr>
          <w:rFonts w:ascii="Times New Roman" w:cs="Times New Roman" w:eastAsia="Times New Roman" w:hAnsi="Times New Roman"/>
          <w:sz w:val="24"/>
          <w:szCs w:val="24"/>
        </w:rPr>
        <w:t>ethanolic</w:t>
      </w:r>
      <w:r>
        <w:rPr>
          <w:rFonts w:ascii="Times New Roman" w:cs="Times New Roman" w:eastAsia="Times New Roman" w:hAnsi="Times New Roman"/>
          <w:b/>
          <w:bCs/>
          <w:sz w:val="24"/>
          <w:szCs w:val="24"/>
        </w:rPr>
        <w:t xml:space="preserve"> </w:t>
      </w:r>
      <w:r>
        <w:rPr>
          <w:rFonts w:ascii="Times New Roman" w:cs="Times New Roman" w:eastAsia="Times New Roman" w:hAnsi="Times New Roman"/>
          <w:sz w:val="24"/>
          <w:szCs w:val="24"/>
        </w:rPr>
        <w:t xml:space="preserve">maceration or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w:t>
      </w:r>
      <w:r>
        <w:rPr>
          <w:rFonts w:ascii="Times New Roman" w:cs="Times New Roman" w:eastAsia="Times New Roman" w:hAnsi="Times New Roman"/>
          <w:sz w:val="24"/>
          <w:szCs w:val="24"/>
        </w:rPr>
        <w:t xml:space="preserve"> For instance, Sharma et al. (2011) used ethanol in a cold maceration process to extract bioactive compounds from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and found significant antioxidant activity in the extract. Similarly, Singh et al. (2009) employed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with ethanol and reported a high yield of phenolics and flavonoids from the bark of the plant.</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concl</w:t>
      </w:r>
      <w:r>
        <w:rPr>
          <w:rFonts w:ascii="Times New Roman" w:cs="Times New Roman" w:eastAsia="Times New Roman" w:hAnsi="Times New Roman"/>
          <w:sz w:val="24"/>
          <w:szCs w:val="24"/>
        </w:rPr>
        <w:t xml:space="preserve">usion, ethanol-based extraction, </w:t>
      </w:r>
      <w:r>
        <w:rPr>
          <w:rFonts w:ascii="Times New Roman" w:cs="Times New Roman" w:eastAsia="Times New Roman" w:hAnsi="Times New Roman"/>
          <w:sz w:val="24"/>
          <w:szCs w:val="24"/>
        </w:rPr>
        <w:t>especially through co</w:t>
      </w:r>
      <w:r>
        <w:rPr>
          <w:rFonts w:ascii="Times New Roman" w:cs="Times New Roman" w:eastAsia="Times New Roman" w:hAnsi="Times New Roman"/>
          <w:sz w:val="24"/>
          <w:szCs w:val="24"/>
        </w:rPr>
        <w:t xml:space="preserve">ld maceration or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method </w:t>
      </w:r>
      <w:r>
        <w:rPr>
          <w:rFonts w:ascii="Times New Roman" w:cs="Times New Roman" w:eastAsia="Times New Roman" w:hAnsi="Times New Roman"/>
          <w:sz w:val="24"/>
          <w:szCs w:val="24"/>
        </w:rPr>
        <w:t xml:space="preserve">remains a widely accepted and effective technique for isolating antioxidant-rich phytochemicals from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The method balances safety, efficiency, and compatibility with downstream bioactivity testing, thus justifying its selection for this study.</w:t>
      </w:r>
    </w:p>
    <w:p>
      <w:pPr>
        <w:pStyle w:val="style0"/>
        <w:spacing w:before="100" w:beforeAutospacing="true" w:after="100" w:afterAutospacing="true" w:lineRule="auto" w:line="480"/>
        <w:jc w:val="both"/>
        <w:rPr>
          <w:rFonts w:ascii="Times New Roman" w:cs="Times New Roman" w:eastAsia="Times New Roman" w:hAnsi="Times New Roman"/>
          <w:b/>
          <w:bCs/>
          <w:i/>
          <w:i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PHYTOCHEMICAL COMPOSITION OF </w:t>
      </w:r>
      <w:r>
        <w:rPr>
          <w:rFonts w:ascii="Times New Roman" w:cs="Times New Roman" w:eastAsia="Times New Roman" w:hAnsi="Times New Roman"/>
          <w:b/>
          <w:bCs/>
          <w:i/>
          <w:iCs/>
          <w:sz w:val="24"/>
          <w:szCs w:val="24"/>
        </w:rPr>
        <w:t>ACACIA NILOTICA</w:t>
      </w:r>
    </w:p>
    <w:p>
      <w:pPr>
        <w:pStyle w:val="style0"/>
        <w:spacing w:before="100" w:beforeAutospacing="true" w:after="100" w:afterAutospacing="true" w:lineRule="auto" w:line="480"/>
        <w:jc w:val="both"/>
        <w:rPr>
          <w:rFonts w:ascii="Times New Roman" w:cs="Times New Roman" w:eastAsia="Times New Roman" w:hAnsi="Times New Roman"/>
          <w:b/>
          <w:bCs/>
          <w:i/>
          <w:iCs/>
          <w:sz w:val="24"/>
          <w:szCs w:val="24"/>
        </w:rPr>
      </w:pPr>
      <w:r>
        <w:rPr>
          <w:rFonts w:ascii="Times New Roman" w:cs="Times New Roman" w:eastAsia="Times New Roman" w:hAnsi="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Pr>
          <w:rFonts w:ascii="Times New Roman" w:cs="Times New Roman" w:eastAsia="Times New Roman" w:hAnsi="Times New Roman"/>
          <w:sz w:val="24"/>
          <w:szCs w:val="24"/>
        </w:rPr>
        <w:t xml:space="preserve">phenolic acids like gallic acid and caffeic acid, have been reported in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extracts and are known for their strong antioxidant and anti-inflammatory activities (Mokhtari et al., 2012).</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Sharma et al. (2011) carried out a comparative study of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pod and seed extracts and found that the ethanolic extract of the seeds exhibited significant antioxidant activity due to its higher total phenolic and flavonoid content. Similarly, the work of </w:t>
      </w:r>
      <w:r>
        <w:rPr>
          <w:rFonts w:ascii="Times New Roman" w:cs="Times New Roman" w:eastAsia="Times New Roman" w:hAnsi="Times New Roman"/>
          <w:sz w:val="24"/>
          <w:szCs w:val="24"/>
        </w:rPr>
        <w:t>Banso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Adeyemo</w:t>
      </w:r>
      <w:r>
        <w:rPr>
          <w:rFonts w:ascii="Times New Roman" w:cs="Times New Roman" w:eastAsia="Times New Roman" w:hAnsi="Times New Roman"/>
          <w:sz w:val="24"/>
          <w:szCs w:val="24"/>
        </w:rPr>
        <w:t xml:space="preserve"> (2007) demonstrated the antimicrobial and antioxidant effects of seed extracts, supporting its traditional use in infection control.</w:t>
      </w:r>
    </w:p>
    <w:p>
      <w:pPr>
        <w:pStyle w:val="style0"/>
        <w:spacing w:before="100" w:beforeAutospacing="true" w:after="100" w:afterAutospacing="true" w:lineRule="auto" w:line="480"/>
        <w:jc w:val="both"/>
        <w:rPr>
          <w:rFonts w:ascii="Times New Roman" w:cs="Times New Roman" w:eastAsia="Times New Roman" w:hAnsi="Times New Roman"/>
          <w:b/>
          <w:bCs/>
          <w:i/>
          <w:i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ANTIOXIDANT STUDIES OF </w:t>
      </w:r>
      <w:r>
        <w:rPr>
          <w:rFonts w:ascii="Times New Roman" w:cs="Times New Roman" w:eastAsia="Times New Roman" w:hAnsi="Times New Roman"/>
          <w:b/>
          <w:bCs/>
          <w:i/>
          <w:iCs/>
          <w:sz w:val="24"/>
          <w:szCs w:val="24"/>
        </w:rPr>
        <w:t>ACACIA NILOTICA</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Multiple studies have emphasized the potent antioxidant activity of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extracts. Sultana et al. (2007) compared the antioxidant activity of bark extracts of various medicinal trees and noted that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bark showed notable radical scavenging ability. However, antioxidant studies on the seeds are still relatively limited, providing an opportunity for deeper investigation.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w:t>
      </w:r>
    </w:p>
    <w:p>
      <w:pPr>
        <w:pStyle w:val="style0"/>
        <w:pBdr>
          <w:bottom w:val="single" w:sz="6" w:space="1" w:color="auto"/>
        </w:pBdr>
        <w:spacing w:after="0" w:lineRule="auto" w:line="480"/>
        <w:jc w:val="both"/>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Top of Form</w:t>
      </w:r>
    </w:p>
    <w:p>
      <w:pPr>
        <w:pStyle w:val="style0"/>
        <w:pBdr>
          <w:top w:val="single" w:sz="6" w:space="1" w:color="auto"/>
        </w:pBdr>
        <w:spacing w:after="0" w:lineRule="auto" w:line="480"/>
        <w:jc w:val="both"/>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Bottom of Form</w:t>
      </w:r>
    </w:p>
    <w:p>
      <w:pPr>
        <w:pStyle w:val="style0"/>
        <w:spacing w:before="100" w:beforeAutospacing="true" w:after="100" w:afterAutospacing="true" w:lineRule="auto" w:line="480"/>
        <w:ind w:left="720"/>
        <w:jc w:val="both"/>
        <w:rPr>
          <w:rFonts w:ascii="Times New Roman" w:cs="Times New Roman" w:eastAsia="Times New Roman" w:hAnsi="Times New Roman"/>
          <w:b/>
          <w:bCs/>
          <w:sz w:val="24"/>
          <w:szCs w:val="24"/>
        </w:rPr>
      </w:pPr>
    </w:p>
    <w:p>
      <w:pPr>
        <w:pStyle w:val="style0"/>
        <w:tabs>
          <w:tab w:val="left" w:leader="none" w:pos="1758"/>
        </w:tabs>
        <w:spacing w:lineRule="auto" w:line="480"/>
        <w:jc w:val="center"/>
        <w:rPr>
          <w:rFonts w:ascii="Times New Roman" w:cs="Times New Roman" w:hAnsi="Times New Roman"/>
          <w:b/>
          <w:bCs/>
          <w:sz w:val="24"/>
          <w:szCs w:val="24"/>
        </w:rPr>
      </w:pPr>
    </w:p>
    <w:p>
      <w:pPr>
        <w:pStyle w:val="style0"/>
        <w:tabs>
          <w:tab w:val="left" w:leader="none" w:pos="1758"/>
        </w:tabs>
        <w:spacing w:lineRule="auto" w:line="480"/>
        <w:jc w:val="center"/>
        <w:rPr>
          <w:rFonts w:ascii="Times New Roman" w:cs="Times New Roman" w:hAnsi="Times New Roman"/>
          <w:b/>
          <w:bCs/>
          <w:sz w:val="24"/>
          <w:szCs w:val="24"/>
        </w:rPr>
      </w:pPr>
    </w:p>
    <w:p>
      <w:pPr>
        <w:pStyle w:val="style0"/>
        <w:tabs>
          <w:tab w:val="left" w:leader="none" w:pos="1758"/>
        </w:tabs>
        <w:spacing w:lineRule="auto" w:line="480"/>
        <w:jc w:val="center"/>
        <w:rPr>
          <w:rFonts w:ascii="Times New Roman" w:cs="Times New Roman" w:hAnsi="Times New Roman"/>
          <w:b/>
          <w:bCs/>
          <w:sz w:val="24"/>
          <w:szCs w:val="24"/>
        </w:rPr>
      </w:pPr>
    </w:p>
    <w:p>
      <w:pPr>
        <w:pStyle w:val="style0"/>
        <w:tabs>
          <w:tab w:val="left" w:leader="none" w:pos="1758"/>
        </w:tabs>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w:t>
      </w:r>
      <w:r>
        <w:rPr>
          <w:rFonts w:ascii="Times New Roman" w:cs="Times New Roman" w:hAnsi="Times New Roman"/>
          <w:b/>
          <w:bCs/>
          <w:sz w:val="24"/>
          <w:szCs w:val="24"/>
        </w:rPr>
        <w:t>0</w:t>
      </w:r>
      <w:r>
        <w:rPr>
          <w:rFonts w:ascii="Times New Roman" w:cs="Times New Roman" w:hAnsi="Times New Roman"/>
          <w:b/>
          <w:bCs/>
          <w:sz w:val="24"/>
          <w:szCs w:val="24"/>
        </w:rPr>
        <w:tab/>
      </w:r>
      <w:r>
        <w:rPr>
          <w:rFonts w:ascii="Times New Roman" w:cs="Times New Roman" w:hAnsi="Times New Roman"/>
          <w:b/>
          <w:bCs/>
          <w:sz w:val="24"/>
          <w:szCs w:val="24"/>
        </w:rPr>
        <w:t>COLLECTION AND PREPARATION OF SAMPLE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i/>
          <w:iCs/>
          <w:sz w:val="24"/>
          <w:szCs w:val="24"/>
        </w:rPr>
        <w:t xml:space="preserve"> </w:t>
      </w:r>
      <w:r>
        <w:rPr>
          <w:rFonts w:ascii="Times New Roman" w:cs="Times New Roman" w:hAnsi="Times New Roman"/>
          <w:iCs/>
          <w:sz w:val="24"/>
          <w:szCs w:val="24"/>
        </w:rPr>
        <w:t>seeds used for this experiment</w:t>
      </w:r>
      <w:r>
        <w:rPr>
          <w:rFonts w:ascii="Times New Roman" w:cs="Times New Roman" w:hAnsi="Times New Roman"/>
          <w:i/>
          <w:iCs/>
          <w:sz w:val="24"/>
          <w:szCs w:val="24"/>
        </w:rPr>
        <w:t xml:space="preserve"> </w:t>
      </w:r>
      <w:r>
        <w:rPr>
          <w:rFonts w:ascii="Times New Roman" w:cs="Times New Roman" w:hAnsi="Times New Roman"/>
          <w:sz w:val="24"/>
          <w:szCs w:val="24"/>
        </w:rPr>
        <w:t xml:space="preserve">was purchased at Kure ultramodern market located in </w:t>
      </w:r>
      <w:r>
        <w:rPr>
          <w:rFonts w:ascii="Times New Roman" w:cs="Times New Roman" w:hAnsi="Times New Roman"/>
          <w:sz w:val="24"/>
          <w:szCs w:val="24"/>
        </w:rPr>
        <w:t>Chanchaga</w:t>
      </w:r>
      <w:r>
        <w:rPr>
          <w:rFonts w:ascii="Times New Roman" w:cs="Times New Roman" w:hAnsi="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MATERIALS AND METHOD USED</w:t>
      </w:r>
    </w:p>
    <w:p>
      <w:pPr>
        <w:pStyle w:val="style0"/>
        <w:spacing w:lineRule="auto" w:line="480"/>
        <w:jc w:val="both"/>
        <w:rPr/>
      </w:pPr>
      <w:r>
        <w:rPr>
          <w:rFonts w:ascii="Times New Roman" w:cs="Times New Roman" w:hAnsi="Times New Roman"/>
          <w:sz w:val="24"/>
          <w:szCs w:val="24"/>
        </w:rPr>
        <w:t xml:space="preserve">The methodology adopted in this study is designed to ensure efficient extraction, accurate phytochemical screening, and reliable evaluation of antioxidant activity of </w:t>
      </w:r>
      <w:r>
        <w:rPr>
          <w:rStyle w:val="style88"/>
          <w:rFonts w:ascii="Times New Roman" w:cs="Times New Roman" w:hAnsi="Times New Roman"/>
          <w:sz w:val="24"/>
          <w:szCs w:val="24"/>
        </w:rPr>
        <w:t xml:space="preserve">Acacia </w:t>
      </w:r>
      <w:r>
        <w:rPr>
          <w:rStyle w:val="style88"/>
          <w:rFonts w:ascii="Times New Roman" w:cs="Times New Roman" w:hAnsi="Times New Roman"/>
          <w:sz w:val="24"/>
          <w:szCs w:val="24"/>
        </w:rPr>
        <w:t>nilotica</w:t>
      </w:r>
      <w:r>
        <w:rPr>
          <w:rFonts w:ascii="Times New Roman" w:cs="Times New Roman" w:hAnsi="Times New Roman"/>
          <w:sz w:val="24"/>
          <w:szCs w:val="24"/>
        </w:rPr>
        <w:t xml:space="preserve"> seed extract using standard scientific techniques</w:t>
      </w:r>
      <w: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3.1.1</w:t>
      </w:r>
      <w:r>
        <w:rPr>
          <w:rFonts w:ascii="Times New Roman" w:cs="Times New Roman" w:hAnsi="Times New Roman"/>
          <w:b/>
          <w:bCs/>
          <w:sz w:val="24"/>
          <w:szCs w:val="24"/>
        </w:rPr>
        <w:tab/>
      </w:r>
      <w:r>
        <w:rPr>
          <w:rFonts w:ascii="Times New Roman" w:cs="Times New Roman" w:hAnsi="Times New Roman"/>
          <w:b/>
          <w:bCs/>
          <w:sz w:val="24"/>
          <w:szCs w:val="24"/>
        </w:rPr>
        <w:t>REAGENTS</w:t>
      </w:r>
      <w:r>
        <w:rPr>
          <w:rFonts w:ascii="Times New Roman" w:cs="Times New Roman" w:hAnsi="Times New Roman"/>
          <w:b/>
          <w:bCs/>
          <w:sz w:val="24"/>
          <w:szCs w:val="24"/>
        </w:rPr>
        <w:t xml:space="preserve"> USED</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Ethanol (70%)</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Folin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Ciocalteu</w:t>
      </w:r>
      <w:r>
        <w:rPr>
          <w:rFonts w:ascii="Times New Roman" w:cs="Times New Roman" w:eastAsia="Times New Roman" w:hAnsi="Times New Roman"/>
          <w:sz w:val="24"/>
          <w:szCs w:val="24"/>
        </w:rPr>
        <w:t xml:space="preserve"> reagent</w:t>
      </w:r>
      <w:r>
        <w:rPr>
          <w:rFonts w:ascii="Times New Roman" w:cs="Times New Roman" w:eastAsia="Times New Roman" w:hAnsi="Times New Roman"/>
          <w:sz w:val="24"/>
          <w:szCs w:val="24"/>
        </w:rPr>
        <w:t xml:space="preserve"> (FCR)</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DPPH (2,2-diphenyl-1-picrylhydrazyl)</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Ferric chloride solution</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7% Na</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CO</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vertAlign w:val="subscript"/>
        </w:rPr>
        <w:t xml:space="preserve"> </w:t>
      </w:r>
      <w:r>
        <w:rPr>
          <w:rFonts w:ascii="Times New Roman" w:cs="Times New Roman" w:eastAsia="Times New Roman" w:hAnsi="Times New Roman"/>
          <w:sz w:val="24"/>
          <w:szCs w:val="24"/>
        </w:rPr>
        <w:t>(Sodium Carbonate)</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Lead acetate</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Sodium hydroxide</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Mayer’s, Hager’s, and Wagner’s reagents</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Liebermann-Burchard reagent</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Legalon’s</w:t>
      </w:r>
      <w:r>
        <w:rPr>
          <w:rFonts w:ascii="Times New Roman" w:cs="Times New Roman" w:eastAsia="Times New Roman" w:hAnsi="Times New Roman"/>
          <w:sz w:val="24"/>
          <w:szCs w:val="24"/>
        </w:rPr>
        <w:t xml:space="preserve"> reagent</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Copper acetate</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Standard antioxidants (Ascorbic acid/BHT)</w:t>
      </w:r>
    </w:p>
    <w:p>
      <w:pPr>
        <w:pStyle w:val="style0"/>
        <w:spacing w:before="100" w:beforeAutospacing="true" w:after="100" w:afterAutospacing="true"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3.1.2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EQUIPMENT AND INSTRUMENTS USED</w:t>
      </w:r>
    </w:p>
    <w:p>
      <w:pPr>
        <w:pStyle w:val="style0"/>
        <w:numPr>
          <w:ilvl w:val="0"/>
          <w:numId w:val="17"/>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Digital weighing balance</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Magnetic stirrer</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UV-Visible spectrophotometer</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Electric grinder</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Glassware (beakers, test tubes, measuring cylinders</w:t>
      </w:r>
      <w:r>
        <w:rPr>
          <w:rFonts w:ascii="Times New Roman" w:cs="Times New Roman" w:eastAsia="Times New Roman" w:hAnsi="Times New Roman"/>
          <w:sz w:val="24"/>
          <w:szCs w:val="24"/>
        </w:rPr>
        <w:t>, micropipette</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Water bath</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3.2</w:t>
      </w:r>
      <w:r>
        <w:rPr>
          <w:rFonts w:ascii="Times New Roman" w:cs="Times New Roman" w:hAnsi="Times New Roman"/>
          <w:b/>
          <w:bCs/>
          <w:sz w:val="24"/>
          <w:szCs w:val="24"/>
        </w:rPr>
        <w:tab/>
      </w:r>
      <w:r>
        <w:rPr>
          <w:rFonts w:ascii="Times New Roman" w:cs="Times New Roman" w:hAnsi="Times New Roman"/>
          <w:b/>
          <w:bCs/>
          <w:sz w:val="24"/>
          <w:szCs w:val="24"/>
        </w:rPr>
        <w:t>PROCEDURE FOR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28.97g of the powdered seed sample was packed into </w:t>
      </w:r>
      <w:r>
        <w:rPr>
          <w:rFonts w:ascii="Times New Roman" w:cs="Times New Roman" w:hAnsi="Times New Roman"/>
          <w:sz w:val="24"/>
          <w:szCs w:val="24"/>
        </w:rPr>
        <w:t xml:space="preserve">a thimble and setup for extraction. Infusion method was employed using ethanol as solvent. The extracted solution </w:t>
      </w:r>
      <w:r>
        <w:rPr>
          <w:rFonts w:ascii="Times New Roman" w:cs="Times New Roman" w:hAnsi="Times New Roman"/>
          <w:sz w:val="24"/>
          <w:szCs w:val="24"/>
        </w:rPr>
        <w:t>i.e</w:t>
      </w:r>
      <w:r>
        <w:rPr>
          <w:rFonts w:ascii="Times New Roman" w:cs="Times New Roman" w:hAnsi="Times New Roman"/>
          <w:sz w:val="24"/>
          <w:szCs w:val="24"/>
        </w:rPr>
        <w:t xml:space="preserve"> solution containi</w:t>
      </w:r>
      <w:r>
        <w:rPr>
          <w:rFonts w:ascii="Times New Roman" w:cs="Times New Roman" w:hAnsi="Times New Roman"/>
          <w:sz w:val="24"/>
          <w:szCs w:val="24"/>
        </w:rPr>
        <w:t>ng ethanol and the extract</w:t>
      </w:r>
      <w:r>
        <w:rPr>
          <w:rFonts w:ascii="Times New Roman" w:cs="Times New Roman" w:hAnsi="Times New Roman"/>
          <w:sz w:val="24"/>
          <w:szCs w:val="24"/>
        </w:rPr>
        <w:t xml:space="preserve"> separated using steam distillation method</w:t>
      </w:r>
      <w:r>
        <w:rPr>
          <w:rFonts w:ascii="Times New Roman" w:cs="Times New Roman" w:hAnsi="Times New Roman"/>
          <w:sz w:val="24"/>
          <w:szCs w:val="24"/>
        </w:rPr>
        <w:t>. The concentrated extract was allowed to dry</w:t>
      </w:r>
      <w:r>
        <w:rPr>
          <w:rFonts w:ascii="Times New Roman" w:cs="Times New Roman" w:hAnsi="Times New Roman"/>
          <w:sz w:val="24"/>
          <w:szCs w:val="24"/>
        </w:rPr>
        <w:t xml:space="preserve"> using heating mantle. Similar</w:t>
      </w:r>
      <w:r>
        <w:rPr>
          <w:rFonts w:ascii="Times New Roman" w:cs="Times New Roman" w:hAnsi="Times New Roman"/>
          <w:sz w:val="24"/>
          <w:szCs w:val="24"/>
        </w:rPr>
        <w:t xml:space="preserve"> procedure was employed for the</w:t>
      </w:r>
      <w:r>
        <w:rPr>
          <w:rFonts w:ascii="Times New Roman" w:cs="Times New Roman" w:hAnsi="Times New Roman"/>
          <w:sz w:val="24"/>
          <w:szCs w:val="24"/>
        </w:rPr>
        <w:t xml:space="preserve"> </w:t>
      </w:r>
      <w:r>
        <w:rPr>
          <w:rFonts w:ascii="Times New Roman" w:cs="Times New Roman" w:hAnsi="Times New Roman"/>
          <w:sz w:val="24"/>
          <w:szCs w:val="24"/>
        </w:rPr>
        <w:t>extraction of the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PHYTOCHEMICAL TEST PROCEDUR</w:t>
      </w:r>
      <w:r>
        <w:rPr>
          <w:rFonts w:ascii="Times New Roman" w:cs="Times New Roman" w:hAnsi="Times New Roman"/>
          <w:b/>
          <w:bCs/>
          <w:sz w:val="24"/>
          <w:szCs w:val="24"/>
        </w:rPr>
        <w:t>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phytochemical properties of the sample were performed using qualitative analysis.</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3.3.1</w:t>
      </w:r>
      <w:r>
        <w:rPr>
          <w:rFonts w:ascii="Times New Roman" w:cs="Times New Roman" w:hAnsi="Times New Roman"/>
          <w:b/>
          <w:bCs/>
          <w:sz w:val="24"/>
          <w:szCs w:val="24"/>
        </w:rPr>
        <w:tab/>
      </w:r>
      <w:r>
        <w:rPr>
          <w:rFonts w:ascii="Times New Roman" w:cs="Times New Roman" w:hAnsi="Times New Roman"/>
          <w:b/>
          <w:bCs/>
          <w:sz w:val="24"/>
          <w:szCs w:val="24"/>
        </w:rPr>
        <w:t>TESTS FOR STEROID</w:t>
      </w:r>
    </w:p>
    <w:p>
      <w:pPr>
        <w:pStyle w:val="style179"/>
        <w:numPr>
          <w:ilvl w:val="0"/>
          <w:numId w:val="8"/>
        </w:numPr>
        <w:spacing w:lineRule="auto" w:line="480"/>
        <w:ind w:left="360"/>
        <w:jc w:val="both"/>
        <w:rPr>
          <w:rFonts w:ascii="Times New Roman" w:cs="Times New Roman" w:hAnsi="Times New Roman"/>
          <w:sz w:val="24"/>
          <w:szCs w:val="24"/>
        </w:rPr>
      </w:pPr>
      <w:r>
        <w:rPr>
          <w:rFonts w:ascii="Times New Roman" w:cs="Times New Roman" w:hAnsi="Times New Roman"/>
          <w:b/>
          <w:bCs/>
          <w:sz w:val="24"/>
          <w:szCs w:val="24"/>
        </w:rPr>
        <w:t>Sarkowski</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Chloroform solution of the extract when shaken with concentrated sulfuric acid and on standing yield red color.</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Lieberman</w:t>
      </w:r>
      <w:r>
        <w:rPr>
          <w:rFonts w:ascii="Times New Roman" w:cs="Times New Roman" w:hAnsi="Times New Roman"/>
          <w:b/>
          <w:bCs/>
          <w:sz w:val="24"/>
          <w:szCs w:val="24"/>
        </w:rPr>
        <w:t xml:space="preserve"> Burch</w:t>
      </w:r>
      <w:r>
        <w:rPr>
          <w:rFonts w:ascii="Times New Roman" w:cs="Times New Roman" w:hAnsi="Times New Roman"/>
          <w:b/>
          <w:bCs/>
          <w:sz w:val="24"/>
          <w:szCs w:val="24"/>
        </w:rPr>
        <w:t>ardt</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Chloroform </w:t>
      </w:r>
      <w:r>
        <w:rPr>
          <w:rFonts w:ascii="Times New Roman" w:cs="Times New Roman" w:hAnsi="Times New Roman"/>
          <w:sz w:val="24"/>
          <w:szCs w:val="24"/>
        </w:rPr>
        <w:t>solution of the extract with few drops of acetic acid and 1ml of concentrated sulfuric acid from the sides gives reddish ring at the junction</w:t>
      </w:r>
      <w:r>
        <w:rPr>
          <w:rFonts w:ascii="Times New Roman" w:cs="Times New Roman" w:hAnsi="Times New Roman"/>
          <w:sz w:val="24"/>
          <w:szCs w:val="24"/>
        </w:rPr>
        <w:t xml:space="preserve"> </w:t>
      </w:r>
      <w:r>
        <w:rPr>
          <w:rFonts w:ascii="Times New Roman" w:cs="Times New Roman" w:hAnsi="Times New Roman"/>
          <w:sz w:val="24"/>
          <w:szCs w:val="24"/>
        </w:rPr>
        <w:t>of 2 layers.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3.3.2</w:t>
      </w:r>
      <w:r>
        <w:rPr>
          <w:rFonts w:ascii="Times New Roman" w:cs="Times New Roman" w:hAnsi="Times New Roman"/>
          <w:b/>
          <w:bCs/>
          <w:sz w:val="24"/>
          <w:szCs w:val="24"/>
        </w:rPr>
        <w:tab/>
      </w:r>
      <w:r>
        <w:rPr>
          <w:rFonts w:ascii="Times New Roman" w:cs="Times New Roman" w:hAnsi="Times New Roman"/>
          <w:b/>
          <w:bCs/>
          <w:sz w:val="24"/>
          <w:szCs w:val="24"/>
        </w:rPr>
        <w:t>TEST</w:t>
      </w:r>
      <w:r>
        <w:rPr>
          <w:rFonts w:ascii="Times New Roman" w:cs="Times New Roman" w:hAnsi="Times New Roman"/>
          <w:b/>
          <w:bCs/>
          <w:sz w:val="24"/>
          <w:szCs w:val="24"/>
        </w:rPr>
        <w:t>S</w:t>
      </w:r>
      <w:r>
        <w:rPr>
          <w:rFonts w:ascii="Times New Roman" w:cs="Times New Roman" w:hAnsi="Times New Roman"/>
          <w:b/>
          <w:bCs/>
          <w:sz w:val="24"/>
          <w:szCs w:val="24"/>
        </w:rPr>
        <w:t xml:space="preserve"> FOR TRITERPENE</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Sarkowski</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Chloroform solution of the extract when shaken with concentrated sulfuric acid, lower layer turns to yellow on standing</w:t>
      </w:r>
      <w:r>
        <w:rPr>
          <w:rFonts w:ascii="Times New Roman" w:cs="Times New Roman" w:hAnsi="Times New Roman"/>
          <w:sz w:val="24"/>
          <w:szCs w:val="24"/>
        </w:rPr>
        <w: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Lieberman Burch</w:t>
      </w:r>
      <w:r>
        <w:rPr>
          <w:rFonts w:ascii="Times New Roman" w:cs="Times New Roman" w:hAnsi="Times New Roman"/>
          <w:b/>
          <w:bCs/>
          <w:sz w:val="24"/>
          <w:szCs w:val="24"/>
        </w:rPr>
        <w:t>ardt</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Chloroform </w:t>
      </w:r>
      <w:r>
        <w:rPr>
          <w:rFonts w:ascii="Times New Roman" w:cs="Times New Roman" w:hAnsi="Times New Roman"/>
          <w:sz w:val="24"/>
          <w:szCs w:val="24"/>
        </w:rPr>
        <w:t xml:space="preserve">solution of the extract with few drops of acetic acid and 1ml of concentrated sulfuric acid from the sides gives </w:t>
      </w:r>
      <w:r>
        <w:rPr>
          <w:rFonts w:ascii="Times New Roman" w:cs="Times New Roman" w:hAnsi="Times New Roman"/>
          <w:sz w:val="24"/>
          <w:szCs w:val="24"/>
        </w:rPr>
        <w:t>deep red</w:t>
      </w:r>
      <w:r>
        <w:rPr>
          <w:rFonts w:ascii="Times New Roman" w:cs="Times New Roman" w:hAnsi="Times New Roman"/>
          <w:sz w:val="24"/>
          <w:szCs w:val="24"/>
        </w:rPr>
        <w:t xml:space="preserve"> at the junction of 2 layers.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3.3.3</w:t>
      </w:r>
      <w:r>
        <w:rPr>
          <w:rFonts w:ascii="Times New Roman" w:cs="Times New Roman" w:hAnsi="Times New Roman"/>
          <w:b/>
          <w:bCs/>
          <w:sz w:val="24"/>
          <w:szCs w:val="24"/>
        </w:rPr>
        <w:tab/>
      </w:r>
      <w:r>
        <w:rPr>
          <w:rFonts w:ascii="Times New Roman" w:cs="Times New Roman" w:hAnsi="Times New Roman"/>
          <w:b/>
          <w:bCs/>
          <w:sz w:val="24"/>
          <w:szCs w:val="24"/>
        </w:rPr>
        <w:t>TESTS FOR ALKALOID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extracts were mixed with ammonia and then extracted with chloroform solution</w:t>
      </w:r>
      <w:r>
        <w:rPr>
          <w:rFonts w:ascii="Times New Roman" w:cs="Times New Roman" w:hAnsi="Times New Roman"/>
          <w:sz w:val="24"/>
          <w:szCs w:val="24"/>
        </w:rPr>
        <w:t>. To this, dilute hydrochloric acid was added. The acid layer was used for chemical tests for alkaloids.</w:t>
      </w:r>
    </w:p>
    <w:p>
      <w:pPr>
        <w:pStyle w:val="style179"/>
        <w:numPr>
          <w:ilvl w:val="0"/>
          <w:numId w:val="8"/>
        </w:numPr>
        <w:spacing w:lineRule="auto" w:line="480"/>
        <w:ind w:left="450" w:hanging="450"/>
        <w:jc w:val="both"/>
        <w:rPr>
          <w:rFonts w:ascii="Times New Roman" w:cs="Times New Roman" w:hAnsi="Times New Roman"/>
          <w:b/>
          <w:bCs/>
          <w:sz w:val="24"/>
          <w:szCs w:val="24"/>
        </w:rPr>
      </w:pPr>
      <w:r>
        <w:rPr>
          <w:rFonts w:ascii="Times New Roman" w:cs="Times New Roman" w:hAnsi="Times New Roman"/>
          <w:b/>
          <w:bCs/>
          <w:sz w:val="24"/>
          <w:szCs w:val="24"/>
        </w:rPr>
        <w:t>Mayer’s Test</w:t>
      </w:r>
      <w:r>
        <w:rPr>
          <w:rFonts w:ascii="Times New Roman" w:cs="Times New Roman" w:hAnsi="Times New Roman"/>
          <w:b/>
          <w:bCs/>
          <w:sz w:val="24"/>
          <w:szCs w:val="24"/>
        </w:rPr>
        <w:t xml:space="preserve"> </w:t>
      </w:r>
      <w:r>
        <w:rPr>
          <w:rFonts w:ascii="Times New Roman" w:cs="Times New Roman" w:hAnsi="Times New Roman"/>
          <w:b/>
          <w:bCs/>
          <w:sz w:val="24"/>
          <w:szCs w:val="24"/>
        </w:rPr>
        <w:t>(</w:t>
      </w:r>
      <w:r>
        <w:rPr>
          <w:rFonts w:ascii="Times New Roman" w:cs="Times New Roman" w:hAnsi="Times New Roman"/>
          <w:b/>
          <w:bCs/>
          <w:sz w:val="24"/>
          <w:szCs w:val="24"/>
        </w:rPr>
        <w:t>Potassium Mercuric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acid layer with </w:t>
      </w:r>
      <w:r>
        <w:rPr>
          <w:rFonts w:ascii="Times New Roman" w:cs="Times New Roman" w:hAnsi="Times New Roman"/>
          <w:sz w:val="24"/>
          <w:szCs w:val="24"/>
        </w:rPr>
        <w:t>few drops of Mayer’s reagent gives a creamy white precipitate.</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 xml:space="preserve">Wagner’s Test (Solution </w:t>
      </w:r>
      <w:r>
        <w:rPr>
          <w:rFonts w:ascii="Times New Roman" w:cs="Times New Roman" w:hAnsi="Times New Roman"/>
          <w:b/>
          <w:bCs/>
          <w:sz w:val="24"/>
          <w:szCs w:val="24"/>
        </w:rPr>
        <w:t>o</w:t>
      </w:r>
      <w:r>
        <w:rPr>
          <w:rFonts w:ascii="Times New Roman" w:cs="Times New Roman" w:hAnsi="Times New Roman"/>
          <w:b/>
          <w:bCs/>
          <w:sz w:val="24"/>
          <w:szCs w:val="24"/>
        </w:rPr>
        <w:t xml:space="preserve">f Iodine </w:t>
      </w:r>
      <w:r>
        <w:rPr>
          <w:rFonts w:ascii="Times New Roman" w:cs="Times New Roman" w:hAnsi="Times New Roman"/>
          <w:b/>
          <w:bCs/>
          <w:sz w:val="24"/>
          <w:szCs w:val="24"/>
        </w:rPr>
        <w:t>i</w:t>
      </w:r>
      <w:r>
        <w:rPr>
          <w:rFonts w:ascii="Times New Roman" w:cs="Times New Roman" w:hAnsi="Times New Roman"/>
          <w:b/>
          <w:bCs/>
          <w:sz w:val="24"/>
          <w:szCs w:val="24"/>
        </w:rPr>
        <w:t>n Potassium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with few drops of Wagner’s reagent gives reddish brown color precipitate</w:t>
      </w:r>
      <w:r>
        <w:rPr>
          <w:rFonts w:ascii="Times New Roman" w:cs="Times New Roman" w:hAnsi="Times New Roman"/>
          <w:sz w:val="24"/>
          <w:szCs w:val="24"/>
        </w:rPr>
        <w: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Hager’s Test (Saturated solution of picric acid)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with Hager’s reagent gives yellow precipitate.</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Dragend</w:t>
      </w:r>
      <w:r>
        <w:rPr>
          <w:rFonts w:ascii="Times New Roman" w:cs="Times New Roman" w:hAnsi="Times New Roman"/>
          <w:b/>
          <w:bCs/>
          <w:sz w:val="24"/>
          <w:szCs w:val="24"/>
        </w:rPr>
        <w:t>ro</w:t>
      </w:r>
      <w:r>
        <w:rPr>
          <w:rFonts w:ascii="Times New Roman" w:cs="Times New Roman" w:hAnsi="Times New Roman"/>
          <w:b/>
          <w:bCs/>
          <w:sz w:val="24"/>
          <w:szCs w:val="24"/>
        </w:rPr>
        <w:t>ff’s</w:t>
      </w:r>
      <w:r>
        <w:rPr>
          <w:rFonts w:ascii="Times New Roman" w:cs="Times New Roman" w:hAnsi="Times New Roman"/>
          <w:b/>
          <w:bCs/>
          <w:sz w:val="24"/>
          <w:szCs w:val="24"/>
        </w:rPr>
        <w:t xml:space="preserve"> Test (Solution </w:t>
      </w:r>
      <w:r>
        <w:rPr>
          <w:rFonts w:ascii="Times New Roman" w:cs="Times New Roman" w:hAnsi="Times New Roman"/>
          <w:b/>
          <w:bCs/>
          <w:sz w:val="24"/>
          <w:szCs w:val="24"/>
        </w:rPr>
        <w:t>o</w:t>
      </w:r>
      <w:r>
        <w:rPr>
          <w:rFonts w:ascii="Times New Roman" w:cs="Times New Roman" w:hAnsi="Times New Roman"/>
          <w:b/>
          <w:bCs/>
          <w:sz w:val="24"/>
          <w:szCs w:val="24"/>
        </w:rPr>
        <w:t>f Potassium Bismuth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Acid layer with few drops of</w:t>
      </w:r>
      <w:r>
        <w:rPr>
          <w:rFonts w:ascii="Times New Roman" w:cs="Times New Roman" w:hAnsi="Times New Roman"/>
          <w:b/>
          <w:bCs/>
          <w:sz w:val="24"/>
          <w:szCs w:val="24"/>
        </w:rPr>
        <w:t xml:space="preserve"> </w:t>
      </w:r>
      <w:r>
        <w:rPr>
          <w:rFonts w:ascii="Times New Roman" w:cs="Times New Roman" w:hAnsi="Times New Roman"/>
          <w:sz w:val="24"/>
          <w:szCs w:val="24"/>
        </w:rPr>
        <w:t>Dragendorff’s</w:t>
      </w:r>
      <w:r>
        <w:rPr>
          <w:rFonts w:ascii="Times New Roman" w:cs="Times New Roman" w:hAnsi="Times New Roman"/>
          <w:sz w:val="24"/>
          <w:szCs w:val="24"/>
        </w:rPr>
        <w:t xml:space="preserve"> reagent gives reddish brown precipitate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3.3.4</w:t>
      </w:r>
      <w:r>
        <w:rPr>
          <w:rFonts w:ascii="Times New Roman" w:cs="Times New Roman" w:hAnsi="Times New Roman"/>
          <w:b/>
          <w:bCs/>
          <w:sz w:val="24"/>
          <w:szCs w:val="24"/>
        </w:rPr>
        <w:tab/>
      </w:r>
      <w:r>
        <w:rPr>
          <w:rFonts w:ascii="Times New Roman" w:cs="Times New Roman" w:hAnsi="Times New Roman"/>
          <w:b/>
          <w:bCs/>
          <w:sz w:val="24"/>
          <w:szCs w:val="24"/>
        </w:rPr>
        <w:t>TESTS FOR TANNIN</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Ferric Chloride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w:t>
      </w:r>
      <w:r>
        <w:rPr>
          <w:rFonts w:ascii="Times New Roman" w:cs="Times New Roman" w:hAnsi="Times New Roman"/>
          <w:sz w:val="24"/>
          <w:szCs w:val="24"/>
        </w:rPr>
        <w:t xml:space="preserve"> </w:t>
      </w:r>
      <w:r>
        <w:rPr>
          <w:rFonts w:ascii="Times New Roman" w:cs="Times New Roman" w:hAnsi="Times New Roman"/>
          <w:sz w:val="24"/>
          <w:szCs w:val="24"/>
        </w:rPr>
        <w:t>of ferric chloride with</w:t>
      </w:r>
      <w:r>
        <w:rPr>
          <w:rFonts w:ascii="Times New Roman" w:cs="Times New Roman" w:hAnsi="Times New Roman"/>
          <w:sz w:val="24"/>
          <w:szCs w:val="24"/>
        </w:rPr>
        <w:t xml:space="preserve"> 2ml extract of both seed and endocarp sep</w:t>
      </w:r>
      <w:r>
        <w:rPr>
          <w:rFonts w:ascii="Times New Roman" w:cs="Times New Roman" w:hAnsi="Times New Roman"/>
          <w:sz w:val="24"/>
          <w:szCs w:val="24"/>
        </w:rPr>
        <w:t>a</w:t>
      </w:r>
      <w:r>
        <w:rPr>
          <w:rFonts w:ascii="Times New Roman" w:cs="Times New Roman" w:hAnsi="Times New Roman"/>
          <w:sz w:val="24"/>
          <w:szCs w:val="24"/>
        </w:rPr>
        <w:t xml:space="preserve">rately. </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Lead Acetate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lead acetate w</w:t>
      </w:r>
      <w:r>
        <w:rPr>
          <w:rFonts w:ascii="Times New Roman" w:cs="Times New Roman" w:hAnsi="Times New Roman"/>
          <w:sz w:val="24"/>
          <w:szCs w:val="24"/>
        </w:rPr>
        <w:t>ere</w:t>
      </w:r>
      <w:r>
        <w:rPr>
          <w:rFonts w:ascii="Times New Roman" w:cs="Times New Roman" w:hAnsi="Times New Roman"/>
          <w:sz w:val="24"/>
          <w:szCs w:val="24"/>
        </w:rPr>
        <w:t xml:space="preserve"> added to</w:t>
      </w:r>
      <w:r>
        <w:rPr>
          <w:rFonts w:ascii="Times New Roman" w:cs="Times New Roman" w:hAnsi="Times New Roman"/>
          <w:sz w:val="24"/>
          <w:szCs w:val="24"/>
        </w:rPr>
        <w:t xml:space="preserve"> extract of both seed and endocarp separately.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3.3.5</w:t>
      </w:r>
      <w:r>
        <w:rPr>
          <w:rFonts w:ascii="Times New Roman" w:cs="Times New Roman" w:hAnsi="Times New Roman"/>
          <w:b/>
          <w:bCs/>
          <w:sz w:val="24"/>
          <w:szCs w:val="24"/>
        </w:rPr>
        <w:tab/>
      </w:r>
      <w:r>
        <w:rPr>
          <w:rFonts w:ascii="Times New Roman" w:cs="Times New Roman" w:hAnsi="Times New Roman"/>
          <w:b/>
          <w:bCs/>
          <w:sz w:val="24"/>
          <w:szCs w:val="24"/>
        </w:rPr>
        <w:t>LACTONES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Lega</w:t>
      </w:r>
      <w:r>
        <w:rPr>
          <w:rFonts w:ascii="Times New Roman" w:cs="Times New Roman" w:hAnsi="Times New Roman"/>
          <w:b/>
          <w:bCs/>
          <w:sz w:val="24"/>
          <w:szCs w:val="24"/>
        </w:rPr>
        <w:t>lon</w:t>
      </w:r>
      <w:r>
        <w:rPr>
          <w:rFonts w:ascii="Times New Roman" w:cs="Times New Roman" w:hAnsi="Times New Roman"/>
          <w:b/>
          <w:bCs/>
          <w:sz w:val="24"/>
          <w:szCs w:val="24"/>
        </w:rPr>
        <w:t>’s</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 xml:space="preserve">Few drops </w:t>
      </w:r>
      <w:r>
        <w:rPr>
          <w:rFonts w:ascii="Times New Roman" w:cs="Times New Roman" w:hAnsi="Times New Roman"/>
          <w:sz w:val="24"/>
          <w:szCs w:val="24"/>
        </w:rPr>
        <w:t xml:space="preserve">of </w:t>
      </w:r>
      <w:r>
        <w:rPr>
          <w:rFonts w:ascii="Times New Roman" w:cs="Times New Roman" w:hAnsi="Times New Roman"/>
          <w:sz w:val="24"/>
          <w:szCs w:val="24"/>
        </w:rPr>
        <w:t>Lega</w:t>
      </w:r>
      <w:r>
        <w:rPr>
          <w:rFonts w:ascii="Times New Roman" w:cs="Times New Roman" w:hAnsi="Times New Roman"/>
          <w:sz w:val="24"/>
          <w:szCs w:val="24"/>
        </w:rPr>
        <w:t>lon</w:t>
      </w:r>
      <w:r>
        <w:rPr>
          <w:rFonts w:ascii="Times New Roman" w:cs="Times New Roman" w:hAnsi="Times New Roman"/>
          <w:sz w:val="24"/>
          <w:szCs w:val="24"/>
        </w:rPr>
        <w:t>’s</w:t>
      </w:r>
      <w:r>
        <w:rPr>
          <w:rFonts w:ascii="Times New Roman" w:cs="Times New Roman" w:hAnsi="Times New Roman"/>
          <w:sz w:val="24"/>
          <w:szCs w:val="24"/>
        </w:rPr>
        <w:t xml:space="preserve"> rea</w:t>
      </w:r>
      <w:r>
        <w:rPr>
          <w:rFonts w:ascii="Times New Roman" w:cs="Times New Roman" w:hAnsi="Times New Roman"/>
          <w:sz w:val="24"/>
          <w:szCs w:val="24"/>
        </w:rPr>
        <w:t>gent were added to the</w:t>
      </w:r>
      <w:r>
        <w:rPr>
          <w:rFonts w:ascii="Times New Roman" w:cs="Times New Roman" w:hAnsi="Times New Roman"/>
          <w:sz w:val="24"/>
          <w:szCs w:val="24"/>
        </w:rPr>
        <w:t xml:space="preserve"> extract of both seed and endocarp separately</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3.3.6</w:t>
      </w:r>
      <w:r>
        <w:rPr>
          <w:rFonts w:ascii="Times New Roman" w:cs="Times New Roman" w:hAnsi="Times New Roman"/>
          <w:b/>
          <w:bCs/>
          <w:sz w:val="24"/>
          <w:szCs w:val="24"/>
        </w:rPr>
        <w:tab/>
      </w:r>
      <w:r>
        <w:rPr>
          <w:rFonts w:ascii="Times New Roman" w:cs="Times New Roman" w:hAnsi="Times New Roman"/>
          <w:b/>
          <w:bCs/>
          <w:sz w:val="24"/>
          <w:szCs w:val="24"/>
        </w:rPr>
        <w:t>DI</w:t>
      </w:r>
      <w:r>
        <w:rPr>
          <w:rFonts w:ascii="Times New Roman" w:cs="Times New Roman" w:hAnsi="Times New Roman"/>
          <w:b/>
          <w:bCs/>
          <w:sz w:val="24"/>
          <w:szCs w:val="24"/>
        </w:rPr>
        <w:t>TERPENE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Copper Acetate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rPr>
        <w:t>e</w:t>
      </w:r>
      <w:r>
        <w:rPr>
          <w:rFonts w:ascii="Times New Roman" w:cs="Times New Roman" w:hAnsi="Times New Roman"/>
          <w:sz w:val="24"/>
          <w:szCs w:val="24"/>
        </w:rPr>
        <w:t>w drops of copper acetate</w:t>
      </w:r>
      <w:r>
        <w:rPr>
          <w:rFonts w:ascii="Times New Roman" w:cs="Times New Roman" w:hAnsi="Times New Roman"/>
          <w:sz w:val="24"/>
          <w:szCs w:val="24"/>
        </w:rPr>
        <w:t xml:space="preserve"> were added to extract of both seed and endocarp separately.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3.3.7</w:t>
      </w:r>
      <w:r>
        <w:rPr>
          <w:rFonts w:ascii="Times New Roman" w:cs="Times New Roman" w:hAnsi="Times New Roman"/>
          <w:b/>
          <w:bCs/>
          <w:sz w:val="24"/>
          <w:szCs w:val="24"/>
        </w:rPr>
        <w:tab/>
      </w:r>
      <w:r>
        <w:rPr>
          <w:rFonts w:ascii="Times New Roman" w:cs="Times New Roman" w:hAnsi="Times New Roman"/>
          <w:b/>
          <w:bCs/>
          <w:sz w:val="24"/>
          <w:szCs w:val="24"/>
        </w:rPr>
        <w:t>GLYCOSIDE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Sodium Hydroxide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sodium hydroxide solution were added to extract of both seed and endocarp separately.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3.3.8</w:t>
      </w:r>
      <w:r>
        <w:rPr>
          <w:rFonts w:ascii="Times New Roman" w:cs="Times New Roman" w:hAnsi="Times New Roman"/>
          <w:b/>
          <w:bCs/>
          <w:sz w:val="24"/>
          <w:szCs w:val="24"/>
        </w:rPr>
        <w:tab/>
      </w:r>
      <w:r>
        <w:rPr>
          <w:rFonts w:ascii="Times New Roman" w:cs="Times New Roman" w:hAnsi="Times New Roman"/>
          <w:b/>
          <w:bCs/>
          <w:sz w:val="24"/>
          <w:szCs w:val="24"/>
        </w:rPr>
        <w:t>SAPONIN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sz w:val="24"/>
          <w:szCs w:val="24"/>
        </w:rPr>
        <w:t>The extract of both seed and endocarp were added with water separately and was shaken vigorously</w:t>
      </w:r>
      <w:r>
        <w:rPr>
          <w:rFonts w:ascii="Times New Roman" w:cs="Times New Roman" w:hAnsi="Times New Roman"/>
          <w:sz w:val="24"/>
          <w:szCs w:val="24"/>
        </w:rPr>
        <w:t xml:space="preserve"> for 1minute.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3.4</w:t>
      </w:r>
      <w:r>
        <w:rPr>
          <w:rFonts w:ascii="Times New Roman" w:cs="Times New Roman" w:hAnsi="Times New Roman"/>
          <w:b/>
          <w:bCs/>
          <w:sz w:val="24"/>
          <w:szCs w:val="24"/>
        </w:rPr>
        <w:tab/>
      </w:r>
      <w:r>
        <w:rPr>
          <w:rFonts w:ascii="Times New Roman" w:cs="Times New Roman" w:hAnsi="Times New Roman"/>
          <w:b/>
          <w:bCs/>
          <w:sz w:val="24"/>
          <w:szCs w:val="24"/>
        </w:rPr>
        <w:t>ANTIOXIDANT ACTIVITY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antioxidant activities of the sample (both seed and endocarp extract) were determined</w:t>
      </w:r>
      <w:r>
        <w:rPr>
          <w:rFonts w:ascii="Times New Roman" w:cs="Times New Roman" w:hAnsi="Times New Roman"/>
          <w:sz w:val="24"/>
          <w:szCs w:val="24"/>
        </w:rPr>
        <w:t xml:space="preserve"> using spectrophotometric technique. UV-Visible spectrophotometer was used during this project.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3.4.1</w:t>
      </w:r>
      <w:r>
        <w:rPr>
          <w:rFonts w:ascii="Times New Roman" w:cs="Times New Roman" w:hAnsi="Times New Roman"/>
          <w:b/>
          <w:bCs/>
          <w:sz w:val="24"/>
          <w:szCs w:val="24"/>
        </w:rPr>
        <w:tab/>
      </w:r>
      <w:r>
        <w:rPr>
          <w:rFonts w:ascii="Times New Roman" w:cs="Times New Roman" w:hAnsi="Times New Roman"/>
          <w:b/>
          <w:bCs/>
          <w:sz w:val="24"/>
          <w:szCs w:val="24"/>
        </w:rPr>
        <w:t>DPPH (2</w:t>
      </w:r>
      <w:r>
        <w:rPr>
          <w:rFonts w:ascii="Times New Roman" w:cs="Times New Roman" w:hAnsi="Times New Roman"/>
          <w:b/>
          <w:bCs/>
          <w:sz w:val="24"/>
          <w:szCs w:val="24"/>
        </w:rPr>
        <w:t>,2</w:t>
      </w:r>
      <w:r>
        <w:rPr>
          <w:rFonts w:ascii="Times New Roman" w:cs="Times New Roman" w:hAnsi="Times New Roman"/>
          <w:b/>
          <w:bCs/>
          <w:sz w:val="24"/>
          <w:szCs w:val="24"/>
        </w:rPr>
        <w:t>-Diphenyl-1-picryhydrazyl)</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the extracted </w:t>
      </w:r>
      <w:r>
        <w:rPr>
          <w:rFonts w:ascii="Times New Roman" w:cs="Times New Roman" w:hAnsi="Times New Roman"/>
          <w:color w:val="000000"/>
          <w:sz w:val="24"/>
          <w:szCs w:val="24"/>
        </w:rPr>
        <w:t>of both seed and endocarp</w:t>
      </w:r>
      <w:r>
        <w:rPr>
          <w:rFonts w:ascii="Times New Roman" w:cs="Times New Roman" w:hAnsi="Times New Roman"/>
          <w:color w:val="000000"/>
          <w:sz w:val="24"/>
          <w:szCs w:val="24"/>
        </w:rPr>
        <w:t xml:space="preserve"> was carefully measured into </w:t>
      </w:r>
      <w:r>
        <w:rPr>
          <w:rFonts w:ascii="Times New Roman" w:cs="Times New Roman" w:hAnsi="Times New Roman"/>
          <w:color w:val="000000"/>
          <w:sz w:val="24"/>
          <w:szCs w:val="24"/>
        </w:rPr>
        <w:t>sep</w:t>
      </w:r>
      <w:r>
        <w:rPr>
          <w:rFonts w:ascii="Times New Roman" w:cs="Times New Roman" w:hAnsi="Times New Roman"/>
          <w:color w:val="000000"/>
          <w:sz w:val="24"/>
          <w:szCs w:val="24"/>
        </w:rPr>
        <w:t>a</w:t>
      </w:r>
      <w:r>
        <w:rPr>
          <w:rFonts w:ascii="Times New Roman" w:cs="Times New Roman" w:hAnsi="Times New Roman"/>
          <w:color w:val="000000"/>
          <w:sz w:val="24"/>
          <w:szCs w:val="24"/>
        </w:rPr>
        <w:t>rate</w:t>
      </w:r>
      <w:r>
        <w:rPr>
          <w:rFonts w:ascii="Times New Roman" w:cs="Times New Roman" w:hAnsi="Times New Roman"/>
          <w:color w:val="000000"/>
          <w:sz w:val="24"/>
          <w:szCs w:val="24"/>
        </w:rPr>
        <w:t xml:space="preserve"> clean test tube with the aid of a micropipette. </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2ml of methanol and 1ml of DPPH solution were added respectively and was labeled as sample</w:t>
      </w:r>
      <w:r>
        <w:rPr>
          <w:rFonts w:ascii="Times New Roman" w:cs="Times New Roman" w:hAnsi="Times New Roman"/>
          <w:color w:val="000000"/>
          <w:sz w:val="24"/>
          <w:szCs w:val="24"/>
        </w:rPr>
        <w:t xml:space="preserve"> and standard</w:t>
      </w:r>
      <w:r>
        <w:rPr>
          <w:rFonts w:ascii="Times New Roman" w:cs="Times New Roman" w:hAnsi="Times New Roman"/>
          <w:color w:val="000000"/>
          <w:sz w:val="24"/>
          <w:szCs w:val="24"/>
        </w:rPr>
        <w:t xml:space="preserve">. </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 blank containing 2ml methanol and 1ml of DPPH solution was done separately</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These test tubes were left in the dark for 30minutes.</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of the solutions (sample and blank) were measured at 517nm.</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standard solution of </w:t>
      </w:r>
      <w:r>
        <w:rPr>
          <w:rFonts w:ascii="Times New Roman" w:cs="Times New Roman" w:hAnsi="Times New Roman"/>
          <w:color w:val="000000"/>
          <w:sz w:val="24"/>
          <w:szCs w:val="24"/>
        </w:rPr>
        <w:t>abscorbic</w:t>
      </w:r>
      <w:r>
        <w:rPr>
          <w:rFonts w:ascii="Times New Roman" w:cs="Times New Roman" w:hAnsi="Times New Roman"/>
          <w:color w:val="000000"/>
          <w:sz w:val="24"/>
          <w:szCs w:val="24"/>
        </w:rPr>
        <w:t xml:space="preserve"> acid (0.1g in 10ml of distilled water) was prepared and absorbance measured as control</w:t>
      </w:r>
      <w:r>
        <w:rPr>
          <w:rFonts w:ascii="Times New Roman" w:cs="Times New Roman" w:hAnsi="Times New Roman"/>
          <w:color w:val="000000"/>
          <w:sz w:val="24"/>
          <w:szCs w:val="24"/>
        </w:rPr>
        <w:t>.</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 </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 100</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w:t>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w:t>
      </w:r>
    </w:p>
    <w:p>
      <w:pPr>
        <w:pStyle w:val="style0"/>
        <w:spacing w:after="0" w:lineRule="auto" w:line="480"/>
        <w:jc w:val="both"/>
        <w:rPr>
          <w:rFonts w:ascii="Times New Roman" w:cs="Times New Roman" w:hAnsi="Times New Roman"/>
          <w:color w:val="000000"/>
          <w:sz w:val="24"/>
          <w:szCs w:val="24"/>
          <w:vertAlign w:val="subscript"/>
        </w:rPr>
      </w:pP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 absorbance of standard</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 </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 100</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w:t>
      </w:r>
    </w:p>
    <w:p>
      <w:pPr>
        <w:pStyle w:val="style0"/>
        <w:spacing w:after="0" w:lineRule="auto" w:line="480"/>
        <w:jc w:val="both"/>
        <w:rPr>
          <w:rFonts w:ascii="Times New Roman" w:cs="Times New Roman" w:hAnsi="Times New Roman"/>
          <w:color w:val="000000"/>
          <w:sz w:val="24"/>
          <w:szCs w:val="24"/>
          <w:vertAlign w:val="subscript"/>
        </w:rPr>
      </w:pP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 absorbance of standard</w:t>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TPC</w:t>
      </w:r>
      <w:r>
        <w:rPr>
          <w:rFonts w:ascii="Times New Roman" w:cs="Times New Roman" w:hAnsi="Times New Roman"/>
          <w:b/>
          <w:bCs/>
          <w:color w:val="000000"/>
          <w:sz w:val="24"/>
          <w:szCs w:val="24"/>
        </w:rPr>
        <w:t xml:space="preserve"> (Total Phenolic Content)</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the extracted </w:t>
      </w:r>
      <w:r>
        <w:rPr>
          <w:rFonts w:ascii="Times New Roman" w:cs="Times New Roman" w:hAnsi="Times New Roman"/>
          <w:color w:val="000000"/>
          <w:sz w:val="24"/>
          <w:szCs w:val="24"/>
        </w:rPr>
        <w:t xml:space="preserve">of both seed and endocarp </w:t>
      </w:r>
      <w:r>
        <w:rPr>
          <w:rFonts w:ascii="Times New Roman" w:cs="Times New Roman" w:hAnsi="Times New Roman"/>
          <w:color w:val="000000"/>
          <w:sz w:val="24"/>
          <w:szCs w:val="24"/>
        </w:rPr>
        <w:t>was weighed and added to 5ml of FCR and 4ml of 7%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 xml:space="preserve">This was labeled as sample. </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2ml of the resulting solution was further diluted to 10ml with distilled water</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5ml of FCR and 4ml of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was mixed and labeled as blank</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This was incubated at 40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for 40minutes (both sample and blank).</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measurement was taken at 760nm.</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Readings of absorbance and concentrations (based on Gallic acid) was used, and a graph of absorbance against concentration was plotted to determine the concentration of TPC.</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TPC (</w:t>
      </w:r>
      <w:r>
        <w:rPr>
          <w:rFonts w:ascii="Times New Roman" w:cs="Times New Roman" w:hAnsi="Times New Roman"/>
          <w:color w:val="000000"/>
          <w:sz w:val="24"/>
          <w:szCs w:val="24"/>
        </w:rPr>
        <w:t>mgGAEquiv</w:t>
      </w:r>
      <w:r>
        <w:rPr>
          <w:rFonts w:ascii="Times New Roman" w:cs="Times New Roman" w:hAnsi="Times New Roman"/>
          <w:color w:val="000000"/>
          <w:sz w:val="24"/>
          <w:szCs w:val="24"/>
        </w:rPr>
        <w:t xml:space="preserve">/g) = C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 = Concentration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 = Volume of sample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 = Mass of sample </w:t>
      </w:r>
    </w:p>
    <w:p>
      <w:pPr>
        <w:pStyle w:val="style0"/>
        <w:spacing w:after="0" w:lineRule="auto" w:line="360"/>
        <w:jc w:val="both"/>
        <w:rPr>
          <w:rFonts w:ascii="Times New Roman" w:cs="Times New Roman" w:hAnsi="Times New Roman"/>
          <w:color w:val="000000"/>
          <w:sz w:val="32"/>
          <w:szCs w:val="32"/>
        </w:rPr>
      </w:pP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w:t>
      </w:r>
      <w:r>
        <w:rPr>
          <w:rFonts w:ascii="Times New Roman" w:cs="Times New Roman" w:hAnsi="Times New Roman"/>
          <w:b/>
          <w:bCs/>
          <w:color w:val="000000"/>
          <w:sz w:val="24"/>
          <w:szCs w:val="24"/>
        </w:rPr>
        <w:t>3</w:t>
      </w:r>
      <w:r>
        <w:rPr>
          <w:rFonts w:ascii="Times New Roman" w:cs="Times New Roman" w:hAnsi="Times New Roman"/>
          <w:color w:val="000000"/>
          <w:sz w:val="24"/>
          <w:szCs w:val="24"/>
        </w:rPr>
        <w:tab/>
      </w:r>
      <w:r>
        <w:rPr>
          <w:rFonts w:ascii="Times New Roman" w:cs="Times New Roman" w:hAnsi="Times New Roman"/>
          <w:b/>
          <w:bCs/>
          <w:color w:val="000000"/>
          <w:sz w:val="24"/>
          <w:szCs w:val="24"/>
        </w:rPr>
        <w:t xml:space="preserve">Estimation of Lycopene and </w:t>
      </w:r>
      <w:r>
        <w:rPr>
          <w:rFonts w:ascii="Times New Roman" w:cs="Times New Roman" w:hAnsi="Times New Roman"/>
          <w:b/>
          <w:bCs/>
          <w:color w:val="000000"/>
          <w:sz w:val="24"/>
          <w:szCs w:val="24"/>
        </w:rPr>
        <w:t>β</w:t>
      </w:r>
      <w:r>
        <w:rPr>
          <w:rFonts w:ascii="Times New Roman" w:cs="Times New Roman" w:hAnsi="Times New Roman"/>
          <w:b/>
          <w:bCs/>
          <w:color w:val="000000"/>
          <w:sz w:val="24"/>
          <w:szCs w:val="24"/>
        </w:rPr>
        <w:t>-</w:t>
      </w:r>
      <w:r>
        <w:rPr>
          <w:rFonts w:ascii="Times New Roman" w:cs="Times New Roman" w:hAnsi="Times New Roman"/>
          <w:b/>
          <w:bCs/>
          <w:color w:val="000000"/>
          <w:sz w:val="24"/>
          <w:szCs w:val="24"/>
        </w:rPr>
        <w:t>c</w:t>
      </w:r>
      <w:r>
        <w:rPr>
          <w:rFonts w:ascii="Times New Roman" w:cs="Times New Roman" w:hAnsi="Times New Roman"/>
          <w:b/>
          <w:bCs/>
          <w:color w:val="000000"/>
          <w:sz w:val="24"/>
          <w:szCs w:val="24"/>
        </w:rPr>
        <w:t>arotene in</w:t>
      </w:r>
      <w:r>
        <w:rPr>
          <w:rFonts w:ascii="Times New Roman" w:cs="Times New Roman" w:hAnsi="Times New Roman"/>
          <w:b/>
          <w:bCs/>
          <w:color w:val="000000"/>
          <w:sz w:val="24"/>
          <w:szCs w:val="24"/>
        </w:rPr>
        <w:t xml:space="preserve"> Extract (Determination of Carotenoids).</w:t>
      </w:r>
    </w:p>
    <w:p>
      <w:pPr>
        <w:pStyle w:val="style179"/>
        <w:numPr>
          <w:ilvl w:val="0"/>
          <w:numId w:val="11"/>
        </w:numPr>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1ml of extract</w:t>
      </w:r>
      <w:r>
        <w:rPr>
          <w:rFonts w:ascii="Times New Roman" w:cs="Times New Roman" w:hAnsi="Times New Roman"/>
          <w:color w:val="000000"/>
          <w:sz w:val="24"/>
          <w:szCs w:val="24"/>
        </w:rPr>
        <w:t xml:space="preserve"> of both seed and endocarp</w:t>
      </w:r>
      <w:r>
        <w:rPr>
          <w:rFonts w:ascii="Times New Roman" w:cs="Times New Roman" w:hAnsi="Times New Roman"/>
          <w:color w:val="000000"/>
          <w:sz w:val="24"/>
          <w:szCs w:val="24"/>
        </w:rPr>
        <w:t xml:space="preserve"> was </w:t>
      </w:r>
      <w:r>
        <w:rPr>
          <w:rFonts w:ascii="Times New Roman" w:cs="Times New Roman" w:hAnsi="Times New Roman"/>
          <w:color w:val="000000"/>
          <w:sz w:val="24"/>
          <w:szCs w:val="24"/>
        </w:rPr>
        <w:t>prepared</w:t>
      </w:r>
      <w:r>
        <w:rPr>
          <w:rFonts w:ascii="Times New Roman" w:cs="Times New Roman" w:hAnsi="Times New Roman"/>
          <w:color w:val="000000"/>
          <w:sz w:val="24"/>
          <w:szCs w:val="24"/>
        </w:rPr>
        <w:t xml:space="preserve"> separately</w:t>
      </w:r>
      <w:r>
        <w:rPr>
          <w:rFonts w:ascii="Times New Roman" w:cs="Times New Roman" w:hAnsi="Times New Roman"/>
          <w:color w:val="000000"/>
          <w:sz w:val="24"/>
          <w:szCs w:val="24"/>
        </w:rPr>
        <w:t xml:space="preserve"> with 12.5ml of N- </w:t>
      </w:r>
      <w:r>
        <w:rPr>
          <w:rFonts w:ascii="Times New Roman" w:cs="Times New Roman" w:hAnsi="Times New Roman"/>
          <w:color w:val="000000"/>
          <w:sz w:val="24"/>
          <w:szCs w:val="24"/>
        </w:rPr>
        <w:t>Hexane:Acetone</w:t>
      </w:r>
      <w:r>
        <w:rPr>
          <w:rFonts w:ascii="Times New Roman" w:cs="Times New Roman" w:hAnsi="Times New Roman"/>
          <w:color w:val="000000"/>
          <w:sz w:val="24"/>
          <w:szCs w:val="24"/>
        </w:rPr>
        <w:t xml:space="preserve"> mixture (1:1) were prepared in 100ml of conical flask</w:t>
      </w:r>
    </w:p>
    <w:p>
      <w:pPr>
        <w:pStyle w:val="style179"/>
        <w:numPr>
          <w:ilvl w:val="0"/>
          <w:numId w:val="11"/>
        </w:numPr>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process was p</w:t>
      </w:r>
      <w:r>
        <w:rPr>
          <w:rFonts w:ascii="Times New Roman" w:cs="Times New Roman" w:hAnsi="Times New Roman"/>
          <w:color w:val="000000"/>
          <w:sz w:val="24"/>
          <w:szCs w:val="24"/>
        </w:rPr>
        <w:t>erformed on both extract on extract of seed and endocarp</w:t>
      </w:r>
    </w:p>
    <w:p>
      <w:pPr>
        <w:pStyle w:val="style179"/>
        <w:numPr>
          <w:ilvl w:val="0"/>
          <w:numId w:val="11"/>
        </w:numPr>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blank solution containing 12.5ml of N- </w:t>
      </w:r>
      <w:r>
        <w:rPr>
          <w:rFonts w:ascii="Times New Roman" w:cs="Times New Roman" w:hAnsi="Times New Roman"/>
          <w:color w:val="000000"/>
          <w:sz w:val="24"/>
          <w:szCs w:val="24"/>
        </w:rPr>
        <w:t>Hexane:Acetone</w:t>
      </w:r>
      <w:r>
        <w:rPr>
          <w:rFonts w:ascii="Times New Roman" w:cs="Times New Roman" w:hAnsi="Times New Roman"/>
          <w:color w:val="000000"/>
          <w:sz w:val="24"/>
          <w:szCs w:val="24"/>
        </w:rPr>
        <w:t xml:space="preserve"> mixture was performed</w:t>
      </w:r>
    </w:p>
    <w:p>
      <w:pPr>
        <w:pStyle w:val="style179"/>
        <w:numPr>
          <w:ilvl w:val="0"/>
          <w:numId w:val="11"/>
        </w:numPr>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was measured at 453nm, 505nm, and 663nm.</w:t>
      </w:r>
    </w:p>
    <w:p>
      <w:pPr>
        <w:pStyle w:val="style0"/>
        <w:spacing w:lineRule="auto" w:line="240"/>
        <w:jc w:val="both"/>
        <w:rPr>
          <w:rFonts w:ascii="Times New Roman" w:cs="Times New Roman" w:hAnsi="Times New Roman"/>
          <w:sz w:val="24"/>
          <w:szCs w:val="24"/>
          <w:u w:val="single"/>
        </w:rPr>
      </w:pPr>
      <w:r>
        <w:rPr>
          <w:rFonts w:ascii="Times New Roman" w:cs="Times New Roman" w:hAnsi="Times New Roman"/>
          <w:b/>
          <w:bCs/>
          <w:sz w:val="24"/>
          <w:szCs w:val="24"/>
        </w:rPr>
        <w:t>β</w:t>
      </w:r>
      <w:r>
        <w:rPr>
          <w:rFonts w:ascii="Times New Roman" w:cs="Times New Roman" w:hAnsi="Times New Roman"/>
          <w:sz w:val="24"/>
          <w:szCs w:val="24"/>
        </w:rPr>
        <w:t>-</w:t>
      </w:r>
      <w:r>
        <w:rPr>
          <w:rFonts w:ascii="Times New Roman" w:cs="Times New Roman" w:hAnsi="Times New Roman"/>
          <w:sz w:val="24"/>
          <w:szCs w:val="24"/>
        </w:rPr>
        <w:t>carotene(</w:t>
      </w:r>
      <w:r>
        <w:rPr>
          <w:rFonts w:ascii="Times New Roman" w:cs="Times New Roman" w:hAnsi="Times New Roman"/>
          <w:sz w:val="24"/>
          <w:szCs w:val="24"/>
        </w:rPr>
        <w:t xml:space="preserve">mg/ml) = </w:t>
      </w:r>
      <w:r>
        <w:rPr>
          <w:rFonts w:ascii="Times New Roman" w:cs="Times New Roman" w:hAnsi="Times New Roman"/>
          <w:sz w:val="24"/>
          <w:szCs w:val="24"/>
          <w:u w:val="single"/>
        </w:rPr>
        <w:t>0.126(A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0.304(A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+ 0.450(A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480"/>
        <w:jc w:val="center"/>
        <w:rPr>
          <w:rFonts w:ascii="Times New Roman" w:cs="Times New Roman" w:hAnsi="Times New Roman"/>
          <w:b/>
          <w:bCs/>
          <w:sz w:val="24"/>
          <w:szCs w:val="24"/>
        </w:rPr>
      </w:pP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Ly</w:t>
      </w:r>
      <w:r>
        <w:rPr>
          <w:rFonts w:ascii="Times New Roman" w:cs="Times New Roman" w:hAnsi="Times New Roman"/>
          <w:color w:val="000000"/>
          <w:sz w:val="24"/>
          <w:szCs w:val="24"/>
        </w:rPr>
        <w:t xml:space="preserve">copene = </w:t>
      </w:r>
      <w:r>
        <w:rPr>
          <w:rFonts w:ascii="Times New Roman" w:cs="Times New Roman" w:hAnsi="Times New Roman"/>
          <w:color w:val="000000"/>
          <w:sz w:val="24"/>
          <w:szCs w:val="24"/>
          <w:u w:val="single"/>
        </w:rPr>
        <w:t>0.458 (0.</w:t>
      </w:r>
      <w:r>
        <w:rPr>
          <w:rFonts w:ascii="Times New Roman" w:cs="Times New Roman" w:hAnsi="Times New Roman"/>
          <w:color w:val="000000"/>
          <w:sz w:val="24"/>
          <w:szCs w:val="24"/>
          <w:u w:val="single"/>
        </w:rPr>
        <w:t>383</w:t>
      </w:r>
      <w:r>
        <w:rPr>
          <w:rFonts w:ascii="Times New Roman" w:cs="Times New Roman" w:hAnsi="Times New Roman"/>
          <w:color w:val="000000"/>
          <w:sz w:val="24"/>
          <w:szCs w:val="24"/>
          <w:u w:val="single"/>
        </w:rPr>
        <w:t>) – 0.372 (</w:t>
      </w:r>
      <w:r>
        <w:rPr>
          <w:rFonts w:ascii="Times New Roman" w:cs="Times New Roman" w:hAnsi="Times New Roman"/>
          <w:color w:val="000000"/>
          <w:sz w:val="24"/>
          <w:szCs w:val="24"/>
          <w:u w:val="single"/>
        </w:rPr>
        <w:t>0.048</w:t>
      </w:r>
      <w:r>
        <w:rPr>
          <w:rFonts w:ascii="Times New Roman" w:cs="Times New Roman" w:hAnsi="Times New Roman"/>
          <w:color w:val="000000"/>
          <w:sz w:val="24"/>
          <w:szCs w:val="24"/>
          <w:u w:val="single"/>
        </w:rPr>
        <w:t>) – 0.0806 (</w:t>
      </w:r>
      <w:r>
        <w:rPr>
          <w:rFonts w:ascii="Times New Roman" w:cs="Times New Roman" w:hAnsi="Times New Roman"/>
          <w:color w:val="000000"/>
          <w:sz w:val="24"/>
          <w:szCs w:val="24"/>
          <w:u w:val="single"/>
        </w:rPr>
        <w:t>0.683</w:t>
      </w:r>
      <w:r>
        <w:rPr>
          <w:rFonts w:ascii="Times New Roman" w:cs="Times New Roman" w:hAnsi="Times New Roman"/>
          <w:color w:val="000000"/>
          <w:sz w:val="24"/>
          <w:szCs w:val="24"/>
          <w:u w:val="single"/>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4.0</w:t>
      </w:r>
      <w:r>
        <w:rPr>
          <w:rFonts w:ascii="Times New Roman" w:cs="Times New Roman" w:hAnsi="Times New Roman"/>
          <w:b/>
          <w:bCs/>
          <w:sz w:val="24"/>
          <w:szCs w:val="24"/>
        </w:rPr>
        <w:tab/>
      </w:r>
      <w:r>
        <w:rPr>
          <w:rFonts w:ascii="Times New Roman" w:cs="Times New Roman" w:hAnsi="Times New Roman"/>
          <w:b/>
          <w:bCs/>
          <w:sz w:val="24"/>
          <w:szCs w:val="24"/>
        </w:rPr>
        <w:t>RESULTS</w:t>
      </w:r>
      <w:r>
        <w:rPr>
          <w:rFonts w:ascii="Times New Roman" w:cs="Times New Roman" w:hAnsi="Times New Roman"/>
          <w:b/>
          <w:bCs/>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ex</w:t>
      </w:r>
      <w:r>
        <w:rPr>
          <w:rFonts w:ascii="Times New Roman" w:cs="Times New Roman" w:hAnsi="Times New Roman"/>
          <w:sz w:val="24"/>
          <w:szCs w:val="24"/>
        </w:rPr>
        <w:t xml:space="preserve">periment conducted on the crude </w:t>
      </w:r>
      <w:r>
        <w:rPr>
          <w:rFonts w:ascii="Times New Roman" w:cs="Times New Roman" w:hAnsi="Times New Roman"/>
          <w:sz w:val="24"/>
          <w:szCs w:val="24"/>
        </w:rPr>
        <w:t xml:space="preserve">extract prepared from the </w:t>
      </w:r>
      <w:r>
        <w:rPr>
          <w:rFonts w:ascii="Times New Roman" w:cs="Times New Roman" w:hAnsi="Times New Roman"/>
          <w:sz w:val="24"/>
          <w:szCs w:val="24"/>
        </w:rPr>
        <w:t>seed and endocarp</w:t>
      </w:r>
      <w:r>
        <w:rPr>
          <w:rFonts w:ascii="Times New Roman" w:cs="Times New Roman" w:hAnsi="Times New Roman"/>
          <w:sz w:val="24"/>
          <w:szCs w:val="24"/>
        </w:rPr>
        <w:t xml:space="preserve"> of</w:t>
      </w:r>
      <w:r>
        <w:rPr>
          <w:rFonts w:ascii="Times New Roman" w:cs="Times New Roman" w:hAnsi="Times New Roman"/>
          <w:sz w:val="24"/>
          <w:szCs w:val="24"/>
        </w:rPr>
        <w:t xml:space="preserve">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sz w:val="24"/>
          <w:szCs w:val="24"/>
        </w:rPr>
        <w:t xml:space="preserve"> </w:t>
      </w:r>
      <w:r>
        <w:rPr>
          <w:rFonts w:ascii="Times New Roman" w:cs="Times New Roman" w:hAnsi="Times New Roman"/>
          <w:sz w:val="24"/>
          <w:szCs w:val="24"/>
        </w:rPr>
        <w:t xml:space="preserve">in absolute ethanol, </w:t>
      </w:r>
      <w:r>
        <w:rPr>
          <w:rFonts w:ascii="Times New Roman" w:cs="Times New Roman" w:hAnsi="Times New Roman"/>
          <w:sz w:val="24"/>
          <w:szCs w:val="24"/>
        </w:rPr>
        <w:t>its</w:t>
      </w:r>
      <w:r>
        <w:rPr>
          <w:rFonts w:ascii="Times New Roman" w:cs="Times New Roman" w:hAnsi="Times New Roman"/>
          <w:sz w:val="24"/>
          <w:szCs w:val="24"/>
        </w:rPr>
        <w:t xml:space="preserve"> phytochemical,</w:t>
      </w:r>
      <w:r>
        <w:rPr>
          <w:rFonts w:ascii="Times New Roman" w:cs="Times New Roman" w:hAnsi="Times New Roman"/>
          <w:sz w:val="24"/>
          <w:szCs w:val="24"/>
        </w:rPr>
        <w:t xml:space="preserve"> and antioxidants properties were</w:t>
      </w:r>
      <w:r>
        <w:rPr>
          <w:rFonts w:ascii="Times New Roman" w:cs="Times New Roman" w:hAnsi="Times New Roman"/>
          <w:sz w:val="24"/>
          <w:szCs w:val="24"/>
        </w:rPr>
        <w:t xml:space="preserve"> evaluated. Table 1 shows the phytochemical </w:t>
      </w:r>
      <w:r>
        <w:rPr>
          <w:rFonts w:ascii="Times New Roman" w:cs="Times New Roman" w:hAnsi="Times New Roman"/>
          <w:sz w:val="24"/>
          <w:szCs w:val="24"/>
        </w:rPr>
        <w:t>test results</w:t>
      </w:r>
      <w:r>
        <w:rPr>
          <w:rFonts w:ascii="Times New Roman" w:cs="Times New Roman" w:hAnsi="Times New Roman"/>
          <w:sz w:val="24"/>
          <w:szCs w:val="24"/>
        </w:rPr>
        <w:t xml:space="preserve"> </w:t>
      </w:r>
      <w:r>
        <w:rPr>
          <w:rFonts w:ascii="Times New Roman" w:cs="Times New Roman" w:hAnsi="Times New Roman"/>
          <w:sz w:val="24"/>
          <w:szCs w:val="24"/>
        </w:rPr>
        <w:t>obtained from</w:t>
      </w:r>
      <w:r>
        <w:rPr>
          <w:rFonts w:ascii="Times New Roman" w:cs="Times New Roman" w:hAnsi="Times New Roman"/>
          <w:sz w:val="24"/>
          <w:szCs w:val="24"/>
        </w:rPr>
        <w:t xml:space="preserve">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sz w:val="24"/>
          <w:szCs w:val="24"/>
        </w:rPr>
        <w:t xml:space="preserve"> </w:t>
      </w:r>
      <w:r>
        <w:rPr>
          <w:rFonts w:ascii="Times New Roman" w:cs="Times New Roman" w:hAnsi="Times New Roman"/>
          <w:sz w:val="24"/>
          <w:szCs w:val="24"/>
        </w:rPr>
        <w:t>seed and endocarp. Table 2 shows the antioxidant activit</w:t>
      </w:r>
      <w:r>
        <w:rPr>
          <w:rFonts w:ascii="Times New Roman" w:cs="Times New Roman" w:hAnsi="Times New Roman"/>
          <w:sz w:val="24"/>
          <w:szCs w:val="24"/>
        </w:rPr>
        <w:t>i</w:t>
      </w:r>
      <w:r>
        <w:rPr>
          <w:rFonts w:ascii="Times New Roman" w:cs="Times New Roman" w:hAnsi="Times New Roman"/>
          <w:sz w:val="24"/>
          <w:szCs w:val="24"/>
        </w:rPr>
        <w:t>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1. Phytochemical </w:t>
      </w:r>
      <w:r>
        <w:rPr>
          <w:rFonts w:ascii="Times New Roman" w:cs="Times New Roman" w:hAnsi="Times New Roman"/>
          <w:b/>
          <w:bCs/>
          <w:sz w:val="24"/>
          <w:szCs w:val="24"/>
        </w:rPr>
        <w:t>T</w:t>
      </w:r>
      <w:r>
        <w:rPr>
          <w:rFonts w:ascii="Times New Roman" w:cs="Times New Roman" w:hAnsi="Times New Roman"/>
          <w:b/>
          <w:bCs/>
          <w:sz w:val="24"/>
          <w:szCs w:val="24"/>
        </w:rPr>
        <w:t xml:space="preserve">est </w:t>
      </w:r>
      <w:r>
        <w:rPr>
          <w:rFonts w:ascii="Times New Roman" w:cs="Times New Roman" w:hAnsi="Times New Roman"/>
          <w:b/>
          <w:bCs/>
          <w:sz w:val="24"/>
          <w:szCs w:val="24"/>
        </w:rPr>
        <w:t>R</w:t>
      </w:r>
      <w:r>
        <w:rPr>
          <w:rFonts w:ascii="Times New Roman" w:cs="Times New Roman" w:hAnsi="Times New Roman"/>
          <w:b/>
          <w:bCs/>
          <w:sz w:val="24"/>
          <w:szCs w:val="24"/>
        </w:rPr>
        <w:t xml:space="preserve">esult of </w:t>
      </w:r>
      <w:r>
        <w:rPr>
          <w:rFonts w:ascii="Times New Roman" w:cs="Times New Roman" w:hAnsi="Times New Roman"/>
          <w:b/>
          <w:bCs/>
          <w:i/>
          <w:iCs/>
          <w:sz w:val="24"/>
          <w:szCs w:val="24"/>
        </w:rPr>
        <w:t>A</w:t>
      </w:r>
      <w:r>
        <w:rPr>
          <w:rFonts w:ascii="Times New Roman" w:cs="Times New Roman" w:hAnsi="Times New Roman"/>
          <w:b/>
          <w:bCs/>
          <w:i/>
          <w:iCs/>
          <w:sz w:val="24"/>
          <w:szCs w:val="24"/>
        </w:rPr>
        <w:t xml:space="preserve">cacia </w:t>
      </w:r>
      <w:r>
        <w:rPr>
          <w:rFonts w:ascii="Times New Roman" w:cs="Times New Roman" w:hAnsi="Times New Roman"/>
          <w:b/>
          <w:bCs/>
          <w:i/>
          <w:iCs/>
          <w:sz w:val="24"/>
          <w:szCs w:val="24"/>
        </w:rPr>
        <w:t>nilotica</w:t>
      </w:r>
      <w:r>
        <w:rPr>
          <w:rFonts w:ascii="Times New Roman" w:cs="Times New Roman" w:hAnsi="Times New Roman"/>
          <w:b/>
          <w:bCs/>
          <w:i/>
          <w:iCs/>
          <w:sz w:val="24"/>
          <w:szCs w:val="24"/>
        </w:rPr>
        <w:t xml:space="preserve"> </w:t>
      </w:r>
      <w:r>
        <w:rPr>
          <w:rFonts w:ascii="Times New Roman" w:cs="Times New Roman" w:hAnsi="Times New Roman"/>
          <w:b/>
          <w:bCs/>
          <w:sz w:val="24"/>
          <w:szCs w:val="24"/>
        </w:rPr>
        <w:t>S</w:t>
      </w:r>
      <w:r>
        <w:rPr>
          <w:rFonts w:ascii="Times New Roman" w:cs="Times New Roman" w:hAnsi="Times New Roman"/>
          <w:b/>
          <w:bCs/>
          <w:sz w:val="24"/>
          <w:szCs w:val="24"/>
        </w:rPr>
        <w:t xml:space="preserve">eed and </w:t>
      </w:r>
      <w:r>
        <w:rPr>
          <w:rFonts w:ascii="Times New Roman" w:cs="Times New Roman" w:hAnsi="Times New Roman"/>
          <w:b/>
          <w:bCs/>
          <w:sz w:val="24"/>
          <w:szCs w:val="24"/>
        </w:rPr>
        <w:t>E</w:t>
      </w:r>
      <w:r>
        <w:rPr>
          <w:rFonts w:ascii="Times New Roman" w:cs="Times New Roman" w:hAnsi="Times New Roman"/>
          <w:b/>
          <w:bCs/>
          <w:sz w:val="24"/>
          <w:szCs w:val="24"/>
        </w:rPr>
        <w:t>ndocarp</w:t>
      </w:r>
      <w:r>
        <w:rPr>
          <w:rFonts w:ascii="Times New Roman" w:cs="Times New Roman" w:hAnsi="Times New Roman"/>
          <w:sz w:val="24"/>
          <w:szCs w:val="24"/>
        </w:rPr>
        <w:t>’</w:t>
      </w:r>
    </w:p>
    <w:tbl>
      <w:tblPr>
        <w:tblStyle w:val="style154"/>
        <w:tblW w:w="9965" w:type="dxa"/>
        <w:tblLook w:val="04A0" w:firstRow="1" w:lastRow="0" w:firstColumn="1" w:lastColumn="0" w:noHBand="0" w:noVBand="1"/>
      </w:tblPr>
      <w:tblGrid>
        <w:gridCol w:w="3321"/>
        <w:gridCol w:w="3322"/>
        <w:gridCol w:w="3322"/>
      </w:tblGrid>
      <w:tr>
        <w:trPr>
          <w:trHeight w:val="449" w:hRule="atLeast"/>
        </w:trPr>
        <w:tc>
          <w:tcPr>
            <w:tcW w:w="3321" w:type="dxa"/>
            <w:tcBorders/>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TESTS</w:t>
            </w:r>
          </w:p>
        </w:tc>
        <w:tc>
          <w:tcPr>
            <w:tcW w:w="3322" w:type="dxa"/>
            <w:tcBorders/>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SEED</w:t>
            </w:r>
          </w:p>
        </w:tc>
        <w:tc>
          <w:tcPr>
            <w:tcW w:w="3322" w:type="dxa"/>
            <w:tcBorders/>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ENDOCARP</w:t>
            </w:r>
          </w:p>
        </w:tc>
      </w:tr>
      <w:tr>
        <w:tblPrEx/>
        <w:trPr>
          <w:trHeight w:val="137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Steroid Tests</w:t>
            </w:r>
          </w:p>
          <w:p>
            <w:pPr>
              <w:pStyle w:val="style0"/>
              <w:jc w:val="both"/>
              <w:rPr>
                <w:rFonts w:ascii="Times New Roman" w:cs="Times New Roman" w:hAnsi="Times New Roman"/>
                <w:sz w:val="24"/>
                <w:szCs w:val="24"/>
              </w:rPr>
            </w:pPr>
          </w:p>
          <w:p>
            <w:pPr>
              <w:pStyle w:val="style179"/>
              <w:ind w:left="-27"/>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Sarkowski</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est</w:t>
            </w:r>
          </w:p>
          <w:p>
            <w:pPr>
              <w:pStyle w:val="style179"/>
              <w:ind w:left="-27"/>
              <w:jc w:val="both"/>
              <w:rPr>
                <w:rFonts w:ascii="Times New Roman" w:cs="Times New Roman" w:hAnsi="Times New Roman"/>
                <w:sz w:val="24"/>
                <w:szCs w:val="24"/>
              </w:rPr>
            </w:pPr>
          </w:p>
          <w:p>
            <w:pPr>
              <w:pStyle w:val="style179"/>
              <w:ind w:left="-27"/>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Liebaerman</w:t>
            </w:r>
            <w:r>
              <w:rPr>
                <w:rFonts w:ascii="Times New Roman" w:cs="Times New Roman" w:hAnsi="Times New Roman"/>
                <w:sz w:val="24"/>
                <w:szCs w:val="24"/>
              </w:rPr>
              <w:t xml:space="preserve"> </w:t>
            </w:r>
            <w:r>
              <w:rPr>
                <w:rFonts w:ascii="Times New Roman" w:cs="Times New Roman" w:hAnsi="Times New Roman"/>
                <w:sz w:val="24"/>
                <w:szCs w:val="24"/>
              </w:rPr>
              <w:t>Burchardt</w:t>
            </w:r>
            <w:r>
              <w:rPr>
                <w:rFonts w:ascii="Times New Roman" w:cs="Times New Roman" w:hAnsi="Times New Roman"/>
                <w:sz w:val="24"/>
                <w:szCs w:val="24"/>
              </w:rPr>
              <w:t xml:space="preserv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137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Triterpene Tests</w:t>
            </w:r>
          </w:p>
          <w:p>
            <w:pPr>
              <w:pStyle w:val="style0"/>
              <w:jc w:val="both"/>
              <w:rPr>
                <w:rFonts w:ascii="Times New Roman" w:cs="Times New Roman" w:hAnsi="Times New Roman"/>
                <w:sz w:val="24"/>
                <w:szCs w:val="24"/>
              </w:rPr>
            </w:pPr>
          </w:p>
          <w:p>
            <w:pPr>
              <w:pStyle w:val="style179"/>
              <w:ind w:left="-27"/>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Sarkowski</w:t>
            </w:r>
            <w:r>
              <w:rPr>
                <w:rFonts w:ascii="Times New Roman" w:cs="Times New Roman" w:hAnsi="Times New Roman"/>
                <w:sz w:val="24"/>
                <w:szCs w:val="24"/>
              </w:rPr>
              <w:t xml:space="preserve"> test</w:t>
            </w:r>
          </w:p>
          <w:p>
            <w:pPr>
              <w:pStyle w:val="style179"/>
              <w:ind w:left="-27"/>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Liebaerman</w:t>
            </w:r>
            <w:r>
              <w:rPr>
                <w:rFonts w:ascii="Times New Roman" w:cs="Times New Roman" w:hAnsi="Times New Roman"/>
                <w:sz w:val="24"/>
                <w:szCs w:val="24"/>
              </w:rPr>
              <w:t xml:space="preserve"> </w:t>
            </w:r>
            <w:r>
              <w:rPr>
                <w:rFonts w:ascii="Times New Roman" w:cs="Times New Roman" w:hAnsi="Times New Roman"/>
                <w:sz w:val="24"/>
                <w:szCs w:val="24"/>
              </w:rPr>
              <w:t>Burchardt</w:t>
            </w:r>
            <w:r>
              <w:rPr>
                <w:rFonts w:ascii="Times New Roman" w:cs="Times New Roman" w:hAnsi="Times New Roman"/>
                <w:sz w:val="24"/>
                <w:szCs w:val="24"/>
              </w:rPr>
              <w:t xml:space="preserv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137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Tests for Tannins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)Ferric Chloride test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(ii)Lead acetate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927"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 xml:space="preserve">Test for </w:t>
            </w:r>
            <w:r>
              <w:rPr>
                <w:rFonts w:ascii="Times New Roman" w:cs="Times New Roman" w:hAnsi="Times New Roman"/>
                <w:sz w:val="24"/>
                <w:szCs w:val="24"/>
                <w:u w:val="single"/>
              </w:rPr>
              <w:t xml:space="preserve">Lactone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Legalon’s</w:t>
            </w:r>
            <w:r>
              <w:rPr>
                <w:rFonts w:ascii="Times New Roman" w:cs="Times New Roman" w:hAnsi="Times New Roman"/>
                <w:sz w:val="24"/>
                <w:szCs w:val="24"/>
              </w:rPr>
              <w:t xml:space="preserv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898"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 xml:space="preserve">Test for </w:t>
            </w:r>
            <w:r>
              <w:rPr>
                <w:rFonts w:ascii="Times New Roman" w:cs="Times New Roman" w:hAnsi="Times New Roman"/>
                <w:sz w:val="24"/>
                <w:szCs w:val="24"/>
                <w:u w:val="single"/>
              </w:rPr>
              <w:t xml:space="preserve">Diterpene </w:t>
            </w:r>
          </w:p>
          <w:p>
            <w:pPr>
              <w:pStyle w:val="style0"/>
              <w:jc w:val="both"/>
              <w:rPr>
                <w:rFonts w:ascii="Times New Roman" w:cs="Times New Roman" w:hAnsi="Times New Roman"/>
                <w:sz w:val="24"/>
                <w:szCs w:val="24"/>
                <w:u w:val="single"/>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 Copper acetate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898"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 xml:space="preserve">Test for Glycosides </w:t>
            </w:r>
          </w:p>
          <w:p>
            <w:pPr>
              <w:pStyle w:val="style0"/>
              <w:jc w:val="both"/>
              <w:rPr>
                <w:rFonts w:ascii="Times New Roman" w:cs="Times New Roman" w:hAnsi="Times New Roman"/>
                <w:sz w:val="24"/>
                <w:szCs w:val="24"/>
                <w:u w:val="single"/>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)Sodium Hydroxide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65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Test for Saponin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)Foam tes</w:t>
            </w:r>
            <w:r>
              <w:rPr>
                <w:rFonts w:ascii="Times New Roman" w:cs="Times New Roman" w:hAnsi="Times New Roman"/>
                <w:sz w:val="24"/>
                <w:szCs w:val="24"/>
              </w:rPr>
              <w:t xml:space="preserve">t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65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Alkaloid Tests</w:t>
            </w:r>
          </w:p>
          <w:p>
            <w:pPr>
              <w:pStyle w:val="style0"/>
              <w:jc w:val="both"/>
              <w:rPr>
                <w:rFonts w:ascii="Times New Roman" w:cs="Times New Roman" w:hAnsi="Times New Roman"/>
                <w:sz w:val="24"/>
                <w:szCs w:val="24"/>
                <w:u w:val="single"/>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Dragendorff’s</w:t>
            </w:r>
            <w:r>
              <w:rPr>
                <w:rFonts w:ascii="Times New Roman" w:cs="Times New Roman" w:hAnsi="Times New Roman"/>
                <w:sz w:val="24"/>
                <w:szCs w:val="24"/>
              </w:rPr>
              <w:t xml:space="preserve"> test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Hager;s</w:t>
            </w:r>
            <w:r>
              <w:rPr>
                <w:rFonts w:ascii="Times New Roman" w:cs="Times New Roman" w:hAnsi="Times New Roman"/>
                <w:sz w:val="24"/>
                <w:szCs w:val="24"/>
              </w:rPr>
              <w:t xml:space="preserve"> test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(iii)Meyer’s</w:t>
            </w:r>
            <w:r>
              <w:rPr>
                <w:rFonts w:ascii="Times New Roman" w:cs="Times New Roman" w:hAnsi="Times New Roman"/>
                <w:sz w:val="24"/>
                <w:szCs w:val="24"/>
              </w:rPr>
              <w:t xml:space="preserve"> test</w:t>
            </w:r>
          </w:p>
          <w:p>
            <w:pPr>
              <w:pStyle w:val="style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2715895</wp:posOffset>
                      </wp:positionH>
                      <wp:positionV relativeFrom="paragraph">
                        <wp:posOffset>234788</wp:posOffset>
                      </wp:positionV>
                      <wp:extent cx="95885" cy="45084"/>
                      <wp:effectExtent l="0" t="0" r="18415" b="12065"/>
                      <wp:wrapNone/>
                      <wp:docPr id="1027" name="Group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flipH="1">
                                <a:off x="0" y="0"/>
                                <a:ext cx="95885" cy="45084"/>
                                <a:chOff x="0" y="0"/>
                                <a:chExt cx="180207" cy="201797"/>
                              </a:xfrm>
                            </wpg:grpSpPr>
                            <wps:wsp>
                              <wps:cNvSpPr/>
                              <wps:spPr>
                                <a:xfrm rot="0">
                                  <a:off x="0" y="85061"/>
                                  <a:ext cx="180207" cy="0"/>
                                </a:xfrm>
                                <a:prstGeom prst="line"/>
                                <a:ln cmpd="sng" cap="flat" w="6350">
                                  <a:solidFill>
                                    <a:srgbClr val="000000"/>
                                  </a:solidFill>
                                  <a:prstDash val="solid"/>
                                  <a:miter/>
                                  <a:headEnd/>
                                  <a:tailEnd/>
                                </a:ln>
                              </wps:spPr>
                              <wps:bodyPr>
                                <a:prstTxWarp prst="textNoShape"/>
                              </wps:bodyPr>
                            </wps:wsp>
                            <wps:wsp>
                              <wps:cNvSpPr/>
                              <wps:spPr>
                                <a:xfrm rot="0" flipV="1">
                                  <a:off x="85061" y="0"/>
                                  <a:ext cx="0" cy="201797"/>
                                </a:xfrm>
                                <a:prstGeom prst="line"/>
                                <a:ln cmpd="sng" cap="flat" w="6350">
                                  <a:solidFill>
                                    <a:srgbClr val="000000"/>
                                  </a:solidFill>
                                  <a:prstDash val="solid"/>
                                  <a:miter/>
                                  <a:headEnd/>
                                  <a:tailEnd/>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27" filled="f" stroked="f" style="position:absolute;margin-left:213.85pt;margin-top:18.49pt;width:7.55pt;height:3.55pt;z-index:2;mso-position-horizontal-relative:text;mso-position-vertical-relative:text;mso-width-percent:0;mso-height-percent:0;mso-width-relative:margin;mso-height-relative:margin;mso-wrap-distance-left:0.0pt;mso-wrap-distance-right:0.0pt;visibility:visible;flip:x;" coordsize="180207,201797">
                      <v:line id="1028" filled="f" stroked="t" from="0.0pt,85061.0pt" to="180207.0pt,85061.0pt" style="position:absolute;z-index:2;mso-position-horizontal-relative:page;mso-position-vertical-relative:page;mso-width-relative:page;mso-height-relative:page;visibility:visible;">
                        <v:stroke joinstyle="miter" weight="0.5pt"/>
                        <v:fill/>
                      </v:line>
                      <v:line id="1029" filled="f" stroked="t" from="85061.0pt,0.0pt" to="85061.0pt,201797.0pt" style="position:absolute;z-index:3;mso-position-horizontal-relative:page;mso-position-vertical-relative:page;mso-width-relative:page;mso-height-relative:page;visibility:visible;flip:y;">
                        <v:stroke joinstyle="miter" weight="0.5pt"/>
                        <v:fill/>
                      </v:line>
                      <v:fill/>
                    </v:group>
                  </w:pict>
                </mc:Fallback>
              </mc:AlternateContent>
            </w:r>
          </w:p>
          <w:p>
            <w:pPr>
              <w:pStyle w:val="style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Wagner;s</w:t>
            </w:r>
            <w:r>
              <w:rPr>
                <w:rFonts w:ascii="Times New Roman" w:cs="Times New Roman" w:hAnsi="Times New Roman"/>
                <w:sz w:val="24"/>
                <w:szCs w:val="24"/>
              </w:rPr>
              <w:t xml:space="preserve"> test</w:t>
            </w: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bl>
    <w:p>
      <w:pPr>
        <w:pStyle w:val="style0"/>
        <w:spacing w:lineRule="auto" w:line="24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2. Antioxidant </w:t>
      </w:r>
      <w:r>
        <w:rPr>
          <w:rFonts w:ascii="Times New Roman" w:cs="Times New Roman" w:hAnsi="Times New Roman"/>
          <w:b/>
          <w:bCs/>
          <w:sz w:val="24"/>
          <w:szCs w:val="24"/>
        </w:rPr>
        <w:t>A</w:t>
      </w:r>
      <w:r>
        <w:rPr>
          <w:rFonts w:ascii="Times New Roman" w:cs="Times New Roman" w:hAnsi="Times New Roman"/>
          <w:b/>
          <w:bCs/>
          <w:sz w:val="24"/>
          <w:szCs w:val="24"/>
        </w:rPr>
        <w:t>ctivity (</w:t>
      </w:r>
      <w:r>
        <w:rPr>
          <w:rFonts w:ascii="Times New Roman" w:cs="Times New Roman" w:hAnsi="Times New Roman"/>
          <w:b/>
          <w:bCs/>
          <w:sz w:val="24"/>
          <w:szCs w:val="24"/>
        </w:rPr>
        <w:t>DPPH</w:t>
      </w:r>
      <w:r>
        <w:rPr>
          <w:rFonts w:ascii="Times New Roman" w:cs="Times New Roman" w:hAnsi="Times New Roman"/>
          <w:b/>
          <w:bCs/>
          <w:sz w:val="24"/>
          <w:szCs w:val="24"/>
        </w:rPr>
        <w:t xml:space="preserve">, </w:t>
      </w:r>
      <w:r>
        <w:rPr>
          <w:rFonts w:ascii="Times New Roman" w:cs="Times New Roman" w:hAnsi="Times New Roman"/>
          <w:b/>
          <w:bCs/>
          <w:sz w:val="24"/>
          <w:szCs w:val="24"/>
        </w:rPr>
        <w:t>L</w:t>
      </w:r>
      <w:r>
        <w:rPr>
          <w:rFonts w:ascii="Times New Roman" w:cs="Times New Roman" w:hAnsi="Times New Roman"/>
          <w:b/>
          <w:bCs/>
          <w:sz w:val="24"/>
          <w:szCs w:val="24"/>
        </w:rPr>
        <w:t>ycopene, &amp; β-</w:t>
      </w:r>
      <w:r>
        <w:rPr>
          <w:rFonts w:ascii="Times New Roman" w:cs="Times New Roman" w:hAnsi="Times New Roman"/>
          <w:b/>
          <w:bCs/>
          <w:sz w:val="24"/>
          <w:szCs w:val="24"/>
        </w:rPr>
        <w:t>C</w:t>
      </w:r>
      <w:r>
        <w:rPr>
          <w:rFonts w:ascii="Times New Roman" w:cs="Times New Roman" w:hAnsi="Times New Roman"/>
          <w:b/>
          <w:bCs/>
          <w:sz w:val="24"/>
          <w:szCs w:val="24"/>
        </w:rPr>
        <w:t>arotene</w:t>
      </w:r>
      <w:r>
        <w:rPr>
          <w:rFonts w:ascii="Times New Roman" w:cs="Times New Roman" w:hAnsi="Times New Roman"/>
          <w:b/>
          <w:bCs/>
          <w:sz w:val="24"/>
          <w:szCs w:val="24"/>
        </w:rPr>
        <w:t>)</w:t>
      </w:r>
    </w:p>
    <w:tbl>
      <w:tblPr>
        <w:tblStyle w:val="style154"/>
        <w:tblW w:w="9683" w:type="dxa"/>
        <w:tblLook w:val="04A0" w:firstRow="1" w:lastRow="0" w:firstColumn="1" w:lastColumn="0" w:noHBand="0" w:noVBand="1"/>
      </w:tblPr>
      <w:tblGrid>
        <w:gridCol w:w="3227"/>
        <w:gridCol w:w="3228"/>
        <w:gridCol w:w="3228"/>
      </w:tblGrid>
      <w:tr>
        <w:trPr>
          <w:trHeight w:val="431" w:hRule="atLeast"/>
        </w:trPr>
        <w:tc>
          <w:tcPr>
            <w:tcW w:w="322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P</w:t>
            </w:r>
            <w:r>
              <w:rPr>
                <w:rFonts w:ascii="Times New Roman" w:cs="Times New Roman" w:hAnsi="Times New Roman"/>
                <w:sz w:val="24"/>
                <w:szCs w:val="24"/>
              </w:rPr>
              <w:t>ARAMETERS</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SEED</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ENDOCARP</w:t>
            </w:r>
          </w:p>
        </w:tc>
      </w:tr>
      <w:tr>
        <w:tblPrEx/>
        <w:trPr>
          <w:trHeight w:val="890" w:hRule="atLeast"/>
        </w:trPr>
        <w:tc>
          <w:tcPr>
            <w:tcW w:w="32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DPPH antiradical activity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(standard)</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5.12</w:t>
            </w:r>
            <w:r>
              <w:rPr>
                <w:rFonts w:ascii="Times New Roman" w:cs="Times New Roman" w:hAnsi="Times New Roman"/>
                <w:sz w:val="24"/>
                <w:szCs w:val="24"/>
              </w:rPr>
              <w:t>%</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46.10</w:t>
            </w:r>
            <w:r>
              <w:rPr>
                <w:rFonts w:ascii="Times New Roman" w:cs="Times New Roman" w:hAnsi="Times New Roman"/>
                <w:sz w:val="24"/>
                <w:szCs w:val="24"/>
              </w:rPr>
              <w:t>%</w:t>
            </w:r>
          </w:p>
        </w:tc>
      </w:tr>
      <w:tr>
        <w:tblPrEx/>
        <w:trPr>
          <w:trHeight w:val="862" w:hRule="atLeast"/>
        </w:trPr>
        <w:tc>
          <w:tcPr>
            <w:tcW w:w="32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DPPH antiradical activity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(control)</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14.47</w:t>
            </w:r>
            <w:r>
              <w:rPr>
                <w:rFonts w:ascii="Times New Roman" w:cs="Times New Roman" w:hAnsi="Times New Roman"/>
                <w:sz w:val="24"/>
                <w:szCs w:val="24"/>
              </w:rPr>
              <w:t>%</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51.41</w:t>
            </w:r>
            <w:r>
              <w:rPr>
                <w:rFonts w:ascii="Times New Roman" w:cs="Times New Roman" w:hAnsi="Times New Roman"/>
                <w:sz w:val="24"/>
                <w:szCs w:val="24"/>
              </w:rPr>
              <w:t>%</w:t>
            </w:r>
          </w:p>
        </w:tc>
      </w:tr>
      <w:tr>
        <w:tblPrEx/>
        <w:trPr>
          <w:trHeight w:val="431" w:hRule="atLeast"/>
        </w:trPr>
        <w:tc>
          <w:tcPr>
            <w:tcW w:w="32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TPC</w:t>
            </w:r>
          </w:p>
        </w:tc>
        <w:tc>
          <w:tcPr>
            <w:tcW w:w="322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18.42mgGAEquiv/g</w:t>
            </w:r>
          </w:p>
        </w:tc>
        <w:tc>
          <w:tcPr>
            <w:tcW w:w="322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49.56mgGAEquiv/g</w:t>
            </w:r>
          </w:p>
        </w:tc>
      </w:tr>
      <w:tr>
        <w:tblPrEx/>
        <w:trPr>
          <w:trHeight w:val="431" w:hRule="atLeast"/>
        </w:trPr>
        <w:tc>
          <w:tcPr>
            <w:tcW w:w="322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Lycopene</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0.01</w:t>
            </w:r>
            <w:r>
              <w:rPr>
                <w:rFonts w:ascii="Times New Roman" w:cs="Times New Roman" w:hAnsi="Times New Roman"/>
                <w:sz w:val="24"/>
                <w:szCs w:val="24"/>
              </w:rPr>
              <w:t>3</w:t>
            </w:r>
            <w:r>
              <w:rPr>
                <w:rFonts w:ascii="Times New Roman" w:cs="Times New Roman" w:hAnsi="Times New Roman"/>
                <w:sz w:val="24"/>
                <w:szCs w:val="24"/>
              </w:rPr>
              <w:t>mg/ml</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0.010mg/</w:t>
            </w:r>
            <w:r>
              <w:rPr>
                <w:rFonts w:ascii="Times New Roman" w:cs="Times New Roman" w:hAnsi="Times New Roman"/>
                <w:sz w:val="24"/>
                <w:szCs w:val="24"/>
              </w:rPr>
              <w:t>m</w:t>
            </w:r>
            <w:r>
              <w:rPr>
                <w:rFonts w:ascii="Times New Roman" w:cs="Times New Roman" w:hAnsi="Times New Roman"/>
                <w:sz w:val="24"/>
                <w:szCs w:val="24"/>
              </w:rPr>
              <w:t>l</w:t>
            </w:r>
          </w:p>
        </w:tc>
      </w:tr>
      <w:tr>
        <w:tblPrEx/>
        <w:trPr>
          <w:trHeight w:val="567" w:hRule="atLeast"/>
        </w:trPr>
        <w:tc>
          <w:tcPr>
            <w:tcW w:w="322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β</w:t>
            </w:r>
            <w:r>
              <w:rPr>
                <w:rFonts w:ascii="Times New Roman" w:cs="Times New Roman" w:hAnsi="Times New Roman"/>
                <w:sz w:val="24"/>
                <w:szCs w:val="24"/>
              </w:rPr>
              <w:t>-Carotene</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w:t>
            </w:r>
            <w:r>
              <w:rPr>
                <w:rFonts w:ascii="Times New Roman" w:cs="Times New Roman" w:hAnsi="Times New Roman"/>
                <w:sz w:val="24"/>
                <w:szCs w:val="24"/>
              </w:rPr>
              <w:t>2</w:t>
            </w:r>
            <w:r>
              <w:rPr>
                <w:rFonts w:ascii="Times New Roman" w:cs="Times New Roman" w:hAnsi="Times New Roman"/>
                <w:sz w:val="24"/>
                <w:szCs w:val="24"/>
              </w:rPr>
              <w:t>3mg/ml</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0.034mg/ml.</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Keys; Negative (-), </w:t>
      </w:r>
      <w:r>
        <w:rPr>
          <w:rFonts w:ascii="Times New Roman" w:cs="Times New Roman" w:hAnsi="Times New Roman"/>
          <w:sz w:val="24"/>
          <w:szCs w:val="24"/>
        </w:rPr>
        <w:t>Weak</w:t>
      </w:r>
      <w:r>
        <w:rPr>
          <w:rFonts w:ascii="Times New Roman" w:cs="Times New Roman" w:hAnsi="Times New Roman"/>
          <w:sz w:val="24"/>
          <w:szCs w:val="24"/>
        </w:rPr>
        <w:t xml:space="preserve"> Positive (+),</w:t>
      </w:r>
      <w:r>
        <w:rPr>
          <w:rFonts w:ascii="Times New Roman" w:cs="Times New Roman" w:hAnsi="Times New Roman"/>
          <w:sz w:val="24"/>
          <w:szCs w:val="24"/>
        </w:rPr>
        <w:t xml:space="preserve"> </w:t>
      </w:r>
      <w:r>
        <w:rPr>
          <w:rFonts w:ascii="Times New Roman" w:cs="Times New Roman" w:hAnsi="Times New Roman"/>
          <w:sz w:val="24"/>
          <w:szCs w:val="24"/>
        </w:rPr>
        <w:t>Strong</w:t>
      </w:r>
      <w:r>
        <w:rPr>
          <w:rFonts w:ascii="Times New Roman" w:cs="Times New Roman" w:hAnsi="Times New Roman"/>
          <w:sz w:val="24"/>
          <w:szCs w:val="24"/>
        </w:rPr>
        <w:t xml:space="preserve"> Positive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Very</w:t>
      </w:r>
      <w:r>
        <w:rPr>
          <w:rFonts w:ascii="Times New Roman" w:cs="Times New Roman" w:hAnsi="Times New Roman"/>
          <w:sz w:val="24"/>
          <w:szCs w:val="24"/>
        </w:rPr>
        <w:t xml:space="preserve"> </w:t>
      </w:r>
      <w:r>
        <w:rPr>
          <w:rFonts w:ascii="Times New Roman" w:cs="Times New Roman" w:hAnsi="Times New Roman"/>
          <w:sz w:val="24"/>
          <w:szCs w:val="24"/>
        </w:rPr>
        <w:t>Strong</w:t>
      </w:r>
      <w:r>
        <w:rPr>
          <w:rFonts w:ascii="Times New Roman" w:cs="Times New Roman" w:hAnsi="Times New Roman"/>
          <w:sz w:val="24"/>
          <w:szCs w:val="24"/>
        </w:rPr>
        <w:t xml:space="preserve"> Positive (+++).</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DISCUSSION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4.1.1</w:t>
      </w:r>
      <w:r>
        <w:rPr>
          <w:rFonts w:ascii="Times New Roman" w:cs="Times New Roman" w:hAnsi="Times New Roman"/>
          <w:b/>
          <w:bCs/>
          <w:sz w:val="24"/>
          <w:szCs w:val="24"/>
        </w:rPr>
        <w:tab/>
      </w:r>
      <w:r>
        <w:rPr>
          <w:rFonts w:ascii="Times New Roman" w:cs="Times New Roman" w:hAnsi="Times New Roman"/>
          <w:b/>
          <w:bCs/>
          <w:sz w:val="24"/>
          <w:szCs w:val="24"/>
        </w:rPr>
        <w:t>INFERENCE</w:t>
      </w:r>
      <w:r>
        <w:rPr>
          <w:rFonts w:ascii="Times New Roman" w:cs="Times New Roman" w:hAnsi="Times New Roman"/>
          <w:b/>
          <w:bCs/>
          <w:sz w:val="24"/>
          <w:szCs w:val="24"/>
        </w:rPr>
        <w:t xml:space="preserve"> ON PHYTOCHEMICAL SCREENING</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TESTS FOR STEROIDS</w:t>
      </w:r>
    </w:p>
    <w:p>
      <w:pPr>
        <w:pStyle w:val="style179"/>
        <w:numPr>
          <w:ilvl w:val="0"/>
          <w:numId w:val="8"/>
        </w:numPr>
        <w:spacing w:lineRule="auto" w:line="480"/>
        <w:ind w:left="360"/>
        <w:jc w:val="both"/>
        <w:rPr>
          <w:rFonts w:ascii="Times New Roman" w:cs="Times New Roman" w:hAnsi="Times New Roman"/>
          <w:sz w:val="24"/>
          <w:szCs w:val="24"/>
        </w:rPr>
      </w:pPr>
      <w:r>
        <w:rPr>
          <w:rFonts w:ascii="Times New Roman" w:cs="Times New Roman" w:hAnsi="Times New Roman"/>
          <w:b/>
          <w:bCs/>
          <w:sz w:val="24"/>
          <w:szCs w:val="24"/>
        </w:rPr>
        <w:t>Sarkowski</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Red color formation was observed which indicate presence of steroids in both endocarp and seed.</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Lieberman Burch</w:t>
      </w:r>
      <w:r>
        <w:rPr>
          <w:rFonts w:ascii="Times New Roman" w:cs="Times New Roman" w:hAnsi="Times New Roman"/>
          <w:b/>
          <w:bCs/>
          <w:sz w:val="24"/>
          <w:szCs w:val="24"/>
        </w:rPr>
        <w:t>ardt</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Reddish ring at the junction of 2 layers. This indicates the presence of steroid in both of seed and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TEST FOR TRITERPENE</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Sarkowski</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yellow color was observed. This indicates the absence of triterpene in both seed and endocarp</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Lieberman Burch</w:t>
      </w:r>
      <w:r>
        <w:rPr>
          <w:rFonts w:ascii="Times New Roman" w:cs="Times New Roman" w:hAnsi="Times New Roman"/>
          <w:b/>
          <w:bCs/>
          <w:sz w:val="24"/>
          <w:szCs w:val="24"/>
        </w:rPr>
        <w:t>ardt</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Red ring at the junction of 2 layers was observed in seed solution but not in endocarp solution. This indicates the presence of triterpene in seed and its absence in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TESTS FOR ALKALOIDS</w:t>
      </w:r>
    </w:p>
    <w:p>
      <w:pPr>
        <w:pStyle w:val="style179"/>
        <w:numPr>
          <w:ilvl w:val="0"/>
          <w:numId w:val="8"/>
        </w:numPr>
        <w:spacing w:lineRule="auto" w:line="480"/>
        <w:ind w:left="450" w:hanging="450"/>
        <w:jc w:val="both"/>
        <w:rPr>
          <w:rFonts w:ascii="Times New Roman" w:cs="Times New Roman" w:hAnsi="Times New Roman"/>
          <w:b/>
          <w:bCs/>
          <w:sz w:val="24"/>
          <w:szCs w:val="24"/>
        </w:rPr>
      </w:pPr>
      <w:r>
        <w:rPr>
          <w:rFonts w:ascii="Times New Roman" w:cs="Times New Roman" w:hAnsi="Times New Roman"/>
          <w:b/>
          <w:bCs/>
          <w:sz w:val="24"/>
          <w:szCs w:val="24"/>
        </w:rPr>
        <w:t>Mayer’s Test</w:t>
      </w:r>
      <w:r>
        <w:rPr>
          <w:rFonts w:ascii="Times New Roman" w:cs="Times New Roman" w:hAnsi="Times New Roman"/>
          <w:b/>
          <w:bCs/>
          <w:sz w:val="24"/>
          <w:szCs w:val="24"/>
        </w:rPr>
        <w:t xml:space="preserve"> (Potassium Mercuric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gives a creamy white precipitate in seed solution and not in endocarp solution. This indicates the presence of alkaloids in seed and not in endocarp.</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 xml:space="preserve">Wagner’s Test (Solution </w:t>
      </w:r>
      <w:r>
        <w:rPr>
          <w:rFonts w:ascii="Times New Roman" w:cs="Times New Roman" w:hAnsi="Times New Roman"/>
          <w:b/>
          <w:bCs/>
          <w:sz w:val="24"/>
          <w:szCs w:val="24"/>
        </w:rPr>
        <w:t>o</w:t>
      </w:r>
      <w:r>
        <w:rPr>
          <w:rFonts w:ascii="Times New Roman" w:cs="Times New Roman" w:hAnsi="Times New Roman"/>
          <w:b/>
          <w:bCs/>
          <w:sz w:val="24"/>
          <w:szCs w:val="24"/>
        </w:rPr>
        <w:t xml:space="preserve">f Iodine </w:t>
      </w:r>
      <w:r>
        <w:rPr>
          <w:rFonts w:ascii="Times New Roman" w:cs="Times New Roman" w:hAnsi="Times New Roman"/>
          <w:b/>
          <w:bCs/>
          <w:sz w:val="24"/>
          <w:szCs w:val="24"/>
        </w:rPr>
        <w:t>i</w:t>
      </w:r>
      <w:r>
        <w:rPr>
          <w:rFonts w:ascii="Times New Roman" w:cs="Times New Roman" w:hAnsi="Times New Roman"/>
          <w:b/>
          <w:bCs/>
          <w:sz w:val="24"/>
          <w:szCs w:val="24"/>
        </w:rPr>
        <w:t>n Potassium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with few drops of Wagner’s reagent gives reddish brown color precipitate in seed solution and not in endocarp solution. This indicates the presence of alkaloids in seed and not in endocarp.</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Hager’s Test (Saturated solution of picric acid)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with Hager’s reagent gives yellow precipitate in seed solution and not in endocarp solution. This indicates the presence of alkaloids in seed and not in endocarp.</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Dragend</w:t>
      </w:r>
      <w:r>
        <w:rPr>
          <w:rFonts w:ascii="Times New Roman" w:cs="Times New Roman" w:hAnsi="Times New Roman"/>
          <w:b/>
          <w:bCs/>
          <w:sz w:val="24"/>
          <w:szCs w:val="24"/>
        </w:rPr>
        <w:t>ro</w:t>
      </w:r>
      <w:r>
        <w:rPr>
          <w:rFonts w:ascii="Times New Roman" w:cs="Times New Roman" w:hAnsi="Times New Roman"/>
          <w:b/>
          <w:bCs/>
          <w:sz w:val="24"/>
          <w:szCs w:val="24"/>
        </w:rPr>
        <w:t>ff’s</w:t>
      </w:r>
      <w:r>
        <w:rPr>
          <w:rFonts w:ascii="Times New Roman" w:cs="Times New Roman" w:hAnsi="Times New Roman"/>
          <w:b/>
          <w:bCs/>
          <w:sz w:val="24"/>
          <w:szCs w:val="24"/>
        </w:rPr>
        <w:t xml:space="preserve"> Test (Solution </w:t>
      </w:r>
      <w:r>
        <w:rPr>
          <w:rFonts w:ascii="Times New Roman" w:cs="Times New Roman" w:hAnsi="Times New Roman"/>
          <w:b/>
          <w:bCs/>
          <w:sz w:val="24"/>
          <w:szCs w:val="24"/>
        </w:rPr>
        <w:t>o</w:t>
      </w:r>
      <w:r>
        <w:rPr>
          <w:rFonts w:ascii="Times New Roman" w:cs="Times New Roman" w:hAnsi="Times New Roman"/>
          <w:b/>
          <w:bCs/>
          <w:sz w:val="24"/>
          <w:szCs w:val="24"/>
        </w:rPr>
        <w:t>f Potassium Bismuth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Acid layer with few drops of</w:t>
      </w:r>
      <w:r>
        <w:rPr>
          <w:rFonts w:ascii="Times New Roman" w:cs="Times New Roman" w:hAnsi="Times New Roman"/>
          <w:b/>
          <w:bCs/>
          <w:sz w:val="24"/>
          <w:szCs w:val="24"/>
        </w:rPr>
        <w:t xml:space="preserve"> </w:t>
      </w:r>
      <w:r>
        <w:rPr>
          <w:rFonts w:ascii="Times New Roman" w:cs="Times New Roman" w:hAnsi="Times New Roman"/>
          <w:sz w:val="24"/>
          <w:szCs w:val="24"/>
        </w:rPr>
        <w:t>Dragendorff’s</w:t>
      </w:r>
      <w:r>
        <w:rPr>
          <w:rFonts w:ascii="Times New Roman" w:cs="Times New Roman" w:hAnsi="Times New Roman"/>
          <w:sz w:val="24"/>
          <w:szCs w:val="24"/>
        </w:rPr>
        <w:t xml:space="preserve"> reagent gives reddish brown precipitate in seed solution and not in endocarp solution.</w:t>
      </w:r>
      <w:r>
        <w:rPr>
          <w:rFonts w:ascii="Times New Roman" w:cs="Times New Roman" w:hAnsi="Times New Roman"/>
          <w:sz w:val="24"/>
          <w:szCs w:val="24"/>
        </w:rPr>
        <w:t xml:space="preserve"> </w:t>
      </w:r>
      <w:r>
        <w:rPr>
          <w:rFonts w:ascii="Times New Roman" w:cs="Times New Roman" w:hAnsi="Times New Roman"/>
          <w:sz w:val="24"/>
          <w:szCs w:val="24"/>
        </w:rPr>
        <w:t>This indicates the presence of alkaloids in seed and not in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TESTS FOR TANNINS</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Ferric Chloride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w:t>
      </w:r>
      <w:r>
        <w:rPr>
          <w:rFonts w:ascii="Times New Roman" w:cs="Times New Roman" w:hAnsi="Times New Roman"/>
          <w:sz w:val="24"/>
          <w:szCs w:val="24"/>
        </w:rPr>
        <w:t xml:space="preserve"> of ferric c</w:t>
      </w:r>
      <w:r>
        <w:rPr>
          <w:rFonts w:ascii="Times New Roman" w:cs="Times New Roman" w:hAnsi="Times New Roman"/>
          <w:sz w:val="24"/>
          <w:szCs w:val="24"/>
        </w:rPr>
        <w:t>hloride were added to</w:t>
      </w:r>
      <w:r>
        <w:rPr>
          <w:rFonts w:ascii="Times New Roman" w:cs="Times New Roman" w:hAnsi="Times New Roman"/>
          <w:sz w:val="24"/>
          <w:szCs w:val="24"/>
        </w:rPr>
        <w:t xml:space="preserve"> extract of both seed and endocarp separately. A brownish black color was observed</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Lead Acetate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w:t>
      </w:r>
      <w:r>
        <w:rPr>
          <w:rFonts w:ascii="Times New Roman" w:cs="Times New Roman" w:hAnsi="Times New Roman"/>
          <w:sz w:val="24"/>
          <w:szCs w:val="24"/>
        </w:rPr>
        <w:t>f lead acetate were added to extract of</w:t>
      </w:r>
      <w:r>
        <w:rPr>
          <w:rFonts w:ascii="Times New Roman" w:cs="Times New Roman" w:hAnsi="Times New Roman"/>
          <w:sz w:val="24"/>
          <w:szCs w:val="24"/>
        </w:rPr>
        <w:t xml:space="preserve"> seed and endocarp separately. Precipitate formation was slightly observed in seed solution but more concentrated in endocarp solution.</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LACTONES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Legalon’s</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Lega’s rea</w:t>
      </w:r>
      <w:r>
        <w:rPr>
          <w:rFonts w:ascii="Times New Roman" w:cs="Times New Roman" w:hAnsi="Times New Roman"/>
          <w:sz w:val="24"/>
          <w:szCs w:val="24"/>
        </w:rPr>
        <w:t>gent were added to</w:t>
      </w:r>
      <w:r>
        <w:rPr>
          <w:rFonts w:ascii="Times New Roman" w:cs="Times New Roman" w:hAnsi="Times New Roman"/>
          <w:sz w:val="24"/>
          <w:szCs w:val="24"/>
        </w:rPr>
        <w:t xml:space="preserve"> extract of both seed and endocarp separately. A pink color was observed in seed solution but </w:t>
      </w:r>
      <w:r>
        <w:rPr>
          <w:rFonts w:ascii="Times New Roman" w:cs="Times New Roman" w:hAnsi="Times New Roman"/>
          <w:sz w:val="24"/>
          <w:szCs w:val="24"/>
        </w:rPr>
        <w:t>more concentrated in endocarp solut</w:t>
      </w:r>
      <w:r>
        <w:rPr>
          <w:rFonts w:ascii="Times New Roman" w:cs="Times New Roman" w:hAnsi="Times New Roman"/>
          <w:sz w:val="24"/>
          <w:szCs w:val="24"/>
        </w:rPr>
        <w: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DI</w:t>
      </w:r>
      <w:r>
        <w:rPr>
          <w:rFonts w:ascii="Times New Roman" w:cs="Times New Roman" w:hAnsi="Times New Roman"/>
          <w:b/>
          <w:bCs/>
          <w:sz w:val="24"/>
          <w:szCs w:val="24"/>
        </w:rPr>
        <w:t>TERPENE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Copper Acetate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copper acetate to were added to oil extract of both seed and endocarp separately. A slight green color change was observed</w:t>
      </w:r>
      <w:r>
        <w:rPr>
          <w:rFonts w:ascii="Times New Roman" w:cs="Times New Roman" w:hAnsi="Times New Roman"/>
          <w:sz w:val="24"/>
          <w:szCs w:val="24"/>
        </w:rPr>
        <w:t xml:space="preserve"> </w:t>
      </w:r>
      <w:r>
        <w:rPr>
          <w:rFonts w:ascii="Times New Roman" w:cs="Times New Roman" w:hAnsi="Times New Roman"/>
          <w:sz w:val="24"/>
          <w:szCs w:val="24"/>
        </w:rPr>
        <w:t>in seed solution but not observed in endocarp solution. This indicates the presence of diterpene in seed and its absence in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GLYCOSIDES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Sodium Hydroxide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sodium hydroxide solution were added to oil extract of both seed and endocarp separately. A yellow color change was observed in both solution but more concentrated in endocarp solution.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SAPONIN TEST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w:t>
      </w: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PHYTOCHEMICAL SCREENING</w:t>
      </w:r>
      <w:r>
        <w:rPr>
          <w:rFonts w:ascii="Times New Roman" w:cs="Times New Roman" w:eastAsia="Times New Roman" w:hAnsi="Times New Roman"/>
          <w:b/>
          <w:bCs/>
          <w:sz w:val="24"/>
          <w:szCs w:val="24"/>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phytochemical screening of the ethanolic extracts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 Steroids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 Triterpenes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 Tannins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 Lactones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Legalon’s</w:t>
      </w:r>
      <w:r>
        <w:rPr>
          <w:rFonts w:ascii="Times New Roman" w:cs="Times New Roman" w:eastAsia="Times New Roman" w:hAnsi="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especially for treating infections and inflammatory conditions.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(E) </w:t>
      </w:r>
      <w:r>
        <w:rPr>
          <w:rFonts w:ascii="Times New Roman" w:cs="Times New Roman" w:eastAsia="Times New Roman" w:hAnsi="Times New Roman"/>
          <w:b/>
          <w:bCs/>
          <w:sz w:val="24"/>
          <w:szCs w:val="24"/>
        </w:rPr>
        <w:t>Diterpenes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 Glycosides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sodium hydroxide test showed glycosides in both extracts, with stronger activity in the endocarp (++). Glycosides play crucial roles in cardioprotective and anti-inflammatory </w:t>
      </w:r>
      <w:r>
        <w:rPr>
          <w:rFonts w:ascii="Times New Roman" w:cs="Times New Roman" w:eastAsia="Times New Roman" w:hAnsi="Times New Roman"/>
          <w:sz w:val="24"/>
          <w:szCs w:val="24"/>
        </w:rPr>
        <w:t>applications. Their higher concentration in the endocarp could be beneficial for cardiovascular and metabolic health support.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 Saponins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Pr>
          <w:rFonts w:ascii="Times New Roman" w:cs="Times New Roman" w:eastAsia="Times New Roman" w:hAnsi="Times New Roman"/>
          <w:sz w:val="24"/>
          <w:szCs w:val="24"/>
        </w:rPr>
        <w:t>es in those biological effects.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(H) Alkaloids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alkaloid tests (</w:t>
      </w: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4.1.</w:t>
      </w: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General Interpretation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Overall, the phytochemical screening shows that both seed and endocarp contain important bioactive compounds, but their distribution and intensity vary significantly. The </w:t>
      </w:r>
      <w:r>
        <w:rPr>
          <w:rFonts w:ascii="Times New Roman" w:cs="Times New Roman" w:eastAsia="Times New Roman" w:hAnsi="Times New Roman"/>
          <w:b/>
          <w:bCs/>
          <w:sz w:val="24"/>
          <w:szCs w:val="24"/>
        </w:rPr>
        <w:t>endocarp</w:t>
      </w:r>
      <w:r>
        <w:rPr>
          <w:rFonts w:ascii="Times New Roman" w:cs="Times New Roman" w:eastAsia="Times New Roman" w:hAnsi="Times New Roman"/>
          <w:sz w:val="24"/>
          <w:szCs w:val="24"/>
        </w:rPr>
        <w:t xml:space="preserve"> is richer in </w:t>
      </w:r>
      <w:r>
        <w:rPr>
          <w:rFonts w:ascii="Times New Roman" w:cs="Times New Roman" w:eastAsia="Times New Roman" w:hAnsi="Times New Roman"/>
          <w:b/>
          <w:bCs/>
          <w:sz w:val="24"/>
          <w:szCs w:val="24"/>
        </w:rPr>
        <w:t>tannins, lactones, and glycosides</w:t>
      </w:r>
      <w:r>
        <w:rPr>
          <w:rFonts w:ascii="Times New Roman" w:cs="Times New Roman" w:eastAsia="Times New Roman" w:hAnsi="Times New Roman"/>
          <w:sz w:val="24"/>
          <w:szCs w:val="24"/>
        </w:rPr>
        <w:t xml:space="preserve">, which may explain higher antioxidant and antimicrobial properties in this part. On the other hand, the </w:t>
      </w:r>
      <w:r>
        <w:rPr>
          <w:rFonts w:ascii="Times New Roman" w:cs="Times New Roman" w:eastAsia="Times New Roman" w:hAnsi="Times New Roman"/>
          <w:b/>
          <w:bCs/>
          <w:sz w:val="24"/>
          <w:szCs w:val="24"/>
        </w:rPr>
        <w:t>seed</w:t>
      </w:r>
      <w:r>
        <w:rPr>
          <w:rFonts w:ascii="Times New Roman" w:cs="Times New Roman" w:eastAsia="Times New Roman" w:hAnsi="Times New Roman"/>
          <w:sz w:val="24"/>
          <w:szCs w:val="24"/>
        </w:rPr>
        <w:t xml:space="preserve"> shows a broader spectrum of secondary metabolites including </w:t>
      </w:r>
      <w:r>
        <w:rPr>
          <w:rFonts w:ascii="Times New Roman" w:cs="Times New Roman" w:eastAsia="Times New Roman" w:hAnsi="Times New Roman"/>
          <w:b/>
          <w:bCs/>
          <w:sz w:val="24"/>
          <w:szCs w:val="24"/>
        </w:rPr>
        <w:t>steroids, alkaloids, and diterpenes</w:t>
      </w:r>
      <w:r>
        <w:rPr>
          <w:rFonts w:ascii="Times New Roman" w:cs="Times New Roman" w:eastAsia="Times New Roman" w:hAnsi="Times New Roman"/>
          <w:sz w:val="24"/>
          <w:szCs w:val="24"/>
        </w:rPr>
        <w:t>, suggesting that it may have a wider range of therapeutic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These differences are critical when selecting plant parts for specific medicinal uses. For antioxidant-focused applications, the </w:t>
      </w:r>
      <w:r>
        <w:rPr>
          <w:rFonts w:ascii="Times New Roman" w:cs="Times New Roman" w:eastAsia="Times New Roman" w:hAnsi="Times New Roman"/>
          <w:b/>
          <w:bCs/>
          <w:sz w:val="24"/>
          <w:szCs w:val="24"/>
        </w:rPr>
        <w:t>endocarp</w:t>
      </w:r>
      <w:r>
        <w:rPr>
          <w:rFonts w:ascii="Times New Roman" w:cs="Times New Roman" w:eastAsia="Times New Roman" w:hAnsi="Times New Roman"/>
          <w:sz w:val="24"/>
          <w:szCs w:val="24"/>
        </w:rPr>
        <w:t xml:space="preserve"> may be more potent due to its high tannin and phenolic content. Meanwhile, the </w:t>
      </w:r>
      <w:r>
        <w:rPr>
          <w:rFonts w:ascii="Times New Roman" w:cs="Times New Roman" w:eastAsia="Times New Roman" w:hAnsi="Times New Roman"/>
          <w:b/>
          <w:bCs/>
          <w:sz w:val="24"/>
          <w:szCs w:val="24"/>
        </w:rPr>
        <w:t>seed</w:t>
      </w:r>
      <w:r>
        <w:rPr>
          <w:rFonts w:ascii="Times New Roman" w:cs="Times New Roman" w:eastAsia="Times New Roman" w:hAnsi="Times New Roman"/>
          <w:sz w:val="24"/>
          <w:szCs w:val="24"/>
        </w:rPr>
        <w:t xml:space="preserve"> may serve better for neuropharmacological or anti-inflammatory formulations, owing to the presence of alkaloids and steroids.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analysis not only supports traditional knowledge surrounding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but also provides a scientific basis for the differential use of its parts in herbal and pharmaceutical formulations.</w:t>
      </w:r>
    </w:p>
    <w:p>
      <w:pPr>
        <w:pStyle w:val="style94"/>
        <w:spacing w:lineRule="auto" w:line="480"/>
        <w:rPr>
          <w:b/>
          <w:bCs/>
        </w:rPr>
      </w:pPr>
      <w:r>
        <w:rPr>
          <w:b/>
          <w:bCs/>
        </w:rPr>
        <w:t>4.1.</w:t>
      </w:r>
      <w:r>
        <w:rPr>
          <w:b/>
          <w:bCs/>
        </w:rPr>
        <w:t>3</w:t>
      </w:r>
      <w:r>
        <w:tab/>
      </w:r>
      <w:r>
        <w:rPr>
          <w:b/>
          <w:bCs/>
        </w:rPr>
        <w:t>ANTIOXIDANT ACTIVITY</w:t>
      </w:r>
      <w:r>
        <w:rPr>
          <w:b/>
          <w:bCs/>
        </w:rPr>
        <w:t>:</w:t>
      </w:r>
    </w:p>
    <w:p>
      <w:pPr>
        <w:pStyle w:val="style94"/>
        <w:spacing w:lineRule="auto" w:line="480"/>
        <w:rPr/>
      </w:pPr>
      <w:r>
        <w:t>The experimental results present a comparative analysis of the antioxidant potential and carotenoid content</w:t>
      </w:r>
      <w:r>
        <w:t xml:space="preserve"> </w:t>
      </w:r>
      <w:r>
        <w:t>specifically lycopene and β-carotene</w:t>
      </w:r>
      <w:r>
        <w:t xml:space="preserve"> </w:t>
      </w:r>
      <w:r>
        <w:t xml:space="preserve">of ethanolic extracts of </w:t>
      </w:r>
      <w:r>
        <w:rPr>
          <w:rStyle w:val="style88"/>
        </w:rPr>
        <w:t xml:space="preserve">Acacia </w:t>
      </w:r>
      <w:r>
        <w:rPr>
          <w:rStyle w:val="style88"/>
        </w:rPr>
        <w:t>nilotica</w:t>
      </w:r>
      <w:r>
        <w:t xml:space="preserve"> seeds and endocarp. These results offer critical insights into the bioactivity of the two plant parts and reflect their distinct phytochemical profiles.</w:t>
      </w:r>
    </w:p>
    <w:p>
      <w:pPr>
        <w:pStyle w:val="style94"/>
        <w:spacing w:lineRule="auto" w:line="480"/>
        <w:rPr/>
      </w:pPr>
      <w:r>
        <w:rPr>
          <w:rStyle w:val="style87"/>
        </w:rPr>
        <w:t>4.</w:t>
      </w:r>
      <w:r>
        <w:rPr>
          <w:rStyle w:val="style87"/>
        </w:rPr>
        <w:t>1.</w:t>
      </w:r>
      <w:r>
        <w:rPr>
          <w:rStyle w:val="style87"/>
        </w:rPr>
        <w:t>3.1</w:t>
      </w:r>
      <w:r>
        <w:rPr>
          <w:rStyle w:val="style87"/>
        </w:rPr>
        <w:t xml:space="preserve"> DPPH Antiradical Activity</w:t>
      </w:r>
    </w:p>
    <w:p>
      <w:pPr>
        <w:pStyle w:val="style4"/>
        <w:spacing w:lineRule="auto" w:line="480"/>
        <w:rPr>
          <w:rFonts w:ascii="Times New Roman" w:cs="Times New Roman" w:hAnsi="Times New Roman"/>
          <w:i w:val="false"/>
          <w:iCs w:val="false"/>
          <w:sz w:val="24"/>
          <w:szCs w:val="24"/>
        </w:rPr>
      </w:pPr>
      <w:r>
        <w:rPr>
          <w:rStyle w:val="style87"/>
          <w:rFonts w:ascii="Times New Roman" w:cs="Times New Roman" w:hAnsi="Times New Roman"/>
          <w:i w:val="false"/>
          <w:iCs w:val="false"/>
          <w:color w:val="auto"/>
          <w:sz w:val="24"/>
          <w:szCs w:val="24"/>
        </w:rPr>
        <w:t>1. Endocarp Extract (51.41%) – High Antioxidant Activity</w:t>
      </w:r>
    </w:p>
    <w:p>
      <w:pPr>
        <w:pStyle w:val="style94"/>
        <w:spacing w:lineRule="auto" w:line="480"/>
        <w:rPr/>
      </w:pPr>
      <w:r>
        <w:t xml:space="preserve">The endocarp extract exhibited a </w:t>
      </w:r>
      <w:r>
        <w:rPr>
          <w:rStyle w:val="style87"/>
        </w:rPr>
        <w:t>high percentage of DPPH radical scavenging activity</w:t>
      </w:r>
      <w:r>
        <w:t xml:space="preserve">, with </w:t>
      </w:r>
      <w:r>
        <w:rPr>
          <w:rStyle w:val="style87"/>
        </w:rPr>
        <w:t>51.41% inhibition under control conditions</w:t>
      </w:r>
      <w:r>
        <w:t xml:space="preserve">, and </w:t>
      </w:r>
      <w:r>
        <w:rPr>
          <w:rStyle w:val="style87"/>
        </w:rPr>
        <w:t>46.10% under standard conditions</w:t>
      </w:r>
      <w:r>
        <w:t>. These values indicate a strong capacity to neutralize free radicals, which correlates with the high total phenolic content (49.56 mg GAE/g) found in the same extract.</w:t>
      </w:r>
    </w:p>
    <w:p>
      <w:pPr>
        <w:pStyle w:val="style94"/>
        <w:spacing w:lineRule="auto" w:line="480"/>
        <w:rPr/>
      </w:pPr>
      <w:r>
        <w:t>This antioxidant potential is likely due to the high concentration of:</w:t>
      </w:r>
    </w:p>
    <w:p>
      <w:pPr>
        <w:pStyle w:val="style94"/>
        <w:numPr>
          <w:ilvl w:val="0"/>
          <w:numId w:val="24"/>
        </w:numPr>
        <w:spacing w:lineRule="auto" w:line="480"/>
        <w:rPr/>
      </w:pPr>
      <w:r>
        <w:rPr>
          <w:rStyle w:val="style87"/>
        </w:rPr>
        <w:t>Tannins (+++)</w:t>
      </w:r>
      <w:r>
        <w:t>: Known for their excellent hydrogen-donating ability.</w:t>
      </w:r>
    </w:p>
    <w:p>
      <w:pPr>
        <w:pStyle w:val="style94"/>
        <w:numPr>
          <w:ilvl w:val="0"/>
          <w:numId w:val="24"/>
        </w:numPr>
        <w:spacing w:lineRule="auto" w:line="480"/>
        <w:rPr/>
      </w:pPr>
      <w:r>
        <w:rPr>
          <w:rStyle w:val="style87"/>
        </w:rPr>
        <w:t>Glycosides and lactones</w:t>
      </w:r>
      <w:r>
        <w:t>, which are also known to exhibit redox activity.</w:t>
      </w:r>
    </w:p>
    <w:p>
      <w:pPr>
        <w:pStyle w:val="style94"/>
        <w:numPr>
          <w:ilvl w:val="0"/>
          <w:numId w:val="24"/>
        </w:numPr>
        <w:spacing w:lineRule="auto" w:line="480"/>
        <w:rPr/>
      </w:pPr>
      <w:r>
        <w:rPr>
          <w:rStyle w:val="style87"/>
        </w:rPr>
        <w:t>β-carotene</w:t>
      </w:r>
      <w:r>
        <w:t xml:space="preserve"> (0.034 mg/mL): A potent lipid-soluble antioxidant particularly effective against singlet oxygen and lipid peroxidation.</w:t>
      </w:r>
    </w:p>
    <w:p>
      <w:pPr>
        <w:pStyle w:val="style94"/>
        <w:spacing w:lineRule="auto" w:line="480"/>
        <w:rPr/>
      </w:pPr>
      <w:r>
        <w:t>Thus, the endocarp stands out as the more potent antioxidant source between the two plant parts studied.</w:t>
      </w:r>
    </w:p>
    <w:p>
      <w:pPr>
        <w:pStyle w:val="style4"/>
        <w:spacing w:lineRule="auto" w:line="480"/>
        <w:rPr>
          <w:rFonts w:ascii="Times New Roman" w:cs="Times New Roman" w:hAnsi="Times New Roman"/>
          <w:i w:val="false"/>
          <w:iCs w:val="false"/>
          <w:color w:val="auto"/>
          <w:sz w:val="24"/>
          <w:szCs w:val="24"/>
        </w:rPr>
      </w:pPr>
      <w:r>
        <w:rPr>
          <w:rStyle w:val="style87"/>
          <w:rFonts w:ascii="Times New Roman" w:cs="Times New Roman" w:hAnsi="Times New Roman"/>
          <w:i w:val="false"/>
          <w:iCs w:val="false"/>
          <w:color w:val="auto"/>
          <w:sz w:val="24"/>
          <w:szCs w:val="24"/>
        </w:rPr>
        <w:t>Seed Extract (14.47%) – Moderate Antioxidant Activity</w:t>
      </w:r>
    </w:p>
    <w:p>
      <w:pPr>
        <w:pStyle w:val="style94"/>
        <w:spacing w:lineRule="auto" w:line="480"/>
        <w:rPr/>
      </w:pPr>
      <w:r>
        <w:t xml:space="preserve">The seed extract showed a </w:t>
      </w:r>
      <w:r>
        <w:rPr>
          <w:rStyle w:val="style87"/>
        </w:rPr>
        <w:t>moderate DPPH inhibition</w:t>
      </w:r>
      <w:r>
        <w:t xml:space="preserve"> (14.47%) despite the presence of phenolics (18.42 mg GAE/g), alkaloids, and lycopene (0.01</w:t>
      </w:r>
      <w:r>
        <w:t>3</w:t>
      </w:r>
      <w:r>
        <w:t xml:space="preserve"> mg/mL). Several reasons explain the comparatively lower antioxidant activity:</w:t>
      </w:r>
    </w:p>
    <w:p>
      <w:pPr>
        <w:pStyle w:val="style94"/>
        <w:numPr>
          <w:ilvl w:val="0"/>
          <w:numId w:val="25"/>
        </w:numPr>
        <w:tabs>
          <w:tab w:val="clear" w:pos="720"/>
        </w:tabs>
        <w:spacing w:lineRule="auto" w:line="480"/>
        <w:ind w:left="360"/>
        <w:jc w:val="both"/>
        <w:rPr/>
      </w:pPr>
      <w:r>
        <w:t xml:space="preserve">The </w:t>
      </w:r>
      <w:r>
        <w:rPr>
          <w:rStyle w:val="style87"/>
        </w:rPr>
        <w:t>phenolic concentration is lower</w:t>
      </w:r>
      <w:r>
        <w:t xml:space="preserve"> than that of the endocarp.</w:t>
      </w:r>
    </w:p>
    <w:p>
      <w:pPr>
        <w:pStyle w:val="style94"/>
        <w:numPr>
          <w:ilvl w:val="0"/>
          <w:numId w:val="25"/>
        </w:numPr>
        <w:tabs>
          <w:tab w:val="clear" w:pos="720"/>
        </w:tabs>
        <w:spacing w:lineRule="auto" w:line="480"/>
        <w:ind w:left="360"/>
        <w:jc w:val="both"/>
        <w:rPr/>
      </w:pPr>
      <w:r>
        <w:t xml:space="preserve">Alkaloids, while pharmacologically potent, are </w:t>
      </w:r>
      <w:r>
        <w:rPr>
          <w:rStyle w:val="style87"/>
        </w:rPr>
        <w:t>not highly reactive with DPPH radicals</w:t>
      </w:r>
      <w:r>
        <w:t>.</w:t>
      </w:r>
    </w:p>
    <w:p>
      <w:pPr>
        <w:pStyle w:val="style94"/>
        <w:numPr>
          <w:ilvl w:val="0"/>
          <w:numId w:val="25"/>
        </w:numPr>
        <w:tabs>
          <w:tab w:val="clear" w:pos="720"/>
        </w:tabs>
        <w:spacing w:lineRule="auto" w:line="480"/>
        <w:ind w:left="360"/>
        <w:jc w:val="both"/>
        <w:rPr/>
      </w:pPr>
      <w:r>
        <w:t xml:space="preserve">The contribution of lycopene to DPPH activity is </w:t>
      </w:r>
      <w:r>
        <w:rPr>
          <w:rStyle w:val="style87"/>
        </w:rPr>
        <w:t>less pronounced</w:t>
      </w:r>
      <w:r>
        <w:t>, as DPPH primarily detects polar antioxidants like phenolics and flavonoids, not lipid-soluble ones.</w:t>
      </w:r>
    </w:p>
    <w:p>
      <w:pPr>
        <w:pStyle w:val="style94"/>
        <w:spacing w:before="0" w:beforeAutospacing="false" w:after="0" w:afterAutospacing="false" w:lineRule="auto" w:line="480"/>
        <w:rPr>
          <w:b/>
          <w:bCs/>
        </w:rPr>
      </w:pPr>
      <w:r>
        <w:rPr>
          <w:rStyle w:val="style87"/>
        </w:rPr>
        <w:t>4.1.3</w:t>
      </w:r>
      <w:r>
        <w:rPr>
          <w:rStyle w:val="style87"/>
        </w:rPr>
        <w:t>.2</w:t>
      </w:r>
      <w:r>
        <w:rPr>
          <w:rStyle w:val="style87"/>
        </w:rPr>
        <w:tab/>
      </w:r>
      <w:r>
        <w:rPr>
          <w:b/>
          <w:bCs/>
        </w:rPr>
        <w:t>TPC Antioxidant Activity</w:t>
      </w:r>
    </w:p>
    <w:p>
      <w:pPr>
        <w:pStyle w:val="style94"/>
        <w:spacing w:before="0" w:beforeAutospacing="false" w:after="0" w:afterAutospacing="false" w:lineRule="auto" w:line="480"/>
        <w:jc w:val="both"/>
        <w:rPr/>
      </w:pPr>
      <w:r>
        <w:rPr>
          <w:rStyle w:val="style87"/>
        </w:rPr>
        <w:t>Interpretation</w:t>
      </w:r>
      <w:r>
        <w:br/>
      </w:r>
      <w:r>
        <w:t xml:space="preserve">The </w:t>
      </w:r>
      <w:r>
        <w:rPr>
          <w:rStyle w:val="style87"/>
        </w:rPr>
        <w:t>endocarp extract</w:t>
      </w:r>
      <w:r>
        <w:t xml:space="preserve"> demonstrated significantly higher total phenolic content than the seed extract. Phenolic compounds are known to be among the most effective plant-based antioxidants </w:t>
      </w:r>
      <w:r>
        <w:t>due to their redox properties, which allow them to act as reducing agents, hydrogen donors, and singlet oxygen quenchers.</w:t>
      </w:r>
    </w:p>
    <w:p>
      <w:pPr>
        <w:pStyle w:val="style94"/>
        <w:spacing w:lineRule="auto" w:line="480"/>
        <w:jc w:val="both"/>
        <w:rPr/>
      </w:pPr>
      <w:r>
        <w:t>The observed TPC pattern correlates well with the phytochemical screenin</w:t>
      </w:r>
      <w:r>
        <w:t xml:space="preserve">g, where tannins and glycosides </w:t>
      </w:r>
      <w:r>
        <w:t xml:space="preserve">both </w:t>
      </w:r>
      <w:r>
        <w:t xml:space="preserve">phenolic derivatives </w:t>
      </w:r>
      <w:r>
        <w:t xml:space="preserve">were found in higher concentration (+++) in the endocarp than in the seed. This suggests that the </w:t>
      </w:r>
      <w:r>
        <w:rPr>
          <w:rStyle w:val="style87"/>
        </w:rPr>
        <w:t>endocarp contributes more to the phenolic-based antioxidant capacity</w:t>
      </w:r>
      <w:r>
        <w:t xml:space="preserve"> of </w:t>
      </w:r>
      <w:r>
        <w:rPr>
          <w:rStyle w:val="style88"/>
        </w:rPr>
        <w:t xml:space="preserve">Acacia </w:t>
      </w:r>
      <w:r>
        <w:rPr>
          <w:rStyle w:val="style88"/>
        </w:rPr>
        <w:t>nilotica</w:t>
      </w:r>
      <w:r>
        <w:t>.</w:t>
      </w:r>
    </w:p>
    <w:p>
      <w:pPr>
        <w:pStyle w:val="style3"/>
        <w:spacing w:lineRule="auto" w:line="480"/>
        <w:rPr/>
      </w:pPr>
      <w:r>
        <w:rPr>
          <w:rStyle w:val="style87"/>
          <w:b/>
          <w:bCs/>
        </w:rPr>
        <w:t>4.1.3</w:t>
      </w:r>
      <w:r>
        <w:rPr>
          <w:rStyle w:val="style87"/>
          <w:b/>
          <w:bCs/>
        </w:rPr>
        <w:t xml:space="preserve">.3 </w:t>
      </w:r>
      <w:r>
        <w:rPr>
          <w:rStyle w:val="style87"/>
          <w:b/>
          <w:bCs/>
        </w:rPr>
        <w:t>Comparative Analysis</w:t>
      </w:r>
    </w:p>
    <w:p>
      <w:pPr>
        <w:pStyle w:val="style94"/>
        <w:numPr>
          <w:ilvl w:val="0"/>
          <w:numId w:val="26"/>
        </w:numPr>
        <w:spacing w:lineRule="auto" w:line="480"/>
        <w:rPr/>
      </w:pPr>
      <w:r>
        <w:rPr>
          <w:rStyle w:val="style87"/>
        </w:rPr>
        <w:t>Endocarp extract</w:t>
      </w:r>
      <w:r>
        <w:t xml:space="preserve"> had </w:t>
      </w:r>
      <w:r>
        <w:rPr>
          <w:rStyle w:val="style87"/>
        </w:rPr>
        <w:t>more than 3× higher antioxidant activity</w:t>
      </w:r>
      <w:r>
        <w:t xml:space="preserve"> than the seed extract.</w:t>
      </w:r>
    </w:p>
    <w:p>
      <w:pPr>
        <w:pStyle w:val="style94"/>
        <w:numPr>
          <w:ilvl w:val="0"/>
          <w:numId w:val="26"/>
        </w:numPr>
        <w:spacing w:lineRule="auto" w:line="480"/>
        <w:rPr/>
      </w:pPr>
      <w:r>
        <w:t xml:space="preserve">This suggests that </w:t>
      </w:r>
      <w:r>
        <w:rPr>
          <w:rStyle w:val="style87"/>
        </w:rPr>
        <w:t>phenolic content is the dominant contributor</w:t>
      </w:r>
      <w:r>
        <w:t xml:space="preserve"> to the antioxidant power measured by the DPPH method.</w:t>
      </w:r>
    </w:p>
    <w:p>
      <w:pPr>
        <w:pStyle w:val="style94"/>
        <w:numPr>
          <w:ilvl w:val="0"/>
          <w:numId w:val="26"/>
        </w:numPr>
        <w:spacing w:lineRule="auto" w:line="480"/>
        <w:rPr/>
      </w:pPr>
      <w:r>
        <w:t xml:space="preserve">The </w:t>
      </w:r>
      <w:r>
        <w:rPr>
          <w:rStyle w:val="style87"/>
        </w:rPr>
        <w:t>positive correlation</w:t>
      </w:r>
      <w:r>
        <w:t xml:space="preserve"> between TPC and DPPH inhibition, especially in the endocarp, supports previous research findings (Kumar et al., 2012; Sultana et al., 2007).</w:t>
      </w:r>
    </w:p>
    <w:p>
      <w:pPr>
        <w:pStyle w:val="style94"/>
        <w:spacing w:lineRule="auto" w:line="480"/>
        <w:jc w:val="both"/>
        <w:rPr/>
      </w:pPr>
      <w:r>
        <w:rPr>
          <w:rStyle w:val="style87"/>
        </w:rPr>
        <w:t>4.1.3</w:t>
      </w:r>
      <w:r>
        <w:rPr>
          <w:rStyle w:val="style87"/>
        </w:rPr>
        <w:t>.4</w:t>
      </w:r>
      <w:r>
        <w:rPr>
          <w:rStyle w:val="style87"/>
        </w:rPr>
        <w:tab/>
      </w:r>
      <w:r>
        <w:rPr>
          <w:rStyle w:val="style87"/>
        </w:rPr>
        <w:t>Possible Cause for Differences:</w:t>
      </w:r>
    </w:p>
    <w:p>
      <w:pPr>
        <w:pStyle w:val="style94"/>
        <w:numPr>
          <w:ilvl w:val="0"/>
          <w:numId w:val="23"/>
        </w:numPr>
        <w:spacing w:lineRule="auto" w:line="480"/>
        <w:jc w:val="both"/>
        <w:rPr/>
      </w:pPr>
      <w:r>
        <w:t xml:space="preserve">The </w:t>
      </w:r>
      <w:r>
        <w:rPr>
          <w:rStyle w:val="style87"/>
        </w:rPr>
        <w:t>distribution of phenolics</w:t>
      </w:r>
      <w:r>
        <w:t xml:space="preserve"> between the seed and endocarp tissues is naturally uneven due to physiological roles</w:t>
      </w:r>
      <w:r>
        <w:t xml:space="preserve"> </w:t>
      </w:r>
      <w:r>
        <w:t>endocarps often contain higher levels of protective compounds like tannins.</w:t>
      </w:r>
    </w:p>
    <w:p>
      <w:pPr>
        <w:pStyle w:val="style94"/>
        <w:numPr>
          <w:ilvl w:val="0"/>
          <w:numId w:val="23"/>
        </w:numPr>
        <w:spacing w:lineRule="auto" w:line="480"/>
        <w:jc w:val="both"/>
        <w:rPr/>
      </w:pPr>
      <w:r>
        <w:t xml:space="preserve">The </w:t>
      </w:r>
      <w:r>
        <w:rPr>
          <w:rStyle w:val="style87"/>
        </w:rPr>
        <w:t>extraction efficiency</w:t>
      </w:r>
      <w:r>
        <w:t xml:space="preserve"> may also differ due to </w:t>
      </w:r>
      <w:r>
        <w:rPr>
          <w:rStyle w:val="style87"/>
        </w:rPr>
        <w:t>tissue density and solubility</w:t>
      </w:r>
      <w:r>
        <w:t>, with the endocarp releasing more phenolic compounds in ethanol.</w:t>
      </w:r>
    </w:p>
    <w:p>
      <w:pPr>
        <w:pStyle w:val="style94"/>
        <w:numPr>
          <w:ilvl w:val="0"/>
          <w:numId w:val="23"/>
        </w:numPr>
        <w:spacing w:lineRule="auto" w:line="480"/>
        <w:jc w:val="both"/>
        <w:rPr/>
      </w:pPr>
      <w:r>
        <w:rPr>
          <w:rStyle w:val="style87"/>
        </w:rPr>
        <w:t>Environmental factors</w:t>
      </w:r>
      <w:r>
        <w:t xml:space="preserve"> (e.g., sunlight, maturity, and storage) might have influenced phenolic accumulation more significantly in the endocarp tissues.</w:t>
      </w:r>
      <w:r>
        <w:tab/>
      </w:r>
    </w:p>
    <w:p>
      <w:pPr>
        <w:pStyle w:val="style94"/>
        <w:spacing w:lineRule="auto" w:line="480"/>
        <w:rPr>
          <w:rStyle w:val="style87"/>
        </w:rPr>
      </w:pPr>
    </w:p>
    <w:p>
      <w:pPr>
        <w:pStyle w:val="style94"/>
        <w:spacing w:lineRule="auto" w:line="480"/>
        <w:rPr/>
      </w:pPr>
      <w:r>
        <w:rPr>
          <w:rStyle w:val="style87"/>
        </w:rPr>
        <w:t>4.1.3</w:t>
      </w:r>
      <w:r>
        <w:rPr>
          <w:rStyle w:val="style87"/>
        </w:rPr>
        <w:t>.5</w:t>
      </w:r>
      <w:r>
        <w:rPr>
          <w:rStyle w:val="style87"/>
        </w:rPr>
        <w:tab/>
      </w:r>
      <w:r>
        <w:rPr>
          <w:rStyle w:val="style87"/>
        </w:rPr>
        <w:t xml:space="preserve"> Lycopene Content</w:t>
      </w:r>
    </w:p>
    <w:p>
      <w:pPr>
        <w:pStyle w:val="style94"/>
        <w:numPr>
          <w:ilvl w:val="0"/>
          <w:numId w:val="13"/>
        </w:numPr>
        <w:spacing w:lineRule="auto" w:line="480"/>
        <w:rPr/>
      </w:pPr>
      <w:r>
        <w:rPr>
          <w:rStyle w:val="style87"/>
        </w:rPr>
        <w:t>Seed:</w:t>
      </w:r>
      <w:r>
        <w:t xml:space="preserve"> 0.01</w:t>
      </w:r>
      <w:r>
        <w:t>3</w:t>
      </w:r>
      <w:r>
        <w:t xml:space="preserve"> mg/mL</w:t>
      </w:r>
    </w:p>
    <w:p>
      <w:pPr>
        <w:pStyle w:val="style94"/>
        <w:numPr>
          <w:ilvl w:val="0"/>
          <w:numId w:val="13"/>
        </w:numPr>
        <w:spacing w:lineRule="auto" w:line="480"/>
        <w:rPr/>
      </w:pPr>
      <w:r>
        <w:rPr>
          <w:rStyle w:val="style87"/>
        </w:rPr>
        <w:t>Endocarp:</w:t>
      </w:r>
      <w:r>
        <w:t xml:space="preserve"> 0.010 mg/mL</w:t>
      </w:r>
    </w:p>
    <w:p>
      <w:pPr>
        <w:pStyle w:val="style94"/>
        <w:spacing w:lineRule="auto" w:line="480"/>
        <w:rPr/>
      </w:pPr>
      <w:r>
        <w:rPr>
          <w:rStyle w:val="style87"/>
        </w:rPr>
        <w:t xml:space="preserve">Lycopene </w:t>
      </w:r>
      <w:r>
        <w:rPr>
          <w:rStyle w:val="style87"/>
        </w:rPr>
        <w:t>Interpretation:</w:t>
      </w:r>
    </w:p>
    <w:p>
      <w:pPr>
        <w:pStyle w:val="style94"/>
        <w:spacing w:lineRule="auto" w:line="480"/>
        <w:rPr/>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pPr>
        <w:pStyle w:val="style94"/>
        <w:spacing w:lineRule="auto" w:line="480"/>
        <w:rPr/>
      </w:pPr>
      <w:r>
        <w:rPr>
          <w:rStyle w:val="style87"/>
        </w:rPr>
        <w:t>4.1.3</w:t>
      </w:r>
      <w:r>
        <w:rPr>
          <w:rStyle w:val="style87"/>
        </w:rPr>
        <w:t>.6</w:t>
      </w:r>
      <w:r>
        <w:rPr>
          <w:rStyle w:val="style87"/>
        </w:rPr>
        <w:t xml:space="preserve"> β-Carotene Content</w:t>
      </w:r>
    </w:p>
    <w:p>
      <w:pPr>
        <w:pStyle w:val="style94"/>
        <w:numPr>
          <w:ilvl w:val="0"/>
          <w:numId w:val="14"/>
        </w:numPr>
        <w:spacing w:lineRule="auto" w:line="480"/>
        <w:rPr/>
      </w:pPr>
      <w:r>
        <w:rPr>
          <w:rStyle w:val="style87"/>
        </w:rPr>
        <w:t>Seed:</w:t>
      </w:r>
      <w:r>
        <w:t xml:space="preserve"> 0.0</w:t>
      </w:r>
      <w:r>
        <w:t>2</w:t>
      </w:r>
      <w:r>
        <w:t>3 mg/mL</w:t>
      </w:r>
    </w:p>
    <w:p>
      <w:pPr>
        <w:pStyle w:val="style94"/>
        <w:numPr>
          <w:ilvl w:val="0"/>
          <w:numId w:val="14"/>
        </w:numPr>
        <w:spacing w:lineRule="auto" w:line="480"/>
        <w:rPr/>
      </w:pPr>
      <w:r>
        <w:rPr>
          <w:rStyle w:val="style87"/>
        </w:rPr>
        <w:t>Endocarp:</w:t>
      </w:r>
      <w:r>
        <w:t xml:space="preserve"> 0.034 mg/mL</w:t>
      </w:r>
    </w:p>
    <w:p>
      <w:pPr>
        <w:pStyle w:val="style94"/>
        <w:spacing w:lineRule="auto" w:line="480"/>
        <w:rPr/>
      </w:pPr>
      <w:r>
        <w:rPr>
          <w:rStyle w:val="style87"/>
        </w:rPr>
        <w:t>β-carotene</w:t>
      </w:r>
      <w:r>
        <w:rPr>
          <w:rStyle w:val="style87"/>
        </w:rPr>
        <w:t xml:space="preserve"> </w:t>
      </w:r>
      <w:r>
        <w:rPr>
          <w:rStyle w:val="style87"/>
        </w:rPr>
        <w:t>Interpretation:</w:t>
      </w:r>
    </w:p>
    <w:p>
      <w:pPr>
        <w:pStyle w:val="style94"/>
        <w:spacing w:lineRule="auto" w:line="480"/>
        <w:rPr/>
      </w:pPr>
      <w:r>
        <w:t xml:space="preserve">In contrast to lycopene, β-carotene is significantly more abundant in the endocarp than in the seed extract. </w:t>
      </w:r>
      <w:r>
        <w:t>β-Carotene</w:t>
      </w:r>
      <w: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pPr>
        <w:pStyle w:val="style94"/>
        <w:spacing w:lineRule="auto" w:line="480"/>
        <w:rPr/>
      </w:pPr>
      <w:r>
        <w:rPr>
          <w:rStyle w:val="style87"/>
        </w:rPr>
        <w:t>4.1.4</w:t>
      </w:r>
      <w:r>
        <w:rPr>
          <w:rStyle w:val="style87"/>
        </w:rPr>
        <w:tab/>
      </w:r>
      <w:r>
        <w:rPr>
          <w:rStyle w:val="style87"/>
        </w:rPr>
        <w:t>Deviant Observation:</w:t>
      </w:r>
    </w:p>
    <w:p>
      <w:pPr>
        <w:pStyle w:val="style94"/>
        <w:spacing w:lineRule="auto" w:line="480"/>
        <w:rPr/>
      </w:pPr>
      <w:r>
        <w:t xml:space="preserve">The inverse relationship observed between lycopene and β-carotene concentrations in the seed and endocarp is </w:t>
      </w:r>
      <w:r>
        <w:rPr>
          <w:rStyle w:val="style87"/>
        </w:rPr>
        <w:t>not unusual</w:t>
      </w:r>
      <w:r>
        <w:t>. This could be due to:</w:t>
      </w:r>
    </w:p>
    <w:p>
      <w:pPr>
        <w:pStyle w:val="style94"/>
        <w:numPr>
          <w:ilvl w:val="0"/>
          <w:numId w:val="15"/>
        </w:numPr>
        <w:spacing w:lineRule="auto" w:line="480"/>
        <w:rPr/>
      </w:pPr>
      <w:r>
        <w:rPr>
          <w:rStyle w:val="style87"/>
        </w:rPr>
        <w:t>Differential metabolic distribution</w:t>
      </w:r>
      <w:r>
        <w:t xml:space="preserve"> in seed tissues.</w:t>
      </w:r>
    </w:p>
    <w:p>
      <w:pPr>
        <w:pStyle w:val="style94"/>
        <w:numPr>
          <w:ilvl w:val="0"/>
          <w:numId w:val="15"/>
        </w:numPr>
        <w:spacing w:lineRule="auto" w:line="480"/>
        <w:rPr/>
      </w:pPr>
      <w:r>
        <w:rPr>
          <w:rStyle w:val="style87"/>
        </w:rPr>
        <w:t>Solvent specificity</w:t>
      </w:r>
      <w:r>
        <w:t xml:space="preserve"> in extracting structurally different carotenoids.</w:t>
      </w:r>
    </w:p>
    <w:p>
      <w:pPr>
        <w:pStyle w:val="style94"/>
        <w:numPr>
          <w:ilvl w:val="0"/>
          <w:numId w:val="15"/>
        </w:numPr>
        <w:spacing w:lineRule="auto" w:line="480"/>
        <w:rPr/>
      </w:pPr>
      <w:r>
        <w:t xml:space="preserve">Possible </w:t>
      </w:r>
      <w:r>
        <w:rPr>
          <w:rStyle w:val="style87"/>
        </w:rPr>
        <w:t>isomerization</w:t>
      </w:r>
      <w:r>
        <w:t xml:space="preserve"> or conversion of one carotenoid type under extraction or storage conditions.</w:t>
      </w: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successfully investigated the phytochemical composition and antioxidant activity of the ethanolic extracts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and support its future development as a natural source of antioxidant compounds for nutraceutical or pharmaceutical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APPENDIX</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RAW </w:t>
      </w:r>
      <w:r>
        <w:rPr>
          <w:rFonts w:ascii="Times New Roman" w:cs="Times New Roman" w:eastAsia="Times New Roman" w:hAnsi="Times New Roman"/>
          <w:b/>
          <w:bCs/>
          <w:sz w:val="24"/>
          <w:szCs w:val="24"/>
        </w:rPr>
        <w:t>DATA</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ON </w:t>
      </w:r>
      <w:r>
        <w:rPr>
          <w:rFonts w:ascii="Times New Roman" w:cs="Times New Roman" w:eastAsia="Times New Roman" w:hAnsi="Times New Roman"/>
          <w:b/>
          <w:bCs/>
          <w:sz w:val="24"/>
          <w:szCs w:val="24"/>
        </w:rPr>
        <w:t>SEED</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Ab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Ab</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control =1.451</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 = seed 1.241</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1.451</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1.241</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1.451</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14.47%</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Ab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vertAlign w:val="subscript"/>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Ab</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standard =1.308</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 = seed 1.241</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1.308</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1.241</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1.308</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5.12%</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RAW DATA ON ENDOCARP</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Ab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Ab</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control =1.451</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Aa = absorbance of sample </w:t>
      </w:r>
      <w:r>
        <w:rPr>
          <w:rFonts w:ascii="Times New Roman" w:cs="Times New Roman" w:hAnsi="Times New Roman"/>
          <w:color w:val="000000"/>
          <w:sz w:val="24"/>
          <w:szCs w:val="24"/>
        </w:rPr>
        <w:t>(endocarp</w:t>
      </w:r>
      <w:r>
        <w:rPr>
          <w:rFonts w:ascii="Times New Roman" w:cs="Times New Roman" w:hAnsi="Times New Roman"/>
          <w:color w:val="000000"/>
          <w:sz w:val="24"/>
          <w:szCs w:val="24"/>
        </w:rPr>
        <w:t>)</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endocarp 0.705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1.451 – </w:t>
      </w:r>
      <w:r>
        <w:rPr>
          <w:rFonts w:ascii="Times New Roman" w:cs="Times New Roman" w:hAnsi="Times New Roman"/>
          <w:color w:val="000000"/>
          <w:sz w:val="24"/>
          <w:szCs w:val="24"/>
          <w:u w:val="single"/>
        </w:rPr>
        <w:t>0.705</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1.451</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51.41</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Ab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240"/>
        <w:jc w:val="both"/>
        <w:rPr>
          <w:rFonts w:ascii="Times New Roman" w:cs="Times New Roman" w:hAnsi="Times New Roman"/>
          <w:color w:val="000000"/>
          <w:sz w:val="24"/>
          <w:szCs w:val="24"/>
          <w:vertAlign w:val="subscript"/>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Ab</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standard =1.308</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(endocarp)</w:t>
      </w:r>
      <w:r>
        <w:rPr>
          <w:rFonts w:ascii="Times New Roman" w:cs="Times New Roman" w:hAnsi="Times New Roman"/>
          <w:color w:val="000000"/>
          <w:sz w:val="24"/>
          <w:szCs w:val="24"/>
        </w:rPr>
        <w:t xml:space="preserve"> = </w:t>
      </w:r>
      <w:r>
        <w:rPr>
          <w:rFonts w:ascii="Times New Roman" w:cs="Times New Roman" w:hAnsi="Times New Roman"/>
          <w:color w:val="000000"/>
          <w:sz w:val="24"/>
          <w:szCs w:val="24"/>
        </w:rPr>
        <w:t>0.705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1.308 – </w:t>
      </w:r>
      <w:r>
        <w:rPr>
          <w:rFonts w:ascii="Times New Roman" w:cs="Times New Roman" w:hAnsi="Times New Roman"/>
          <w:color w:val="000000"/>
          <w:sz w:val="24"/>
          <w:szCs w:val="24"/>
          <w:u w:val="single"/>
        </w:rPr>
        <w:t>0.705</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1.308</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46.10</w:t>
      </w:r>
      <w:r>
        <w:rPr>
          <w:rFonts w:ascii="Times New Roman" w:cs="Times New Roman" w:hAnsi="Times New Roman"/>
          <w:color w:val="000000"/>
          <w:sz w:val="24"/>
          <w:szCs w:val="24"/>
        </w:rPr>
        <w:t>%</w:t>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Lycopene and </w:t>
      </w:r>
      <w:r>
        <w:rPr>
          <w:rFonts w:ascii="Times New Roman" w:cs="Times New Roman" w:eastAsia="Times New Roman" w:hAnsi="Times New Roman"/>
          <w:b/>
          <w:bCs/>
          <w:sz w:val="24"/>
          <w:szCs w:val="24"/>
        </w:rPr>
        <w:t xml:space="preserve">β-carotene </w:t>
      </w:r>
      <w:r>
        <w:rPr>
          <w:rFonts w:ascii="Times New Roman" w:cs="Times New Roman" w:eastAsia="Times New Roman" w:hAnsi="Times New Roman"/>
          <w:b/>
          <w:bCs/>
          <w:sz w:val="24"/>
          <w:szCs w:val="24"/>
        </w:rPr>
        <w:t>E</w:t>
      </w:r>
      <w:r>
        <w:rPr>
          <w:rFonts w:ascii="Times New Roman" w:cs="Times New Roman" w:eastAsia="Times New Roman" w:hAnsi="Times New Roman"/>
          <w:b/>
          <w:bCs/>
          <w:sz w:val="24"/>
          <w:szCs w:val="24"/>
        </w:rPr>
        <w:t>stimation</w:t>
      </w:r>
    </w:p>
    <w:p>
      <w:pPr>
        <w:pStyle w:val="style0"/>
        <w:spacing w:lineRule="auto" w:line="240"/>
        <w:jc w:val="both"/>
        <w:rPr>
          <w:rFonts w:ascii="Times New Roman" w:cs="Times New Roman" w:hAnsi="Times New Roman"/>
          <w:sz w:val="24"/>
          <w:szCs w:val="24"/>
          <w:u w:val="single"/>
        </w:rPr>
      </w:pPr>
      <w:r>
        <w:rPr>
          <w:rFonts w:ascii="Times New Roman" w:cs="Times New Roman" w:hAnsi="Times New Roman"/>
          <w:b/>
          <w:bCs/>
          <w:sz w:val="24"/>
          <w:szCs w:val="24"/>
        </w:rPr>
        <w:t>β</w:t>
      </w:r>
      <w:r>
        <w:rPr>
          <w:rFonts w:ascii="Times New Roman" w:cs="Times New Roman" w:hAnsi="Times New Roman"/>
          <w:sz w:val="24"/>
          <w:szCs w:val="24"/>
        </w:rPr>
        <w:t>-</w:t>
      </w:r>
      <w:r>
        <w:rPr>
          <w:rFonts w:ascii="Times New Roman" w:cs="Times New Roman" w:hAnsi="Times New Roman"/>
          <w:sz w:val="24"/>
          <w:szCs w:val="24"/>
        </w:rPr>
        <w:t>carotene(</w:t>
      </w:r>
      <w:r>
        <w:rPr>
          <w:rFonts w:ascii="Times New Roman" w:cs="Times New Roman" w:hAnsi="Times New Roman"/>
          <w:sz w:val="24"/>
          <w:szCs w:val="24"/>
        </w:rPr>
        <w:t xml:space="preserve">mg/ml) = </w:t>
      </w:r>
      <w:r>
        <w:rPr>
          <w:rFonts w:ascii="Times New Roman" w:cs="Times New Roman" w:hAnsi="Times New Roman"/>
          <w:sz w:val="24"/>
          <w:szCs w:val="24"/>
          <w:u w:val="single"/>
        </w:rPr>
        <w:t>0.126(A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0.304(A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+ 0.450(A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A663 = absorbance at 663nm = seed (0.287), endocarp</w:t>
      </w:r>
      <w:r>
        <w:rPr>
          <w:rFonts w:ascii="Times New Roman" w:cs="Times New Roman" w:hAnsi="Times New Roman"/>
          <w:sz w:val="24"/>
          <w:szCs w:val="24"/>
        </w:rPr>
        <w:t xml:space="preserve"> (0.383)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A505 = absorbance at 505nm = seed (-0.092)</w:t>
      </w:r>
      <w:r>
        <w:rPr>
          <w:rFonts w:ascii="Times New Roman" w:cs="Times New Roman" w:hAnsi="Times New Roman"/>
          <w:sz w:val="24"/>
          <w:szCs w:val="24"/>
        </w:rPr>
        <w:t>, endocarp (0.048)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A453 = absorbance at 453nm = seed (0.435), endocarp (0.683)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Lycopene (mg/ml) = </w:t>
      </w:r>
      <w:r>
        <w:rPr>
          <w:rFonts w:ascii="Times New Roman" w:cs="Times New Roman" w:hAnsi="Times New Roman"/>
          <w:sz w:val="24"/>
          <w:szCs w:val="24"/>
          <w:u w:val="single"/>
        </w:rPr>
        <w:t>0.458(A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0.372(A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0.0806(A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A663 = absorbance at 663nm = seed (0.287), endocarp (0.383)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A505 = absorbance at 505nm = seed (-0.092), endocarp (0.048)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A453 = absorbance at 453nm = seed (0.435), endocarp (0.683)</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RAW DATA ON SEED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β</w:t>
      </w:r>
      <w:r>
        <w:rPr>
          <w:rFonts w:ascii="Times New Roman" w:cs="Times New Roman" w:hAnsi="Times New Roman"/>
          <w:b/>
          <w:bCs/>
          <w:sz w:val="24"/>
          <w:szCs w:val="24"/>
        </w:rPr>
        <w:t>-</w:t>
      </w:r>
      <w:r>
        <w:rPr>
          <w:rFonts w:ascii="Times New Roman" w:cs="Times New Roman" w:hAnsi="Times New Roman"/>
          <w:sz w:val="24"/>
          <w:szCs w:val="24"/>
        </w:rPr>
        <w:t>carotene</w:t>
      </w:r>
      <w:r>
        <w:rPr>
          <w:rFonts w:ascii="Times New Roman" w:cs="Times New Roman" w:hAnsi="Times New Roman"/>
          <w:sz w:val="24"/>
          <w:szCs w:val="24"/>
        </w:rPr>
        <w:t xml:space="preserve"> = </w:t>
      </w:r>
      <w:r>
        <w:rPr>
          <w:rFonts w:ascii="Times New Roman" w:cs="Times New Roman" w:hAnsi="Times New Roman"/>
          <w:sz w:val="24"/>
          <w:szCs w:val="24"/>
          <w:u w:val="single"/>
        </w:rPr>
        <w:t>0.126 (</w:t>
      </w:r>
      <w:r>
        <w:rPr>
          <w:rFonts w:ascii="Times New Roman" w:cs="Times New Roman" w:hAnsi="Times New Roman"/>
          <w:sz w:val="24"/>
          <w:szCs w:val="24"/>
          <w:u w:val="single"/>
        </w:rPr>
        <w:t>0.287</w:t>
      </w:r>
      <w:r>
        <w:rPr>
          <w:rFonts w:ascii="Times New Roman" w:cs="Times New Roman" w:hAnsi="Times New Roman"/>
          <w:sz w:val="24"/>
          <w:szCs w:val="24"/>
          <w:u w:val="single"/>
        </w:rPr>
        <w:t>) – 0.304 (-0.</w:t>
      </w:r>
      <w:r>
        <w:rPr>
          <w:rFonts w:ascii="Times New Roman" w:cs="Times New Roman" w:hAnsi="Times New Roman"/>
          <w:sz w:val="24"/>
          <w:szCs w:val="24"/>
          <w:u w:val="single"/>
        </w:rPr>
        <w:t>092</w:t>
      </w:r>
      <w:r>
        <w:rPr>
          <w:rFonts w:ascii="Times New Roman" w:cs="Times New Roman" w:hAnsi="Times New Roman"/>
          <w:sz w:val="24"/>
          <w:szCs w:val="24"/>
          <w:u w:val="single"/>
        </w:rPr>
        <w:t>) + 0.450 (</w:t>
      </w:r>
      <w:r>
        <w:rPr>
          <w:rFonts w:ascii="Times New Roman" w:cs="Times New Roman" w:hAnsi="Times New Roman"/>
          <w:sz w:val="24"/>
          <w:szCs w:val="24"/>
          <w:u w:val="single"/>
        </w:rPr>
        <w:t>0.435</w:t>
      </w:r>
      <w:r>
        <w:rPr>
          <w:rFonts w:ascii="Times New Roman" w:cs="Times New Roman" w:hAnsi="Times New Roman"/>
          <w:sz w:val="24"/>
          <w:szCs w:val="24"/>
          <w:u w:val="single"/>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0.023</w:t>
      </w:r>
      <w:r>
        <w:rPr>
          <w:rFonts w:ascii="Times New Roman" w:cs="Times New Roman" w:hAnsi="Times New Roman"/>
          <w:sz w:val="24"/>
          <w:szCs w:val="24"/>
        </w:rPr>
        <w:t>mg/ml</w:t>
      </w:r>
    </w:p>
    <w:p>
      <w:pPr>
        <w:pStyle w:val="style0"/>
        <w:spacing w:lineRule="auto" w:line="480"/>
        <w:jc w:val="both"/>
        <w:rPr>
          <w:rFonts w:ascii="Times New Roman" w:cs="Times New Roman" w:hAnsi="Times New Roman"/>
          <w:sz w:val="24"/>
          <w:szCs w:val="24"/>
        </w:rPr>
      </w:pP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Ly</w:t>
      </w:r>
      <w:r>
        <w:rPr>
          <w:rFonts w:ascii="Times New Roman" w:cs="Times New Roman" w:hAnsi="Times New Roman"/>
          <w:color w:val="000000"/>
          <w:sz w:val="24"/>
          <w:szCs w:val="24"/>
        </w:rPr>
        <w:t xml:space="preserve">copene = </w:t>
      </w:r>
      <w:r>
        <w:rPr>
          <w:rFonts w:ascii="Times New Roman" w:cs="Times New Roman" w:hAnsi="Times New Roman"/>
          <w:color w:val="000000"/>
          <w:sz w:val="24"/>
          <w:szCs w:val="24"/>
          <w:u w:val="single"/>
        </w:rPr>
        <w:t>0.458 (0.</w:t>
      </w:r>
      <w:r>
        <w:rPr>
          <w:rFonts w:ascii="Times New Roman" w:cs="Times New Roman" w:hAnsi="Times New Roman"/>
          <w:color w:val="000000"/>
          <w:sz w:val="24"/>
          <w:szCs w:val="24"/>
          <w:u w:val="single"/>
        </w:rPr>
        <w:t>287</w:t>
      </w:r>
      <w:r>
        <w:rPr>
          <w:rFonts w:ascii="Times New Roman" w:cs="Times New Roman" w:hAnsi="Times New Roman"/>
          <w:color w:val="000000"/>
          <w:sz w:val="24"/>
          <w:szCs w:val="24"/>
          <w:u w:val="single"/>
        </w:rPr>
        <w:t>) – 0.372 (-0.</w:t>
      </w:r>
      <w:r>
        <w:rPr>
          <w:rFonts w:ascii="Times New Roman" w:cs="Times New Roman" w:hAnsi="Times New Roman"/>
          <w:color w:val="000000"/>
          <w:sz w:val="24"/>
          <w:szCs w:val="24"/>
          <w:u w:val="single"/>
        </w:rPr>
        <w:t>092</w:t>
      </w:r>
      <w:r>
        <w:rPr>
          <w:rFonts w:ascii="Times New Roman" w:cs="Times New Roman" w:hAnsi="Times New Roman"/>
          <w:color w:val="000000"/>
          <w:sz w:val="24"/>
          <w:szCs w:val="24"/>
          <w:u w:val="single"/>
        </w:rPr>
        <w:t>) – 0.0806 (0</w:t>
      </w:r>
      <w:r>
        <w:rPr>
          <w:rFonts w:ascii="Times New Roman" w:cs="Times New Roman" w:hAnsi="Times New Roman"/>
          <w:color w:val="000000"/>
          <w:sz w:val="24"/>
          <w:szCs w:val="24"/>
          <w:u w:val="single"/>
        </w:rPr>
        <w:t>.435</w:t>
      </w:r>
      <w:r>
        <w:rPr>
          <w:rFonts w:ascii="Times New Roman" w:cs="Times New Roman" w:hAnsi="Times New Roman"/>
          <w:color w:val="000000"/>
          <w:sz w:val="24"/>
          <w:szCs w:val="24"/>
          <w:u w:val="single"/>
        </w:rPr>
        <w: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0.</w:t>
      </w:r>
      <w:r>
        <w:rPr>
          <w:rFonts w:ascii="Times New Roman" w:cs="Times New Roman" w:hAnsi="Times New Roman"/>
          <w:color w:val="000000"/>
          <w:sz w:val="24"/>
          <w:szCs w:val="24"/>
        </w:rPr>
        <w:t>013</w:t>
      </w:r>
      <w:r>
        <w:rPr>
          <w:rFonts w:ascii="Times New Roman" w:cs="Times New Roman" w:hAnsi="Times New Roman"/>
          <w:color w:val="000000"/>
          <w:sz w:val="24"/>
          <w:szCs w:val="24"/>
        </w:rPr>
        <w:t>mg/ml</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RAW DATA ON ENDOCARP</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β</w:t>
      </w:r>
      <w:r>
        <w:rPr>
          <w:rFonts w:ascii="Times New Roman" w:cs="Times New Roman" w:hAnsi="Times New Roman"/>
          <w:b/>
          <w:bCs/>
          <w:sz w:val="24"/>
          <w:szCs w:val="24"/>
        </w:rPr>
        <w:t>-</w:t>
      </w:r>
      <w:r>
        <w:rPr>
          <w:rFonts w:ascii="Times New Roman" w:cs="Times New Roman" w:hAnsi="Times New Roman"/>
          <w:sz w:val="24"/>
          <w:szCs w:val="24"/>
        </w:rPr>
        <w:t>carotene</w:t>
      </w:r>
      <w:r>
        <w:rPr>
          <w:rFonts w:ascii="Times New Roman" w:cs="Times New Roman" w:hAnsi="Times New Roman"/>
          <w:sz w:val="24"/>
          <w:szCs w:val="24"/>
        </w:rPr>
        <w:t xml:space="preserve"> = </w:t>
      </w:r>
      <w:r>
        <w:rPr>
          <w:rFonts w:ascii="Times New Roman" w:cs="Times New Roman" w:hAnsi="Times New Roman"/>
          <w:sz w:val="24"/>
          <w:szCs w:val="24"/>
          <w:u w:val="single"/>
        </w:rPr>
        <w:t>0.126 (</w:t>
      </w:r>
      <w:r>
        <w:rPr>
          <w:rFonts w:ascii="Times New Roman" w:cs="Times New Roman" w:hAnsi="Times New Roman"/>
          <w:sz w:val="24"/>
          <w:szCs w:val="24"/>
          <w:u w:val="single"/>
        </w:rPr>
        <w:t>0</w:t>
      </w:r>
      <w:r>
        <w:rPr>
          <w:rFonts w:ascii="Times New Roman" w:cs="Times New Roman" w:hAnsi="Times New Roman"/>
          <w:sz w:val="24"/>
          <w:szCs w:val="24"/>
          <w:u w:val="single"/>
        </w:rPr>
        <w:t>.383</w:t>
      </w:r>
      <w:r>
        <w:rPr>
          <w:rFonts w:ascii="Times New Roman" w:cs="Times New Roman" w:hAnsi="Times New Roman"/>
          <w:sz w:val="24"/>
          <w:szCs w:val="24"/>
          <w:u w:val="single"/>
        </w:rPr>
        <w:t>) – 0.304 (</w:t>
      </w:r>
      <w:r>
        <w:rPr>
          <w:rFonts w:ascii="Times New Roman" w:cs="Times New Roman" w:hAnsi="Times New Roman"/>
          <w:sz w:val="24"/>
          <w:szCs w:val="24"/>
          <w:u w:val="single"/>
        </w:rPr>
        <w:t>0.048</w:t>
      </w:r>
      <w:r>
        <w:rPr>
          <w:rFonts w:ascii="Times New Roman" w:cs="Times New Roman" w:hAnsi="Times New Roman"/>
          <w:sz w:val="24"/>
          <w:szCs w:val="24"/>
          <w:u w:val="single"/>
        </w:rPr>
        <w:t>) + 0.450 (</w:t>
      </w:r>
      <w:r>
        <w:rPr>
          <w:rFonts w:ascii="Times New Roman" w:cs="Times New Roman" w:hAnsi="Times New Roman"/>
          <w:sz w:val="24"/>
          <w:szCs w:val="24"/>
          <w:u w:val="single"/>
        </w:rPr>
        <w:t>0.683</w:t>
      </w:r>
      <w:r>
        <w:rPr>
          <w:rFonts w:ascii="Times New Roman" w:cs="Times New Roman" w:hAnsi="Times New Roman"/>
          <w:sz w:val="24"/>
          <w:szCs w:val="24"/>
          <w:u w:val="single"/>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w:t>
      </w:r>
      <w:r>
        <w:rPr>
          <w:rFonts w:ascii="Times New Roman" w:cs="Times New Roman" w:hAnsi="Times New Roman"/>
          <w:sz w:val="24"/>
          <w:szCs w:val="24"/>
        </w:rPr>
        <w:t>.034</w:t>
      </w:r>
      <w:r>
        <w:rPr>
          <w:rFonts w:ascii="Times New Roman" w:cs="Times New Roman" w:hAnsi="Times New Roman"/>
          <w:sz w:val="24"/>
          <w:szCs w:val="24"/>
        </w:rPr>
        <w:t>mg/ml</w:t>
      </w:r>
    </w:p>
    <w:p>
      <w:pPr>
        <w:pStyle w:val="style0"/>
        <w:spacing w:lineRule="auto" w:line="480"/>
        <w:jc w:val="both"/>
        <w:rPr>
          <w:rFonts w:ascii="Times New Roman" w:cs="Times New Roman" w:hAnsi="Times New Roman"/>
          <w:sz w:val="24"/>
          <w:szCs w:val="24"/>
        </w:rPr>
      </w:pP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Ly</w:t>
      </w:r>
      <w:r>
        <w:rPr>
          <w:rFonts w:ascii="Times New Roman" w:cs="Times New Roman" w:hAnsi="Times New Roman"/>
          <w:color w:val="000000"/>
          <w:sz w:val="24"/>
          <w:szCs w:val="24"/>
        </w:rPr>
        <w:t xml:space="preserve">copene = </w:t>
      </w:r>
      <w:r>
        <w:rPr>
          <w:rFonts w:ascii="Times New Roman" w:cs="Times New Roman" w:hAnsi="Times New Roman"/>
          <w:color w:val="000000"/>
          <w:sz w:val="24"/>
          <w:szCs w:val="24"/>
          <w:u w:val="single"/>
        </w:rPr>
        <w:t>0.458 (0.</w:t>
      </w:r>
      <w:r>
        <w:rPr>
          <w:rFonts w:ascii="Times New Roman" w:cs="Times New Roman" w:hAnsi="Times New Roman"/>
          <w:color w:val="000000"/>
          <w:sz w:val="24"/>
          <w:szCs w:val="24"/>
          <w:u w:val="single"/>
        </w:rPr>
        <w:t>383</w:t>
      </w:r>
      <w:r>
        <w:rPr>
          <w:rFonts w:ascii="Times New Roman" w:cs="Times New Roman" w:hAnsi="Times New Roman"/>
          <w:color w:val="000000"/>
          <w:sz w:val="24"/>
          <w:szCs w:val="24"/>
          <w:u w:val="single"/>
        </w:rPr>
        <w:t>) – 0.372 (</w:t>
      </w:r>
      <w:r>
        <w:rPr>
          <w:rFonts w:ascii="Times New Roman" w:cs="Times New Roman" w:hAnsi="Times New Roman"/>
          <w:color w:val="000000"/>
          <w:sz w:val="24"/>
          <w:szCs w:val="24"/>
          <w:u w:val="single"/>
        </w:rPr>
        <w:t>0.048</w:t>
      </w:r>
      <w:r>
        <w:rPr>
          <w:rFonts w:ascii="Times New Roman" w:cs="Times New Roman" w:hAnsi="Times New Roman"/>
          <w:color w:val="000000"/>
          <w:sz w:val="24"/>
          <w:szCs w:val="24"/>
          <w:u w:val="single"/>
        </w:rPr>
        <w:t>) – 0.0806 (</w:t>
      </w:r>
      <w:r>
        <w:rPr>
          <w:rFonts w:ascii="Times New Roman" w:cs="Times New Roman" w:hAnsi="Times New Roman"/>
          <w:color w:val="000000"/>
          <w:sz w:val="24"/>
          <w:szCs w:val="24"/>
          <w:u w:val="single"/>
        </w:rPr>
        <w:t>0.683</w:t>
      </w:r>
      <w:r>
        <w:rPr>
          <w:rFonts w:ascii="Times New Roman" w:cs="Times New Roman" w:hAnsi="Times New Roman"/>
          <w:color w:val="000000"/>
          <w:sz w:val="24"/>
          <w:szCs w:val="24"/>
          <w:u w:val="single"/>
        </w:rPr>
        <w: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0</w:t>
      </w:r>
      <w:r>
        <w:rPr>
          <w:rFonts w:ascii="Times New Roman" w:cs="Times New Roman" w:hAnsi="Times New Roman"/>
          <w:color w:val="000000"/>
          <w:sz w:val="24"/>
          <w:szCs w:val="24"/>
        </w:rPr>
        <w:t>.010</w:t>
      </w:r>
      <w:r>
        <w:rPr>
          <w:rFonts w:ascii="Times New Roman" w:cs="Times New Roman" w:hAnsi="Times New Roman"/>
          <w:color w:val="000000"/>
          <w:sz w:val="24"/>
          <w:szCs w:val="24"/>
        </w:rPr>
        <w:t>mg/ml</w:t>
      </w:r>
    </w:p>
    <w:p>
      <w:pPr>
        <w:pStyle w:val="style0"/>
        <w:spacing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RAW DATA ON SEED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TPC (</w:t>
      </w:r>
      <w:r>
        <w:rPr>
          <w:rFonts w:ascii="Times New Roman" w:cs="Times New Roman" w:hAnsi="Times New Roman"/>
          <w:color w:val="000000"/>
          <w:sz w:val="24"/>
          <w:szCs w:val="24"/>
        </w:rPr>
        <w:t>mgGAEquiv</w:t>
      </w:r>
      <w:r>
        <w:rPr>
          <w:rFonts w:ascii="Times New Roman" w:cs="Times New Roman" w:hAnsi="Times New Roman"/>
          <w:color w:val="000000"/>
          <w:sz w:val="24"/>
          <w:szCs w:val="24"/>
        </w:rPr>
        <w:t xml:space="preserve">/g) = C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 = Concentration = seed (42)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V = Volume of sample = 0.5ml</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noProof/>
          <w:sz w:val="24"/>
          <w:szCs w:val="24"/>
        </w:rPr>
        <mc:AlternateContent>
          <mc:Choice Requires="wpg">
            <w:drawing>
              <wp:anchor distT="0" distB="0" distL="0" distR="0" simplePos="false" relativeHeight="3" behindDoc="false" locked="false" layoutInCell="true" allowOverlap="true">
                <wp:simplePos x="0" y="0"/>
                <wp:positionH relativeFrom="column">
                  <wp:posOffset>1562100</wp:posOffset>
                </wp:positionH>
                <wp:positionV relativeFrom="paragraph">
                  <wp:posOffset>222885</wp:posOffset>
                </wp:positionV>
                <wp:extent cx="1967023" cy="2057400"/>
                <wp:effectExtent l="0" t="0" r="14605" b="38100"/>
                <wp:wrapNone/>
                <wp:docPr id="1030" name="Group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967023" cy="2057400"/>
                          <a:chOff x="0" y="147107"/>
                          <a:chExt cx="1775637" cy="1533206"/>
                        </a:xfrm>
                      </wpg:grpSpPr>
                      <wpg:grpSp>
                        <wpg:cNvGrpSpPr/>
                        <wpg:grpSpPr>
                          <a:xfrm>
                            <a:off x="0" y="147107"/>
                            <a:ext cx="1775637" cy="1533206"/>
                            <a:chOff x="0" y="147107"/>
                            <a:chExt cx="1775637" cy="1533206"/>
                          </a:xfrm>
                        </wpg:grpSpPr>
                        <wps:wsp>
                          <wps:cNvSpPr/>
                          <wps:spPr>
                            <a:xfrm rot="0">
                              <a:off x="0" y="147107"/>
                              <a:ext cx="0" cy="1532049"/>
                            </a:xfrm>
                            <a:prstGeom prst="line"/>
                            <a:ln cmpd="sng" cap="flat" w="6350">
                              <a:solidFill>
                                <a:srgbClr val="000000"/>
                              </a:solidFill>
                              <a:prstDash val="solid"/>
                              <a:miter/>
                              <a:headEnd/>
                              <a:tailEnd/>
                            </a:ln>
                          </wps:spPr>
                          <wps:bodyPr>
                            <a:prstTxWarp prst="textNoShape"/>
                          </wps:bodyPr>
                        </wps:wsp>
                        <wps:wsp>
                          <wps:cNvSpPr/>
                          <wps:spPr>
                            <a:xfrm rot="0" flipH="1">
                              <a:off x="0" y="1679944"/>
                              <a:ext cx="1775637" cy="369"/>
                            </a:xfrm>
                            <a:prstGeom prst="line"/>
                            <a:ln cmpd="sng" cap="flat" w="6350">
                              <a:solidFill>
                                <a:srgbClr val="000000"/>
                              </a:solidFill>
                              <a:prstDash val="solid"/>
                              <a:miter/>
                              <a:headEnd/>
                              <a:tailEnd/>
                            </a:ln>
                          </wps:spPr>
                          <wps:bodyPr>
                            <a:prstTxWarp prst="textNoShape"/>
                          </wps:bodyPr>
                        </wps:wsp>
                        <wps:wsp>
                          <wps:cNvSpPr/>
                          <wps:spPr>
                            <a:xfrm rot="0" flipH="1">
                              <a:off x="0" y="584791"/>
                              <a:ext cx="1063256" cy="1094710"/>
                            </a:xfrm>
                            <a:prstGeom prst="line"/>
                            <a:ln cmpd="sng" cap="flat" w="6350">
                              <a:solidFill>
                                <a:srgbClr val="000000"/>
                              </a:solidFill>
                              <a:prstDash val="solid"/>
                              <a:miter/>
                              <a:headEnd/>
                              <a:tailEnd/>
                            </a:ln>
                          </wps:spPr>
                          <wps:bodyPr>
                            <a:prstTxWarp prst="textNoShape"/>
                          </wps:bodyPr>
                        </wps:wsp>
                      </wpg:grpSp>
                      <wps:wsp>
                        <wps:cNvSpPr/>
                        <wps:spPr>
                          <a:xfrm rot="0">
                            <a:off x="0" y="1063256"/>
                            <a:ext cx="541655" cy="0"/>
                          </a:xfrm>
                          <a:prstGeom prst="line"/>
                          <a:ln cmpd="sng" cap="flat" w="6350">
                            <a:solidFill>
                              <a:srgbClr val="000000"/>
                            </a:solidFill>
                            <a:prstDash val="sysDash"/>
                            <a:miter/>
                            <a:headEnd/>
                            <a:tailEnd/>
                          </a:ln>
                        </wps:spPr>
                        <wps:bodyPr>
                          <a:prstTxWarp prst="textNoShape"/>
                        </wps:bodyPr>
                      </wps:wsp>
                      <wps:wsp>
                        <wps:cNvSpPr/>
                        <wps:spPr>
                          <a:xfrm rot="0">
                            <a:off x="595423" y="1063256"/>
                            <a:ext cx="0" cy="616570"/>
                          </a:xfrm>
                          <a:prstGeom prst="line"/>
                          <a:ln cmpd="sng" cap="flat" w="6350">
                            <a:solidFill>
                              <a:srgbClr val="000000"/>
                            </a:solidFill>
                            <a:prstDash val="sysDash"/>
                            <a:miter/>
                            <a:headEnd/>
                            <a:tailEnd/>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30" filled="f" stroked="f" style="position:absolute;margin-left:123.0pt;margin-top:17.55pt;width:154.88pt;height:162.0pt;z-index:3;mso-position-horizontal-relative:text;mso-position-vertical-relative:text;mso-width-percent:0;mso-height-percent:0;mso-width-relative:margin;mso-height-relative:margin;mso-wrap-distance-left:0.0pt;mso-wrap-distance-right:0.0pt;visibility:visible;" coordsize="1775637,1533206" coordorigin="0,147107">
                <v:group id="1031" filled="f" stroked="f" style="position:absolute;left:0;top:147107;width:1775637;height:1533206;z-index:2;mso-position-horizontal-relative:page;mso-position-vertical-relative:page;mso-width-relative:page;mso-height-relative:page;visibility:visible;" coordsize="1775637,1533206" coordorigin="0,147107">
                  <v:line id="1032" filled="f" stroked="t" from="0.0pt,147107.0pt" to="0.0pt,1679156.0pt" style="position:absolute;z-index:2;mso-position-horizontal-relative:page;mso-position-vertical-relative:page;mso-width-relative:page;mso-height-relative:page;visibility:visible;">
                    <v:stroke joinstyle="miter" weight="0.5pt"/>
                    <v:fill/>
                  </v:line>
                  <v:line id="1033" filled="f" stroked="t" from="0.0pt,1679944.0pt" to="1775637.0pt,1680313.0pt" style="position:absolute;z-index:3;mso-position-horizontal-relative:page;mso-position-vertical-relative:page;mso-width-relative:page;mso-height-relative:page;visibility:visible;flip:x;">
                    <v:stroke joinstyle="miter" weight="0.5pt"/>
                    <v:fill/>
                  </v:line>
                  <v:line id="1034" filled="f" stroked="t" from="0.0pt,584791.0pt" to="1063256.0pt,1679501.0pt" style="position:absolute;z-index:4;mso-position-horizontal-relative:page;mso-position-vertical-relative:page;mso-width-relative:page;mso-height-relative:page;visibility:visible;flip:x;">
                    <v:stroke joinstyle="miter" weight="0.5pt"/>
                    <v:fill/>
                  </v:line>
                  <v:fill/>
                </v:group>
                <v:line id="1035" filled="f" stroked="t" from="0.0pt,1063256.0pt" to="541655.0pt,1063256.0pt" style="position:absolute;z-index:3;mso-position-horizontal-relative:page;mso-position-vertical-relative:page;mso-width-relative:page;mso-height-relative:page;visibility:visible;">
                  <v:stroke dashstyle="shortdash" joinstyle="miter" weight="0.5pt"/>
                  <v:fill/>
                </v:line>
                <v:line id="1036" filled="f" stroked="t" from="595423.0pt,1063256.0pt" to="595423.0pt,1679826.0pt" style="position:absolute;z-index:4;mso-position-horizontal-relative:page;mso-position-vertical-relative:page;mso-width-relative:page;mso-height-relative:page;visibility:visible;">
                  <v:stroke dashstyle="shortdash" joinstyle="miter" weight="0.5pt"/>
                  <v:fill/>
                </v:line>
                <v:fill/>
              </v:group>
            </w:pict>
          </mc:Fallback>
        </mc:AlternateContent>
      </w:r>
      <w:r>
        <w:rPr>
          <w:rFonts w:ascii="Times New Roman" w:cs="Times New Roman" w:hAnsi="Times New Roman"/>
          <w:color w:val="000000"/>
          <w:sz w:val="24"/>
          <w:szCs w:val="24"/>
        </w:rPr>
        <w:t>M = Mass of sample = 1.14g</w:t>
      </w:r>
    </w:p>
    <w:p>
      <w:pPr>
        <w:pStyle w:val="style0"/>
        <w:spacing w:after="0" w:lineRule="auto" w:line="480"/>
        <w:rPr>
          <w:rFonts w:ascii="Times New Roman" w:cs="Times New Roman" w:hAnsi="Times New Roman"/>
          <w:sz w:val="24"/>
          <w:szCs w:val="24"/>
        </w:rPr>
      </w:pPr>
    </w:p>
    <w:p>
      <w:pPr>
        <w:pStyle w:val="style94"/>
        <w:spacing w:lineRule="auto" w:line="480"/>
        <w:ind w:left="1440" w:firstLine="720"/>
        <w:rPr/>
      </w:pPr>
      <w:r>
        <w:t>A</w:t>
      </w:r>
    </w:p>
    <w:p>
      <w:pPr>
        <w:pStyle w:val="style94"/>
        <w:spacing w:lineRule="auto" w:line="480"/>
        <w:ind w:left="1440"/>
        <w:rPr/>
      </w:pPr>
      <w:r>
        <w:t xml:space="preserve">      0.</w:t>
      </w:r>
      <w:r>
        <w:t>757</w:t>
      </w:r>
    </w:p>
    <w:p>
      <w:pPr>
        <w:pStyle w:val="style94"/>
        <w:spacing w:lineRule="auto" w:line="480"/>
        <w:ind w:left="360" w:firstLine="360"/>
        <w:rPr/>
      </w:pPr>
    </w:p>
    <w:p>
      <w:pPr>
        <w:pStyle w:val="style94"/>
        <w:ind w:left="3240"/>
        <w:rPr/>
      </w:pPr>
      <w:r>
        <w:t xml:space="preserve"> </w:t>
      </w:r>
      <w:r>
        <w:t xml:space="preserve"> 4</w:t>
      </w:r>
      <w:r>
        <w:t>2</w:t>
      </w:r>
      <w:r>
        <w:tab/>
      </w:r>
      <w:r>
        <w:tab/>
      </w:r>
      <w:r>
        <w:t>C</w:t>
      </w:r>
    </w:p>
    <w:p>
      <w:pPr>
        <w:pStyle w:val="style94"/>
        <w:spacing w:lineRule="auto" w:line="480"/>
        <w:ind w:left="360"/>
        <w:rPr/>
      </w:pPr>
      <w:r>
        <w:t>Fig 2. Calibration curve showing Absorbance against Concentration of TPC (</w:t>
      </w:r>
      <w:r>
        <w:t>0.757</w:t>
      </w:r>
      <w:r>
        <w:t xml:space="preserve"> is the absorbance average of sample, while </w:t>
      </w:r>
      <w:r>
        <w:t>42</w:t>
      </w:r>
      <w:r>
        <w:t xml:space="preserve"> is the concentration obtained from standard curve)</w:t>
      </w:r>
    </w:p>
    <w:p>
      <w:pPr>
        <w:pStyle w:val="style94"/>
        <w:spacing w:before="0" w:beforeAutospacing="false" w:after="0" w:afterAutospacing="false"/>
        <w:rPr>
          <w:rStyle w:val="style4104"/>
          <w:u w:val="single"/>
        </w:rPr>
      </w:pPr>
      <w:r>
        <w:rPr>
          <w:rStyle w:val="style4104"/>
        </w:rPr>
        <w:t xml:space="preserve">      </w:t>
      </w:r>
      <w:r>
        <w:rPr>
          <w:rStyle w:val="style4104"/>
        </w:rPr>
        <w:t xml:space="preserve">TPC= </w:t>
      </w:r>
      <w:r>
        <w:rPr>
          <w:rStyle w:val="style4104"/>
        </w:rPr>
        <w:t>4</w:t>
      </w:r>
      <w:r>
        <w:rPr>
          <w:rStyle w:val="style4104"/>
        </w:rPr>
        <w:t>2</w:t>
      </w:r>
      <w:r>
        <w:rPr>
          <w:rStyle w:val="style4104"/>
        </w:rPr>
        <w:t xml:space="preserve"> x </w:t>
      </w:r>
      <w:r>
        <w:rPr>
          <w:rStyle w:val="style4104"/>
          <w:u w:val="single"/>
        </w:rPr>
        <w:t>0.5</w:t>
      </w:r>
    </w:p>
    <w:p>
      <w:pPr>
        <w:pStyle w:val="style94"/>
        <w:spacing w:before="0" w:beforeAutospacing="false" w:after="0" w:afterAutospacing="false"/>
        <w:rPr>
          <w:rStyle w:val="style4104"/>
        </w:rPr>
      </w:pPr>
    </w:p>
    <w:p>
      <w:pPr>
        <w:pStyle w:val="style0"/>
        <w:spacing w:after="0" w:lineRule="auto" w:line="240"/>
        <w:ind w:left="720"/>
        <w:rPr>
          <w:rStyle w:val="style4104"/>
          <w:rFonts w:ascii="Times New Roman" w:cs="Times New Roman" w:hAnsi="Times New Roman"/>
          <w:sz w:val="24"/>
          <w:szCs w:val="24"/>
        </w:rPr>
      </w:pP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1.</w:t>
      </w:r>
      <w:r>
        <w:rPr>
          <w:rStyle w:val="style4104"/>
          <w:rFonts w:ascii="Times New Roman" w:cs="Times New Roman" w:hAnsi="Times New Roman"/>
          <w:sz w:val="24"/>
          <w:szCs w:val="24"/>
        </w:rPr>
        <w:t>14</w:t>
      </w:r>
      <w:r>
        <w:rPr>
          <w:rStyle w:val="style4104"/>
          <w:rFonts w:ascii="Times New Roman" w:cs="Times New Roman" w:hAnsi="Times New Roman"/>
          <w:sz w:val="24"/>
          <w:szCs w:val="24"/>
        </w:rPr>
        <w:tab/>
      </w:r>
      <w:r>
        <w:rPr>
          <w:rStyle w:val="style4104"/>
          <w:rFonts w:ascii="Times New Roman" w:cs="Times New Roman" w:hAnsi="Times New Roman"/>
          <w:sz w:val="24"/>
          <w:szCs w:val="24"/>
        </w:rPr>
        <w:tab/>
      </w: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18.42</w:t>
      </w:r>
      <w:r>
        <w:rPr>
          <w:rStyle w:val="style4104"/>
          <w:rFonts w:ascii="Times New Roman" w:cs="Times New Roman" w:hAnsi="Times New Roman"/>
          <w:sz w:val="24"/>
          <w:szCs w:val="24"/>
        </w:rPr>
        <w:t>mgEquiv/g</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RAW DATA ON </w:t>
      </w:r>
      <w:r>
        <w:rPr>
          <w:rFonts w:ascii="Times New Roman" w:cs="Times New Roman" w:hAnsi="Times New Roman"/>
          <w:b/>
          <w:bCs/>
          <w:color w:val="000000"/>
          <w:sz w:val="24"/>
          <w:szCs w:val="24"/>
        </w:rPr>
        <w:t>ENDOCARP</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TPC (</w:t>
      </w:r>
      <w:r>
        <w:rPr>
          <w:rFonts w:ascii="Times New Roman" w:cs="Times New Roman" w:hAnsi="Times New Roman"/>
          <w:color w:val="000000"/>
          <w:sz w:val="24"/>
          <w:szCs w:val="24"/>
        </w:rPr>
        <w:t>mgGAEquiv</w:t>
      </w:r>
      <w:r>
        <w:rPr>
          <w:rFonts w:ascii="Times New Roman" w:cs="Times New Roman" w:hAnsi="Times New Roman"/>
          <w:color w:val="000000"/>
          <w:sz w:val="24"/>
          <w:szCs w:val="24"/>
        </w:rPr>
        <w:t xml:space="preserve">/g) = C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 = Concentration = endocarp (113)</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V = Volume of sample = 0.5ml</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 = Mass of sample = 1.14g</w:t>
      </w:r>
    </w:p>
    <w:p>
      <w:pPr>
        <w:pStyle w:val="style0"/>
        <w:spacing w:after="0" w:lineRule="auto" w:line="480"/>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4" behindDoc="false" locked="false" layoutInCell="true" allowOverlap="true">
                <wp:simplePos x="0" y="0"/>
                <wp:positionH relativeFrom="column">
                  <wp:posOffset>1562735</wp:posOffset>
                </wp:positionH>
                <wp:positionV relativeFrom="paragraph">
                  <wp:posOffset>232883</wp:posOffset>
                </wp:positionV>
                <wp:extent cx="1967023" cy="2105513"/>
                <wp:effectExtent l="0" t="0" r="14605" b="28575"/>
                <wp:wrapNone/>
                <wp:docPr id="1037" name="Group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967023" cy="2105513"/>
                          <a:chOff x="0" y="147107"/>
                          <a:chExt cx="1775637" cy="1533206"/>
                        </a:xfrm>
                      </wpg:grpSpPr>
                      <wpg:grpSp>
                        <wpg:cNvGrpSpPr/>
                        <wpg:grpSpPr>
                          <a:xfrm>
                            <a:off x="0" y="147107"/>
                            <a:ext cx="1775637" cy="1533206"/>
                            <a:chOff x="0" y="147107"/>
                            <a:chExt cx="1775637" cy="1533206"/>
                          </a:xfrm>
                        </wpg:grpSpPr>
                        <wps:wsp>
                          <wps:cNvSpPr/>
                          <wps:spPr>
                            <a:xfrm rot="0">
                              <a:off x="0" y="147107"/>
                              <a:ext cx="0" cy="1532049"/>
                            </a:xfrm>
                            <a:prstGeom prst="line"/>
                            <a:ln cmpd="sng" cap="flat" w="6350">
                              <a:solidFill>
                                <a:srgbClr val="000000"/>
                              </a:solidFill>
                              <a:prstDash val="solid"/>
                              <a:miter/>
                              <a:headEnd/>
                              <a:tailEnd/>
                            </a:ln>
                          </wps:spPr>
                          <wps:bodyPr>
                            <a:prstTxWarp prst="textNoShape"/>
                          </wps:bodyPr>
                        </wps:wsp>
                        <wps:wsp>
                          <wps:cNvSpPr/>
                          <wps:spPr>
                            <a:xfrm rot="0" flipH="1">
                              <a:off x="0" y="1679944"/>
                              <a:ext cx="1775637" cy="369"/>
                            </a:xfrm>
                            <a:prstGeom prst="line"/>
                            <a:ln cmpd="sng" cap="flat" w="6350">
                              <a:solidFill>
                                <a:srgbClr val="000000"/>
                              </a:solidFill>
                              <a:prstDash val="solid"/>
                              <a:miter/>
                              <a:headEnd/>
                              <a:tailEnd/>
                            </a:ln>
                          </wps:spPr>
                          <wps:bodyPr>
                            <a:prstTxWarp prst="textNoShape"/>
                          </wps:bodyPr>
                        </wps:wsp>
                        <wps:wsp>
                          <wps:cNvSpPr/>
                          <wps:spPr>
                            <a:xfrm rot="0" flipH="1">
                              <a:off x="0" y="584791"/>
                              <a:ext cx="1063256" cy="1094710"/>
                            </a:xfrm>
                            <a:prstGeom prst="line"/>
                            <a:ln cmpd="sng" cap="flat" w="6350">
                              <a:solidFill>
                                <a:srgbClr val="000000"/>
                              </a:solidFill>
                              <a:prstDash val="solid"/>
                              <a:miter/>
                              <a:headEnd/>
                              <a:tailEnd/>
                            </a:ln>
                          </wps:spPr>
                          <wps:bodyPr>
                            <a:prstTxWarp prst="textNoShape"/>
                          </wps:bodyPr>
                        </wps:wsp>
                      </wpg:grpSp>
                      <wps:wsp>
                        <wps:cNvSpPr/>
                        <wps:spPr>
                          <a:xfrm rot="0">
                            <a:off x="0" y="1063256"/>
                            <a:ext cx="541655" cy="0"/>
                          </a:xfrm>
                          <a:prstGeom prst="line"/>
                          <a:ln cmpd="sng" cap="flat" w="6350">
                            <a:solidFill>
                              <a:srgbClr val="000000"/>
                            </a:solidFill>
                            <a:prstDash val="sysDash"/>
                            <a:miter/>
                            <a:headEnd/>
                            <a:tailEnd/>
                          </a:ln>
                        </wps:spPr>
                        <wps:bodyPr>
                          <a:prstTxWarp prst="textNoShape"/>
                        </wps:bodyPr>
                      </wps:wsp>
                      <wps:wsp>
                        <wps:cNvSpPr/>
                        <wps:spPr>
                          <a:xfrm rot="0">
                            <a:off x="595423" y="1063256"/>
                            <a:ext cx="0" cy="616570"/>
                          </a:xfrm>
                          <a:prstGeom prst="line"/>
                          <a:ln cmpd="sng" cap="flat" w="6350">
                            <a:solidFill>
                              <a:srgbClr val="000000"/>
                            </a:solidFill>
                            <a:prstDash val="sysDash"/>
                            <a:miter/>
                            <a:headEnd/>
                            <a:tailEnd/>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37" filled="f" stroked="f" style="position:absolute;margin-left:123.05pt;margin-top:18.34pt;width:154.88pt;height:165.79pt;z-index:4;mso-position-horizontal-relative:text;mso-position-vertical-relative:text;mso-width-percent:0;mso-height-percent:0;mso-width-relative:margin;mso-height-relative:margin;mso-wrap-distance-left:0.0pt;mso-wrap-distance-right:0.0pt;visibility:visible;" coordsize="1775637,1533206" coordorigin="0,147107">
                <v:group id="1038" filled="f" stroked="f" style="position:absolute;left:0;top:147107;width:1775637;height:1533206;z-index:2;mso-position-horizontal-relative:page;mso-position-vertical-relative:page;mso-width-relative:page;mso-height-relative:page;visibility:visible;" coordsize="1775637,1533206" coordorigin="0,147107">
                  <v:line id="1039" filled="f" stroked="t" from="0.0pt,147107.0pt" to="0.0pt,1679156.0pt" style="position:absolute;z-index:2;mso-position-horizontal-relative:page;mso-position-vertical-relative:page;mso-width-relative:page;mso-height-relative:page;visibility:visible;">
                    <v:stroke joinstyle="miter" weight="0.5pt"/>
                    <v:fill/>
                  </v:line>
                  <v:line id="1040" filled="f" stroked="t" from="0.0pt,1679944.0pt" to="1775637.0pt,1680313.0pt" style="position:absolute;z-index:3;mso-position-horizontal-relative:page;mso-position-vertical-relative:page;mso-width-relative:page;mso-height-relative:page;visibility:visible;flip:x;">
                    <v:stroke joinstyle="miter" weight="0.5pt"/>
                    <v:fill/>
                  </v:line>
                  <v:line id="1041" filled="f" stroked="t" from="0.0pt,584791.0pt" to="1063256.0pt,1679501.0pt" style="position:absolute;z-index:4;mso-position-horizontal-relative:page;mso-position-vertical-relative:page;mso-width-relative:page;mso-height-relative:page;visibility:visible;flip:x;">
                    <v:stroke joinstyle="miter" weight="0.5pt"/>
                    <v:fill/>
                  </v:line>
                  <v:fill/>
                </v:group>
                <v:line id="1042" filled="f" stroked="t" from="0.0pt,1063256.0pt" to="541655.0pt,1063256.0pt" style="position:absolute;z-index:3;mso-position-horizontal-relative:page;mso-position-vertical-relative:page;mso-width-relative:page;mso-height-relative:page;visibility:visible;">
                  <v:stroke dashstyle="shortdash" joinstyle="miter" weight="0.5pt"/>
                  <v:fill/>
                </v:line>
                <v:line id="1043" filled="f" stroked="t" from="595423.0pt,1063256.0pt" to="595423.0pt,1679826.0pt" style="position:absolute;z-index:4;mso-position-horizontal-relative:page;mso-position-vertical-relative:page;mso-width-relative:page;mso-height-relative:page;visibility:visible;">
                  <v:stroke dashstyle="shortdash" joinstyle="miter" weight="0.5pt"/>
                  <v:fill/>
                </v:line>
                <v:fill/>
              </v:group>
            </w:pict>
          </mc:Fallback>
        </mc:AlternateContent>
      </w:r>
    </w:p>
    <w:p>
      <w:pPr>
        <w:pStyle w:val="style0"/>
        <w:spacing w:lineRule="auto" w:line="480"/>
        <w:rPr>
          <w:rFonts w:ascii="Times New Roman" w:cs="Times New Roman" w:hAnsi="Times New Roman"/>
          <w:sz w:val="24"/>
          <w:szCs w:val="24"/>
        </w:rPr>
      </w:pPr>
    </w:p>
    <w:p>
      <w:pPr>
        <w:pStyle w:val="style94"/>
        <w:spacing w:lineRule="auto" w:line="480"/>
        <w:ind w:left="1440" w:firstLine="720"/>
        <w:rPr/>
      </w:pPr>
      <w:r>
        <w:t>A</w:t>
      </w:r>
    </w:p>
    <w:p>
      <w:pPr>
        <w:pStyle w:val="style94"/>
        <w:spacing w:lineRule="auto" w:line="480"/>
        <w:ind w:left="1440"/>
        <w:rPr/>
      </w:pPr>
      <w:r>
        <w:t xml:space="preserve">      </w:t>
      </w:r>
      <w:r>
        <w:t>1.566</w:t>
      </w:r>
      <w:r>
        <w:t>.</w:t>
      </w:r>
    </w:p>
    <w:p>
      <w:pPr>
        <w:pStyle w:val="style94"/>
        <w:spacing w:lineRule="auto" w:line="480"/>
        <w:ind w:left="360" w:firstLine="360"/>
        <w:rPr/>
      </w:pPr>
    </w:p>
    <w:p>
      <w:pPr>
        <w:pStyle w:val="style94"/>
        <w:ind w:left="3240"/>
        <w:rPr/>
      </w:pPr>
      <w:r>
        <w:t xml:space="preserve"> </w:t>
      </w:r>
      <w:r>
        <w:t>113</w:t>
      </w:r>
      <w:r>
        <w:tab/>
      </w:r>
      <w:r>
        <w:t>C</w:t>
      </w:r>
    </w:p>
    <w:p>
      <w:pPr>
        <w:pStyle w:val="style94"/>
        <w:spacing w:lineRule="auto" w:line="480"/>
        <w:ind w:left="360"/>
        <w:rPr/>
      </w:pPr>
      <w:r>
        <w:t xml:space="preserve">Fig </w:t>
      </w:r>
      <w:r>
        <w:t>2</w:t>
      </w:r>
      <w:r>
        <w:t>. Calibration curve showing Absorbance against Concentration of TPC (</w:t>
      </w:r>
      <w:r>
        <w:t>1.566</w:t>
      </w:r>
      <w:r>
        <w:t xml:space="preserve"> is the absorbance average of sample, while </w:t>
      </w:r>
      <w:r>
        <w:t xml:space="preserve">113 </w:t>
      </w:r>
      <w:r>
        <w:t>is the concentration obtained from standard curve)</w:t>
      </w:r>
    </w:p>
    <w:p>
      <w:pPr>
        <w:pStyle w:val="style94"/>
        <w:spacing w:before="0" w:beforeAutospacing="false" w:after="0" w:afterAutospacing="false"/>
        <w:rPr>
          <w:rStyle w:val="style4104"/>
          <w:u w:val="single"/>
        </w:rPr>
      </w:pPr>
      <w:r>
        <w:rPr>
          <w:rStyle w:val="style4104"/>
        </w:rPr>
        <w:t xml:space="preserve">      </w:t>
      </w:r>
      <w:r>
        <w:rPr>
          <w:rStyle w:val="style4104"/>
        </w:rPr>
        <w:t xml:space="preserve">TPC= </w:t>
      </w:r>
      <w:r>
        <w:rPr>
          <w:rStyle w:val="style4104"/>
        </w:rPr>
        <w:t>113</w:t>
      </w:r>
      <w:r>
        <w:rPr>
          <w:rStyle w:val="style4104"/>
        </w:rPr>
        <w:t xml:space="preserve"> x </w:t>
      </w:r>
      <w:r>
        <w:rPr>
          <w:rStyle w:val="style4104"/>
          <w:u w:val="single"/>
        </w:rPr>
        <w:t>0.5</w:t>
      </w:r>
    </w:p>
    <w:p>
      <w:pPr>
        <w:pStyle w:val="style94"/>
        <w:spacing w:before="0" w:beforeAutospacing="false" w:after="0" w:afterAutospacing="false"/>
        <w:rPr>
          <w:rStyle w:val="style4104"/>
        </w:rPr>
      </w:pPr>
    </w:p>
    <w:p>
      <w:pPr>
        <w:pStyle w:val="style0"/>
        <w:spacing w:after="0" w:lineRule="auto" w:line="240"/>
        <w:ind w:left="720"/>
        <w:rPr>
          <w:rStyle w:val="style4104"/>
          <w:rFonts w:ascii="Times New Roman" w:cs="Times New Roman" w:hAnsi="Times New Roman"/>
          <w:sz w:val="24"/>
          <w:szCs w:val="24"/>
        </w:rPr>
      </w:pP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 xml:space="preserve"> 1.14</w:t>
      </w:r>
      <w:r>
        <w:rPr>
          <w:rStyle w:val="style4104"/>
          <w:rFonts w:ascii="Times New Roman" w:cs="Times New Roman" w:hAnsi="Times New Roman"/>
          <w:sz w:val="24"/>
          <w:szCs w:val="24"/>
        </w:rPr>
        <w:tab/>
      </w:r>
      <w:r>
        <w:rPr>
          <w:rStyle w:val="style4104"/>
          <w:rFonts w:ascii="Times New Roman" w:cs="Times New Roman" w:hAnsi="Times New Roman"/>
          <w:sz w:val="24"/>
          <w:szCs w:val="24"/>
        </w:rPr>
        <w:tab/>
      </w: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49.56</w:t>
      </w:r>
      <w:r>
        <w:rPr>
          <w:rStyle w:val="style4104"/>
          <w:rFonts w:ascii="Times New Roman" w:cs="Times New Roman" w:hAnsi="Times New Roman"/>
          <w:sz w:val="24"/>
          <w:szCs w:val="24"/>
        </w:rPr>
        <w:t>mgEquiv/g</w:t>
      </w:r>
    </w:p>
    <w:p>
      <w:pPr>
        <w:pStyle w:val="style0"/>
        <w:spacing w:after="0" w:lineRule="auto" w:line="240"/>
        <w:ind w:left="720"/>
        <w:rPr>
          <w:rStyle w:val="style4104"/>
          <w:rFonts w:ascii="Times New Roman" w:cs="Times New Roman" w:hAnsi="Times New Roman"/>
          <w:sz w:val="24"/>
          <w:szCs w:val="24"/>
        </w:rPr>
      </w:pPr>
    </w:p>
    <w:p>
      <w:pPr>
        <w:pStyle w:val="style0"/>
        <w:spacing w:after="0" w:lineRule="auto" w:line="240"/>
        <w:ind w:left="720"/>
        <w:rPr>
          <w:rStyle w:val="style4104"/>
          <w:rFonts w:ascii="Times New Roman" w:cs="Times New Roman" w:hAnsi="Times New Roman"/>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94"/>
        <w:spacing w:lineRule="auto" w:line="480"/>
        <w:ind w:left="540" w:hanging="540"/>
        <w:jc w:val="both"/>
        <w:rPr/>
      </w:pPr>
      <w:r>
        <w:rPr>
          <w:rStyle w:val="style87"/>
        </w:rPr>
        <w:t>Ali, M., Qaiser, M., &amp; Khatoon, S.</w:t>
      </w:r>
      <w:r>
        <w:t xml:space="preserve"> (2012). </w:t>
      </w:r>
      <w:r>
        <w:rPr>
          <w:rStyle w:val="style88"/>
        </w:rPr>
        <w:t>Traditional ethnobotanical uses of medicinal plants from district Bahawalpur, Pakistan</w:t>
      </w:r>
      <w:r>
        <w:t xml:space="preserve">. </w:t>
      </w:r>
      <w:r>
        <w:rPr>
          <w:rStyle w:val="style87"/>
        </w:rPr>
        <w:t>Journal of Ethnopharmacology</w:t>
      </w:r>
      <w:r>
        <w:t>, 144(2), 439–450. https://doi.org/10.1016/j.jep.2012.09.013</w:t>
      </w:r>
    </w:p>
    <w:p>
      <w:pPr>
        <w:pStyle w:val="style94"/>
        <w:spacing w:lineRule="auto" w:line="480"/>
        <w:ind w:left="540" w:hanging="540"/>
        <w:jc w:val="both"/>
        <w:rPr/>
      </w:pPr>
      <w:r>
        <w:rPr>
          <w:rStyle w:val="style87"/>
        </w:rPr>
        <w:t xml:space="preserve">Apak, R., </w:t>
      </w:r>
      <w:r>
        <w:rPr>
          <w:rStyle w:val="style87"/>
        </w:rPr>
        <w:t>Özyürek</w:t>
      </w:r>
      <w:r>
        <w:rPr>
          <w:rStyle w:val="style87"/>
        </w:rPr>
        <w:t>, M., Güçlü, K., &amp; Çapanoğlu, E.</w:t>
      </w:r>
      <w:r>
        <w:t xml:space="preserve"> (2016). </w:t>
      </w:r>
      <w:r>
        <w:rPr>
          <w:rStyle w:val="style88"/>
        </w:rPr>
        <w:t>Antioxidant activity/capacity measurement. 1. Classification, physicochemical principles, mechanisms, and electron transfer (ET)-based assays</w:t>
      </w:r>
      <w:r>
        <w:t xml:space="preserve">. </w:t>
      </w:r>
      <w:r>
        <w:rPr>
          <w:rStyle w:val="style87"/>
        </w:rPr>
        <w:t>Journal of Agricultural and Food Chemistry</w:t>
      </w:r>
      <w:r>
        <w:t>, 64(5), 997–1027. https://doi.org/10.1021/acs.jafc.5b04739</w:t>
      </w:r>
    </w:p>
    <w:p>
      <w:pPr>
        <w:pStyle w:val="style94"/>
        <w:spacing w:lineRule="auto" w:line="480"/>
        <w:ind w:left="540" w:hanging="540"/>
        <w:jc w:val="both"/>
        <w:rPr/>
      </w:pPr>
      <w:r>
        <w:rPr>
          <w:rStyle w:val="style87"/>
        </w:rPr>
        <w:t>Azwanida</w:t>
      </w:r>
      <w:r>
        <w:rPr>
          <w:rStyle w:val="style87"/>
        </w:rPr>
        <w:t>, N. N.</w:t>
      </w:r>
      <w:r>
        <w:t xml:space="preserve"> (2015). </w:t>
      </w:r>
      <w:r>
        <w:rPr>
          <w:rStyle w:val="style88"/>
        </w:rPr>
        <w:t>A review on the extraction methods use</w:t>
      </w:r>
      <w:r>
        <w:rPr>
          <w:rStyle w:val="style88"/>
        </w:rPr>
        <w:t>d</w:t>
      </w:r>
      <w:r>
        <w:rPr>
          <w:rStyle w:val="style88"/>
        </w:rPr>
        <w:t xml:space="preserve"> in medicinal plants, principle, strength, and limitation</w:t>
      </w:r>
      <w:r>
        <w:t xml:space="preserve">. </w:t>
      </w:r>
      <w:r>
        <w:rPr>
          <w:rStyle w:val="style87"/>
        </w:rPr>
        <w:t>Medicinal &amp; Aromatic Plants</w:t>
      </w:r>
      <w:r>
        <w:t>, 4(3), 196. https://doi.org/10.4172/2167-0412.1000196</w:t>
      </w:r>
    </w:p>
    <w:p>
      <w:pPr>
        <w:pStyle w:val="style94"/>
        <w:spacing w:lineRule="auto" w:line="480"/>
        <w:ind w:left="540" w:hanging="540"/>
        <w:jc w:val="both"/>
        <w:rPr/>
      </w:pPr>
      <w:r>
        <w:rPr>
          <w:rStyle w:val="style87"/>
        </w:rPr>
        <w:t>Banso</w:t>
      </w:r>
      <w:r>
        <w:rPr>
          <w:rStyle w:val="style87"/>
        </w:rPr>
        <w:t>, A., &amp; Adeyemo, S. O.</w:t>
      </w:r>
      <w:r>
        <w:t xml:space="preserve"> (2007). </w:t>
      </w:r>
      <w:r>
        <w:rPr>
          <w:rStyle w:val="style88"/>
        </w:rPr>
        <w:t xml:space="preserve">Evaluation of antibacterial properties of tannins isolated from </w:t>
      </w:r>
      <w:r>
        <w:rPr>
          <w:rStyle w:val="style88"/>
        </w:rPr>
        <w:t>Dichrostachys</w:t>
      </w:r>
      <w:r>
        <w:rPr>
          <w:rStyle w:val="style88"/>
        </w:rPr>
        <w:t xml:space="preserve"> </w:t>
      </w:r>
      <w:r>
        <w:rPr>
          <w:rStyle w:val="style88"/>
        </w:rPr>
        <w:t>cinerea</w:t>
      </w:r>
      <w:r>
        <w:t xml:space="preserve">. </w:t>
      </w:r>
      <w:r>
        <w:rPr>
          <w:rStyle w:val="style87"/>
        </w:rPr>
        <w:t>African Journal of Biotechnology</w:t>
      </w:r>
      <w:r>
        <w:t>, 6(15), 1785–1787. https://doi.org/10.5897/AJB2007.000-2246</w:t>
      </w:r>
    </w:p>
    <w:p>
      <w:pPr>
        <w:pStyle w:val="style94"/>
        <w:spacing w:lineRule="auto" w:line="480"/>
        <w:ind w:left="540" w:hanging="540"/>
        <w:jc w:val="both"/>
        <w:rPr/>
      </w:pPr>
      <w:r>
        <w:rPr>
          <w:rStyle w:val="style87"/>
        </w:rPr>
        <w:t>Benzie, I. F. F., &amp; Strain, J. J.</w:t>
      </w:r>
      <w:r>
        <w:t xml:space="preserve"> (1996). </w:t>
      </w:r>
      <w:r>
        <w:rPr>
          <w:rStyle w:val="style88"/>
        </w:rPr>
        <w:t>The ferric reducing ability of plasma (FRAP) as a measure of “antioxidant power”: The FRAP assay</w:t>
      </w:r>
      <w:r>
        <w:t xml:space="preserve">. </w:t>
      </w:r>
      <w:r>
        <w:rPr>
          <w:rStyle w:val="style87"/>
        </w:rPr>
        <w:t>Analytical Biochemistry</w:t>
      </w:r>
      <w:r>
        <w:t>, 239(1), 70–76. https://doi.org/10.1006/abio.1996.0292</w:t>
      </w:r>
    </w:p>
    <w:p>
      <w:pPr>
        <w:pStyle w:val="style94"/>
        <w:spacing w:lineRule="auto" w:line="480"/>
        <w:ind w:left="540" w:hanging="540"/>
        <w:jc w:val="both"/>
        <w:rPr/>
      </w:pPr>
      <w:r>
        <w:rPr>
          <w:rStyle w:val="style87"/>
        </w:rPr>
        <w:t>Bisht, S., Kant, R., Kumar, V., &amp; Rana, A. C.</w:t>
      </w:r>
      <w:r>
        <w:t xml:space="preserve"> (2013). </w:t>
      </w:r>
      <w:r>
        <w:rPr>
          <w:rStyle w:val="style88"/>
        </w:rPr>
        <w:t xml:space="preserve">Pharmacological potential of Acacia </w:t>
      </w:r>
      <w:r>
        <w:rPr>
          <w:rStyle w:val="style88"/>
        </w:rPr>
        <w:t>nilotica</w:t>
      </w:r>
      <w:r>
        <w:rPr>
          <w:rStyle w:val="style88"/>
        </w:rPr>
        <w:t>: A review</w:t>
      </w:r>
      <w:r>
        <w:t xml:space="preserve">. </w:t>
      </w:r>
      <w:r>
        <w:rPr>
          <w:rStyle w:val="style87"/>
        </w:rPr>
        <w:t>International Research Journal of Pharmacy</w:t>
      </w:r>
      <w:r>
        <w:t>, 4(7), 42–47.</w:t>
      </w:r>
    </w:p>
    <w:p>
      <w:pPr>
        <w:pStyle w:val="style94"/>
        <w:spacing w:lineRule="auto" w:line="480"/>
        <w:ind w:left="540" w:hanging="540"/>
        <w:jc w:val="both"/>
        <w:rPr/>
      </w:pPr>
      <w:r>
        <w:rPr>
          <w:rStyle w:val="style87"/>
        </w:rPr>
        <w:t xml:space="preserve">Brand-Williams, W., Cuvelier, M. E., &amp; </w:t>
      </w:r>
      <w:r>
        <w:rPr>
          <w:rStyle w:val="style87"/>
        </w:rPr>
        <w:t>Berset</w:t>
      </w:r>
      <w:r>
        <w:rPr>
          <w:rStyle w:val="style87"/>
        </w:rPr>
        <w:t>, C. L. W. T.</w:t>
      </w:r>
      <w:r>
        <w:t xml:space="preserve"> (1995). </w:t>
      </w:r>
      <w:r>
        <w:rPr>
          <w:rStyle w:val="style88"/>
        </w:rPr>
        <w:t>Use of a free radical method to evaluate antioxidant activity</w:t>
      </w:r>
      <w:r>
        <w:t xml:space="preserve">. </w:t>
      </w:r>
      <w:r>
        <w:rPr>
          <w:rStyle w:val="style87"/>
        </w:rPr>
        <w:t>LWT - Food Science and Technology</w:t>
      </w:r>
      <w:r>
        <w:t>, 28(1), 25–30. https://doi.org/10.1016/S0023-</w:t>
      </w:r>
      <w:r>
        <w:t>6438(</w:t>
      </w:r>
      <w:r>
        <w:t>95)80008-5</w:t>
      </w:r>
    </w:p>
    <w:p>
      <w:pPr>
        <w:pStyle w:val="style94"/>
        <w:spacing w:lineRule="auto" w:line="480"/>
        <w:ind w:left="540" w:hanging="540"/>
        <w:jc w:val="both"/>
        <w:rPr/>
      </w:pPr>
      <w:r>
        <w:rPr>
          <w:rStyle w:val="style87"/>
        </w:rPr>
        <w:t xml:space="preserve">Do, Q. D., </w:t>
      </w:r>
      <w:r>
        <w:rPr>
          <w:rStyle w:val="style87"/>
        </w:rPr>
        <w:t>Angkawijaya</w:t>
      </w:r>
      <w:r>
        <w:rPr>
          <w:rStyle w:val="style87"/>
        </w:rPr>
        <w:t xml:space="preserve">, A. E., Tran-Nguyen, P. L., Huynh, L. H., </w:t>
      </w:r>
      <w:r>
        <w:rPr>
          <w:rStyle w:val="style87"/>
        </w:rPr>
        <w:t>Soetaredjo</w:t>
      </w:r>
      <w:r>
        <w:rPr>
          <w:rStyle w:val="style87"/>
        </w:rPr>
        <w:t xml:space="preserve">, F. E., </w:t>
      </w:r>
      <w:r>
        <w:rPr>
          <w:rStyle w:val="style87"/>
        </w:rPr>
        <w:t>Ismadji</w:t>
      </w:r>
      <w:r>
        <w:rPr>
          <w:rStyle w:val="style87"/>
        </w:rPr>
        <w:t>, S., &amp; Ju, Y. H.</w:t>
      </w:r>
      <w:r>
        <w:t xml:space="preserve"> (2014). </w:t>
      </w:r>
      <w:r>
        <w:rPr>
          <w:rStyle w:val="style88"/>
        </w:rPr>
        <w:t xml:space="preserve">Effect of extraction solvent on total phenol content, total flavonoid content, and antioxidant activity of </w:t>
      </w:r>
      <w:r>
        <w:rPr>
          <w:rStyle w:val="style88"/>
        </w:rPr>
        <w:t>Limnophila</w:t>
      </w:r>
      <w:r>
        <w:rPr>
          <w:rStyle w:val="style88"/>
        </w:rPr>
        <w:t xml:space="preserve"> </w:t>
      </w:r>
      <w:r>
        <w:rPr>
          <w:rStyle w:val="style88"/>
        </w:rPr>
        <w:t>aromatica</w:t>
      </w:r>
      <w:r>
        <w:t xml:space="preserve">. </w:t>
      </w:r>
      <w:r>
        <w:rPr>
          <w:rStyle w:val="style87"/>
        </w:rPr>
        <w:t>Journal of Food and Drug Analysis</w:t>
      </w:r>
      <w:r>
        <w:t>, 22(3), 296–302. https://doi.org/10.1016/j.jfda.2013.11.001</w:t>
      </w:r>
    </w:p>
    <w:p>
      <w:pPr>
        <w:pStyle w:val="style94"/>
        <w:spacing w:lineRule="auto" w:line="480"/>
        <w:ind w:left="540" w:hanging="540"/>
        <w:jc w:val="both"/>
        <w:rPr/>
      </w:pPr>
      <w:r>
        <w:rPr>
          <w:rStyle w:val="style87"/>
        </w:rPr>
        <w:t>Handa, S. S., Khanuja, S. P. S., Longo, G., &amp; Rakesh, D. D.</w:t>
      </w:r>
      <w:r>
        <w:t xml:space="preserve"> (2008). </w:t>
      </w:r>
      <w:r>
        <w:rPr>
          <w:rStyle w:val="style88"/>
        </w:rPr>
        <w:t>Extraction technologies for medicinal and aromatic plants</w:t>
      </w:r>
      <w:r>
        <w:t>. International Centre for Science and High Technology–UNIDO, Trieste, Italy. ISBN: 9789290830402</w:t>
      </w:r>
    </w:p>
    <w:p>
      <w:pPr>
        <w:pStyle w:val="style94"/>
        <w:spacing w:lineRule="auto" w:line="480"/>
        <w:ind w:left="540" w:hanging="540"/>
        <w:jc w:val="both"/>
        <w:rPr/>
      </w:pPr>
      <w:r>
        <w:rPr>
          <w:rStyle w:val="style87"/>
        </w:rPr>
        <w:t>Harborne, J. B.</w:t>
      </w:r>
      <w:r>
        <w:t xml:space="preserve"> (1998). </w:t>
      </w:r>
      <w:r>
        <w:rPr>
          <w:rStyle w:val="style88"/>
        </w:rPr>
        <w:t>Phytochemical Methods: A Guide to Modern Techniques of Plant Analysis</w:t>
      </w:r>
      <w:r>
        <w:t xml:space="preserve"> (3rd </w:t>
      </w:r>
      <w:r>
        <w:t>ed</w:t>
      </w:r>
      <w:r>
        <w:t>.). Springer. ISBN: 9780412572708</w:t>
      </w:r>
    </w:p>
    <w:p>
      <w:pPr>
        <w:pStyle w:val="style94"/>
        <w:spacing w:lineRule="auto" w:line="480"/>
        <w:ind w:left="540" w:hanging="540"/>
        <w:jc w:val="both"/>
        <w:rPr/>
      </w:pPr>
      <w:r>
        <w:rPr>
          <w:rStyle w:val="style87"/>
        </w:rPr>
        <w:t>Kaur, M., Arora, S., &amp; Singh, B.</w:t>
      </w:r>
      <w:r>
        <w:t xml:space="preserve"> (2005). </w:t>
      </w:r>
      <w:r>
        <w:rPr>
          <w:rStyle w:val="style88"/>
        </w:rPr>
        <w:t xml:space="preserve">Acacia </w:t>
      </w:r>
      <w:r>
        <w:rPr>
          <w:rStyle w:val="style88"/>
        </w:rPr>
        <w:t>nilotica</w:t>
      </w:r>
      <w:r>
        <w:rPr>
          <w:rStyle w:val="style88"/>
        </w:rPr>
        <w:t>: A plant of multipurpose medicinal utility</w:t>
      </w:r>
      <w:r>
        <w:t xml:space="preserve">. </w:t>
      </w:r>
      <w:r>
        <w:rPr>
          <w:rStyle w:val="style87"/>
        </w:rPr>
        <w:t>Indian Journal of Pharmacology</w:t>
      </w:r>
      <w:r>
        <w:t>, 37(2), 75–77.</w:t>
      </w:r>
    </w:p>
    <w:p>
      <w:pPr>
        <w:pStyle w:val="style94"/>
        <w:spacing w:lineRule="auto" w:line="480"/>
        <w:ind w:left="540" w:hanging="540"/>
        <w:jc w:val="both"/>
        <w:rPr/>
      </w:pPr>
      <w:r>
        <w:rPr>
          <w:rStyle w:val="style87"/>
        </w:rPr>
        <w:t>Kumar, S., Kumari, R., &amp; Sharma, S.</w:t>
      </w:r>
      <w:r>
        <w:t xml:space="preserve"> (2012). </w:t>
      </w:r>
      <w:r>
        <w:rPr>
          <w:rStyle w:val="style88"/>
        </w:rPr>
        <w:t>Antioxidant activities of some medicinal plants of North India: Comparison and correlation with total phenolic content</w:t>
      </w:r>
      <w:r>
        <w:t xml:space="preserve">. </w:t>
      </w:r>
      <w:r>
        <w:rPr>
          <w:rStyle w:val="style87"/>
        </w:rPr>
        <w:t>Journal of Medicinal Plants Research</w:t>
      </w:r>
      <w:r>
        <w:t>, 6(1), 106–110.</w:t>
      </w:r>
    </w:p>
    <w:p>
      <w:pPr>
        <w:pStyle w:val="style94"/>
        <w:spacing w:lineRule="auto" w:line="480"/>
        <w:ind w:left="540" w:hanging="540"/>
        <w:jc w:val="both"/>
        <w:rPr/>
      </w:pPr>
      <w:r>
        <w:rPr>
          <w:rStyle w:val="style87"/>
        </w:rPr>
        <w:t>Lobo, V., Patil, A., Phatak, A., &amp; Chandra, N.</w:t>
      </w:r>
      <w:r>
        <w:t xml:space="preserve"> (2010). </w:t>
      </w:r>
      <w:r>
        <w:rPr>
          <w:rStyle w:val="style88"/>
        </w:rPr>
        <w:t>Free radicals, antioxidants and functional foods: Impact on human health</w:t>
      </w:r>
      <w:r>
        <w:t xml:space="preserve">. </w:t>
      </w:r>
      <w:r>
        <w:rPr>
          <w:rStyle w:val="style87"/>
        </w:rPr>
        <w:t>Pharmacognosy Reviews</w:t>
      </w:r>
      <w:r>
        <w:t>, 4(8), 118–126. https://doi.org/10.4103/0973-7847.70902</w:t>
      </w:r>
    </w:p>
    <w:p>
      <w:pPr>
        <w:pStyle w:val="style94"/>
        <w:spacing w:lineRule="auto" w:line="480"/>
        <w:ind w:left="540" w:hanging="540"/>
        <w:jc w:val="both"/>
        <w:rPr/>
      </w:pPr>
      <w:r>
        <w:rPr>
          <w:rStyle w:val="style87"/>
        </w:rPr>
        <w:t>Mokhtari, M., Khosravi, A. R., &amp; Nazemi, M.</w:t>
      </w:r>
      <w:r>
        <w:t xml:space="preserve"> (2012). </w:t>
      </w:r>
      <w:r>
        <w:rPr>
          <w:rStyle w:val="style88"/>
        </w:rPr>
        <w:t xml:space="preserve">Evaluation of antioxidant activity of Acacia </w:t>
      </w:r>
      <w:r>
        <w:rPr>
          <w:rStyle w:val="style88"/>
        </w:rPr>
        <w:t>nilotica</w:t>
      </w:r>
      <w:r>
        <w:rPr>
          <w:rStyle w:val="style88"/>
        </w:rPr>
        <w:t xml:space="preserve"> </w:t>
      </w:r>
      <w:r>
        <w:rPr>
          <w:rStyle w:val="style88"/>
        </w:rPr>
        <w:t>ethanolic</w:t>
      </w:r>
      <w:r>
        <w:rPr>
          <w:rStyle w:val="style88"/>
        </w:rPr>
        <w:t xml:space="preserve"> bark extract</w:t>
      </w:r>
      <w:r>
        <w:t xml:space="preserve">. </w:t>
      </w:r>
      <w:r>
        <w:rPr>
          <w:rStyle w:val="style87"/>
        </w:rPr>
        <w:t>Iranian Journal of Pharmaceutical Sciences</w:t>
      </w:r>
      <w:r>
        <w:t>, 8(3), 137–142.</w:t>
      </w:r>
    </w:p>
    <w:p>
      <w:pPr>
        <w:pStyle w:val="style94"/>
        <w:spacing w:lineRule="auto" w:line="480"/>
        <w:ind w:left="540" w:hanging="540"/>
        <w:jc w:val="both"/>
        <w:rPr/>
      </w:pPr>
      <w:r>
        <w:rPr>
          <w:rStyle w:val="style87"/>
        </w:rPr>
        <w:t>Prieto, P., Pineda, M., &amp; Aguilar, M.</w:t>
      </w:r>
      <w:r>
        <w:t xml:space="preserve"> (1999). </w:t>
      </w:r>
      <w:r>
        <w:rPr>
          <w:rStyle w:val="style88"/>
        </w:rPr>
        <w:t xml:space="preserve">Spectrophotometric quantitation of antioxidant capacity through the formation of a </w:t>
      </w:r>
      <w:r>
        <w:rPr>
          <w:rStyle w:val="style88"/>
        </w:rPr>
        <w:t>phosphomolybdenum</w:t>
      </w:r>
      <w:r>
        <w:rPr>
          <w:rStyle w:val="style88"/>
        </w:rPr>
        <w:t xml:space="preserve"> complex: Specific application to the determination of vitamin E</w:t>
      </w:r>
      <w:r>
        <w:t xml:space="preserve">. </w:t>
      </w:r>
      <w:r>
        <w:rPr>
          <w:rStyle w:val="style87"/>
        </w:rPr>
        <w:t>Analytical Biochemistry</w:t>
      </w:r>
      <w:r>
        <w:t>, 269(2), 337–341. https://doi.org/10.1006/abio.1999.4019</w:t>
      </w:r>
    </w:p>
    <w:p>
      <w:pPr>
        <w:pStyle w:val="style94"/>
        <w:spacing w:lineRule="auto" w:line="480"/>
        <w:ind w:left="540" w:hanging="540"/>
        <w:jc w:val="both"/>
        <w:rPr/>
      </w:pPr>
      <w:r>
        <w:rPr>
          <w:rStyle w:val="style87"/>
        </w:rPr>
        <w:t>Shabbir, A.</w:t>
      </w:r>
      <w:r>
        <w:t xml:space="preserve"> (2014). </w:t>
      </w:r>
      <w:r>
        <w:rPr>
          <w:rStyle w:val="style88"/>
        </w:rPr>
        <w:t xml:space="preserve">Acacia </w:t>
      </w:r>
      <w:r>
        <w:rPr>
          <w:rStyle w:val="style88"/>
        </w:rPr>
        <w:t>nilotica</w:t>
      </w:r>
      <w:r>
        <w:rPr>
          <w:rStyle w:val="style88"/>
        </w:rPr>
        <w:t xml:space="preserve"> (L.): A review of its phytochemistry and pharmacology</w:t>
      </w:r>
      <w:r>
        <w:t xml:space="preserve">. </w:t>
      </w:r>
      <w:r>
        <w:rPr>
          <w:rStyle w:val="style87"/>
        </w:rPr>
        <w:t>Journal of Medicinal Plants Research</w:t>
      </w:r>
      <w:r>
        <w:t>, 8(48), 1361–1371. https://doi.org/10.5897/JMPR2014.5575</w:t>
      </w:r>
    </w:p>
    <w:p>
      <w:pPr>
        <w:pStyle w:val="style94"/>
        <w:spacing w:lineRule="auto" w:line="480"/>
        <w:ind w:left="540" w:hanging="540"/>
        <w:jc w:val="both"/>
        <w:rPr/>
      </w:pPr>
      <w:r>
        <w:rPr>
          <w:rStyle w:val="style87"/>
        </w:rPr>
        <w:t xml:space="preserve">Sharma, S., </w:t>
      </w:r>
      <w:r>
        <w:rPr>
          <w:rStyle w:val="style87"/>
        </w:rPr>
        <w:t>Vig</w:t>
      </w:r>
      <w:r>
        <w:rPr>
          <w:rStyle w:val="style87"/>
        </w:rPr>
        <w:t>, A. P., &amp; Sharma, D.</w:t>
      </w:r>
      <w:r>
        <w:t xml:space="preserve"> (2011). </w:t>
      </w:r>
      <w:r>
        <w:rPr>
          <w:rStyle w:val="style88"/>
        </w:rPr>
        <w:t xml:space="preserve">Studies on phytochemical screening and antioxidant properties of Acacia </w:t>
      </w:r>
      <w:r>
        <w:rPr>
          <w:rStyle w:val="style88"/>
        </w:rPr>
        <w:t>nilotica</w:t>
      </w:r>
      <w:r>
        <w:rPr>
          <w:rStyle w:val="style88"/>
        </w:rPr>
        <w:t xml:space="preserve"> pod and seed extracts</w:t>
      </w:r>
      <w:r>
        <w:t xml:space="preserve">. </w:t>
      </w:r>
      <w:r>
        <w:rPr>
          <w:rStyle w:val="style87"/>
        </w:rPr>
        <w:t>Journal of Pharmacognosy and Phytochemistry</w:t>
      </w:r>
      <w:r>
        <w:t>, 3(4), 61–67.</w:t>
      </w:r>
    </w:p>
    <w:p>
      <w:pPr>
        <w:pStyle w:val="style94"/>
        <w:spacing w:lineRule="auto" w:line="480"/>
        <w:ind w:left="540" w:hanging="540"/>
        <w:jc w:val="both"/>
        <w:rPr/>
      </w:pPr>
      <w:r>
        <w:rPr>
          <w:rStyle w:val="style87"/>
        </w:rPr>
        <w:t>Singh, R., Singh, B., Singh, S., Kumar, N., Kumar, S., &amp; Arora, S.</w:t>
      </w:r>
      <w:r>
        <w:t xml:space="preserve"> (2009). </w:t>
      </w:r>
      <w:r>
        <w:rPr>
          <w:rStyle w:val="style88"/>
        </w:rPr>
        <w:t xml:space="preserve">Antioxidant and antimicrobial activities of ethyl acetate extract of Acacia </w:t>
      </w:r>
      <w:r>
        <w:rPr>
          <w:rStyle w:val="style88"/>
        </w:rPr>
        <w:t>nilotica</w:t>
      </w:r>
      <w:r>
        <w:rPr>
          <w:rStyle w:val="style88"/>
        </w:rPr>
        <w:t xml:space="preserve"> bark</w:t>
      </w:r>
      <w:r>
        <w:t xml:space="preserve">. </w:t>
      </w:r>
      <w:r>
        <w:rPr>
          <w:rStyle w:val="style87"/>
        </w:rPr>
        <w:t>Food and Chemical Toxicology</w:t>
      </w:r>
      <w:r>
        <w:t>, 47(8), 1757–1762. https://doi.org/10.1016/j.fct.2009.04.034</w:t>
      </w:r>
    </w:p>
    <w:p>
      <w:pPr>
        <w:pStyle w:val="style94"/>
        <w:spacing w:lineRule="auto" w:line="480"/>
        <w:ind w:left="540" w:hanging="540"/>
        <w:jc w:val="both"/>
        <w:rPr/>
      </w:pPr>
      <w:r>
        <w:rPr>
          <w:rStyle w:val="style87"/>
        </w:rPr>
        <w:t>Sultana, B., Anwar, F., &amp; Przybylski, R.</w:t>
      </w:r>
      <w:r>
        <w:t xml:space="preserve"> (2007). </w:t>
      </w:r>
      <w:r>
        <w:rPr>
          <w:rStyle w:val="style88"/>
        </w:rPr>
        <w:t xml:space="preserve">Antioxidant activity of phenolic components present in barks of </w:t>
      </w:r>
      <w:r>
        <w:rPr>
          <w:rStyle w:val="style88"/>
        </w:rPr>
        <w:t>Azadirachta</w:t>
      </w:r>
      <w:r>
        <w:rPr>
          <w:rStyle w:val="style88"/>
        </w:rPr>
        <w:t xml:space="preserve"> </w:t>
      </w:r>
      <w:r>
        <w:rPr>
          <w:rStyle w:val="style88"/>
        </w:rPr>
        <w:t>indica</w:t>
      </w:r>
      <w:r>
        <w:rPr>
          <w:rStyle w:val="style88"/>
        </w:rPr>
        <w:t xml:space="preserve">, </w:t>
      </w:r>
      <w:r>
        <w:rPr>
          <w:rStyle w:val="style88"/>
        </w:rPr>
        <w:t>Terminalia</w:t>
      </w:r>
      <w:r>
        <w:rPr>
          <w:rStyle w:val="style88"/>
        </w:rPr>
        <w:t xml:space="preserve"> </w:t>
      </w:r>
      <w:r>
        <w:rPr>
          <w:rStyle w:val="style88"/>
        </w:rPr>
        <w:t>arjuna</w:t>
      </w:r>
      <w:r>
        <w:rPr>
          <w:rStyle w:val="style88"/>
        </w:rPr>
        <w:t xml:space="preserve">, Acacia </w:t>
      </w:r>
      <w:r>
        <w:rPr>
          <w:rStyle w:val="style88"/>
        </w:rPr>
        <w:t>nilotica</w:t>
      </w:r>
      <w:r>
        <w:rPr>
          <w:rStyle w:val="style88"/>
        </w:rPr>
        <w:t xml:space="preserve">, and Eugenia </w:t>
      </w:r>
      <w:r>
        <w:rPr>
          <w:rStyle w:val="style88"/>
        </w:rPr>
        <w:t>jambolana</w:t>
      </w:r>
      <w:r>
        <w:rPr>
          <w:rStyle w:val="style88"/>
        </w:rPr>
        <w:t xml:space="preserve"> Lam. trees</w:t>
      </w:r>
      <w:r>
        <w:t xml:space="preserve">. </w:t>
      </w:r>
      <w:r>
        <w:rPr>
          <w:rStyle w:val="style87"/>
        </w:rPr>
        <w:t>Food Chemistry</w:t>
      </w:r>
      <w:r>
        <w:t>, 104(3), 1106–1114. https://doi.org/10.1016/j.foodchem.2007.01.019</w:t>
      </w:r>
    </w:p>
    <w:p>
      <w:pPr>
        <w:pStyle w:val="style94"/>
        <w:spacing w:lineRule="auto" w:line="480"/>
        <w:ind w:left="540" w:hanging="540"/>
        <w:jc w:val="both"/>
        <w:rPr/>
      </w:pPr>
      <w:r>
        <w:rPr>
          <w:rStyle w:val="style87"/>
        </w:rPr>
        <w:t>Trease, G. E., &amp; Evans, W. C.</w:t>
      </w:r>
      <w:r>
        <w:t xml:space="preserve"> (2002). </w:t>
      </w:r>
      <w:r>
        <w:rPr>
          <w:rStyle w:val="style88"/>
        </w:rPr>
        <w:t>Pharmacognosy</w:t>
      </w:r>
      <w:r>
        <w:t xml:space="preserve"> (15th </w:t>
      </w:r>
      <w:r>
        <w:t>ed</w:t>
      </w:r>
      <w:r>
        <w:t>.). Saunders/Elsevier. ISBN: 9780702026171</w:t>
      </w:r>
    </w:p>
    <w:p>
      <w:pPr>
        <w:pStyle w:val="style94"/>
        <w:spacing w:lineRule="auto" w:line="480"/>
        <w:ind w:left="540" w:hanging="540"/>
        <w:jc w:val="both"/>
        <w:rPr/>
      </w:pPr>
      <w:r>
        <w:rPr>
          <w:rStyle w:val="style87"/>
        </w:rPr>
        <w:t>Tiwari, P., Kumar, B., Kaur, M., Kaur, G., &amp; Kaur, H.</w:t>
      </w:r>
      <w:r>
        <w:t xml:space="preserve"> (2011). </w:t>
      </w:r>
      <w:r>
        <w:rPr>
          <w:rStyle w:val="style88"/>
        </w:rPr>
        <w:t>Phytochemical screening and extraction: A review</w:t>
      </w:r>
      <w:r>
        <w:t xml:space="preserve">. </w:t>
      </w:r>
      <w:r>
        <w:rPr>
          <w:rStyle w:val="style87"/>
        </w:rPr>
        <w:t>Internationale</w:t>
      </w:r>
      <w:r>
        <w:rPr>
          <w:rStyle w:val="style87"/>
        </w:rPr>
        <w:t xml:space="preserve"> </w:t>
      </w:r>
      <w:r>
        <w:rPr>
          <w:rStyle w:val="style87"/>
        </w:rPr>
        <w:t>Pharmaceutica</w:t>
      </w:r>
      <w:r>
        <w:rPr>
          <w:rStyle w:val="style87"/>
        </w:rPr>
        <w:t xml:space="preserve"> </w:t>
      </w:r>
      <w:r>
        <w:rPr>
          <w:rStyle w:val="style87"/>
        </w:rPr>
        <w:t>Sciencia</w:t>
      </w:r>
      <w:r>
        <w:t>, 1(1), 98–106.</w:t>
      </w:r>
    </w:p>
    <w:p>
      <w:pPr>
        <w:pStyle w:val="style94"/>
        <w:spacing w:lineRule="auto" w:line="480"/>
        <w:ind w:left="540" w:hanging="540"/>
        <w:jc w:val="both"/>
        <w:rPr/>
      </w:pPr>
      <w:r>
        <w:rPr>
          <w:rStyle w:val="style87"/>
        </w:rPr>
        <w:t>Zhang, Z. S., Wang, L. J., Li, D., Jiao, S. S., Chen, X. D., &amp; Mao, Z. H.</w:t>
      </w:r>
      <w:r>
        <w:t xml:space="preserve"> (2008). </w:t>
      </w:r>
      <w:r>
        <w:rPr>
          <w:rStyle w:val="style88"/>
        </w:rPr>
        <w:t>Ultrasound-assisted extraction of oil from flaxseed</w:t>
      </w:r>
      <w:r>
        <w:t xml:space="preserve">. </w:t>
      </w:r>
      <w:r>
        <w:rPr>
          <w:rStyle w:val="style87"/>
        </w:rPr>
        <w:t>Separation and Purification Technology</w:t>
      </w:r>
      <w:r>
        <w:t>, 62(1), 192–198. https://doi.org/10.1016/j.seppur.2008.01.014</w:t>
      </w:r>
    </w:p>
    <w:p>
      <w:pPr>
        <w:pStyle w:val="style0"/>
        <w:spacing w:lineRule="auto" w:line="480"/>
        <w:ind w:left="540" w:hanging="540"/>
        <w:jc w:val="both"/>
        <w:rPr>
          <w:rFonts w:ascii="Times New Roman" w:cs="Times New Roman" w:hAnsi="Times New Roman"/>
          <w:b/>
          <w:bCs/>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noProof/>
      </w:rPr>
    </w:pPr>
    <w:r>
      <w:rPr/>
      <w:fldChar w:fldCharType="begin"/>
    </w:r>
    <w:r>
      <w:instrText xml:space="preserve"> PAGE   \* MERGEFORMAT </w:instrText>
    </w:r>
    <w:r>
      <w:rPr/>
      <w:fldChar w:fldCharType="separate"/>
    </w:r>
    <w:r>
      <w:rPr>
        <w:noProof/>
      </w:rPr>
      <w:t>44</w:t>
    </w:r>
    <w:r>
      <w:rPr>
        <w:noProof/>
      </w:rPr>
      <w:fldChar w:fldCharType="end"/>
    </w:r>
  </w:p>
  <w:p>
    <w:pPr>
      <w:pStyle w:val="style32"/>
      <w:jc w:val="center"/>
      <w:rPr>
        <w:noProof/>
      </w:rPr>
    </w:pPr>
  </w:p>
  <w:p>
    <w:pPr>
      <w:pStyle w:val="style32"/>
      <w:jc w:val="center"/>
      <w:rPr>
        <w:noProof/>
      </w:rPr>
    </w:pPr>
  </w:p>
  <w:p>
    <w:pPr>
      <w:pStyle w:val="style32"/>
      <w:jc w:val="center"/>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45028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986E2C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F38A8EAE"/>
    <w:lvl w:ilvl="0">
      <w:start w:val="1"/>
      <w:numFmt w:val="decimal"/>
      <w:lvlText w:val="%1."/>
      <w:lvlJc w:val="left"/>
      <w:pPr>
        <w:tabs>
          <w:tab w:val="left" w:leader="none"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00000005"/>
    <w:multiLevelType w:val="multilevel"/>
    <w:tmpl w:val="4DF4FC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9F481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0000009"/>
    <w:multiLevelType w:val="multilevel"/>
    <w:tmpl w:val="E57A40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5170B4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1D86E6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738E7E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A1FAA6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EF8A28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cs="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cs="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cs="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00000012"/>
    <w:multiLevelType w:val="multilevel"/>
    <w:tmpl w:val="A2A2BE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405207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6ACA35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0000016"/>
    <w:multiLevelType w:val="multilevel"/>
    <w:tmpl w:val="C0843EE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7A6048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14"/>
  </w:num>
  <w:num w:numId="5">
    <w:abstractNumId w:val="3"/>
  </w:num>
  <w:num w:numId="6">
    <w:abstractNumId w:val="23"/>
  </w:num>
  <w:num w:numId="7">
    <w:abstractNumId w:val="21"/>
  </w:num>
  <w:num w:numId="8">
    <w:abstractNumId w:val="24"/>
  </w:num>
  <w:num w:numId="9">
    <w:abstractNumId w:val="17"/>
  </w:num>
  <w:num w:numId="10">
    <w:abstractNumId w:val="10"/>
  </w:num>
  <w:num w:numId="11">
    <w:abstractNumId w:val="16"/>
  </w:num>
  <w:num w:numId="12">
    <w:abstractNumId w:val="9"/>
  </w:num>
  <w:num w:numId="13">
    <w:abstractNumId w:val="1"/>
  </w:num>
  <w:num w:numId="14">
    <w:abstractNumId w:val="25"/>
  </w:num>
  <w:num w:numId="15">
    <w:abstractNumId w:val="0"/>
  </w:num>
  <w:num w:numId="16">
    <w:abstractNumId w:val="18"/>
  </w:num>
  <w:num w:numId="17">
    <w:abstractNumId w:val="15"/>
  </w:num>
  <w:num w:numId="18">
    <w:abstractNumId w:val="19"/>
  </w:num>
  <w:num w:numId="19">
    <w:abstractNumId w:val="20"/>
  </w:num>
  <w:num w:numId="20">
    <w:abstractNumId w:val="22"/>
  </w:num>
  <w:num w:numId="21">
    <w:abstractNumId w:val="2"/>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2"/>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3"/>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customStyle="1" w:styleId="style4097">
    <w:name w:val="sr-only"/>
    <w:basedOn w:val="style65"/>
    <w:next w:val="style4097"/>
  </w:style>
  <w:style w:type="paragraph" w:styleId="style92">
    <w:name w:val="HTML Top of Form"/>
    <w:basedOn w:val="style0"/>
    <w:next w:val="style0"/>
    <w:link w:val="style4098"/>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8">
    <w:name w:val="z-Top of Form Char"/>
    <w:basedOn w:val="style65"/>
    <w:next w:val="style4098"/>
    <w:link w:val="style92"/>
    <w:uiPriority w:val="99"/>
    <w:rPr>
      <w:rFonts w:ascii="Arial" w:cs="Arial" w:eastAsia="Times New Roman" w:hAnsi="Arial"/>
      <w:vanish/>
      <w:sz w:val="16"/>
      <w:szCs w:val="16"/>
    </w:rPr>
  </w:style>
  <w:style w:type="paragraph" w:customStyle="1" w:styleId="style4099">
    <w:name w:val="placeholder"/>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ms-1.5"/>
    <w:basedOn w:val="style65"/>
    <w:next w:val="style4100"/>
  </w:style>
  <w:style w:type="paragraph" w:styleId="style93">
    <w:name w:val="HTML Bottom of Form"/>
    <w:basedOn w:val="style0"/>
    <w:next w:val="style0"/>
    <w:link w:val="style4101"/>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1">
    <w:name w:val="z-Bottom of Form Char"/>
    <w:basedOn w:val="style65"/>
    <w:next w:val="style4101"/>
    <w:link w:val="style93"/>
    <w:uiPriority w:val="99"/>
    <w:rPr>
      <w:rFonts w:ascii="Arial" w:cs="Arial" w:eastAsia="Times New Roman" w:hAnsi="Arial"/>
      <w:vanish/>
      <w:sz w:val="16"/>
      <w:szCs w:val="16"/>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3 Char_2398c5e5-76ec-4408-80ea-146b10204255"/>
    <w:basedOn w:val="style65"/>
    <w:next w:val="style4102"/>
    <w:link w:val="style3"/>
    <w:uiPriority w:val="9"/>
    <w:rPr>
      <w:rFonts w:ascii="Times New Roman" w:cs="Times New Roman" w:eastAsia="Times New Roman" w:hAnsi="Times New Roman"/>
      <w:b/>
      <w:bCs/>
      <w:sz w:val="27"/>
      <w:szCs w:val="27"/>
    </w:rPr>
  </w:style>
  <w:style w:type="character" w:customStyle="1" w:styleId="style4103">
    <w:name w:val="Heading 4 Char_56082281-55fa-4fab-b75c-3416a1a4dbcd"/>
    <w:basedOn w:val="style65"/>
    <w:next w:val="style4103"/>
    <w:link w:val="style4"/>
    <w:uiPriority w:val="9"/>
    <w:rPr>
      <w:rFonts w:ascii="Calibri Light" w:cs="宋体" w:eastAsia="宋体" w:hAnsi="Calibri Light"/>
      <w:i/>
      <w:iCs/>
      <w:color w:val="2f5496"/>
    </w:rPr>
  </w:style>
  <w:style w:type="character" w:customStyle="1" w:styleId="style4104">
    <w:name w:val="katex-mathml"/>
    <w:basedOn w:val="style65"/>
    <w:next w:val="style4104"/>
  </w:style>
  <w:style w:type="character" w:customStyle="1" w:styleId="style4105">
    <w:name w:val="mord"/>
    <w:basedOn w:val="style65"/>
    <w:next w:val="style4105"/>
  </w:style>
  <w:style w:type="character" w:customStyle="1" w:styleId="style4106">
    <w:name w:val="mrel"/>
    <w:basedOn w:val="style65"/>
    <w:next w:val="style4106"/>
  </w:style>
  <w:style w:type="character" w:customStyle="1" w:styleId="style4107">
    <w:name w:val="vlist-s"/>
    <w:basedOn w:val="style65"/>
    <w:next w:val="style4107"/>
  </w:style>
  <w:style w:type="character" w:customStyle="1" w:styleId="style4108">
    <w:name w:val="mbin"/>
    <w:basedOn w:val="style65"/>
    <w:next w:val="style4108"/>
  </w:style>
  <w:style w:type="paragraph" w:styleId="style31">
    <w:name w:val="header"/>
    <w:basedOn w:val="style0"/>
    <w:next w:val="style31"/>
    <w:link w:val="style4109"/>
    <w:uiPriority w:val="99"/>
    <w:pPr>
      <w:tabs>
        <w:tab w:val="center" w:leader="none" w:pos="4680"/>
        <w:tab w:val="right" w:leader="none" w:pos="9360"/>
      </w:tabs>
      <w:spacing w:after="0" w:lineRule="auto" w:line="240"/>
    </w:pPr>
    <w:rPr/>
  </w:style>
  <w:style w:type="character" w:customStyle="1" w:styleId="style4109">
    <w:name w:val="Header Char_31019559-64e9-4731-aeab-a879095b8fa3"/>
    <w:basedOn w:val="style65"/>
    <w:next w:val="style4109"/>
    <w:link w:val="style31"/>
    <w:uiPriority w:val="99"/>
  </w:style>
  <w:style w:type="paragraph" w:styleId="style32">
    <w:name w:val="footer"/>
    <w:basedOn w:val="style0"/>
    <w:next w:val="style32"/>
    <w:link w:val="style4110"/>
    <w:uiPriority w:val="99"/>
    <w:pPr>
      <w:tabs>
        <w:tab w:val="center" w:leader="none" w:pos="4680"/>
        <w:tab w:val="right" w:leader="none" w:pos="9360"/>
      </w:tabs>
      <w:spacing w:after="0" w:lineRule="auto" w:line="240"/>
    </w:pPr>
    <w:rPr/>
  </w:style>
  <w:style w:type="character" w:customStyle="1" w:styleId="style4110">
    <w:name w:val="Footer Char_86f5e92b-5715-412e-b30e-7b155b403cfd"/>
    <w:basedOn w:val="style65"/>
    <w:next w:val="style4110"/>
    <w:link w:val="style32"/>
    <w:uiPriority w:val="99"/>
  </w:style>
  <w:style w:type="paragraph" w:styleId="style153">
    <w:name w:val="Balloon Text"/>
    <w:basedOn w:val="style0"/>
    <w:next w:val="style153"/>
    <w:link w:val="style4111"/>
    <w:uiPriority w:val="99"/>
    <w:pPr>
      <w:spacing w:after="0" w:lineRule="auto" w:line="240"/>
    </w:pPr>
    <w:rPr>
      <w:rFonts w:ascii="Segoe UI" w:cs="Segoe UI" w:hAnsi="Segoe UI"/>
      <w:sz w:val="18"/>
      <w:szCs w:val="18"/>
    </w:rPr>
  </w:style>
  <w:style w:type="character" w:customStyle="1" w:styleId="style4111">
    <w:name w:val="Balloon Text Char"/>
    <w:basedOn w:val="style65"/>
    <w:next w:val="style4111"/>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Words>7857</Words>
  <Pages>51</Pages>
  <Characters>46773</Characters>
  <Application>WPS Office</Application>
  <DocSecurity>0</DocSecurity>
  <Paragraphs>757</Paragraphs>
  <ScaleCrop>false</ScaleCrop>
  <LinksUpToDate>false</LinksUpToDate>
  <CharactersWithSpaces>55282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2025-07-14T16:04:00Z</dcterms:created>
  <dc:creator>AJAGBE</dc:creator>
  <lastModifiedBy>Infinix X6516</lastModifiedBy>
  <lastPrinted>2025-07-16T14:09:00Z</lastPrinted>
  <dcterms:modified xsi:type="dcterms:W3CDTF">2025-07-16T20:27:52Z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717911998ecf46b88e67827ecb751f3d</vt:lpwstr>
  </property>
</Properties>
</file>