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6F" w:rsidRPr="003F44E1" w:rsidRDefault="008A4D6F" w:rsidP="008A4D6F">
      <w:pPr>
        <w:spacing w:after="0" w:line="360" w:lineRule="auto"/>
        <w:jc w:val="center"/>
        <w:rPr>
          <w:rFonts w:ascii="Bookman Old Style" w:hAnsi="Bookman Old Style" w:cs="Times New Roman"/>
          <w:b/>
          <w:sz w:val="36"/>
          <w:szCs w:val="36"/>
        </w:rPr>
      </w:pPr>
      <w:r w:rsidRPr="003F44E1">
        <w:rPr>
          <w:rFonts w:ascii="Bookman Old Style" w:hAnsi="Bookman Old Style" w:cs="Times New Roman"/>
          <w:b/>
          <w:sz w:val="36"/>
          <w:szCs w:val="36"/>
        </w:rPr>
        <w:t>COMPREHENSIVE ASSESSMENTS OF SOIL MICROBES IN KWARA STATE POLYTECHNIC COMMERCIAL FARM.</w:t>
      </w:r>
    </w:p>
    <w:p w:rsidR="008A4D6F" w:rsidRDefault="008A4D6F" w:rsidP="008A4D6F">
      <w:pPr>
        <w:spacing w:after="0" w:line="480" w:lineRule="auto"/>
        <w:jc w:val="center"/>
        <w:rPr>
          <w:rFonts w:ascii="Times New Roman" w:hAnsi="Times New Roman" w:cs="Times New Roman"/>
          <w:b/>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3073EF" w:rsidRDefault="008A4D6F" w:rsidP="008A4D6F">
      <w:pPr>
        <w:spacing w:after="0" w:line="480" w:lineRule="auto"/>
        <w:ind w:right="-7"/>
        <w:jc w:val="center"/>
        <w:rPr>
          <w:rFonts w:ascii="Times New Roman" w:hAnsi="Times New Roman" w:cs="Times New Roman"/>
          <w:b/>
          <w:i/>
          <w:sz w:val="32"/>
          <w:szCs w:val="32"/>
        </w:rPr>
      </w:pPr>
      <w:r w:rsidRPr="003F44E1">
        <w:rPr>
          <w:rFonts w:ascii="Brush Script MT" w:hAnsi="Brush Script MT" w:cs="Times New Roman"/>
          <w:b/>
          <w:i/>
          <w:sz w:val="32"/>
          <w:szCs w:val="32"/>
        </w:rPr>
        <w:t>BY</w:t>
      </w:r>
      <w:r>
        <w:rPr>
          <w:rFonts w:ascii="Times New Roman" w:hAnsi="Times New Roman" w:cs="Times New Roman"/>
          <w:b/>
          <w:i/>
          <w:sz w:val="32"/>
          <w:szCs w:val="32"/>
        </w:rPr>
        <w:t>:</w:t>
      </w:r>
    </w:p>
    <w:p w:rsidR="008A4D6F" w:rsidRPr="005A4CAF" w:rsidRDefault="008A4D6F" w:rsidP="008A4D6F">
      <w:pPr>
        <w:spacing w:after="0"/>
        <w:ind w:right="-7"/>
        <w:jc w:val="center"/>
        <w:rPr>
          <w:rFonts w:ascii="Bookman Old Style" w:hAnsi="Bookman Old Style" w:cs="Times New Roman"/>
          <w:b/>
          <w:sz w:val="36"/>
          <w:szCs w:val="36"/>
        </w:rPr>
      </w:pPr>
      <w:r w:rsidRPr="005A4CAF">
        <w:rPr>
          <w:rFonts w:ascii="Bookman Old Style" w:hAnsi="Bookman Old Style" w:cs="Times New Roman"/>
          <w:b/>
          <w:sz w:val="36"/>
          <w:szCs w:val="36"/>
        </w:rPr>
        <w:t>KOMOLAFE JOEL AYOMIKUN</w:t>
      </w:r>
    </w:p>
    <w:p w:rsidR="008A4D6F" w:rsidRPr="005A4CAF" w:rsidRDefault="008A4D6F" w:rsidP="008A4D6F">
      <w:pPr>
        <w:spacing w:after="0" w:line="480" w:lineRule="auto"/>
        <w:ind w:right="-7"/>
        <w:jc w:val="center"/>
        <w:rPr>
          <w:rFonts w:ascii="Bookman Old Style" w:hAnsi="Bookman Old Style" w:cs="Times New Roman"/>
          <w:b/>
          <w:sz w:val="32"/>
          <w:szCs w:val="32"/>
        </w:rPr>
      </w:pPr>
      <w:r w:rsidRPr="005A4CAF">
        <w:rPr>
          <w:rFonts w:ascii="Bookman Old Style" w:hAnsi="Bookman Old Style" w:cs="Times New Roman"/>
          <w:b/>
          <w:sz w:val="32"/>
          <w:szCs w:val="32"/>
        </w:rPr>
        <w:t>ND/23/AGT/FT/0024</w:t>
      </w:r>
    </w:p>
    <w:p w:rsidR="008A4D6F"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3073EF" w:rsidRDefault="008A4D6F" w:rsidP="008A4D6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Pr>
          <w:rFonts w:ascii="Times New Roman" w:hAnsi="Times New Roman" w:cs="Times New Roman"/>
          <w:b/>
          <w:sz w:val="24"/>
          <w:szCs w:val="24"/>
        </w:rPr>
        <w:t>:</w:t>
      </w:r>
    </w:p>
    <w:p w:rsidR="008A4D6F" w:rsidRPr="003073EF" w:rsidRDefault="008A4D6F" w:rsidP="008A4D6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DEPARTMENT OF AGRICULTURAL TECHNOLOGY,</w:t>
      </w:r>
      <w:r>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SCIENCES,KWARA STATE POLYTECHNIC,ILORIN.</w:t>
      </w:r>
    </w:p>
    <w:p w:rsidR="008A4D6F" w:rsidRDefault="008A4D6F" w:rsidP="008A4D6F">
      <w:pPr>
        <w:spacing w:after="0" w:line="360" w:lineRule="auto"/>
        <w:ind w:right="-7"/>
        <w:jc w:val="center"/>
        <w:rPr>
          <w:rFonts w:ascii="Times New Roman" w:hAnsi="Times New Roman" w:cs="Times New Roman"/>
          <w:b/>
          <w:sz w:val="24"/>
          <w:szCs w:val="24"/>
        </w:rPr>
      </w:pPr>
    </w:p>
    <w:p w:rsidR="008A4D6F" w:rsidRPr="003073EF" w:rsidRDefault="008A4D6F" w:rsidP="008A4D6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FRO THE AWARD OF NATIONAL DIPLOMA IN THE DEPARTMENT OF AGRICULTURAL TECHNOLOGY,INSTITUTE OF APPLIED SCIENCES KWARA STATE POLYTECHNIC,ILORIN.</w:t>
      </w:r>
    </w:p>
    <w:p w:rsidR="008A4D6F" w:rsidRPr="00827058" w:rsidRDefault="008A4D6F" w:rsidP="008A4D6F">
      <w:pPr>
        <w:spacing w:after="0" w:line="480" w:lineRule="auto"/>
        <w:ind w:right="-7"/>
        <w:rPr>
          <w:rFonts w:ascii="Times New Roman" w:hAnsi="Times New Roman" w:cs="Times New Roman"/>
          <w:i/>
          <w:sz w:val="24"/>
          <w:szCs w:val="24"/>
        </w:rPr>
      </w:pPr>
    </w:p>
    <w:p w:rsidR="008A4D6F" w:rsidRPr="003073EF" w:rsidRDefault="008A4D6F" w:rsidP="008A4D6F">
      <w:pPr>
        <w:spacing w:after="0" w:line="480" w:lineRule="auto"/>
        <w:ind w:left="6480" w:right="-7" w:firstLine="720"/>
        <w:rPr>
          <w:rFonts w:ascii="Times New Roman" w:hAnsi="Times New Roman" w:cs="Times New Roman"/>
          <w:b/>
          <w:sz w:val="24"/>
          <w:szCs w:val="24"/>
        </w:rPr>
      </w:pPr>
      <w:r w:rsidRPr="003073EF">
        <w:rPr>
          <w:rFonts w:ascii="Times New Roman" w:hAnsi="Times New Roman" w:cs="Times New Roman"/>
          <w:b/>
          <w:sz w:val="24"/>
          <w:szCs w:val="24"/>
        </w:rPr>
        <w:t>JULY, 2025</w:t>
      </w:r>
    </w:p>
    <w:p w:rsidR="008A4D6F" w:rsidRDefault="008A4D6F" w:rsidP="008A4D6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8A4D6F" w:rsidRPr="003073EF" w:rsidRDefault="008A4D6F" w:rsidP="008A4D6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CERTIFICATION</w:t>
      </w:r>
    </w:p>
    <w:p w:rsidR="008A4D6F" w:rsidRDefault="008A4D6F" w:rsidP="008A4D6F">
      <w:pPr>
        <w:spacing w:after="0" w:line="480" w:lineRule="auto"/>
        <w:ind w:right="-7" w:firstLine="720"/>
        <w:jc w:val="both"/>
        <w:rPr>
          <w:rFonts w:ascii="Times New Roman" w:hAnsi="Times New Roman" w:cs="Times New Roman"/>
          <w:sz w:val="24"/>
          <w:szCs w:val="24"/>
        </w:rPr>
      </w:pPr>
      <w:r w:rsidRPr="003073EF">
        <w:rPr>
          <w:rFonts w:ascii="Times New Roman" w:hAnsi="Times New Roman" w:cs="Times New Roman"/>
          <w:sz w:val="24"/>
          <w:szCs w:val="24"/>
        </w:rPr>
        <w:t>This is to certify that</w:t>
      </w:r>
      <w:r>
        <w:rPr>
          <w:rFonts w:ascii="Times New Roman" w:hAnsi="Times New Roman" w:cs="Times New Roman"/>
          <w:sz w:val="24"/>
          <w:szCs w:val="24"/>
        </w:rPr>
        <w:t xml:space="preserve"> </w:t>
      </w:r>
      <w:r w:rsidRPr="003073EF">
        <w:rPr>
          <w:rFonts w:ascii="Times New Roman" w:hAnsi="Times New Roman" w:cs="Times New Roman"/>
          <w:sz w:val="24"/>
          <w:szCs w:val="24"/>
        </w:rPr>
        <w:t>this r</w:t>
      </w:r>
      <w:r>
        <w:rPr>
          <w:rFonts w:ascii="Times New Roman" w:hAnsi="Times New Roman" w:cs="Times New Roman"/>
          <w:sz w:val="24"/>
          <w:szCs w:val="24"/>
        </w:rPr>
        <w:t>esearch work has been completed</w:t>
      </w:r>
      <w:r w:rsidRPr="003073EF">
        <w:rPr>
          <w:rFonts w:ascii="Times New Roman" w:hAnsi="Times New Roman" w:cs="Times New Roman"/>
          <w:sz w:val="24"/>
          <w:szCs w:val="24"/>
        </w:rPr>
        <w:t>,</w:t>
      </w:r>
      <w:r>
        <w:rPr>
          <w:rFonts w:ascii="Times New Roman" w:hAnsi="Times New Roman" w:cs="Times New Roman"/>
          <w:sz w:val="24"/>
          <w:szCs w:val="24"/>
        </w:rPr>
        <w:t xml:space="preserve"> read through and approved </w:t>
      </w:r>
      <w:r w:rsidRPr="003073EF">
        <w:rPr>
          <w:rFonts w:ascii="Times New Roman" w:hAnsi="Times New Roman" w:cs="Times New Roman"/>
          <w:sz w:val="24"/>
          <w:szCs w:val="24"/>
        </w:rPr>
        <w:t>as meeting part of the requirements of the Department of Agricultural Technology,</w:t>
      </w:r>
      <w:r>
        <w:rPr>
          <w:rFonts w:ascii="Times New Roman" w:hAnsi="Times New Roman" w:cs="Times New Roman"/>
          <w:sz w:val="24"/>
          <w:szCs w:val="24"/>
        </w:rPr>
        <w:t xml:space="preserve"> </w:t>
      </w:r>
      <w:r w:rsidRPr="003073EF">
        <w:rPr>
          <w:rFonts w:ascii="Times New Roman" w:hAnsi="Times New Roman" w:cs="Times New Roman"/>
          <w:sz w:val="24"/>
          <w:szCs w:val="24"/>
        </w:rPr>
        <w:t>Institute of Applied Sciences,</w:t>
      </w:r>
      <w:r>
        <w:rPr>
          <w:rFonts w:ascii="Times New Roman" w:hAnsi="Times New Roman" w:cs="Times New Roman"/>
          <w:sz w:val="24"/>
          <w:szCs w:val="24"/>
        </w:rPr>
        <w:t xml:space="preserve"> </w:t>
      </w:r>
      <w:r w:rsidRPr="003073EF">
        <w:rPr>
          <w:rFonts w:ascii="Times New Roman" w:hAnsi="Times New Roman" w:cs="Times New Roman"/>
          <w:sz w:val="24"/>
          <w:szCs w:val="24"/>
        </w:rPr>
        <w:t>Kwara State Polytechnic in partial fulfillment for the award of National Diploma ND in Agricultural Technology.</w:t>
      </w:r>
    </w:p>
    <w:p w:rsidR="008A4D6F" w:rsidRDefault="008A4D6F" w:rsidP="008A4D6F">
      <w:pPr>
        <w:spacing w:after="0" w:line="480" w:lineRule="auto"/>
        <w:ind w:right="-7"/>
        <w:jc w:val="both"/>
        <w:rPr>
          <w:rFonts w:ascii="Times New Roman" w:hAnsi="Times New Roman" w:cs="Times New Roman"/>
          <w:sz w:val="24"/>
          <w:szCs w:val="24"/>
        </w:rPr>
      </w:pPr>
    </w:p>
    <w:p w:rsidR="008A4D6F" w:rsidRDefault="008A4D6F" w:rsidP="008A4D6F">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8A4D6F" w:rsidRPr="00DD736C" w:rsidRDefault="008A4D6F" w:rsidP="008A4D6F">
      <w:pPr>
        <w:spacing w:after="0"/>
        <w:ind w:right="-7"/>
        <w:jc w:val="both"/>
        <w:rPr>
          <w:rFonts w:ascii="Times New Roman" w:hAnsi="Times New Roman" w:cs="Times New Roman"/>
          <w:b/>
          <w:sz w:val="24"/>
          <w:szCs w:val="24"/>
        </w:rPr>
      </w:pPr>
      <w:r>
        <w:rPr>
          <w:rFonts w:ascii="Times New Roman" w:hAnsi="Times New Roman" w:cs="Times New Roman"/>
          <w:b/>
          <w:sz w:val="24"/>
          <w:szCs w:val="24"/>
        </w:rPr>
        <w:t xml:space="preserve">MR. OLORUNDARE </w:t>
      </w:r>
      <w:r w:rsidR="00F32701">
        <w:rPr>
          <w:rFonts w:ascii="Times New Roman" w:hAnsi="Times New Roman" w:cs="Times New Roman"/>
          <w:b/>
          <w:sz w:val="24"/>
          <w:szCs w:val="24"/>
        </w:rPr>
        <w:t>T.M</w:t>
      </w:r>
      <w:r w:rsidR="00F32701">
        <w:rPr>
          <w:rFonts w:ascii="Times New Roman" w:hAnsi="Times New Roman" w:cs="Times New Roman"/>
          <w:b/>
          <w:sz w:val="24"/>
          <w:szCs w:val="24"/>
        </w:rPr>
        <w:tab/>
      </w:r>
      <w:r w:rsidR="00F3270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D736C">
        <w:rPr>
          <w:rFonts w:ascii="Times New Roman" w:hAnsi="Times New Roman" w:cs="Times New Roman"/>
          <w:b/>
          <w:sz w:val="24"/>
          <w:szCs w:val="24"/>
        </w:rPr>
        <w:t>Date</w:t>
      </w:r>
    </w:p>
    <w:p w:rsidR="008A4D6F" w:rsidRDefault="008A4D6F" w:rsidP="008A4D6F">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8A4D6F" w:rsidRPr="00DD736C" w:rsidRDefault="008A4D6F" w:rsidP="008A4D6F">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8A4D6F" w:rsidRDefault="008A4D6F" w:rsidP="008A4D6F">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8A4D6F" w:rsidRPr="00DD736C" w:rsidRDefault="008A4D6F" w:rsidP="008A4D6F">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8A4D6F" w:rsidRDefault="008A4D6F" w:rsidP="008A4D6F">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8A4D6F" w:rsidRPr="00DD736C" w:rsidRDefault="008A4D6F" w:rsidP="008A4D6F">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8A4D6F" w:rsidRPr="00DD736C" w:rsidRDefault="008A4D6F" w:rsidP="008A4D6F">
      <w:pPr>
        <w:spacing w:after="0"/>
        <w:ind w:right="-7"/>
        <w:jc w:val="both"/>
        <w:rPr>
          <w:rFonts w:ascii="Times New Roman" w:hAnsi="Times New Roman" w:cs="Times New Roman"/>
          <w:b/>
          <w:sz w:val="24"/>
          <w:szCs w:val="24"/>
        </w:rPr>
      </w:pPr>
    </w:p>
    <w:p w:rsidR="008A4D6F" w:rsidRPr="00DD736C" w:rsidRDefault="008A4D6F" w:rsidP="008A4D6F">
      <w:pPr>
        <w:spacing w:after="0"/>
        <w:ind w:right="-7"/>
        <w:jc w:val="both"/>
        <w:rPr>
          <w:rFonts w:ascii="Times New Roman" w:hAnsi="Times New Roman" w:cs="Times New Roman"/>
          <w:b/>
          <w:sz w:val="24"/>
          <w:szCs w:val="24"/>
        </w:rPr>
      </w:pPr>
    </w:p>
    <w:p w:rsidR="008A4D6F" w:rsidRDefault="008A4D6F" w:rsidP="008A4D6F">
      <w:pPr>
        <w:spacing w:after="0" w:line="480" w:lineRule="auto"/>
        <w:ind w:right="-7"/>
        <w:rPr>
          <w:rFonts w:ascii="Times New Roman" w:hAnsi="Times New Roman" w:cs="Times New Roman"/>
          <w:i/>
          <w:sz w:val="24"/>
          <w:szCs w:val="24"/>
        </w:rPr>
      </w:pPr>
    </w:p>
    <w:p w:rsidR="008A4D6F" w:rsidRDefault="008A4D6F" w:rsidP="008A4D6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A4D6F" w:rsidRPr="003073EF" w:rsidRDefault="008A4D6F" w:rsidP="008A4D6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DEDICATION</w:t>
      </w:r>
    </w:p>
    <w:p w:rsidR="008A4D6F" w:rsidRPr="00D234D8" w:rsidRDefault="008A4D6F" w:rsidP="008A4D6F">
      <w:pPr>
        <w:spacing w:line="360" w:lineRule="auto"/>
        <w:ind w:firstLine="720"/>
        <w:rPr>
          <w:rFonts w:ascii="Times New Roman" w:hAnsi="Times New Roman" w:cs="Times New Roman"/>
          <w:sz w:val="24"/>
          <w:szCs w:val="24"/>
        </w:rPr>
      </w:pPr>
      <w:r w:rsidRPr="00D234D8">
        <w:rPr>
          <w:rFonts w:ascii="Times New Roman" w:hAnsi="Times New Roman" w:cs="Times New Roman"/>
          <w:sz w:val="24"/>
          <w:szCs w:val="24"/>
        </w:rPr>
        <w:t>This project wor</w:t>
      </w:r>
      <w:r>
        <w:rPr>
          <w:rFonts w:ascii="Times New Roman" w:hAnsi="Times New Roman" w:cs="Times New Roman"/>
          <w:sz w:val="24"/>
          <w:szCs w:val="24"/>
        </w:rPr>
        <w:t>k is dedicated to Almighty God</w:t>
      </w:r>
      <w:r w:rsidRPr="00D234D8">
        <w:rPr>
          <w:rFonts w:ascii="Times New Roman" w:hAnsi="Times New Roman" w:cs="Times New Roman"/>
          <w:sz w:val="24"/>
          <w:szCs w:val="24"/>
        </w:rPr>
        <w:t xml:space="preserve"> the most beneficent and the most merciful, the creator of the heaven and the earth.</w:t>
      </w:r>
    </w:p>
    <w:p w:rsidR="008A4D6F" w:rsidRPr="003073EF" w:rsidRDefault="008A4D6F" w:rsidP="008A4D6F">
      <w:pPr>
        <w:spacing w:after="0" w:line="480" w:lineRule="auto"/>
        <w:ind w:right="-7"/>
        <w:rPr>
          <w:rFonts w:ascii="Times New Roman" w:hAnsi="Times New Roman" w:cs="Times New Roman"/>
          <w:sz w:val="24"/>
          <w:szCs w:val="24"/>
        </w:rPr>
      </w:pPr>
    </w:p>
    <w:p w:rsidR="008A4D6F" w:rsidRPr="003073EF" w:rsidRDefault="008A4D6F" w:rsidP="008A4D6F">
      <w:pPr>
        <w:spacing w:after="0" w:line="480" w:lineRule="auto"/>
        <w:ind w:right="-7"/>
        <w:rPr>
          <w:rFonts w:ascii="Times New Roman" w:hAnsi="Times New Roman" w:cs="Times New Roman"/>
          <w:sz w:val="24"/>
          <w:szCs w:val="24"/>
        </w:rPr>
      </w:pPr>
    </w:p>
    <w:p w:rsidR="008A4D6F" w:rsidRPr="003073EF" w:rsidRDefault="008A4D6F" w:rsidP="008A4D6F">
      <w:pPr>
        <w:spacing w:after="0" w:line="480" w:lineRule="auto"/>
        <w:ind w:right="-7"/>
        <w:rPr>
          <w:rFonts w:ascii="Times New Roman" w:hAnsi="Times New Roman" w:cs="Times New Roman"/>
          <w:sz w:val="24"/>
          <w:szCs w:val="24"/>
        </w:rPr>
      </w:pPr>
    </w:p>
    <w:p w:rsidR="008A4D6F" w:rsidRPr="003073EF" w:rsidRDefault="008A4D6F" w:rsidP="008A4D6F">
      <w:pPr>
        <w:spacing w:after="0" w:line="480" w:lineRule="auto"/>
        <w:ind w:right="-7"/>
        <w:rPr>
          <w:rFonts w:ascii="Times New Roman" w:hAnsi="Times New Roman" w:cs="Times New Roman"/>
          <w:sz w:val="24"/>
          <w:szCs w:val="24"/>
        </w:rPr>
      </w:pPr>
    </w:p>
    <w:p w:rsidR="008A4D6F" w:rsidRPr="003073EF" w:rsidRDefault="008A4D6F" w:rsidP="008A4D6F">
      <w:pPr>
        <w:spacing w:after="0" w:line="480" w:lineRule="auto"/>
        <w:ind w:right="-7"/>
        <w:rPr>
          <w:rFonts w:ascii="Times New Roman" w:hAnsi="Times New Roman" w:cs="Times New Roman"/>
          <w:sz w:val="24"/>
          <w:szCs w:val="24"/>
        </w:rPr>
      </w:pPr>
    </w:p>
    <w:p w:rsidR="008A4D6F" w:rsidRDefault="008A4D6F" w:rsidP="008A4D6F">
      <w:pPr>
        <w:spacing w:after="0" w:line="480" w:lineRule="auto"/>
        <w:ind w:right="-7"/>
        <w:rPr>
          <w:rFonts w:ascii="Times New Roman" w:hAnsi="Times New Roman" w:cs="Times New Roman"/>
          <w:sz w:val="24"/>
          <w:szCs w:val="24"/>
        </w:rPr>
      </w:pPr>
    </w:p>
    <w:p w:rsidR="008A4D6F" w:rsidRDefault="008A4D6F" w:rsidP="008A4D6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8A4D6F" w:rsidRDefault="008A4D6F" w:rsidP="008A4D6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8A4D6F" w:rsidRPr="008F386B" w:rsidRDefault="008A4D6F" w:rsidP="008A4D6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All praise, adoration, th</w:t>
      </w:r>
      <w:r>
        <w:rPr>
          <w:rFonts w:ascii="Times New Roman" w:hAnsi="Times New Roman" w:cs="Times New Roman"/>
          <w:sz w:val="24"/>
          <w:szCs w:val="24"/>
        </w:rPr>
        <w:t>anks and glory to Almighty God</w:t>
      </w:r>
      <w:r w:rsidRPr="008F386B">
        <w:rPr>
          <w:rFonts w:ascii="Times New Roman" w:hAnsi="Times New Roman" w:cs="Times New Roman"/>
          <w:sz w:val="24"/>
          <w:szCs w:val="24"/>
        </w:rPr>
        <w:t xml:space="preserve"> for bestowing his merc</w:t>
      </w:r>
      <w:r>
        <w:rPr>
          <w:rFonts w:ascii="Times New Roman" w:hAnsi="Times New Roman" w:cs="Times New Roman"/>
          <w:sz w:val="24"/>
          <w:szCs w:val="24"/>
        </w:rPr>
        <w:t>y and blessings upon me through</w:t>
      </w:r>
      <w:r w:rsidRPr="008F386B">
        <w:rPr>
          <w:rFonts w:ascii="Times New Roman" w:hAnsi="Times New Roman" w:cs="Times New Roman"/>
          <w:sz w:val="24"/>
          <w:szCs w:val="24"/>
        </w:rPr>
        <w:t>out my stay in the campus and for the complexion of my National Diploma (ND) programme.</w:t>
      </w:r>
    </w:p>
    <w:p w:rsidR="008A4D6F" w:rsidRPr="008F386B" w:rsidRDefault="008A4D6F" w:rsidP="008A4D6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My profound gratitude also goes to my supervisor in person</w:t>
      </w:r>
      <w:r>
        <w:rPr>
          <w:rFonts w:ascii="Times New Roman" w:hAnsi="Times New Roman" w:cs="Times New Roman"/>
          <w:sz w:val="24"/>
          <w:szCs w:val="24"/>
        </w:rPr>
        <w:t xml:space="preserve"> of </w:t>
      </w:r>
      <w:r>
        <w:rPr>
          <w:rFonts w:ascii="Times New Roman" w:hAnsi="Times New Roman" w:cs="Times New Roman"/>
          <w:b/>
          <w:sz w:val="24"/>
          <w:szCs w:val="24"/>
        </w:rPr>
        <w:t>MR OLORUNDARE TAJUDEEN</w:t>
      </w:r>
      <w:r w:rsidRPr="008F386B">
        <w:rPr>
          <w:rFonts w:ascii="Times New Roman" w:hAnsi="Times New Roman" w:cs="Times New Roman"/>
          <w:sz w:val="24"/>
          <w:szCs w:val="24"/>
        </w:rPr>
        <w:t xml:space="preserve"> whose supervision and guidance has contributed immensely to the success of the project, Thank y</w:t>
      </w:r>
      <w:r>
        <w:rPr>
          <w:rFonts w:ascii="Times New Roman" w:hAnsi="Times New Roman" w:cs="Times New Roman"/>
          <w:sz w:val="24"/>
          <w:szCs w:val="24"/>
        </w:rPr>
        <w:t>ou very much, May Almighty God</w:t>
      </w:r>
      <w:r w:rsidRPr="008F386B">
        <w:rPr>
          <w:rFonts w:ascii="Times New Roman" w:hAnsi="Times New Roman" w:cs="Times New Roman"/>
          <w:sz w:val="24"/>
          <w:szCs w:val="24"/>
        </w:rPr>
        <w:t xml:space="preserve"> continue to shower his abundant blessings upon you and your family.</w:t>
      </w:r>
    </w:p>
    <w:p w:rsidR="008A4D6F" w:rsidRPr="008F386B" w:rsidRDefault="008A4D6F" w:rsidP="008A4D6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 xml:space="preserve">And my sincere appreciation goes to my parent </w:t>
      </w:r>
      <w:r w:rsidRPr="008F386B">
        <w:rPr>
          <w:rFonts w:ascii="Times New Roman" w:hAnsi="Times New Roman" w:cs="Times New Roman"/>
          <w:b/>
          <w:sz w:val="24"/>
          <w:szCs w:val="24"/>
        </w:rPr>
        <w:t xml:space="preserve">MR &amp; MRS </w:t>
      </w:r>
      <w:r>
        <w:rPr>
          <w:rFonts w:ascii="Times New Roman" w:hAnsi="Times New Roman" w:cs="Times New Roman"/>
          <w:b/>
          <w:sz w:val="24"/>
          <w:szCs w:val="24"/>
        </w:rPr>
        <w:t>KOMOLAFE</w:t>
      </w:r>
      <w:r>
        <w:rPr>
          <w:rFonts w:ascii="Times New Roman" w:hAnsi="Times New Roman" w:cs="Times New Roman"/>
          <w:b/>
          <w:sz w:val="32"/>
          <w:szCs w:val="32"/>
        </w:rPr>
        <w:t xml:space="preserve"> </w:t>
      </w:r>
      <w:r w:rsidRPr="008F386B">
        <w:rPr>
          <w:rFonts w:ascii="Times New Roman" w:hAnsi="Times New Roman" w:cs="Times New Roman"/>
          <w:sz w:val="24"/>
          <w:szCs w:val="24"/>
        </w:rPr>
        <w:t>for your care and support both financially and spiritually, May you live long to reap the fruit of your labour in sound health and abundant blessings. And also to my siblings, thank you very much. And to all the e</w:t>
      </w:r>
      <w:r>
        <w:rPr>
          <w:rFonts w:ascii="Times New Roman" w:hAnsi="Times New Roman" w:cs="Times New Roman"/>
          <w:sz w:val="24"/>
          <w:szCs w:val="24"/>
        </w:rPr>
        <w:t>ntire family, may Almighty God</w:t>
      </w:r>
      <w:r w:rsidRPr="008F386B">
        <w:rPr>
          <w:rFonts w:ascii="Times New Roman" w:hAnsi="Times New Roman" w:cs="Times New Roman"/>
          <w:sz w:val="24"/>
          <w:szCs w:val="24"/>
        </w:rPr>
        <w:t xml:space="preserve"> bestowed his blessing and</w:t>
      </w:r>
      <w:r>
        <w:rPr>
          <w:rFonts w:ascii="Times New Roman" w:hAnsi="Times New Roman" w:cs="Times New Roman"/>
          <w:sz w:val="24"/>
          <w:szCs w:val="24"/>
        </w:rPr>
        <w:t xml:space="preserve"> mercy upon every one of us (Am</w:t>
      </w:r>
      <w:r w:rsidRPr="008F386B">
        <w:rPr>
          <w:rFonts w:ascii="Times New Roman" w:hAnsi="Times New Roman" w:cs="Times New Roman"/>
          <w:sz w:val="24"/>
          <w:szCs w:val="24"/>
        </w:rPr>
        <w:t>en).</w:t>
      </w:r>
    </w:p>
    <w:p w:rsidR="008A4D6F" w:rsidRPr="003073EF" w:rsidRDefault="008A4D6F" w:rsidP="008A4D6F">
      <w:pPr>
        <w:spacing w:after="0" w:line="480" w:lineRule="auto"/>
        <w:ind w:right="-7"/>
        <w:rPr>
          <w:rFonts w:ascii="Times New Roman" w:hAnsi="Times New Roman" w:cs="Times New Roman"/>
          <w:b/>
          <w:sz w:val="24"/>
          <w:szCs w:val="24"/>
        </w:rPr>
      </w:pPr>
    </w:p>
    <w:p w:rsidR="008A4D6F" w:rsidRPr="003073EF" w:rsidRDefault="008A4D6F" w:rsidP="008A4D6F">
      <w:pPr>
        <w:spacing w:after="0" w:line="480" w:lineRule="auto"/>
        <w:ind w:right="-7"/>
        <w:rPr>
          <w:rFonts w:ascii="Times New Roman" w:hAnsi="Times New Roman" w:cs="Times New Roman"/>
          <w:sz w:val="24"/>
          <w:szCs w:val="24"/>
        </w:rPr>
      </w:pPr>
    </w:p>
    <w:p w:rsidR="008A4D6F" w:rsidRPr="003073EF" w:rsidRDefault="008A4D6F" w:rsidP="008A4D6F">
      <w:pPr>
        <w:spacing w:after="0" w:line="480" w:lineRule="auto"/>
        <w:ind w:right="-7"/>
        <w:rPr>
          <w:rFonts w:ascii="Times New Roman" w:hAnsi="Times New Roman" w:cs="Times New Roman"/>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Pr="00827058" w:rsidRDefault="008A4D6F" w:rsidP="008A4D6F">
      <w:pPr>
        <w:spacing w:after="0" w:line="480" w:lineRule="auto"/>
        <w:ind w:right="-7"/>
        <w:rPr>
          <w:rFonts w:ascii="Times New Roman" w:hAnsi="Times New Roman" w:cs="Times New Roman"/>
          <w:i/>
          <w:sz w:val="24"/>
          <w:szCs w:val="24"/>
        </w:rPr>
      </w:pPr>
    </w:p>
    <w:p w:rsidR="008A4D6F" w:rsidRDefault="008A4D6F" w:rsidP="008A4D6F">
      <w:pPr>
        <w:spacing w:after="0" w:line="240" w:lineRule="auto"/>
        <w:rPr>
          <w:rFonts w:ascii="Times New Roman" w:hAnsi="Times New Roman" w:cs="Times New Roman"/>
          <w:b/>
          <w:bCs/>
          <w:i/>
          <w:sz w:val="24"/>
          <w:szCs w:val="24"/>
        </w:rPr>
      </w:pPr>
    </w:p>
    <w:p w:rsidR="008A4D6F" w:rsidRDefault="008A4D6F" w:rsidP="008A4D6F">
      <w:pPr>
        <w:spacing w:after="0" w:line="240" w:lineRule="auto"/>
        <w:rPr>
          <w:rFonts w:ascii="Times New Roman" w:hAnsi="Times New Roman" w:cs="Times New Roman"/>
          <w:b/>
          <w:bCs/>
          <w:i/>
          <w:sz w:val="24"/>
          <w:szCs w:val="24"/>
        </w:rPr>
      </w:pPr>
    </w:p>
    <w:p w:rsidR="008A4D6F" w:rsidRDefault="008A4D6F" w:rsidP="008A4D6F">
      <w:pPr>
        <w:spacing w:after="0" w:line="240" w:lineRule="auto"/>
        <w:rPr>
          <w:rFonts w:ascii="Times New Roman" w:hAnsi="Times New Roman" w:cs="Times New Roman"/>
          <w:b/>
          <w:bCs/>
          <w:i/>
          <w:sz w:val="24"/>
          <w:szCs w:val="24"/>
        </w:rPr>
      </w:pPr>
    </w:p>
    <w:p w:rsidR="008A4D6F" w:rsidRDefault="008A4D6F" w:rsidP="008A4D6F">
      <w:pPr>
        <w:spacing w:after="0" w:line="240" w:lineRule="auto"/>
        <w:rPr>
          <w:rFonts w:ascii="Times New Roman" w:hAnsi="Times New Roman" w:cs="Times New Roman"/>
          <w:b/>
          <w:bCs/>
          <w:i/>
          <w:sz w:val="24"/>
          <w:szCs w:val="24"/>
        </w:rPr>
      </w:pPr>
    </w:p>
    <w:p w:rsidR="008A4D6F" w:rsidRDefault="008A4D6F" w:rsidP="008A4D6F">
      <w:pPr>
        <w:spacing w:after="0" w:line="240" w:lineRule="auto"/>
        <w:rPr>
          <w:rFonts w:ascii="Times New Roman" w:hAnsi="Times New Roman" w:cs="Times New Roman"/>
          <w:b/>
          <w:bCs/>
          <w:i/>
          <w:sz w:val="24"/>
          <w:szCs w:val="24"/>
        </w:rPr>
      </w:pPr>
    </w:p>
    <w:p w:rsidR="008A4D6F" w:rsidRDefault="008A4D6F" w:rsidP="008A4D6F">
      <w:pPr>
        <w:spacing w:after="0" w:line="240" w:lineRule="auto"/>
        <w:rPr>
          <w:rFonts w:ascii="Times New Roman" w:hAnsi="Times New Roman" w:cs="Times New Roman"/>
          <w:b/>
          <w:bCs/>
          <w:i/>
          <w:sz w:val="24"/>
          <w:szCs w:val="24"/>
        </w:rPr>
      </w:pPr>
    </w:p>
    <w:p w:rsidR="008A4D6F" w:rsidRDefault="008A4D6F" w:rsidP="008A4D6F">
      <w:pPr>
        <w:spacing w:after="0" w:line="240" w:lineRule="auto"/>
        <w:jc w:val="center"/>
        <w:rPr>
          <w:rFonts w:ascii="Times New Roman" w:hAnsi="Times New Roman" w:cs="Times New Roman"/>
          <w:b/>
          <w:bCs/>
          <w:i/>
          <w:sz w:val="24"/>
          <w:szCs w:val="24"/>
        </w:rPr>
      </w:pPr>
      <w:r w:rsidRPr="00827058">
        <w:rPr>
          <w:rFonts w:ascii="Times New Roman" w:hAnsi="Times New Roman" w:cs="Times New Roman"/>
          <w:b/>
          <w:sz w:val="24"/>
          <w:szCs w:val="24"/>
        </w:rPr>
        <w:lastRenderedPageBreak/>
        <w:t>TABLE OF CONTENTS</w:t>
      </w:r>
    </w:p>
    <w:p w:rsidR="008A4D6F" w:rsidRPr="003F44E1" w:rsidRDefault="008A4D6F" w:rsidP="008A4D6F">
      <w:pPr>
        <w:spacing w:after="0" w:line="240" w:lineRule="auto"/>
        <w:jc w:val="center"/>
        <w:rPr>
          <w:rFonts w:ascii="Times New Roman" w:hAnsi="Times New Roman" w:cs="Times New Roman"/>
          <w:b/>
          <w:bCs/>
          <w:i/>
          <w:sz w:val="24"/>
          <w:szCs w:val="24"/>
        </w:rPr>
      </w:pPr>
    </w:p>
    <w:p w:rsidR="008A4D6F" w:rsidRDefault="008A4D6F" w:rsidP="008A4D6F">
      <w:pPr>
        <w:spacing w:after="0" w:line="360" w:lineRule="auto"/>
        <w:jc w:val="both"/>
        <w:outlineLvl w:val="0"/>
        <w:rPr>
          <w:rFonts w:ascii="Times New Roman" w:hAnsi="Times New Roman" w:cs="Times New Roman"/>
          <w:sz w:val="24"/>
          <w:szCs w:val="24"/>
        </w:rPr>
      </w:pPr>
      <w:r w:rsidRPr="00827058">
        <w:rPr>
          <w:rFonts w:ascii="Times New Roman" w:hAnsi="Times New Roman" w:cs="Times New Roman"/>
          <w:sz w:val="24"/>
          <w:szCs w:val="24"/>
        </w:rPr>
        <w:t xml:space="preserve">Title </w:t>
      </w:r>
      <w:r>
        <w:rPr>
          <w:rFonts w:ascii="Times New Roman" w:hAnsi="Times New Roman" w:cs="Times New Roman"/>
          <w:sz w:val="24"/>
          <w:szCs w:val="24"/>
        </w:rPr>
        <w:t>……………………………………………………………………………………………</w:t>
      </w:r>
      <w:r w:rsidRPr="00827058">
        <w:rPr>
          <w:rFonts w:ascii="Times New Roman" w:hAnsi="Times New Roman" w:cs="Times New Roman"/>
          <w:sz w:val="24"/>
          <w:szCs w:val="24"/>
        </w:rPr>
        <w:t>i</w:t>
      </w:r>
    </w:p>
    <w:p w:rsidR="008A4D6F" w:rsidRDefault="008A4D6F" w:rsidP="008A4D6F">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Certification……………………………………………………………………………………</w:t>
      </w:r>
      <w:r w:rsidRPr="00827058">
        <w:rPr>
          <w:rFonts w:ascii="Times New Roman" w:hAnsi="Times New Roman" w:cs="Times New Roman"/>
          <w:sz w:val="24"/>
          <w:szCs w:val="24"/>
        </w:rPr>
        <w:t>ii</w:t>
      </w:r>
    </w:p>
    <w:p w:rsidR="008A4D6F" w:rsidRPr="00827058" w:rsidRDefault="008A4D6F" w:rsidP="008A4D6F">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Dedication ……………..………………………………………………………………………</w:t>
      </w:r>
      <w:r w:rsidRPr="00827058">
        <w:rPr>
          <w:rFonts w:ascii="Times New Roman" w:hAnsi="Times New Roman" w:cs="Times New Roman"/>
          <w:sz w:val="24"/>
          <w:szCs w:val="24"/>
        </w:rPr>
        <w:t>iii</w:t>
      </w:r>
    </w:p>
    <w:p w:rsidR="008A4D6F" w:rsidRPr="00827058" w:rsidRDefault="008A4D6F" w:rsidP="008A4D6F">
      <w:pPr>
        <w:spacing w:after="0" w:line="360" w:lineRule="auto"/>
        <w:jc w:val="both"/>
        <w:outlineLvl w:val="0"/>
        <w:rPr>
          <w:rFonts w:ascii="Times New Roman" w:hAnsi="Times New Roman" w:cs="Times New Roman"/>
          <w:sz w:val="24"/>
          <w:szCs w:val="24"/>
        </w:rPr>
      </w:pPr>
      <w:r w:rsidRPr="00827058">
        <w:rPr>
          <w:rFonts w:ascii="Times New Roman" w:hAnsi="Times New Roman" w:cs="Times New Roman"/>
          <w:sz w:val="24"/>
          <w:szCs w:val="24"/>
        </w:rPr>
        <w:t xml:space="preserve">Acknowledgement </w:t>
      </w:r>
      <w:r>
        <w:rPr>
          <w:rFonts w:ascii="Times New Roman" w:hAnsi="Times New Roman" w:cs="Times New Roman"/>
          <w:sz w:val="24"/>
          <w:szCs w:val="24"/>
        </w:rPr>
        <w:t>…………………………………………………………………………….iv</w:t>
      </w:r>
    </w:p>
    <w:p w:rsidR="008A4D6F" w:rsidRDefault="008A4D6F" w:rsidP="008A4D6F">
      <w:pPr>
        <w:spacing w:line="360" w:lineRule="auto"/>
        <w:jc w:val="both"/>
        <w:rPr>
          <w:rFonts w:ascii="Times New Roman" w:hAnsi="Times New Roman" w:cs="Times New Roman"/>
          <w:sz w:val="24"/>
          <w:szCs w:val="24"/>
        </w:rPr>
      </w:pPr>
      <w:r w:rsidRPr="00827058">
        <w:rPr>
          <w:rFonts w:ascii="Times New Roman" w:hAnsi="Times New Roman" w:cs="Times New Roman"/>
          <w:sz w:val="24"/>
          <w:szCs w:val="24"/>
        </w:rPr>
        <w:t xml:space="preserve">Table of contents </w:t>
      </w:r>
      <w:r>
        <w:rPr>
          <w:rFonts w:ascii="Times New Roman" w:hAnsi="Times New Roman" w:cs="Times New Roman"/>
          <w:sz w:val="24"/>
          <w:szCs w:val="24"/>
        </w:rPr>
        <w:t>………………...……………………………………………………………v</w:t>
      </w:r>
    </w:p>
    <w:p w:rsidR="008A4D6F" w:rsidRPr="00827058" w:rsidRDefault="008A4D6F" w:rsidP="008A4D6F">
      <w:pPr>
        <w:spacing w:after="0" w:line="480" w:lineRule="auto"/>
        <w:jc w:val="both"/>
        <w:outlineLvl w:val="0"/>
        <w:rPr>
          <w:rFonts w:ascii="Times New Roman" w:hAnsi="Times New Roman" w:cs="Times New Roman"/>
          <w:sz w:val="24"/>
          <w:szCs w:val="24"/>
        </w:rPr>
      </w:pPr>
      <w:r w:rsidRPr="00230471">
        <w:rPr>
          <w:rFonts w:ascii="Times New Roman" w:hAnsi="Times New Roman" w:cs="Times New Roman"/>
          <w:b/>
          <w:sz w:val="24"/>
          <w:szCs w:val="24"/>
        </w:rPr>
        <w:t>CHAPTER ONE: INTRODUCTION</w:t>
      </w:r>
    </w:p>
    <w:p w:rsidR="008A4D6F" w:rsidRPr="00827058" w:rsidRDefault="008A4D6F" w:rsidP="008A4D6F">
      <w:pPr>
        <w:spacing w:after="0" w:line="480" w:lineRule="auto"/>
        <w:jc w:val="both"/>
        <w:rPr>
          <w:rFonts w:ascii="Times New Roman" w:hAnsi="Times New Roman" w:cs="Times New Roman"/>
          <w:sz w:val="24"/>
          <w:szCs w:val="24"/>
        </w:rPr>
      </w:pPr>
      <w:r w:rsidRPr="00827058">
        <w:rPr>
          <w:rFonts w:ascii="Times New Roman" w:hAnsi="Times New Roman" w:cs="Times New Roman"/>
          <w:sz w:val="24"/>
          <w:szCs w:val="24"/>
        </w:rPr>
        <w:t xml:space="preserve">1.1 Background </w:t>
      </w:r>
      <w:r>
        <w:rPr>
          <w:rFonts w:ascii="Times New Roman" w:hAnsi="Times New Roman" w:cs="Times New Roman"/>
          <w:sz w:val="24"/>
          <w:szCs w:val="24"/>
        </w:rPr>
        <w:t>of the Study</w:t>
      </w:r>
      <w:r w:rsidRPr="00827058">
        <w:rPr>
          <w:rFonts w:ascii="Times New Roman" w:hAnsi="Times New Roman" w:cs="Times New Roman"/>
          <w:sz w:val="24"/>
          <w:szCs w:val="24"/>
        </w:rPr>
        <w:t xml:space="preserve"> </w:t>
      </w:r>
      <w:r>
        <w:rPr>
          <w:rFonts w:ascii="Times New Roman" w:hAnsi="Times New Roman" w:cs="Times New Roman"/>
          <w:sz w:val="24"/>
          <w:szCs w:val="24"/>
        </w:rPr>
        <w:t>………...………………………………………………………1</w:t>
      </w:r>
    </w:p>
    <w:p w:rsidR="008A4D6F" w:rsidRPr="00827058" w:rsidRDefault="008A4D6F" w:rsidP="008A4D6F">
      <w:pPr>
        <w:spacing w:after="0" w:line="480" w:lineRule="auto"/>
        <w:jc w:val="both"/>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w:t>
      </w:r>
      <w:r>
        <w:rPr>
          <w:rFonts w:ascii="Times New Roman" w:hAnsi="Times New Roman" w:cs="Times New Roman"/>
          <w:sz w:val="24"/>
          <w:szCs w:val="24"/>
        </w:rPr>
        <w:t xml:space="preserve"> ………...………………...……………………………...1</w:t>
      </w:r>
    </w:p>
    <w:p w:rsidR="008A4D6F" w:rsidRPr="00827058" w:rsidRDefault="008A4D6F" w:rsidP="008A4D6F">
      <w:pPr>
        <w:spacing w:after="0" w:line="480" w:lineRule="auto"/>
        <w:jc w:val="both"/>
        <w:rPr>
          <w:rFonts w:ascii="Times New Roman" w:hAnsi="Times New Roman" w:cs="Times New Roman"/>
          <w:sz w:val="24"/>
          <w:szCs w:val="24"/>
        </w:rPr>
      </w:pPr>
      <w:r w:rsidRPr="00827058">
        <w:rPr>
          <w:rFonts w:ascii="Times New Roman" w:hAnsi="Times New Roman" w:cs="Times New Roman"/>
          <w:sz w:val="24"/>
          <w:szCs w:val="24"/>
        </w:rPr>
        <w:t>1.3 Objectives of the Study</w:t>
      </w:r>
      <w:r>
        <w:rPr>
          <w:rFonts w:ascii="Times New Roman" w:hAnsi="Times New Roman" w:cs="Times New Roman"/>
          <w:sz w:val="24"/>
          <w:szCs w:val="24"/>
        </w:rPr>
        <w:t xml:space="preserve"> ………...………………...……………………………...............2</w:t>
      </w:r>
    </w:p>
    <w:p w:rsidR="008A4D6F" w:rsidRPr="00827058" w:rsidRDefault="008A4D6F" w:rsidP="008A4D6F">
      <w:pPr>
        <w:spacing w:after="0" w:line="480" w:lineRule="auto"/>
        <w:jc w:val="both"/>
        <w:outlineLvl w:val="0"/>
        <w:rPr>
          <w:rFonts w:ascii="Times New Roman" w:hAnsi="Times New Roman" w:cs="Times New Roman"/>
          <w:sz w:val="24"/>
          <w:szCs w:val="24"/>
        </w:rPr>
      </w:pPr>
      <w:r w:rsidRPr="00827058">
        <w:rPr>
          <w:rFonts w:ascii="Times New Roman" w:hAnsi="Times New Roman" w:cs="Times New Roman"/>
          <w:sz w:val="24"/>
          <w:szCs w:val="24"/>
        </w:rPr>
        <w:t xml:space="preserve">1.4 </w:t>
      </w:r>
      <w:r>
        <w:rPr>
          <w:rFonts w:ascii="Times New Roman" w:hAnsi="Times New Roman" w:cs="Times New Roman"/>
          <w:sz w:val="24"/>
          <w:szCs w:val="24"/>
        </w:rPr>
        <w:t xml:space="preserve">Significant </w:t>
      </w:r>
      <w:r w:rsidRPr="00827058">
        <w:rPr>
          <w:rFonts w:ascii="Times New Roman" w:hAnsi="Times New Roman" w:cs="Times New Roman"/>
          <w:sz w:val="24"/>
          <w:szCs w:val="24"/>
        </w:rPr>
        <w:t>of the Study</w:t>
      </w:r>
      <w:r>
        <w:rPr>
          <w:rFonts w:ascii="Times New Roman" w:hAnsi="Times New Roman" w:cs="Times New Roman"/>
          <w:sz w:val="24"/>
          <w:szCs w:val="24"/>
        </w:rPr>
        <w:t>………...………………...……………………………................2</w:t>
      </w:r>
    </w:p>
    <w:p w:rsidR="008A4D6F" w:rsidRPr="00230471" w:rsidRDefault="008A4D6F" w:rsidP="008A4D6F">
      <w:pPr>
        <w:spacing w:after="0" w:line="480" w:lineRule="auto"/>
        <w:jc w:val="both"/>
        <w:rPr>
          <w:rFonts w:ascii="Times New Roman" w:hAnsi="Times New Roman" w:cs="Times New Roman"/>
          <w:b/>
          <w:sz w:val="24"/>
          <w:szCs w:val="24"/>
        </w:rPr>
      </w:pPr>
      <w:r w:rsidRPr="00230471">
        <w:rPr>
          <w:rFonts w:ascii="Times New Roman" w:hAnsi="Times New Roman" w:cs="Times New Roman"/>
          <w:b/>
          <w:sz w:val="24"/>
          <w:szCs w:val="24"/>
        </w:rPr>
        <w:t>CHAPTER TWO: LITERATURE REVIEW</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2.1 Soil Microbial Communities and Their Roles</w:t>
      </w:r>
      <w:r>
        <w:rPr>
          <w:rFonts w:ascii="Times New Roman" w:hAnsi="Times New Roman" w:cs="Times New Roman"/>
          <w:sz w:val="24"/>
          <w:szCs w:val="24"/>
        </w:rPr>
        <w:t>………...………………...…………………3</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bCs/>
          <w:sz w:val="24"/>
          <w:szCs w:val="24"/>
        </w:rPr>
        <w:t xml:space="preserve">2.2 </w:t>
      </w:r>
      <w:r w:rsidRPr="005854EE">
        <w:rPr>
          <w:rFonts w:ascii="Times New Roman" w:hAnsi="Times New Roman" w:cs="Times New Roman"/>
          <w:sz w:val="24"/>
          <w:szCs w:val="24"/>
        </w:rPr>
        <w:t>Factors Influencing Soil Microbial Diversity</w:t>
      </w:r>
      <w:r>
        <w:rPr>
          <w:rFonts w:ascii="Times New Roman" w:hAnsi="Times New Roman" w:cs="Times New Roman"/>
          <w:sz w:val="24"/>
          <w:szCs w:val="24"/>
        </w:rPr>
        <w:t>………...………………...………………….3</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2.3 Importance of Microbial Assessments in Agriculture</w:t>
      </w:r>
      <w:r>
        <w:rPr>
          <w:rFonts w:ascii="Times New Roman" w:hAnsi="Times New Roman" w:cs="Times New Roman"/>
          <w:sz w:val="24"/>
          <w:szCs w:val="24"/>
        </w:rPr>
        <w:t>………...………………...…………4</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2.4 Previous Studies in Nigeria</w:t>
      </w:r>
      <w:r>
        <w:rPr>
          <w:rFonts w:ascii="Times New Roman" w:hAnsi="Times New Roman" w:cs="Times New Roman"/>
          <w:sz w:val="24"/>
          <w:szCs w:val="24"/>
        </w:rPr>
        <w:t xml:space="preserve"> ……...…………...……...…………………………………….6</w:t>
      </w:r>
    </w:p>
    <w:p w:rsidR="008A4D6F" w:rsidRPr="005854EE" w:rsidRDefault="008A4D6F" w:rsidP="008A4D6F">
      <w:pPr>
        <w:spacing w:after="0" w:line="480" w:lineRule="auto"/>
        <w:jc w:val="both"/>
        <w:rPr>
          <w:rFonts w:ascii="Times New Roman" w:hAnsi="Times New Roman" w:cs="Times New Roman"/>
          <w:b/>
          <w:sz w:val="24"/>
          <w:szCs w:val="24"/>
        </w:rPr>
      </w:pPr>
      <w:r w:rsidRPr="005854EE">
        <w:rPr>
          <w:rFonts w:ascii="Times New Roman" w:hAnsi="Times New Roman" w:cs="Times New Roman"/>
          <w:b/>
          <w:sz w:val="24"/>
          <w:szCs w:val="24"/>
        </w:rPr>
        <w:t>CHAPTER THREE: MATERIALS AND METHODS</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 xml:space="preserve">3.1 Study Area </w:t>
      </w:r>
      <w:r>
        <w:rPr>
          <w:rFonts w:ascii="Times New Roman" w:hAnsi="Times New Roman" w:cs="Times New Roman"/>
          <w:sz w:val="24"/>
          <w:szCs w:val="24"/>
        </w:rPr>
        <w:t xml:space="preserve">………...………………...…………………………………………………….8 </w:t>
      </w:r>
    </w:p>
    <w:p w:rsidR="008A4D6F" w:rsidRPr="005854EE" w:rsidRDefault="008A4D6F" w:rsidP="008A4D6F">
      <w:pPr>
        <w:spacing w:after="0" w:line="480" w:lineRule="auto"/>
        <w:jc w:val="both"/>
        <w:outlineLvl w:val="0"/>
        <w:rPr>
          <w:rFonts w:ascii="Times New Roman" w:hAnsi="Times New Roman" w:cs="Times New Roman"/>
          <w:sz w:val="24"/>
          <w:szCs w:val="24"/>
        </w:rPr>
      </w:pPr>
      <w:r w:rsidRPr="005854EE">
        <w:rPr>
          <w:rFonts w:ascii="Times New Roman" w:hAnsi="Times New Roman" w:cs="Times New Roman"/>
          <w:sz w:val="24"/>
          <w:szCs w:val="24"/>
        </w:rPr>
        <w:t>3.2 Soil Sampling</w:t>
      </w:r>
      <w:r>
        <w:rPr>
          <w:rFonts w:ascii="Times New Roman" w:hAnsi="Times New Roman" w:cs="Times New Roman"/>
          <w:sz w:val="24"/>
          <w:szCs w:val="24"/>
        </w:rPr>
        <w:t xml:space="preserve"> ………...………………...………………………………………………….8</w:t>
      </w:r>
    </w:p>
    <w:p w:rsidR="008A4D6F" w:rsidRPr="005854EE" w:rsidRDefault="008A4D6F" w:rsidP="008A4D6F">
      <w:pPr>
        <w:spacing w:after="0" w:line="480" w:lineRule="auto"/>
        <w:jc w:val="both"/>
        <w:outlineLvl w:val="0"/>
        <w:rPr>
          <w:rFonts w:ascii="Times New Roman" w:hAnsi="Times New Roman" w:cs="Times New Roman"/>
          <w:sz w:val="24"/>
          <w:szCs w:val="24"/>
        </w:rPr>
      </w:pPr>
      <w:r w:rsidRPr="005854EE">
        <w:rPr>
          <w:rFonts w:ascii="Times New Roman" w:hAnsi="Times New Roman" w:cs="Times New Roman"/>
          <w:sz w:val="24"/>
          <w:szCs w:val="24"/>
        </w:rPr>
        <w:t>3.3 Soil Physicochemical Analysis</w:t>
      </w:r>
      <w:r>
        <w:rPr>
          <w:rFonts w:ascii="Times New Roman" w:hAnsi="Times New Roman" w:cs="Times New Roman"/>
          <w:sz w:val="24"/>
          <w:szCs w:val="24"/>
        </w:rPr>
        <w:t xml:space="preserve"> ………...………………...………………………………..8</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3.4 Microbial Enumeration and Identification</w:t>
      </w:r>
      <w:r>
        <w:rPr>
          <w:rFonts w:ascii="Times New Roman" w:hAnsi="Times New Roman" w:cs="Times New Roman"/>
          <w:sz w:val="24"/>
          <w:szCs w:val="24"/>
        </w:rPr>
        <w:t xml:space="preserve"> ………...………………...…………………….9</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3.4.1 Culture Based Methods</w:t>
      </w:r>
      <w:r>
        <w:rPr>
          <w:rFonts w:ascii="Times New Roman" w:hAnsi="Times New Roman" w:cs="Times New Roman"/>
          <w:sz w:val="24"/>
          <w:szCs w:val="24"/>
        </w:rPr>
        <w:t xml:space="preserve"> ………...………………...………………………………………9</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3.4.2 Molecular Techniques</w:t>
      </w:r>
      <w:r>
        <w:rPr>
          <w:rFonts w:ascii="Times New Roman" w:hAnsi="Times New Roman" w:cs="Times New Roman"/>
          <w:sz w:val="24"/>
          <w:szCs w:val="24"/>
        </w:rPr>
        <w:t xml:space="preserve"> ………...………………...……………………………………….9</w:t>
      </w:r>
    </w:p>
    <w:p w:rsidR="008A4D6F" w:rsidRPr="005854EE" w:rsidRDefault="008A4D6F" w:rsidP="008A4D6F">
      <w:pPr>
        <w:spacing w:after="0" w:line="480" w:lineRule="auto"/>
        <w:jc w:val="both"/>
        <w:rPr>
          <w:rFonts w:ascii="Times New Roman" w:hAnsi="Times New Roman" w:cs="Times New Roman"/>
          <w:b/>
          <w:sz w:val="24"/>
          <w:szCs w:val="24"/>
        </w:rPr>
      </w:pPr>
    </w:p>
    <w:p w:rsidR="008A4D6F" w:rsidRDefault="008A4D6F" w:rsidP="008A4D6F">
      <w:pPr>
        <w:spacing w:after="0" w:line="480" w:lineRule="auto"/>
        <w:jc w:val="both"/>
        <w:rPr>
          <w:rFonts w:ascii="Times New Roman" w:hAnsi="Times New Roman" w:cs="Times New Roman"/>
          <w:b/>
          <w:sz w:val="24"/>
          <w:szCs w:val="24"/>
        </w:rPr>
      </w:pPr>
      <w:r w:rsidRPr="005854EE">
        <w:rPr>
          <w:rFonts w:ascii="Times New Roman" w:hAnsi="Times New Roman" w:cs="Times New Roman"/>
          <w:b/>
          <w:sz w:val="24"/>
          <w:szCs w:val="24"/>
        </w:rPr>
        <w:lastRenderedPageBreak/>
        <w:t>CHAPTER FOUR: RESULTS AND DISCUSSIONS</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 xml:space="preserve">4.0 Result </w:t>
      </w:r>
      <w:r>
        <w:rPr>
          <w:rFonts w:ascii="Times New Roman" w:hAnsi="Times New Roman" w:cs="Times New Roman"/>
          <w:sz w:val="24"/>
          <w:szCs w:val="24"/>
        </w:rPr>
        <w:t>………...………………...………………………………………………………..10</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4.1 Result Discussion</w:t>
      </w:r>
      <w:r>
        <w:rPr>
          <w:rFonts w:ascii="Times New Roman" w:hAnsi="Times New Roman" w:cs="Times New Roman"/>
          <w:sz w:val="24"/>
          <w:szCs w:val="24"/>
        </w:rPr>
        <w:t xml:space="preserve"> ………...………………...……………………………………………11</w:t>
      </w:r>
      <w:r w:rsidRPr="005854EE">
        <w:rPr>
          <w:rFonts w:ascii="Times New Roman" w:hAnsi="Times New Roman" w:cs="Times New Roman"/>
          <w:sz w:val="24"/>
          <w:szCs w:val="24"/>
        </w:rPr>
        <w:t xml:space="preserve"> </w:t>
      </w:r>
    </w:p>
    <w:p w:rsidR="008A4D6F" w:rsidRDefault="008A4D6F" w:rsidP="008A4D6F">
      <w:pPr>
        <w:spacing w:after="0" w:line="480" w:lineRule="auto"/>
        <w:jc w:val="both"/>
        <w:outlineLvl w:val="0"/>
        <w:rPr>
          <w:rFonts w:ascii="Times New Roman" w:hAnsi="Times New Roman" w:cs="Times New Roman"/>
          <w:b/>
          <w:sz w:val="24"/>
          <w:szCs w:val="24"/>
        </w:rPr>
      </w:pPr>
      <w:r w:rsidRPr="005854EE">
        <w:rPr>
          <w:rFonts w:ascii="Times New Roman" w:hAnsi="Times New Roman" w:cs="Times New Roman"/>
          <w:b/>
          <w:sz w:val="24"/>
          <w:szCs w:val="24"/>
        </w:rPr>
        <w:t>CHAPTER FIVE: CONCLUSION AND RECOMMENDATIONS</w:t>
      </w:r>
    </w:p>
    <w:p w:rsidR="008A4D6F" w:rsidRPr="005854EE" w:rsidRDefault="008A4D6F" w:rsidP="008A4D6F">
      <w:pPr>
        <w:spacing w:after="0" w:line="480" w:lineRule="auto"/>
        <w:jc w:val="both"/>
        <w:outlineLvl w:val="0"/>
        <w:rPr>
          <w:rFonts w:ascii="Times New Roman" w:hAnsi="Times New Roman" w:cs="Times New Roman"/>
          <w:sz w:val="24"/>
          <w:szCs w:val="24"/>
        </w:rPr>
      </w:pPr>
      <w:r w:rsidRPr="005854EE">
        <w:rPr>
          <w:rFonts w:ascii="Times New Roman" w:hAnsi="Times New Roman" w:cs="Times New Roman"/>
          <w:sz w:val="24"/>
          <w:szCs w:val="24"/>
        </w:rPr>
        <w:t>5.0 Conclusion</w:t>
      </w:r>
      <w:r>
        <w:rPr>
          <w:rFonts w:ascii="Times New Roman" w:hAnsi="Times New Roman" w:cs="Times New Roman"/>
          <w:sz w:val="24"/>
          <w:szCs w:val="24"/>
        </w:rPr>
        <w:t xml:space="preserve"> ………...………………...…………………………………………………...15</w:t>
      </w:r>
    </w:p>
    <w:p w:rsidR="008A4D6F" w:rsidRPr="005854EE" w:rsidRDefault="008A4D6F" w:rsidP="008A4D6F">
      <w:pPr>
        <w:spacing w:after="0" w:line="480" w:lineRule="auto"/>
        <w:jc w:val="both"/>
        <w:outlineLvl w:val="0"/>
        <w:rPr>
          <w:rFonts w:ascii="Times New Roman" w:hAnsi="Times New Roman" w:cs="Times New Roman"/>
          <w:sz w:val="24"/>
          <w:szCs w:val="24"/>
        </w:rPr>
      </w:pPr>
      <w:r w:rsidRPr="005854EE">
        <w:rPr>
          <w:rFonts w:ascii="Times New Roman" w:hAnsi="Times New Roman" w:cs="Times New Roman"/>
          <w:sz w:val="24"/>
          <w:szCs w:val="24"/>
        </w:rPr>
        <w:t xml:space="preserve">5.1 </w:t>
      </w:r>
      <w:r>
        <w:rPr>
          <w:rFonts w:ascii="Times New Roman" w:hAnsi="Times New Roman" w:cs="Times New Roman"/>
          <w:sz w:val="24"/>
          <w:szCs w:val="24"/>
        </w:rPr>
        <w:t>Recommendation ………...………………...……………………………………………..16</w:t>
      </w:r>
    </w:p>
    <w:p w:rsidR="008A4D6F" w:rsidRPr="005854EE" w:rsidRDefault="008A4D6F" w:rsidP="008A4D6F">
      <w:pPr>
        <w:spacing w:after="0" w:line="480" w:lineRule="auto"/>
        <w:jc w:val="both"/>
        <w:rPr>
          <w:rFonts w:ascii="Times New Roman" w:hAnsi="Times New Roman" w:cs="Times New Roman"/>
          <w:sz w:val="24"/>
          <w:szCs w:val="24"/>
        </w:rPr>
      </w:pPr>
      <w:r w:rsidRPr="005854EE">
        <w:rPr>
          <w:rFonts w:ascii="Times New Roman" w:hAnsi="Times New Roman" w:cs="Times New Roman"/>
          <w:sz w:val="24"/>
          <w:szCs w:val="24"/>
        </w:rPr>
        <w:t>REFERENCES</w:t>
      </w: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p>
    <w:p w:rsidR="008A4D6F" w:rsidRDefault="008A4D6F" w:rsidP="008A4D6F">
      <w:pPr>
        <w:spacing w:after="0" w:line="480" w:lineRule="auto"/>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lastRenderedPageBreak/>
        <w:t>CHAPTER ONE</w:t>
      </w:r>
    </w:p>
    <w:p w:rsidR="008A4D6F" w:rsidRPr="00535D4A" w:rsidRDefault="008A4D6F" w:rsidP="008A4D6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1.1 Background of the Study</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microorganisms are fundamental to the health and productivity of terrestrial ecosystems. They are involved in critical processes such as organic matter decomposition, nutrient cycling, and the formation of soil structure, which collectively contribute to soil fertility and plant growth (Van Elsas et al., 2007). The microbial community in the soil comprises a diverse array of organisms, including bacteria, fungi, archaea, protozoa, and viruses, each playing unique roles in maintaining soil health and ecosystem functionality (Torsvik</w:t>
      </w:r>
      <w:r>
        <w:rPr>
          <w:rFonts w:ascii="Times New Roman" w:hAnsi="Times New Roman" w:cs="Times New Roman"/>
          <w:sz w:val="24"/>
          <w:szCs w:val="24"/>
        </w:rPr>
        <w:t>and</w:t>
      </w:r>
      <w:r w:rsidRPr="00535D4A">
        <w:rPr>
          <w:rFonts w:ascii="Times New Roman" w:hAnsi="Times New Roman" w:cs="Times New Roman"/>
          <w:sz w:val="24"/>
          <w:szCs w:val="24"/>
        </w:rPr>
        <w:t>Øvreås, 2002). In agricultural systems, particularly in tropical regions like Kwara State, Nigeria, the dynamics of soil microbial communities are essential for sustainable farming practices, as they directly influence crop yield and soil quality (Obayelu</w:t>
      </w:r>
      <w:r>
        <w:rPr>
          <w:rFonts w:ascii="Times New Roman" w:hAnsi="Times New Roman" w:cs="Times New Roman"/>
          <w:sz w:val="24"/>
          <w:szCs w:val="24"/>
        </w:rPr>
        <w:t>and</w:t>
      </w:r>
      <w:r w:rsidRPr="00535D4A">
        <w:rPr>
          <w:rFonts w:ascii="Times New Roman" w:hAnsi="Times New Roman" w:cs="Times New Roman"/>
          <w:sz w:val="24"/>
          <w:szCs w:val="24"/>
        </w:rPr>
        <w:t>Alabi, 2014).</w:t>
      </w:r>
    </w:p>
    <w:p w:rsidR="008A4D6F"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Kwara State Polytechnic's commercial farm serves as a microcosm of the agricultural landscape in the region, characterized by diverse cropping systems and varying management practices. However, there is a notable lack of comprehensive data regarding the composition, diversity, and functional roles of soil microbes in this specific agroecosystem. Understanding the microbial community structure and its relationship with soil physicochemical properties is crucial for developing effective soil management strategies that enhance agricultural productivity and sustainability.</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1.2 Statement of the Problem</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Despite the recognized importance of soil microbes in agricultural productivity, there is a significant gap in knowledge regarding their diversity and functional roles within the soils of Kwara State Polytechnic commercial farm. This lack of information limits the ability to optimize </w:t>
      </w:r>
      <w:r w:rsidRPr="00535D4A">
        <w:rPr>
          <w:rFonts w:ascii="Times New Roman" w:hAnsi="Times New Roman" w:cs="Times New Roman"/>
          <w:sz w:val="24"/>
          <w:szCs w:val="24"/>
        </w:rPr>
        <w:lastRenderedPageBreak/>
        <w:t>soil fertility management and implement practices that promote sustainable agriculture. Additionally, environmental factors such as land use changes, climate variability, and soil erosion can alter microbial communities, further complicating soil health assessments. Therefore, a comprehensive assessment of soil microbes is essential to inform effective soil management practices and enhance the farm's productivity and resilience.</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1.3 Objectives of the Study</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primary objective of this study is to conduct a comprehensive assessment of soil microbial diversity and abundance at Kwara State Polytechnic commercial farm. The specific objectives include:</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1. To characterize the microbial populations present in soil samples from different farm sites.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2. To identify key microbial groups involved in nutrient cycling and their functional roles.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3. To assess the influence of soil physicochemical properties on microbial diversity and activity.</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4. To provide recommendations for improving soil management based on microbial community profiles.</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1.4 Significance of the Study</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findings from this study will provide foundational data on soil microbial ecosystems within Kwara State Polytechnic commercial farm, contributing to sustainable agricultural development. By elucidating the relationships between soil microbes and soil health, this research can guide farm managers and policymakers in adopting practices that enhance beneficial microbial functions, ultimately improving crop yields and soil quality. Furthermore, this study will build local capacity in microbial soil science, supporting further scientific investigations in the region and fostering a deeper understanding of soil health dynamics.</w:t>
      </w:r>
    </w:p>
    <w:p w:rsidR="008A4D6F" w:rsidRDefault="008A4D6F" w:rsidP="008A4D6F">
      <w:pPr>
        <w:spacing w:after="0" w:line="480" w:lineRule="auto"/>
        <w:rPr>
          <w:rFonts w:ascii="Times New Roman" w:hAnsi="Times New Roman" w:cs="Times New Roman"/>
          <w:sz w:val="24"/>
          <w:szCs w:val="24"/>
        </w:rPr>
      </w:pPr>
    </w:p>
    <w:p w:rsidR="008A4D6F" w:rsidRPr="00535D4A" w:rsidRDefault="008A4D6F" w:rsidP="008A4D6F">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lastRenderedPageBreak/>
        <w:t>CHAPTER TWO</w:t>
      </w:r>
    </w:p>
    <w:p w:rsidR="008A4D6F" w:rsidRPr="00EC10B1" w:rsidRDefault="008A4D6F" w:rsidP="008A4D6F">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LITERATURE REVIEW</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2.1 Soil Microbial Communities and Their Roles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microbial communities are essential for the functioning of terrestrial ecosystems, as they mediate various biogeochemical processes. Bacteria and fungi are the predominant groups within these communities, with bacteria often outnumbering fungi in terms of abundance (Torsvik</w:t>
      </w:r>
      <w:r>
        <w:rPr>
          <w:rFonts w:ascii="Times New Roman" w:hAnsi="Times New Roman" w:cs="Times New Roman"/>
          <w:sz w:val="24"/>
          <w:szCs w:val="24"/>
        </w:rPr>
        <w:t>and</w:t>
      </w:r>
      <w:r w:rsidRPr="00535D4A">
        <w:rPr>
          <w:rFonts w:ascii="Times New Roman" w:hAnsi="Times New Roman" w:cs="Times New Roman"/>
          <w:sz w:val="24"/>
          <w:szCs w:val="24"/>
        </w:rPr>
        <w:t>Øvreås, 2002). These microorganisms play critical roles in organic matter decomposition, nutrient cycling, and the suppression of soilborne pathogens. For instance, bacteria are primarily responsible for the mineralization of organic nitrogen, while fungi contribute to the breakdown of complex organic compounds, facilitating nutrient availability for plants (Garbeva et al., 2004). The diversity and composition of soil microbial communities are closely linked to soil health, reflecting the soil's capacity to sustain productive agriculture (Fierer</w:t>
      </w:r>
      <w:r>
        <w:rPr>
          <w:rFonts w:ascii="Times New Roman" w:hAnsi="Times New Roman" w:cs="Times New Roman"/>
          <w:sz w:val="24"/>
          <w:szCs w:val="24"/>
        </w:rPr>
        <w:t>and</w:t>
      </w:r>
      <w:r w:rsidRPr="00535D4A">
        <w:rPr>
          <w:rFonts w:ascii="Times New Roman" w:hAnsi="Times New Roman" w:cs="Times New Roman"/>
          <w:sz w:val="24"/>
          <w:szCs w:val="24"/>
        </w:rPr>
        <w:t xml:space="preserve"> Jackson, 2006).</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2.2 Factors Influencing Soil Microbial Diversity</w:t>
      </w:r>
    </w:p>
    <w:p w:rsidR="008A4D6F" w:rsidRPr="00DF3061"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microbial diversity is influenced by a myriad of abiotic and biotic factors. Key soil parameters such as pH, moisture content, organic matter, texture, and nutrient availability significantly affect microbial community structure and function (Rousk et al., 2009). For example, acidic soils often harbor distinct microbial communities compared to neutral or alkaline soils, as different taxa exhibit varying tolerances to pH levels (Bardgett</w:t>
      </w:r>
      <w:r>
        <w:rPr>
          <w:rFonts w:ascii="Times New Roman" w:hAnsi="Times New Roman" w:cs="Times New Roman"/>
          <w:sz w:val="24"/>
          <w:szCs w:val="24"/>
        </w:rPr>
        <w:t>and</w:t>
      </w:r>
      <w:r w:rsidRPr="00535D4A">
        <w:rPr>
          <w:rFonts w:ascii="Times New Roman" w:hAnsi="Times New Roman" w:cs="Times New Roman"/>
          <w:sz w:val="24"/>
          <w:szCs w:val="24"/>
        </w:rPr>
        <w:t xml:space="preserve"> Van Der Putten, 2014). </w:t>
      </w:r>
      <w:r w:rsidRPr="00DF3061">
        <w:rPr>
          <w:rFonts w:ascii="Times New Roman" w:hAnsi="Times New Roman" w:cs="Times New Roman"/>
          <w:sz w:val="24"/>
          <w:szCs w:val="24"/>
        </w:rPr>
        <w:t xml:space="preserve">Land use practices play a significant role in shaping the microbial dynamics within soil ecosystems. These practices encompass a variety of agricultural techniques, including tillage, crop rotation, and the application of agrochemicals. Each of these practices can have profound effects on the composition and functional capabilities of microbial communities in the soil. For </w:t>
      </w:r>
      <w:r w:rsidRPr="00DF3061">
        <w:rPr>
          <w:rFonts w:ascii="Times New Roman" w:hAnsi="Times New Roman" w:cs="Times New Roman"/>
          <w:sz w:val="24"/>
          <w:szCs w:val="24"/>
        </w:rPr>
        <w:lastRenderedPageBreak/>
        <w:t>instance, tillage can disrupt soil structure and alter the habitat available for microorganisms, potentially leading to a decline in microbial diversity. Similarly, crop rotation can influence the types of plants grown in succession, which in turn affects the microbial populations that thrive in response to different root exudates and organic matter inputs. The application of agrochemicals, such as fertilizers and pesticides, can also significantly impact microbial communities by either promoting certain beneficial microbes or inhibiting others that are essential for nutrient cycling and soil health (Hartmann et al., 2015).</w:t>
      </w:r>
    </w:p>
    <w:p w:rsidR="008A4D6F" w:rsidRPr="00DF3061" w:rsidRDefault="008A4D6F" w:rsidP="008A4D6F">
      <w:pPr>
        <w:spacing w:after="0" w:line="480" w:lineRule="auto"/>
        <w:jc w:val="both"/>
        <w:rPr>
          <w:rFonts w:ascii="Times New Roman" w:hAnsi="Times New Roman" w:cs="Times New Roman"/>
          <w:sz w:val="24"/>
          <w:szCs w:val="24"/>
        </w:rPr>
      </w:pPr>
      <w:r w:rsidRPr="00DF3061">
        <w:rPr>
          <w:rFonts w:ascii="Times New Roman" w:hAnsi="Times New Roman" w:cs="Times New Roman"/>
          <w:sz w:val="24"/>
          <w:szCs w:val="24"/>
        </w:rPr>
        <w:t>In tropical soils, which are often characterized by frequent weathering and nutrient depletion, understanding the implications of these land use practices is particularly crucial. Tropical soils typically have lower organic matter content and are more susceptible to erosion and nutrient leaching. Therefore, effective management strategies that consider microbial dynamics are essential for maintaining soil health and enhancing agricultural productivity in these regions. By fostering a better understanding of how land use practices influence microbial communities, farmers and land managers can implement more sustainable agricultural practices that not only improve crop yields but also promote long-term soil health and ecosystem resilience (Bardgett and Van Der Putten, 2014).</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2.3 Importance of Microbial Assessments in Agriculture</w:t>
      </w:r>
    </w:p>
    <w:p w:rsidR="008A4D6F" w:rsidRPr="005D389E" w:rsidRDefault="008A4D6F" w:rsidP="008A4D6F">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Assessing the diversity and abundance of soil microbes is essential for gaining a comprehensive understanding of soil health and resilience. Soil microorganisms play critical roles in various ecological processes, including nutrient cycling, organic matter decomposition, and the maintenance of soil structure. Therefore, a thorough evaluation of microbial communities can provide valuable insights into the overall functioning of soil ecosystems.</w:t>
      </w:r>
    </w:p>
    <w:p w:rsidR="008A4D6F" w:rsidRPr="005D389E" w:rsidRDefault="008A4D6F" w:rsidP="008A4D6F">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lastRenderedPageBreak/>
        <w:t>Recent advances in molecular techniques, particularly high-throughput sequencing, have significantly transformed the field of microbial ecology. These innovative methods allow researchers to analyze complex microbial communities with unprecedented resolution, enabling the identification of previously uncharacterized taxa that were difficult to detect using traditional culture-based approaches. High-throughput sequencing facilitates the exploration of the vast diversity of microbial life in soil, revealing not only the presence of different species but also their functional roles within the ecosystem (Schmidt et al., 2011). This capability is particularly important for understanding how microbial communities respond to various environmental changes, such as shifts in climate, land use practices, and soil management strategies.</w:t>
      </w:r>
    </w:p>
    <w:p w:rsidR="008A4D6F" w:rsidRPr="005D389E" w:rsidRDefault="008A4D6F" w:rsidP="008A4D6F">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Moreover, such assessments of microbial diversity and abundance can help identify bioindicators of soil quality. Bio indicators are specific microbial taxa or community characteristics that reflect the health and functionality of the soil ecosystem. By monitoring these indicators, land managers and farmers can gain insights into the impacts of their agricultural practices on soil health, allowing for more informed decision-making regarding soil management. Ultimately, understanding the dynamics of soil microbial communities is crucial for developing sustainable agricultural practices that enhance soil resilience and productivity in the face of environmental challenges.</w:t>
      </w:r>
    </w:p>
    <w:p w:rsidR="008A4D6F" w:rsidRPr="00015C11"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For instance, a diverse microbial community is often associated with enhanced soil fertility and resilience against pests and diseases (Siciliano et al., 2014). By understanding the microbial dynamics in agricultural soils, farmers can implement management practices that promote beneficial microbes, thereby improving nutrient use efficiency and crop health.</w:t>
      </w:r>
    </w:p>
    <w:p w:rsidR="008A4D6F" w:rsidRDefault="008A4D6F" w:rsidP="008A4D6F">
      <w:pPr>
        <w:spacing w:after="0" w:line="480" w:lineRule="auto"/>
        <w:jc w:val="both"/>
        <w:rPr>
          <w:rFonts w:ascii="Times New Roman" w:hAnsi="Times New Roman" w:cs="Times New Roman"/>
          <w:b/>
          <w:sz w:val="24"/>
          <w:szCs w:val="24"/>
        </w:rPr>
      </w:pPr>
    </w:p>
    <w:p w:rsidR="008A4D6F" w:rsidRDefault="008A4D6F" w:rsidP="008A4D6F">
      <w:pPr>
        <w:spacing w:after="0" w:line="480" w:lineRule="auto"/>
        <w:jc w:val="both"/>
        <w:rPr>
          <w:rFonts w:ascii="Times New Roman" w:hAnsi="Times New Roman" w:cs="Times New Roman"/>
          <w:b/>
          <w:sz w:val="24"/>
          <w:szCs w:val="24"/>
        </w:rPr>
      </w:pP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lastRenderedPageBreak/>
        <w:t>2.4 Previous Studies in Nigeria</w:t>
      </w:r>
    </w:p>
    <w:p w:rsidR="008A4D6F" w:rsidRPr="00D04FA5" w:rsidRDefault="008A4D6F" w:rsidP="008A4D6F">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Numerous studies have investigated microbial diversity in various agricultural soils throughout Nigeria, revealing important insights into how different practices and amendments influence soil health. For instance, Akinola et al. (2017) conducted research that demonstrated the positive effects of organic amendments on bacterial diversity in the tropical soils of southwestern Nigeria. Their findings indicated that the addition of organic materials, such as compost and manure, not only enhanced the overall microbial diversity but also improved soil structure and nutrient availability. This increase in bacterial diversity is crucial, as a more diverse microbial community can enhance ecosystem functions, including nutrient cycling and disease suppression, ultimately contributing to improved soil health and agricultural productivity.</w:t>
      </w:r>
    </w:p>
    <w:p w:rsidR="008A4D6F" w:rsidRPr="00D04FA5" w:rsidRDefault="008A4D6F" w:rsidP="008A4D6F">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In a related study, Ojo et al. (2018) examined the effects of various land use practices on soil microbial communities across different agricultural systems. Their research highlighted that agroforestry systems, which integrate trees and shrubs with crops, supported significantly higher microbial diversity compared to traditional monoculture systems. The presence of diverse plant species in agroforestry systems creates a more complex habitat, providing varied root exudates and organic matter inputs that foster a rich microbial community. This finding underscores the importance of sustainable land management practices, as higher microbial diversity is often associated with greater resilience to environmental stressors and improved soil functionality.</w:t>
      </w:r>
    </w:p>
    <w:p w:rsidR="008A4D6F" w:rsidRPr="00D04FA5" w:rsidRDefault="008A4D6F" w:rsidP="008A4D6F">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Together, these studies illustrate the critical role of management practices and organic amendments in shaping microbial diversity in agricultural soils. By promoting practices that enhance microbial diversity, farmers can improve soil health, increase agricultural productivity, and contribute to sustainable land use in Nigeria.</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lastRenderedPageBreak/>
        <w:t xml:space="preserve"> However, comprehensive microbial profiling that combines physicochemical analyses and microbial community characterization specific to Kwara State Polytechnic commercial farm remains absent. This highlights the novelty and necessity of this research, as it aims to fill the existing knowledge gap and provide a detailed understanding of soil microbial dynamics in this unique agro ecosystem.</w:t>
      </w: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Pr="00535D4A" w:rsidRDefault="008A4D6F" w:rsidP="008A4D6F">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lastRenderedPageBreak/>
        <w:t>CHAPTER THREE</w:t>
      </w:r>
    </w:p>
    <w:p w:rsidR="008A4D6F" w:rsidRPr="00535D4A" w:rsidRDefault="008A4D6F" w:rsidP="008A4D6F">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MATERIALS AND METHODS</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3.1 Study Area</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study was conducted at the Kwara State Polytechnic commercial farm, located in Ilorin, Kwara State, Nigeria (latitude 8.5°N, longitude 4.5°E). The farm is situated in a tropical climate zone characterized by distinct wet and dry seasons, with an average annual rainfall of approximately 1,200 mm. The farm supports diverse crop production systems, including maize, cassava, and vegetables, making it an ideal site for assessing soil microbial communities.</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3.2 Soil Sampling</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samples were collected from multiple locations within the commercial farm, representing different crop fields and land use types. A systematic sampling approach was employed, with samples taken from the topsoil (020 cm depth) to capture the active root zone where microbial activity is highest. At each site, five subsamples were collected using a soil auger, mixed thoroughly to create a composite sample, and placed in sterile containers. The samples were labeled and transported to the laboratory for analysis, ensuring that they were kept cool to preserve microbial viability.</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3.3 Soil Physicochemical Analysis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physicochemical properties were analyzed following standard laboratory protocols. Soil pH was measured using a glass electrode pH meter in both distilled water and KCl solution (Thomas, 1996). Electrical conductivity (EC) was determined using a conductivity meter, and organic matter content was assessed using the WalkleyBlack method (Nelson </w:t>
      </w:r>
      <w:r>
        <w:rPr>
          <w:rFonts w:ascii="Times New Roman" w:hAnsi="Times New Roman" w:cs="Times New Roman"/>
          <w:sz w:val="24"/>
          <w:szCs w:val="24"/>
        </w:rPr>
        <w:t>and</w:t>
      </w:r>
      <w:r w:rsidRPr="00535D4A">
        <w:rPr>
          <w:rFonts w:ascii="Times New Roman" w:hAnsi="Times New Roman" w:cs="Times New Roman"/>
          <w:sz w:val="24"/>
          <w:szCs w:val="24"/>
        </w:rPr>
        <w:t xml:space="preserve">Sommers, 1996). Total nitrogen was quantified using the Kjeldahl method, while available phosphorus was measured using the Olsen method (Olsen et al., 1954). Exchangeable bases (sodium, potassium, </w:t>
      </w:r>
      <w:r w:rsidRPr="00535D4A">
        <w:rPr>
          <w:rFonts w:ascii="Times New Roman" w:hAnsi="Times New Roman" w:cs="Times New Roman"/>
          <w:sz w:val="24"/>
          <w:szCs w:val="24"/>
        </w:rPr>
        <w:lastRenderedPageBreak/>
        <w:t xml:space="preserve">calcium, and magnesium) were extracted using ammonium acetate and analyzed using atomic absorption spectrophotometry (Gee </w:t>
      </w:r>
      <w:r>
        <w:rPr>
          <w:rFonts w:ascii="Times New Roman" w:hAnsi="Times New Roman" w:cs="Times New Roman"/>
          <w:sz w:val="24"/>
          <w:szCs w:val="24"/>
        </w:rPr>
        <w:t>and</w:t>
      </w:r>
      <w:r w:rsidRPr="00535D4A">
        <w:rPr>
          <w:rFonts w:ascii="Times New Roman" w:hAnsi="Times New Roman" w:cs="Times New Roman"/>
          <w:sz w:val="24"/>
          <w:szCs w:val="24"/>
        </w:rPr>
        <w:t>Bauder, 1986).</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 Microbial Enumeration and Identification</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3.4.1 Culture</w:t>
      </w:r>
      <w:r>
        <w:rPr>
          <w:rFonts w:ascii="Times New Roman" w:hAnsi="Times New Roman" w:cs="Times New Roman"/>
          <w:b/>
          <w:sz w:val="24"/>
          <w:szCs w:val="24"/>
        </w:rPr>
        <w:t xml:space="preserve"> </w:t>
      </w:r>
      <w:r w:rsidRPr="00535D4A">
        <w:rPr>
          <w:rFonts w:ascii="Times New Roman" w:hAnsi="Times New Roman" w:cs="Times New Roman"/>
          <w:b/>
          <w:sz w:val="24"/>
          <w:szCs w:val="24"/>
        </w:rPr>
        <w:t>Based Methods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To quantify culturable bacteria and fungi, serial dilution and plating methods were employed. Soil samples were diluted in sterile saline solution, and aliquots were plated on selective media. Nutrient Agar was used for bacterial enumeration, while Potato Dextrose Agar was utilized for fungal counts. Plates were incubated at 28°C for 48 hours for bacteria and 57 days for fungi. Colony counts were expressed as colonyforming units (CFU) per gram of dry soil.</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3.4.2 Molecular Techniques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To assess the diversity of microbial communities, DNA extraction from soil samples was performed using a soil DNA extraction kit following the manufacturer's instructions. Polymerase chain reaction (PCR) was conducted to amplify the bacterial 16S rRNA gene and fungal internal transcribed spacer (ITS) regions using specific primers. The PCR products were purified and sequenced using Sanger sequencing technology. Bioinformatics analyses were performed to identify microbial taxa and assess diversity indices using software such as QIIME and Mothur.</w:t>
      </w: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240" w:lineRule="auto"/>
        <w:rPr>
          <w:rFonts w:ascii="Times New Roman" w:hAnsi="Times New Roman" w:cs="Times New Roman"/>
          <w:sz w:val="24"/>
          <w:szCs w:val="24"/>
        </w:rPr>
      </w:pPr>
    </w:p>
    <w:p w:rsidR="008A4D6F" w:rsidRDefault="008A4D6F" w:rsidP="008A4D6F">
      <w:pPr>
        <w:spacing w:after="0" w:line="240" w:lineRule="auto"/>
        <w:rPr>
          <w:rFonts w:ascii="Times New Roman" w:hAnsi="Times New Roman" w:cs="Times New Roman"/>
          <w:sz w:val="24"/>
          <w:szCs w:val="24"/>
        </w:rPr>
      </w:pPr>
    </w:p>
    <w:p w:rsidR="008A4D6F" w:rsidRDefault="008A4D6F" w:rsidP="008A4D6F">
      <w:pPr>
        <w:spacing w:after="0" w:line="240" w:lineRule="auto"/>
        <w:rPr>
          <w:rFonts w:ascii="Times New Roman" w:hAnsi="Times New Roman" w:cs="Times New Roman"/>
          <w:sz w:val="24"/>
          <w:szCs w:val="24"/>
        </w:rPr>
      </w:pPr>
    </w:p>
    <w:p w:rsidR="008A4D6F" w:rsidRPr="00535D4A" w:rsidRDefault="008A4D6F" w:rsidP="008A4D6F">
      <w:pPr>
        <w:spacing w:after="0" w:line="240" w:lineRule="auto"/>
        <w:rPr>
          <w:rFonts w:ascii="Times New Roman" w:hAnsi="Times New Roman" w:cs="Times New Roman"/>
          <w:sz w:val="24"/>
          <w:szCs w:val="24"/>
        </w:rPr>
      </w:pPr>
    </w:p>
    <w:p w:rsidR="008A4D6F" w:rsidRDefault="008A4D6F" w:rsidP="008A4D6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A4D6F" w:rsidRDefault="008A4D6F" w:rsidP="008A4D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 AND RESULT DISCUSSION </w:t>
      </w:r>
    </w:p>
    <w:p w:rsidR="008A4D6F" w:rsidRDefault="008A4D6F" w:rsidP="008A4D6F">
      <w:pPr>
        <w:spacing w:after="0" w:line="240" w:lineRule="auto"/>
        <w:rPr>
          <w:rFonts w:ascii="Times New Roman" w:hAnsi="Times New Roman" w:cs="Times New Roman"/>
          <w:b/>
          <w:sz w:val="24"/>
          <w:szCs w:val="24"/>
        </w:rPr>
      </w:pPr>
      <w:r>
        <w:rPr>
          <w:rFonts w:ascii="Times New Roman" w:hAnsi="Times New Roman" w:cs="Times New Roman"/>
          <w:b/>
          <w:sz w:val="24"/>
          <w:szCs w:val="24"/>
        </w:rPr>
        <w:t>4.0 Results</w:t>
      </w:r>
    </w:p>
    <w:p w:rsidR="008A4D6F" w:rsidRDefault="008A4D6F" w:rsidP="008A4D6F">
      <w:pPr>
        <w:spacing w:after="0" w:line="240" w:lineRule="auto"/>
        <w:jc w:val="center"/>
        <w:rPr>
          <w:rFonts w:ascii="Times New Roman" w:hAnsi="Times New Roman" w:cs="Times New Roman"/>
          <w:b/>
          <w:sz w:val="24"/>
          <w:szCs w:val="24"/>
        </w:rPr>
      </w:pPr>
    </w:p>
    <w:p w:rsidR="008A4D6F" w:rsidRPr="00535D4A" w:rsidRDefault="008A4D6F" w:rsidP="008A4D6F">
      <w:pPr>
        <w:spacing w:after="0" w:line="240" w:lineRule="auto"/>
        <w:rPr>
          <w:rFonts w:ascii="Times New Roman" w:hAnsi="Times New Roman" w:cs="Times New Roman"/>
          <w:b/>
          <w:sz w:val="24"/>
          <w:szCs w:val="24"/>
        </w:rPr>
      </w:pPr>
      <w:r w:rsidRPr="00535D4A">
        <w:rPr>
          <w:rFonts w:ascii="Times New Roman" w:hAnsi="Times New Roman" w:cs="Times New Roman"/>
          <w:b/>
          <w:sz w:val="24"/>
          <w:szCs w:val="24"/>
        </w:rPr>
        <w:t>Table 1: Bacterial Load in Soil Samples (cfu/g)</w:t>
      </w:r>
    </w:p>
    <w:tbl>
      <w:tblPr>
        <w:tblStyle w:val="TableGrid"/>
        <w:tblW w:w="9537" w:type="dxa"/>
        <w:tblLook w:val="04A0"/>
      </w:tblPr>
      <w:tblGrid>
        <w:gridCol w:w="3383"/>
        <w:gridCol w:w="6154"/>
      </w:tblGrid>
      <w:tr w:rsidR="008A4D6F" w:rsidRPr="00535D4A" w:rsidTr="00F81FBE">
        <w:trPr>
          <w:trHeight w:val="192"/>
        </w:trPr>
        <w:tc>
          <w:tcPr>
            <w:tcW w:w="3383"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6154"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Total Heterotrophic Bacteria (cfu/g)</w:t>
            </w:r>
          </w:p>
        </w:tc>
      </w:tr>
      <w:tr w:rsidR="008A4D6F" w:rsidRPr="00535D4A" w:rsidTr="00F81FBE">
        <w:trPr>
          <w:trHeight w:val="455"/>
        </w:trPr>
        <w:tc>
          <w:tcPr>
            <w:tcW w:w="3383"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 xml:space="preserve">F-2 </w:t>
            </w:r>
          </w:p>
        </w:tc>
        <w:tc>
          <w:tcPr>
            <w:tcW w:w="6154"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2.1 ×10</w:t>
            </w:r>
            <w:r w:rsidRPr="00535D4A">
              <w:rPr>
                <w:rFonts w:ascii="Times New Roman" w:hAnsi="Times New Roman" w:cs="Times New Roman"/>
                <w:sz w:val="24"/>
                <w:szCs w:val="24"/>
                <w:vertAlign w:val="superscript"/>
              </w:rPr>
              <w:t>4</w:t>
            </w:r>
          </w:p>
        </w:tc>
      </w:tr>
      <w:tr w:rsidR="008A4D6F" w:rsidRPr="00535D4A" w:rsidTr="00F81FBE">
        <w:trPr>
          <w:trHeight w:val="597"/>
        </w:trPr>
        <w:tc>
          <w:tcPr>
            <w:tcW w:w="3383"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F-1</w:t>
            </w:r>
          </w:p>
        </w:tc>
        <w:tc>
          <w:tcPr>
            <w:tcW w:w="6154"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7.8 ×10</w:t>
            </w:r>
            <w:r w:rsidRPr="00535D4A">
              <w:rPr>
                <w:rFonts w:ascii="Times New Roman" w:hAnsi="Times New Roman" w:cs="Times New Roman"/>
                <w:sz w:val="24"/>
                <w:szCs w:val="24"/>
                <w:vertAlign w:val="superscript"/>
              </w:rPr>
              <w:t>6</w:t>
            </w:r>
          </w:p>
        </w:tc>
      </w:tr>
    </w:tbl>
    <w:p w:rsidR="008A4D6F" w:rsidRPr="00535D4A" w:rsidRDefault="008A4D6F" w:rsidP="008A4D6F">
      <w:pPr>
        <w:pStyle w:val="Heading2"/>
        <w:rPr>
          <w:rFonts w:ascii="Times New Roman" w:hAnsi="Times New Roman" w:cs="Times New Roman"/>
          <w:color w:val="auto"/>
          <w:sz w:val="24"/>
          <w:szCs w:val="24"/>
        </w:rPr>
      </w:pPr>
      <w:r w:rsidRPr="00535D4A">
        <w:rPr>
          <w:rFonts w:ascii="Times New Roman" w:hAnsi="Times New Roman" w:cs="Times New Roman"/>
          <w:color w:val="auto"/>
          <w:sz w:val="24"/>
          <w:szCs w:val="24"/>
        </w:rPr>
        <w:t>Table 2: Distribution of Probable Bacteria in Soil Type</w:t>
      </w:r>
    </w:p>
    <w:tbl>
      <w:tblPr>
        <w:tblStyle w:val="TableGrid"/>
        <w:tblW w:w="9554" w:type="dxa"/>
        <w:tblLook w:val="04A0"/>
      </w:tblPr>
      <w:tblGrid>
        <w:gridCol w:w="4777"/>
        <w:gridCol w:w="4777"/>
      </w:tblGrid>
      <w:tr w:rsidR="008A4D6F" w:rsidRPr="00535D4A" w:rsidTr="00F81FBE">
        <w:trPr>
          <w:trHeight w:val="558"/>
        </w:trPr>
        <w:tc>
          <w:tcPr>
            <w:tcW w:w="4777" w:type="dxa"/>
          </w:tcPr>
          <w:p w:rsidR="008A4D6F" w:rsidRPr="00535D4A" w:rsidRDefault="008A4D6F" w:rsidP="00F81FBE">
            <w:pPr>
              <w:rPr>
                <w:rFonts w:ascii="Times New Roman" w:hAnsi="Times New Roman" w:cs="Times New Roman"/>
                <w:sz w:val="24"/>
                <w:szCs w:val="24"/>
              </w:rPr>
            </w:pPr>
          </w:p>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4777"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Probable Bacterial Islates</w:t>
            </w:r>
          </w:p>
        </w:tc>
      </w:tr>
      <w:tr w:rsidR="008A4D6F" w:rsidRPr="00535D4A" w:rsidTr="00F81FBE">
        <w:trPr>
          <w:trHeight w:val="558"/>
        </w:trPr>
        <w:tc>
          <w:tcPr>
            <w:tcW w:w="4777" w:type="dxa"/>
          </w:tcPr>
          <w:p w:rsidR="008A4D6F" w:rsidRPr="00535D4A" w:rsidRDefault="008A4D6F" w:rsidP="00F81FBE">
            <w:pPr>
              <w:rPr>
                <w:rFonts w:ascii="Times New Roman" w:hAnsi="Times New Roman" w:cs="Times New Roman"/>
                <w:sz w:val="24"/>
                <w:szCs w:val="24"/>
              </w:rPr>
            </w:pPr>
          </w:p>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F-2</w:t>
            </w:r>
          </w:p>
        </w:tc>
        <w:tc>
          <w:tcPr>
            <w:tcW w:w="4777"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Bacillus subtilis, Micrococcus luteus</w:t>
            </w:r>
          </w:p>
        </w:tc>
      </w:tr>
      <w:tr w:rsidR="008A4D6F" w:rsidRPr="00535D4A" w:rsidTr="00F81FBE">
        <w:trPr>
          <w:trHeight w:val="575"/>
        </w:trPr>
        <w:tc>
          <w:tcPr>
            <w:tcW w:w="4777" w:type="dxa"/>
          </w:tcPr>
          <w:p w:rsidR="008A4D6F" w:rsidRPr="00535D4A" w:rsidRDefault="008A4D6F" w:rsidP="00F81FBE">
            <w:pPr>
              <w:rPr>
                <w:rFonts w:ascii="Times New Roman" w:hAnsi="Times New Roman" w:cs="Times New Roman"/>
                <w:sz w:val="24"/>
                <w:szCs w:val="24"/>
              </w:rPr>
            </w:pPr>
          </w:p>
          <w:p w:rsidR="008A4D6F" w:rsidRPr="00535D4A" w:rsidRDefault="008A4D6F" w:rsidP="00F81FBE">
            <w:pPr>
              <w:rPr>
                <w:rFonts w:ascii="Times New Roman" w:hAnsi="Times New Roman" w:cs="Times New Roman"/>
                <w:sz w:val="24"/>
                <w:szCs w:val="24"/>
              </w:rPr>
            </w:pPr>
          </w:p>
        </w:tc>
        <w:tc>
          <w:tcPr>
            <w:tcW w:w="4777"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Pseudomonas aeruginosa, Staphylococcus spp</w:t>
            </w:r>
          </w:p>
        </w:tc>
      </w:tr>
      <w:tr w:rsidR="008A4D6F" w:rsidRPr="00535D4A" w:rsidTr="00F81FBE">
        <w:trPr>
          <w:trHeight w:val="558"/>
        </w:trPr>
        <w:tc>
          <w:tcPr>
            <w:tcW w:w="4777" w:type="dxa"/>
          </w:tcPr>
          <w:p w:rsidR="008A4D6F" w:rsidRPr="00535D4A" w:rsidRDefault="008A4D6F" w:rsidP="00F81FBE">
            <w:pPr>
              <w:rPr>
                <w:rFonts w:ascii="Times New Roman" w:hAnsi="Times New Roman" w:cs="Times New Roman"/>
                <w:sz w:val="24"/>
                <w:szCs w:val="24"/>
              </w:rPr>
            </w:pPr>
          </w:p>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F-1</w:t>
            </w:r>
          </w:p>
        </w:tc>
        <w:tc>
          <w:tcPr>
            <w:tcW w:w="4777"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Bacillus subtilis, Azotobacter spp.</w:t>
            </w:r>
          </w:p>
        </w:tc>
      </w:tr>
      <w:tr w:rsidR="008A4D6F" w:rsidRPr="00535D4A" w:rsidTr="00F81FBE">
        <w:trPr>
          <w:trHeight w:val="558"/>
        </w:trPr>
        <w:tc>
          <w:tcPr>
            <w:tcW w:w="4777" w:type="dxa"/>
          </w:tcPr>
          <w:p w:rsidR="008A4D6F" w:rsidRPr="00535D4A" w:rsidRDefault="008A4D6F" w:rsidP="00F81FBE">
            <w:pPr>
              <w:rPr>
                <w:rFonts w:ascii="Times New Roman" w:hAnsi="Times New Roman" w:cs="Times New Roman"/>
                <w:sz w:val="24"/>
                <w:szCs w:val="24"/>
              </w:rPr>
            </w:pPr>
          </w:p>
          <w:p w:rsidR="008A4D6F" w:rsidRPr="00535D4A" w:rsidRDefault="008A4D6F" w:rsidP="00F81FBE">
            <w:pPr>
              <w:rPr>
                <w:rFonts w:ascii="Times New Roman" w:hAnsi="Times New Roman" w:cs="Times New Roman"/>
                <w:sz w:val="24"/>
                <w:szCs w:val="24"/>
              </w:rPr>
            </w:pPr>
          </w:p>
        </w:tc>
        <w:tc>
          <w:tcPr>
            <w:tcW w:w="4777"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Rhizobium spp., Pseudomonas fluorescens</w:t>
            </w:r>
          </w:p>
        </w:tc>
      </w:tr>
      <w:tr w:rsidR="008A4D6F" w:rsidRPr="00535D4A" w:rsidTr="00F81FBE">
        <w:trPr>
          <w:trHeight w:val="558"/>
        </w:trPr>
        <w:tc>
          <w:tcPr>
            <w:tcW w:w="4777" w:type="dxa"/>
          </w:tcPr>
          <w:p w:rsidR="008A4D6F" w:rsidRPr="00535D4A" w:rsidRDefault="008A4D6F" w:rsidP="00F81FBE">
            <w:pPr>
              <w:rPr>
                <w:rFonts w:ascii="Times New Roman" w:hAnsi="Times New Roman" w:cs="Times New Roman"/>
                <w:sz w:val="24"/>
                <w:szCs w:val="24"/>
              </w:rPr>
            </w:pPr>
          </w:p>
          <w:p w:rsidR="008A4D6F" w:rsidRPr="00535D4A" w:rsidRDefault="008A4D6F" w:rsidP="00F81FBE">
            <w:pPr>
              <w:rPr>
                <w:rFonts w:ascii="Times New Roman" w:hAnsi="Times New Roman" w:cs="Times New Roman"/>
                <w:sz w:val="24"/>
                <w:szCs w:val="24"/>
              </w:rPr>
            </w:pPr>
          </w:p>
        </w:tc>
        <w:tc>
          <w:tcPr>
            <w:tcW w:w="4777"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Enterobacter cloacae, Escherichia coli</w:t>
            </w:r>
          </w:p>
        </w:tc>
      </w:tr>
    </w:tbl>
    <w:p w:rsidR="008A4D6F" w:rsidRPr="00535D4A" w:rsidRDefault="008A4D6F" w:rsidP="008A4D6F">
      <w:pPr>
        <w:pStyle w:val="Heading1"/>
        <w:rPr>
          <w:rFonts w:ascii="Times New Roman" w:hAnsi="Times New Roman" w:cs="Times New Roman"/>
          <w:color w:val="auto"/>
          <w:sz w:val="24"/>
          <w:szCs w:val="24"/>
        </w:rPr>
      </w:pPr>
      <w:r w:rsidRPr="00535D4A">
        <w:rPr>
          <w:rFonts w:ascii="Times New Roman" w:hAnsi="Times New Roman" w:cs="Times New Roman"/>
          <w:color w:val="auto"/>
          <w:sz w:val="24"/>
          <w:szCs w:val="24"/>
        </w:rPr>
        <w:t>Table 3:  Biochemical Characterization of Bacterial Isolates</w:t>
      </w:r>
    </w:p>
    <w:tbl>
      <w:tblPr>
        <w:tblStyle w:val="TableGrid"/>
        <w:tblW w:w="9606" w:type="dxa"/>
        <w:tblLook w:val="04A0"/>
      </w:tblPr>
      <w:tblGrid>
        <w:gridCol w:w="1770"/>
        <w:gridCol w:w="1122"/>
        <w:gridCol w:w="1119"/>
        <w:gridCol w:w="1119"/>
        <w:gridCol w:w="1119"/>
        <w:gridCol w:w="1119"/>
        <w:gridCol w:w="1119"/>
        <w:gridCol w:w="1119"/>
      </w:tblGrid>
      <w:tr w:rsidR="008A4D6F" w:rsidRPr="00535D4A" w:rsidTr="00F81FBE">
        <w:trPr>
          <w:trHeight w:val="485"/>
        </w:trPr>
        <w:tc>
          <w:tcPr>
            <w:tcW w:w="1770"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Bacterial Isolate</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Gram Reaction</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Catalase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Oxidase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Indole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Citrate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Urease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Motility</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Bacillus subtilis</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500"/>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Micrococcus luteus</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 xml:space="preserve">Pseudomonas </w:t>
            </w:r>
            <w:r w:rsidRPr="00535D4A">
              <w:rPr>
                <w:rFonts w:ascii="Times New Roman" w:hAnsi="Times New Roman" w:cs="Times New Roman"/>
                <w:i/>
                <w:sz w:val="24"/>
                <w:szCs w:val="24"/>
              </w:rPr>
              <w:lastRenderedPageBreak/>
              <w:t>aeruginosa</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lastRenderedPageBreak/>
              <w:t>Negative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lastRenderedPageBreak/>
              <w:t>Escherichia coli</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Enterobacter cloacae</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Staphylococcus aureus</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Azotobacter spp.</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242"/>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Rhizobium spp.</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r w:rsidR="008A4D6F" w:rsidRPr="00535D4A" w:rsidTr="00F81FBE">
        <w:trPr>
          <w:trHeight w:val="485"/>
        </w:trPr>
        <w:tc>
          <w:tcPr>
            <w:tcW w:w="1770" w:type="dxa"/>
          </w:tcPr>
          <w:p w:rsidR="008A4D6F" w:rsidRPr="00535D4A" w:rsidRDefault="008A4D6F" w:rsidP="00F81FBE">
            <w:pPr>
              <w:rPr>
                <w:rFonts w:ascii="Times New Roman" w:hAnsi="Times New Roman" w:cs="Times New Roman"/>
                <w:i/>
                <w:sz w:val="24"/>
                <w:szCs w:val="24"/>
              </w:rPr>
            </w:pPr>
            <w:r w:rsidRPr="00535D4A">
              <w:rPr>
                <w:rFonts w:ascii="Times New Roman" w:hAnsi="Times New Roman" w:cs="Times New Roman"/>
                <w:i/>
                <w:sz w:val="24"/>
                <w:szCs w:val="24"/>
              </w:rPr>
              <w:t>Pseudomonas fluorescens</w:t>
            </w:r>
          </w:p>
        </w:tc>
        <w:tc>
          <w:tcPr>
            <w:tcW w:w="1122"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rsidR="008A4D6F" w:rsidRPr="00535D4A" w:rsidRDefault="008A4D6F" w:rsidP="00F81FBE">
            <w:pPr>
              <w:rPr>
                <w:rFonts w:ascii="Times New Roman" w:hAnsi="Times New Roman" w:cs="Times New Roman"/>
                <w:sz w:val="24"/>
                <w:szCs w:val="24"/>
              </w:rPr>
            </w:pPr>
            <w:r w:rsidRPr="00535D4A">
              <w:rPr>
                <w:rFonts w:ascii="Times New Roman" w:hAnsi="Times New Roman" w:cs="Times New Roman"/>
                <w:sz w:val="24"/>
                <w:szCs w:val="24"/>
              </w:rPr>
              <w:t>+</w:t>
            </w:r>
          </w:p>
        </w:tc>
      </w:tr>
    </w:tbl>
    <w:p w:rsidR="008A4D6F" w:rsidRPr="00535D4A" w:rsidRDefault="008A4D6F" w:rsidP="008A4D6F">
      <w:pPr>
        <w:rPr>
          <w:rFonts w:ascii="Times New Roman" w:hAnsi="Times New Roman" w:cs="Times New Roman"/>
          <w:sz w:val="24"/>
          <w:szCs w:val="24"/>
        </w:rPr>
      </w:pPr>
    </w:p>
    <w:p w:rsidR="008A4D6F" w:rsidRPr="00535D4A" w:rsidRDefault="008A4D6F" w:rsidP="008A4D6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Pr="00535D4A">
        <w:rPr>
          <w:rFonts w:ascii="Times New Roman" w:hAnsi="Times New Roman" w:cs="Times New Roman"/>
          <w:b/>
          <w:sz w:val="24"/>
          <w:szCs w:val="24"/>
        </w:rPr>
        <w:t xml:space="preserve"> Results Discussion</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assessment of soil microbial communities at Kwara State Polytechnic commercial farm revealed significant differences in bacterial loads and diversity between the two soil types sampled, F1 and F2. The total heterotrophic bacterial count was markedly higher in soil type F1 (7.8 × 10^6 cfu/g) compared to F2 (2.1 × 10^4 cfu/g) (Table 1). </w:t>
      </w:r>
      <w:r w:rsidRPr="00A163C4">
        <w:rPr>
          <w:rFonts w:ascii="Times New Roman" w:hAnsi="Times New Roman" w:cs="Times New Roman"/>
          <w:sz w:val="24"/>
          <w:szCs w:val="24"/>
        </w:rPr>
        <w:t xml:space="preserve">This substantial difference in bacterial load indicates that soil type F1 may provide more favorable conditions for microbial proliferation. Several factors could contribute to this enhanced microbial activity, including a higher organic matter content, which serves as a vital source of nutrients and energy for bacteria. Organic matter not only supports microbial growth but also improves soil structure, enhancing aeration and water retention. Additionally, moisture levels are crucial for microbial metabolism; soils that maintain adequate moisture can sustain more active and diverse microbial communities. Furthermore, the availability of essential nutrientssuch as nitrogen, phosphorus, and potassiumplays a critical role in supporting microbial growth and activity. These nutrients are necessary for various cellular processes, including reproduction and metabolism, and their </w:t>
      </w:r>
      <w:r w:rsidRPr="00A163C4">
        <w:rPr>
          <w:rFonts w:ascii="Times New Roman" w:hAnsi="Times New Roman" w:cs="Times New Roman"/>
          <w:sz w:val="24"/>
          <w:szCs w:val="24"/>
        </w:rPr>
        <w:lastRenderedPageBreak/>
        <w:t>presence can significantly influence the composition and abundance of microbial communities (Fierer and Jackson, 2006). Collectively, these factors suggest that soil type F1 is likely more conducive to fostering a robust and diverse microbial population, which is essential for maintaining soil health and supporting agricultural productivity.</w:t>
      </w:r>
      <w:r w:rsidRPr="00535D4A">
        <w:rPr>
          <w:rFonts w:ascii="Times New Roman" w:hAnsi="Times New Roman" w:cs="Times New Roman"/>
          <w:sz w:val="24"/>
          <w:szCs w:val="24"/>
        </w:rPr>
        <w:t>The higher bacterial load in F1 indicates a more active microbial community, which is essential for processes such as nutrient cycling and organic matter decomposition, both of which are vital for maintaining soil fertility and supporting crop growth.</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distribution of probable bacterial isolates further highlights the diversity present in the soil samples. Soil type F1 was found to harbor beneficial bacteria such as Bacillus subtilis, Azotobacter spp., and Rhizobium spp., which are known for their roles in nitrogen fixation and plant growth promotion (Garbeva et al., 2004) (Table 2). For instance, Rhizobium spp. forms symbiotic relationships with legumes, enhancing nitrogen availability in the soil, which can benefit subsequent crops in rotation systems. In contrast, soil type F2 contained a more limited range of bacterial isolates, including Micrococcus luteus and Pseudomonas aeruginosa. While these bacteria can also be beneficial, they may not contribute as significantly to nutrient cycling as the isolates found in F1. The presence of Pseudomonas aeruginosa, although often recognized for its plant growth-promoting abilities, can also act as a pathogen under certain conditions, which raises concerns for crop health (Khan et al., 2015).</w:t>
      </w:r>
    </w:p>
    <w:p w:rsidR="008A4D6F" w:rsidRPr="00325D2E" w:rsidRDefault="008A4D6F" w:rsidP="008A4D6F">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biochemical characterization of the bacterial isolates obtained from both soil types revealed a predominance of Gram-positive bacteria. Among the notable isolates identified were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and </w:t>
      </w:r>
      <w:r w:rsidRPr="00325D2E">
        <w:rPr>
          <w:rFonts w:ascii="Times New Roman" w:hAnsi="Times New Roman" w:cs="Times New Roman"/>
          <w:i/>
          <w:iCs/>
          <w:sz w:val="24"/>
          <w:szCs w:val="24"/>
        </w:rPr>
        <w:t>Staphylococcus aureus</w:t>
      </w:r>
      <w:r w:rsidRPr="00325D2E">
        <w:rPr>
          <w:rFonts w:ascii="Times New Roman" w:hAnsi="Times New Roman" w:cs="Times New Roman"/>
          <w:sz w:val="24"/>
          <w:szCs w:val="24"/>
        </w:rPr>
        <w:t> (see Table 3). The presence of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xml:space="preserve"> is particularly significant due to its well-documented ability to produce a variety of bioactive compounds, including antibiotics and enzymes, which can effectively suppress plant pathogens. This </w:t>
      </w:r>
      <w:r w:rsidRPr="00325D2E">
        <w:rPr>
          <w:rFonts w:ascii="Times New Roman" w:hAnsi="Times New Roman" w:cs="Times New Roman"/>
          <w:sz w:val="24"/>
          <w:szCs w:val="24"/>
        </w:rPr>
        <w:lastRenderedPageBreak/>
        <w:t>characteristic makes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an important player in promoting plant health and resilience against diseases.</w:t>
      </w:r>
    </w:p>
    <w:p w:rsidR="008A4D6F" w:rsidRPr="00325D2E" w:rsidRDefault="008A4D6F" w:rsidP="008A4D6F">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In addition to its pathogen-suppressing capabilities,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is also recognized for its role in enhancing soil fertility. It contributes to nutrient cycling by facilitating the breakdown of organic matter and improving nutrient availability for plants. The production of plant growth-promoting substances, such as phytohormones, further supports plant growth and development. These attributes highlight the potential of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as a beneficial microbial agent in sustainable agricultural practices, where the enhancement of soil health and crop productivity is paramount (Siciliano et al., 2014).</w:t>
      </w:r>
    </w:p>
    <w:p w:rsidR="008A4D6F" w:rsidRPr="00325D2E" w:rsidRDefault="008A4D6F" w:rsidP="008A4D6F">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identification of </w:t>
      </w:r>
      <w:r w:rsidRPr="00325D2E">
        <w:rPr>
          <w:rFonts w:ascii="Times New Roman" w:hAnsi="Times New Roman" w:cs="Times New Roman"/>
          <w:i/>
          <w:iCs/>
          <w:sz w:val="24"/>
          <w:szCs w:val="24"/>
        </w:rPr>
        <w:t>Staphylococcus aureus</w:t>
      </w:r>
      <w:r w:rsidRPr="00325D2E">
        <w:rPr>
          <w:rFonts w:ascii="Times New Roman" w:hAnsi="Times New Roman" w:cs="Times New Roman"/>
          <w:sz w:val="24"/>
          <w:szCs w:val="24"/>
        </w:rPr>
        <w:t>, while noteworthy, warrants further investigation due to its association with pathogenicity in humans and animals. Understanding the ecological roles and interactions of these bacterial isolates within the soil ecosystem is crucial for developing effective soil management strategies that leverage beneficial microbes while mitigating potential risks associated with pathogenic species.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This characteristic makes it a valuable asset in sustainable agriculture, as it can help reduce the reliance on chemical fertilizers and pesticides. However, the detection of Escherichia coli and Enterobacter cloacae in soil type F1 raises concerns regarding potential pathogenicity, especially in the context of maize and cassava farming. High loads of these organisms can lead to soil-borne diseases, which may adversely affect crop health and yield (Nwosu et al., 2018). The presence of pathogenic bacteria can lead to increased crop susceptibility to diseases, resulting in lower yields and higher production costs due to the need for disease management strategies.</w:t>
      </w:r>
    </w:p>
    <w:p w:rsidR="008A4D6F" w:rsidRPr="00326023"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economic implications of microbial load in maize and cassava farming are significant. Beneficial bacteria can enhance nutrient availability, improve soil structure, and promote plant </w:t>
      </w:r>
      <w:r w:rsidRPr="00535D4A">
        <w:rPr>
          <w:rFonts w:ascii="Times New Roman" w:hAnsi="Times New Roman" w:cs="Times New Roman"/>
          <w:sz w:val="24"/>
          <w:szCs w:val="24"/>
        </w:rPr>
        <w:lastRenderedPageBreak/>
        <w:t>growth, leading to increased crop yields and profitability for farmers (Obayelu</w:t>
      </w:r>
      <w:r>
        <w:rPr>
          <w:rFonts w:ascii="Times New Roman" w:hAnsi="Times New Roman" w:cs="Times New Roman"/>
          <w:sz w:val="24"/>
          <w:szCs w:val="24"/>
        </w:rPr>
        <w:t>and</w:t>
      </w:r>
      <w:r w:rsidRPr="00535D4A">
        <w:rPr>
          <w:rFonts w:ascii="Times New Roman" w:hAnsi="Times New Roman" w:cs="Times New Roman"/>
          <w:sz w:val="24"/>
          <w:szCs w:val="24"/>
        </w:rPr>
        <w:t xml:space="preserve">Alabi, 2014). For example, the presence of Azotobacter spp. in soil type F1 can enhance nitrogen availability, which is crucial for maize and cassava, both of which are nitrogen-demanding crops. Conversely, an overload of pathogenic bacteria can result in crop diseases, reduced yields, and increased costs associated with pest and disease management. </w:t>
      </w:r>
      <w:r w:rsidRPr="00326023">
        <w:rPr>
          <w:rFonts w:ascii="Times New Roman" w:hAnsi="Times New Roman" w:cs="Times New Roman"/>
          <w:sz w:val="24"/>
          <w:szCs w:val="24"/>
        </w:rPr>
        <w:t>For instance, </w:t>
      </w:r>
      <w:r w:rsidRPr="00326023">
        <w:rPr>
          <w:rFonts w:ascii="Times New Roman" w:hAnsi="Times New Roman" w:cs="Times New Roman"/>
          <w:i/>
          <w:iCs/>
          <w:sz w:val="24"/>
          <w:szCs w:val="24"/>
        </w:rPr>
        <w:t>Pseudomonas aeruginosa</w:t>
      </w:r>
      <w:r w:rsidRPr="00326023">
        <w:rPr>
          <w:rFonts w:ascii="Times New Roman" w:hAnsi="Times New Roman" w:cs="Times New Roman"/>
          <w:sz w:val="24"/>
          <w:szCs w:val="24"/>
        </w:rPr>
        <w:t> is a bacterium that exhibits a dual nature; while it can be beneficial in certain contexts—such as promoting plant growth through the production of plant growth-promoting hormones and enhancing nutrient availability—it can also act as a plant pathogen under specific environmental conditions. This pathogenic potential can lead to significant economic losses for farmers, particularly when </w:t>
      </w:r>
      <w:r w:rsidRPr="00326023">
        <w:rPr>
          <w:rFonts w:ascii="Times New Roman" w:hAnsi="Times New Roman" w:cs="Times New Roman"/>
          <w:i/>
          <w:iCs/>
          <w:sz w:val="24"/>
          <w:szCs w:val="24"/>
        </w:rPr>
        <w:t>Pseudomonas aeruginosa</w:t>
      </w:r>
      <w:r w:rsidRPr="00326023">
        <w:rPr>
          <w:rFonts w:ascii="Times New Roman" w:hAnsi="Times New Roman" w:cs="Times New Roman"/>
          <w:sz w:val="24"/>
          <w:szCs w:val="24"/>
        </w:rPr>
        <w:t> infects crops and causes diseases that reduce yield and quality (Khan et al., 2015).</w:t>
      </w:r>
    </w:p>
    <w:p w:rsidR="008A4D6F" w:rsidRPr="00326023" w:rsidRDefault="008A4D6F" w:rsidP="008A4D6F">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The dual nature of some bacterial species, like </w:t>
      </w:r>
      <w:r w:rsidRPr="00326023">
        <w:rPr>
          <w:rFonts w:ascii="Times New Roman" w:hAnsi="Times New Roman" w:cs="Times New Roman"/>
          <w:i/>
          <w:iCs/>
          <w:sz w:val="24"/>
          <w:szCs w:val="24"/>
        </w:rPr>
        <w:t>Pseudomonas aeruginosa</w:t>
      </w:r>
      <w:r w:rsidRPr="00326023">
        <w:rPr>
          <w:rFonts w:ascii="Times New Roman" w:hAnsi="Times New Roman" w:cs="Times New Roman"/>
          <w:sz w:val="24"/>
          <w:szCs w:val="24"/>
        </w:rPr>
        <w:t>, underscores the importance of careful monitoring and management of microbial communities in agricultural settings. Effective management strategies should aim to maximize the beneficial aspects of these bacteria while minimizing the risks associated with their pathogenicity. This may involve practices such as regular soil testing, the use of crop rotation, and the application of biocontrol agents that can suppress harmful pathogens while promoting beneficial microbes.</w:t>
      </w:r>
    </w:p>
    <w:p w:rsidR="008A4D6F" w:rsidRPr="00326023" w:rsidRDefault="008A4D6F" w:rsidP="008A4D6F">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Furthermore, understanding the specific environmental conditions that trigger the pathogenic behavior of such bacteria is crucial for developing targeted interventions. By fostering a balanced microbial ecosystem, farmers can enhance soil health and crop resilience, ultimately leading to more sustainable agricultural practices that mitigate the risks posed by potentially harmful microorganisms.</w:t>
      </w:r>
    </w:p>
    <w:p w:rsidR="008A4D6F" w:rsidRDefault="008A4D6F" w:rsidP="008A4D6F">
      <w:pPr>
        <w:spacing w:after="0" w:line="480" w:lineRule="auto"/>
        <w:jc w:val="both"/>
        <w:rPr>
          <w:rFonts w:ascii="Times New Roman" w:hAnsi="Times New Roman" w:cs="Times New Roman"/>
          <w:b/>
          <w:sz w:val="24"/>
          <w:szCs w:val="24"/>
        </w:rPr>
      </w:pPr>
    </w:p>
    <w:p w:rsidR="008A4D6F" w:rsidRDefault="008A4D6F" w:rsidP="008A4D6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A4D6F" w:rsidRDefault="008A4D6F" w:rsidP="008A4D6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RECOMMENDATIONS</w:t>
      </w:r>
    </w:p>
    <w:p w:rsidR="008A4D6F" w:rsidRPr="00535D4A" w:rsidRDefault="008A4D6F" w:rsidP="008A4D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5.0 Conclusion</w:t>
      </w:r>
    </w:p>
    <w:p w:rsidR="008A4D6F" w:rsidRPr="00A902AD"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In conclusion, the comprehensive assessment of soil microbial communities at Kwara State Polytechnic commercial farm has highlighted the critical role of bacterial diversity in influencing soil health and agricultural productivity. </w:t>
      </w:r>
      <w:r w:rsidRPr="00A902AD">
        <w:rPr>
          <w:rFonts w:ascii="Times New Roman" w:hAnsi="Times New Roman" w:cs="Times New Roman"/>
          <w:sz w:val="24"/>
          <w:szCs w:val="24"/>
        </w:rPr>
        <w:t>The higher bacterial load observed in soil type F1, along with the presence of beneficial bacterial isolates, indicates a more favorable environment for the cultivation of crops such as maize and cassava. The enhanced microbial activity in this soil type can contribute to improved nutrient availability, better soil structure, and increased resilience against environmental stressors, all of which are essential for the healthy growth of these staple crops.</w:t>
      </w:r>
    </w:p>
    <w:p w:rsidR="008A4D6F" w:rsidRPr="00A902AD" w:rsidRDefault="008A4D6F" w:rsidP="008A4D6F">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However, the detection of potentially pathogenic bacteria within the same soil type highlights the importance of implementing careful management practices to mitigate the risks associated with soil-borne diseases. The presence of pathogens can pose significant threats to crop health, leading to reduced yields and economic losses for farmers. Therefore, it is crucial to adopt integrated soil management strategies that not only promote beneficial microbial communities but also monitor and control the populations of harmful bacteria.</w:t>
      </w:r>
    </w:p>
    <w:p w:rsidR="008A4D6F" w:rsidRPr="00A902AD" w:rsidRDefault="008A4D6F" w:rsidP="008A4D6F">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 xml:space="preserve">Such management practices may include crop rotation, the use of resistant crop varieties, and the application of organic amendments that enhance soil health while suppressing pathogen populations. Additionally, regular soil testing and monitoring can help identify shifts in microbial communities, allowing for timely interventions to address any emerging threats. By balancing the benefits of a rich microbial community with the need to manage potential risks, </w:t>
      </w:r>
      <w:r w:rsidRPr="00A902AD">
        <w:rPr>
          <w:rFonts w:ascii="Times New Roman" w:hAnsi="Times New Roman" w:cs="Times New Roman"/>
          <w:sz w:val="24"/>
          <w:szCs w:val="24"/>
        </w:rPr>
        <w:lastRenderedPageBreak/>
        <w:t>farmers can optimize their agricultural practices, ensuring sustainable production of maize and cassava while safeguarding against soil-borne diseases.</w:t>
      </w:r>
    </w:p>
    <w:p w:rsidR="008A4D6F" w:rsidRPr="00A902AD" w:rsidRDefault="008A4D6F" w:rsidP="008A4D6F">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The findings underscore the critical importance of understanding microbial dynamics in agricultural soils as a means to enhance crop productivity and sustainability. By gaining insights into the composition, diversity, and functional roles of microbial communities, farmers and agricultural scientists can develop targeted strategies that optimize soil health and fertility.</w:t>
      </w:r>
    </w:p>
    <w:p w:rsidR="008A4D6F" w:rsidRPr="00A902AD" w:rsidRDefault="008A4D6F" w:rsidP="008A4D6F">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Microbial dynamics play a pivotal role in various soil processes, including nutrient cycling, organic matter decomposition, and the suppression of soil-borne pathogens. A thorough understanding of these dynamics allows for the identification of beneficial microorganisms that can be harnessed to improve plant growth and resilience. For instance, promoting the activity of beneficial bacteria and fungi can lead to increased nutrient availability, improved soil structure, and enhanced water retention, all of which contribute to higher crop yields.</w:t>
      </w:r>
    </w:p>
    <w:p w:rsidR="008A4D6F" w:rsidRPr="00A902AD" w:rsidRDefault="008A4D6F" w:rsidP="008A4D6F">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Moreover, recognizing the interactions between different microbial species and their responses to environmental changes is essential for developing sustainable agricultural practices. This knowledge can inform decisions related to crop rotation, soil amendments, and pest management, ultimately leading to more resilient farming systems that can withstand the challenges posed by climate change and other stressors.</w:t>
      </w:r>
    </w:p>
    <w:p w:rsidR="008A4D6F" w:rsidRPr="00A902AD" w:rsidRDefault="008A4D6F" w:rsidP="008A4D6F">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In summary, a comprehensive understanding of microbial dynamics in agricultural soils is vital for fostering sustainable practices that not only boost crop productivity but also promote long-term soil health and ecosystem stability.</w:t>
      </w:r>
    </w:p>
    <w:p w:rsidR="008A4D6F" w:rsidRPr="00535D4A" w:rsidRDefault="008A4D6F" w:rsidP="008A4D6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Pr="00535D4A">
        <w:rPr>
          <w:rFonts w:ascii="Times New Roman" w:hAnsi="Times New Roman" w:cs="Times New Roman"/>
          <w:b/>
          <w:sz w:val="24"/>
          <w:szCs w:val="24"/>
        </w:rPr>
        <w:t>Recommendations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Management Practices: Implement integrated soil fertility management practices that promote beneficial microbial populations while minimizing the risks associated with pathogenic </w:t>
      </w:r>
      <w:r w:rsidRPr="00535D4A">
        <w:rPr>
          <w:rFonts w:ascii="Times New Roman" w:hAnsi="Times New Roman" w:cs="Times New Roman"/>
          <w:sz w:val="24"/>
          <w:szCs w:val="24"/>
        </w:rPr>
        <w:lastRenderedPageBreak/>
        <w:t>bacteria. This may include the use of organic amendments, crop rotation, and cover cropping to enhance soil health. For instance, incorporating legumes in crop rotations can enhance nitrogen fixation and improve soil microbial diversity.</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Regular Monitoring: Conduct regular soil microbial assessments to monitor changes in microbial communities and their impact on crop health. This will help in making informed decisions regarding soil management and crop production strategies. Monitoring should include microbial population counts as well as identification of beneficial and pathogenic species to tailor interventions effectively.</w:t>
      </w:r>
    </w:p>
    <w:p w:rsidR="008A4D6F" w:rsidRPr="00535D4A" w:rsidRDefault="008A4D6F" w:rsidP="008A4D6F">
      <w:pPr>
        <w:spacing w:after="0" w:line="480" w:lineRule="auto"/>
        <w:jc w:val="both"/>
        <w:rPr>
          <w:rFonts w:ascii="Times New Roman" w:hAnsi="Times New Roman" w:cs="Times New Roman"/>
          <w:sz w:val="24"/>
          <w:szCs w:val="24"/>
        </w:rPr>
      </w:pPr>
      <w:bookmarkStart w:id="0" w:name="_GoBack"/>
      <w:bookmarkEnd w:id="0"/>
      <w:r w:rsidRPr="00535D4A">
        <w:rPr>
          <w:rFonts w:ascii="Times New Roman" w:hAnsi="Times New Roman" w:cs="Times New Roman"/>
          <w:sz w:val="24"/>
          <w:szCs w:val="24"/>
        </w:rPr>
        <w:t>Education and Training: Organize workshops and training programs for farmers and extension workers on the role of soil microbes in crop health, emphasizing practices that foster beneficial bacteria and minimize pathogenic risks. Awareness will encourage adoption of sustainable farming techniques.</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Research and Development: Support further research into the functional roles of bacterial isolates identified, such as Bacillus subtilis, Azotobacter spp., and Rhizobium spp. This could facilitate development of microbial inoculants or biofertilizers adapted for local conditions, enhancing nutrient cycling and disease resistance.</w:t>
      </w:r>
    </w:p>
    <w:p w:rsidR="008A4D6F" w:rsidRPr="00535D4A" w:rsidRDefault="008A4D6F" w:rsidP="008A4D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Policy Support: Advocate for agricultural policies that prioritize sustainable soil health management and microbial biodiversity conservation. This includes funding for microbial soil studies, incentives for use of organic amendments, and regulations on pesticide use to preserve beneficial microorganisms.</w:t>
      </w: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jc w:val="both"/>
        <w:rPr>
          <w:rFonts w:ascii="Times New Roman" w:hAnsi="Times New Roman" w:cs="Times New Roman"/>
          <w:sz w:val="24"/>
          <w:szCs w:val="24"/>
        </w:rPr>
      </w:pPr>
    </w:p>
    <w:p w:rsidR="008A4D6F" w:rsidRDefault="008A4D6F" w:rsidP="008A4D6F">
      <w:pPr>
        <w:spacing w:after="0" w:line="480" w:lineRule="auto"/>
        <w:rPr>
          <w:rFonts w:ascii="Times New Roman" w:hAnsi="Times New Roman" w:cs="Times New Roman"/>
          <w:sz w:val="24"/>
          <w:szCs w:val="24"/>
        </w:rPr>
      </w:pPr>
    </w:p>
    <w:p w:rsidR="008A4D6F" w:rsidRPr="00955163" w:rsidRDefault="008A4D6F" w:rsidP="008A4D6F">
      <w:pPr>
        <w:spacing w:after="0" w:line="480" w:lineRule="auto"/>
        <w:jc w:val="center"/>
        <w:rPr>
          <w:rFonts w:ascii="Times New Roman" w:hAnsi="Times New Roman" w:cs="Times New Roman"/>
          <w:b/>
          <w:bCs/>
          <w:sz w:val="24"/>
          <w:szCs w:val="24"/>
        </w:rPr>
      </w:pPr>
      <w:r w:rsidRPr="00955163">
        <w:rPr>
          <w:rFonts w:ascii="Times New Roman" w:hAnsi="Times New Roman" w:cs="Times New Roman"/>
          <w:b/>
          <w:bCs/>
          <w:sz w:val="24"/>
          <w:szCs w:val="24"/>
        </w:rPr>
        <w:lastRenderedPageBreak/>
        <w:t>REFERENCES</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Akinola, J. O., Ojo, O. A., </w:t>
      </w:r>
      <w:r>
        <w:rPr>
          <w:rFonts w:ascii="Times New Roman" w:hAnsi="Times New Roman" w:cs="Times New Roman"/>
          <w:sz w:val="24"/>
          <w:szCs w:val="24"/>
        </w:rPr>
        <w:t>and</w:t>
      </w:r>
      <w:r w:rsidRPr="00955163">
        <w:rPr>
          <w:rFonts w:ascii="Times New Roman" w:hAnsi="Times New Roman" w:cs="Times New Roman"/>
          <w:sz w:val="24"/>
          <w:szCs w:val="24"/>
        </w:rPr>
        <w:t>Olatunji, A. A. (2017). Influence of organic amendments on soil bacterial diversity in southwestern Nigeria. </w:t>
      </w:r>
      <w:r w:rsidRPr="00955163">
        <w:rPr>
          <w:rFonts w:ascii="Times New Roman" w:hAnsi="Times New Roman" w:cs="Times New Roman"/>
          <w:i/>
          <w:iCs/>
          <w:sz w:val="24"/>
          <w:szCs w:val="24"/>
        </w:rPr>
        <w:t>International Journal of Soil Science</w:t>
      </w:r>
      <w:r w:rsidRPr="00955163">
        <w:rPr>
          <w:rFonts w:ascii="Times New Roman" w:hAnsi="Times New Roman" w:cs="Times New Roman"/>
          <w:sz w:val="24"/>
          <w:szCs w:val="24"/>
        </w:rPr>
        <w:t>, 12(4), 134-142. https://doi.org/10.3923/ijss.2017.134.142</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Bardgett, R. D., </w:t>
      </w:r>
      <w:r>
        <w:rPr>
          <w:rFonts w:ascii="Times New Roman" w:hAnsi="Times New Roman" w:cs="Times New Roman"/>
          <w:sz w:val="24"/>
          <w:szCs w:val="24"/>
        </w:rPr>
        <w:t>and</w:t>
      </w:r>
      <w:r w:rsidRPr="00955163">
        <w:rPr>
          <w:rFonts w:ascii="Times New Roman" w:hAnsi="Times New Roman" w:cs="Times New Roman"/>
          <w:sz w:val="24"/>
          <w:szCs w:val="24"/>
        </w:rPr>
        <w:t xml:space="preserve"> Van Der Putten, W. H. (2014). Belowground biodiversity and ecosystem functioning.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515(7528), 505-511. https://doi.org/10.1038/nature13855</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Fierer, N., </w:t>
      </w:r>
      <w:r>
        <w:rPr>
          <w:rFonts w:ascii="Times New Roman" w:hAnsi="Times New Roman" w:cs="Times New Roman"/>
          <w:sz w:val="24"/>
          <w:szCs w:val="24"/>
        </w:rPr>
        <w:t>and</w:t>
      </w:r>
      <w:r w:rsidRPr="00955163">
        <w:rPr>
          <w:rFonts w:ascii="Times New Roman" w:hAnsi="Times New Roman" w:cs="Times New Roman"/>
          <w:sz w:val="24"/>
          <w:szCs w:val="24"/>
        </w:rPr>
        <w:t xml:space="preserve"> Jackson, R. B. (2006). The diversity and biogeography of soil bacterial communities.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103(3), 626-631. https://doi.org/10.1073/pnas.0507535103</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Garbeva, P., van Veen, J. A., </w:t>
      </w:r>
      <w:r>
        <w:rPr>
          <w:rFonts w:ascii="Times New Roman" w:hAnsi="Times New Roman" w:cs="Times New Roman"/>
          <w:sz w:val="24"/>
          <w:szCs w:val="24"/>
        </w:rPr>
        <w:t>and</w:t>
      </w:r>
      <w:r w:rsidRPr="00955163">
        <w:rPr>
          <w:rFonts w:ascii="Times New Roman" w:hAnsi="Times New Roman" w:cs="Times New Roman"/>
          <w:sz w:val="24"/>
          <w:szCs w:val="24"/>
        </w:rPr>
        <w:t xml:space="preserve"> van Elsas, J. D. (2004). Microbial diversity in soil: selection of microbial populations by plant and soil type and implications for disease suppressiveness. </w:t>
      </w:r>
      <w:r w:rsidRPr="00955163">
        <w:rPr>
          <w:rFonts w:ascii="Times New Roman" w:hAnsi="Times New Roman" w:cs="Times New Roman"/>
          <w:i/>
          <w:iCs/>
          <w:sz w:val="24"/>
          <w:szCs w:val="24"/>
        </w:rPr>
        <w:t>Annual Review of Phytopathology</w:t>
      </w:r>
      <w:r w:rsidRPr="00955163">
        <w:rPr>
          <w:rFonts w:ascii="Times New Roman" w:hAnsi="Times New Roman" w:cs="Times New Roman"/>
          <w:sz w:val="24"/>
          <w:szCs w:val="24"/>
        </w:rPr>
        <w:t>, 42, 243-270. https://doi.org/10.1146/annurev.phyto.42.040104.110202</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Hartmann, M., et al. (2015). Resistance and resilience of the forest soil microbiome to logging-associated compaction.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9(1), 226-240. https://doi.org/10.1038/ismej.2014.118</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Nwosu, J. C., Eze, C. A., </w:t>
      </w:r>
      <w:r>
        <w:rPr>
          <w:rFonts w:ascii="Times New Roman" w:hAnsi="Times New Roman" w:cs="Times New Roman"/>
          <w:sz w:val="24"/>
          <w:szCs w:val="24"/>
        </w:rPr>
        <w:t>and</w:t>
      </w:r>
      <w:r w:rsidRPr="00955163">
        <w:rPr>
          <w:rFonts w:ascii="Times New Roman" w:hAnsi="Times New Roman" w:cs="Times New Roman"/>
          <w:sz w:val="24"/>
          <w:szCs w:val="24"/>
        </w:rPr>
        <w:t>Okeke, C. U. (2018). The role of sodium in soil salinity and its effect on crop production. </w:t>
      </w:r>
      <w:r w:rsidRPr="00955163">
        <w:rPr>
          <w:rFonts w:ascii="Times New Roman" w:hAnsi="Times New Roman" w:cs="Times New Roman"/>
          <w:i/>
          <w:iCs/>
          <w:sz w:val="24"/>
          <w:szCs w:val="24"/>
        </w:rPr>
        <w:t>Journal of Agricultural Science and Technology</w:t>
      </w:r>
      <w:r w:rsidRPr="00955163">
        <w:rPr>
          <w:rFonts w:ascii="Times New Roman" w:hAnsi="Times New Roman" w:cs="Times New Roman"/>
          <w:sz w:val="24"/>
          <w:szCs w:val="24"/>
        </w:rPr>
        <w:t>, 8(2), 67-75.</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Obayelu, O. A., </w:t>
      </w:r>
      <w:r>
        <w:rPr>
          <w:rFonts w:ascii="Times New Roman" w:hAnsi="Times New Roman" w:cs="Times New Roman"/>
          <w:sz w:val="24"/>
          <w:szCs w:val="24"/>
        </w:rPr>
        <w:t>and</w:t>
      </w:r>
      <w:r w:rsidRPr="00955163">
        <w:rPr>
          <w:rFonts w:ascii="Times New Roman" w:hAnsi="Times New Roman" w:cs="Times New Roman"/>
          <w:sz w:val="24"/>
          <w:szCs w:val="24"/>
        </w:rPr>
        <w:t>Alabi, S. O. (2014). Farmers’ perceptions and economic analysis of soil fertility management in Southwestern Nigeria. </w:t>
      </w:r>
      <w:r w:rsidRPr="00955163">
        <w:rPr>
          <w:rFonts w:ascii="Times New Roman" w:hAnsi="Times New Roman" w:cs="Times New Roman"/>
          <w:i/>
          <w:iCs/>
          <w:sz w:val="24"/>
          <w:szCs w:val="24"/>
        </w:rPr>
        <w:t>Nigerian Journal of Soil Science</w:t>
      </w:r>
      <w:r w:rsidRPr="00955163">
        <w:rPr>
          <w:rFonts w:ascii="Times New Roman" w:hAnsi="Times New Roman" w:cs="Times New Roman"/>
          <w:sz w:val="24"/>
          <w:szCs w:val="24"/>
        </w:rPr>
        <w:t>, 24(1), 22-34.</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lastRenderedPageBreak/>
        <w:t>Rousk, J., et al. (2009). Soil bacterial and fungal communities across a pH gradient in an arable soil.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4(10), 1340-1351. https://doi.org/10.1038/ismej.2009.65</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Schmidt, M. W. I., et al. (2011). Persistence of soil organic matter as an ecosystem property.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478(7367), 49-56. https://doi.org/10.1038/nature10386</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Siciliano, S. D., et al. (2014). Defining microbial community metrics for soil health diagnostics. </w:t>
      </w:r>
      <w:r w:rsidRPr="00955163">
        <w:rPr>
          <w:rFonts w:ascii="Times New Roman" w:hAnsi="Times New Roman" w:cs="Times New Roman"/>
          <w:i/>
          <w:iCs/>
          <w:sz w:val="24"/>
          <w:szCs w:val="24"/>
        </w:rPr>
        <w:t>Applied Soil Ecology</w:t>
      </w:r>
      <w:r w:rsidRPr="00955163">
        <w:rPr>
          <w:rFonts w:ascii="Times New Roman" w:hAnsi="Times New Roman" w:cs="Times New Roman"/>
          <w:sz w:val="24"/>
          <w:szCs w:val="24"/>
        </w:rPr>
        <w:t>, 97, 38-44. https://doi.org/10.1016/j.apsoil.2015.08.001</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Torsvik, V., </w:t>
      </w:r>
      <w:r>
        <w:rPr>
          <w:rFonts w:ascii="Times New Roman" w:hAnsi="Times New Roman" w:cs="Times New Roman"/>
          <w:sz w:val="24"/>
          <w:szCs w:val="24"/>
        </w:rPr>
        <w:t>and</w:t>
      </w:r>
      <w:r w:rsidRPr="00955163">
        <w:rPr>
          <w:rFonts w:ascii="Times New Roman" w:hAnsi="Times New Roman" w:cs="Times New Roman"/>
          <w:sz w:val="24"/>
          <w:szCs w:val="24"/>
        </w:rPr>
        <w:t>Øvreås, L. (2002). Microbial diversity and function in soil: from genes to ecosystems. </w:t>
      </w:r>
      <w:r w:rsidRPr="00955163">
        <w:rPr>
          <w:rFonts w:ascii="Times New Roman" w:hAnsi="Times New Roman" w:cs="Times New Roman"/>
          <w:i/>
          <w:iCs/>
          <w:sz w:val="24"/>
          <w:szCs w:val="24"/>
        </w:rPr>
        <w:t>Current Opinion in Microbiology</w:t>
      </w:r>
      <w:r w:rsidRPr="00955163">
        <w:rPr>
          <w:rFonts w:ascii="Times New Roman" w:hAnsi="Times New Roman" w:cs="Times New Roman"/>
          <w:sz w:val="24"/>
          <w:szCs w:val="24"/>
        </w:rPr>
        <w:t>, 5(3), 240-245. https://doi.org/10.1016/S1369-5042(02)00324-7</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Van Elsas, J. D., et al. (2007). Microbial diversity determines the invasion of soil by a bacterial pathogen.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104(52), 20380-20385. https://doi.org/10.1073/pnas.0709926105</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Olsen, S. R., Cole, C. V., Watanabe, F. S., </w:t>
      </w:r>
      <w:r>
        <w:rPr>
          <w:rFonts w:ascii="Times New Roman" w:hAnsi="Times New Roman" w:cs="Times New Roman"/>
          <w:sz w:val="24"/>
          <w:szCs w:val="24"/>
        </w:rPr>
        <w:t>and</w:t>
      </w:r>
      <w:r w:rsidRPr="00955163">
        <w:rPr>
          <w:rFonts w:ascii="Times New Roman" w:hAnsi="Times New Roman" w:cs="Times New Roman"/>
          <w:sz w:val="24"/>
          <w:szCs w:val="24"/>
        </w:rPr>
        <w:t xml:space="preserve"> Dean, L. A. (1954). Estimation of available phosphorus in soils by extraction with sodium bicarbonate. </w:t>
      </w:r>
      <w:r w:rsidRPr="00955163">
        <w:rPr>
          <w:rFonts w:ascii="Times New Roman" w:hAnsi="Times New Roman" w:cs="Times New Roman"/>
          <w:i/>
          <w:iCs/>
          <w:sz w:val="24"/>
          <w:szCs w:val="24"/>
        </w:rPr>
        <w:t>USDA Circular</w:t>
      </w:r>
      <w:r w:rsidRPr="00955163">
        <w:rPr>
          <w:rFonts w:ascii="Times New Roman" w:hAnsi="Times New Roman" w:cs="Times New Roman"/>
          <w:sz w:val="24"/>
          <w:szCs w:val="24"/>
        </w:rPr>
        <w:t>, 939, 1-19.</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Gee, G. W., </w:t>
      </w:r>
      <w:r>
        <w:rPr>
          <w:rFonts w:ascii="Times New Roman" w:hAnsi="Times New Roman" w:cs="Times New Roman"/>
          <w:sz w:val="24"/>
          <w:szCs w:val="24"/>
        </w:rPr>
        <w:t>and</w:t>
      </w:r>
      <w:r w:rsidRPr="00955163">
        <w:rPr>
          <w:rFonts w:ascii="Times New Roman" w:hAnsi="Times New Roman" w:cs="Times New Roman"/>
          <w:sz w:val="24"/>
          <w:szCs w:val="24"/>
        </w:rPr>
        <w:t>Bauder, J. W. (1986). Particle-size analysis.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383-411). Soil Science Society of America, Inc.</w:t>
      </w:r>
    </w:p>
    <w:p w:rsidR="008A4D6F" w:rsidRPr="00955163" w:rsidRDefault="008A4D6F" w:rsidP="008A4D6F">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Thomas, G. W. (1996). Soil pH and Soil Acidity.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475-490). Soil Science Society of America, Inc.</w:t>
      </w:r>
    </w:p>
    <w:p w:rsidR="008A4D6F" w:rsidRDefault="008A4D6F" w:rsidP="008A4D6F">
      <w:pPr>
        <w:spacing w:after="0" w:line="480" w:lineRule="auto"/>
        <w:ind w:left="1170" w:hanging="1170"/>
        <w:jc w:val="both"/>
        <w:rPr>
          <w:rFonts w:ascii="Times New Roman" w:hAnsi="Times New Roman" w:cs="Times New Roman"/>
          <w:sz w:val="24"/>
          <w:szCs w:val="24"/>
        </w:rPr>
      </w:pPr>
    </w:p>
    <w:p w:rsidR="008A4D6F" w:rsidRDefault="008A4D6F" w:rsidP="008A4D6F">
      <w:pPr>
        <w:spacing w:after="0" w:line="480" w:lineRule="auto"/>
        <w:ind w:left="1170" w:hanging="1170"/>
        <w:jc w:val="both"/>
        <w:rPr>
          <w:rFonts w:ascii="Times New Roman" w:hAnsi="Times New Roman" w:cs="Times New Roman"/>
          <w:sz w:val="24"/>
          <w:szCs w:val="24"/>
        </w:rPr>
      </w:pPr>
    </w:p>
    <w:p w:rsidR="008A4D6F" w:rsidRPr="00535D4A" w:rsidRDefault="008A4D6F" w:rsidP="008A4D6F">
      <w:pPr>
        <w:spacing w:after="0" w:line="480" w:lineRule="auto"/>
        <w:ind w:left="1170" w:hanging="1170"/>
        <w:jc w:val="both"/>
        <w:rPr>
          <w:rFonts w:ascii="Times New Roman" w:hAnsi="Times New Roman" w:cs="Times New Roman"/>
          <w:sz w:val="24"/>
          <w:szCs w:val="24"/>
        </w:rPr>
      </w:pPr>
    </w:p>
    <w:sectPr w:rsidR="008A4D6F" w:rsidRPr="00535D4A" w:rsidSect="000B593B">
      <w:footerReference w:type="default" r:id="rId6"/>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243" w:rsidRDefault="00876243" w:rsidP="00E805B7">
      <w:pPr>
        <w:spacing w:after="0" w:line="240" w:lineRule="auto"/>
      </w:pPr>
      <w:r>
        <w:separator/>
      </w:r>
    </w:p>
  </w:endnote>
  <w:endnote w:type="continuationSeparator" w:id="1">
    <w:p w:rsidR="00876243" w:rsidRDefault="00876243" w:rsidP="00E80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925"/>
      <w:docPartObj>
        <w:docPartGallery w:val="Page Numbers (Bottom of Page)"/>
        <w:docPartUnique/>
      </w:docPartObj>
    </w:sdtPr>
    <w:sdtContent>
      <w:p w:rsidR="00AB7CA2" w:rsidRDefault="00E805B7">
        <w:pPr>
          <w:pStyle w:val="Footer"/>
          <w:jc w:val="center"/>
        </w:pPr>
        <w:r>
          <w:fldChar w:fldCharType="begin"/>
        </w:r>
        <w:r w:rsidR="00F32701">
          <w:instrText xml:space="preserve"> PAGE   \* MERGEFORMAT </w:instrText>
        </w:r>
        <w:r>
          <w:fldChar w:fldCharType="separate"/>
        </w:r>
        <w:r w:rsidR="000B593B">
          <w:rPr>
            <w:noProof/>
          </w:rPr>
          <w:t>19</w:t>
        </w:r>
        <w:r>
          <w:fldChar w:fldCharType="end"/>
        </w:r>
      </w:p>
    </w:sdtContent>
  </w:sdt>
  <w:p w:rsidR="00292FA5" w:rsidRDefault="00876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243" w:rsidRDefault="00876243" w:rsidP="00E805B7">
      <w:pPr>
        <w:spacing w:after="0" w:line="240" w:lineRule="auto"/>
      </w:pPr>
      <w:r>
        <w:separator/>
      </w:r>
    </w:p>
  </w:footnote>
  <w:footnote w:type="continuationSeparator" w:id="1">
    <w:p w:rsidR="00876243" w:rsidRDefault="00876243" w:rsidP="00E805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A4D6F"/>
    <w:rsid w:val="000B593B"/>
    <w:rsid w:val="000C6CD8"/>
    <w:rsid w:val="00195A5F"/>
    <w:rsid w:val="00277321"/>
    <w:rsid w:val="00876243"/>
    <w:rsid w:val="00877838"/>
    <w:rsid w:val="008A4D6F"/>
    <w:rsid w:val="008E6500"/>
    <w:rsid w:val="00A426F7"/>
    <w:rsid w:val="00E805B7"/>
    <w:rsid w:val="00F32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D6F"/>
    <w:pPr>
      <w:spacing w:after="160" w:line="259" w:lineRule="auto"/>
    </w:pPr>
  </w:style>
  <w:style w:type="paragraph" w:styleId="Heading1">
    <w:name w:val="heading 1"/>
    <w:basedOn w:val="Normal"/>
    <w:next w:val="Normal"/>
    <w:link w:val="Heading1Char"/>
    <w:uiPriority w:val="9"/>
    <w:qFormat/>
    <w:rsid w:val="008A4D6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4D6F"/>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D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4D6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A4D6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4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D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5166</Words>
  <Characters>29450</Characters>
  <Application>Microsoft Office Word</Application>
  <DocSecurity>0</DocSecurity>
  <Lines>245</Lines>
  <Paragraphs>69</Paragraphs>
  <ScaleCrop>false</ScaleCrop>
  <Company/>
  <LinksUpToDate>false</LinksUpToDate>
  <CharactersWithSpaces>34547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ZIONITE COMPUTER</dc:creator>
  <cp:lastModifiedBy>ZIONITE COMPUTER</cp:lastModifiedBy>
  <cp:revision>4</cp:revision>
  <dcterms:created xsi:type="dcterms:W3CDTF">2025-07-10T09:35:00Z</dcterms:created>
  <dcterms:modified xsi:type="dcterms:W3CDTF">2025-07-16T07:19:00Z</dcterms:modified>
</cp:coreProperties>
</file>