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AE65B">
      <w:pPr>
        <w:spacing w:after="0" w:line="374" w:lineRule="exact"/>
        <w:jc w:val="center"/>
        <w:rPr>
          <w:rFonts w:ascii="Times New Roman" w:hAnsi="Times New Roman" w:cs="Times New Roman"/>
          <w:b/>
          <w:bCs/>
          <w:sz w:val="36"/>
          <w:szCs w:val="36"/>
        </w:rPr>
      </w:pPr>
      <w:r>
        <w:rPr>
          <w:rFonts w:ascii="Times New Roman" w:hAnsi="Times New Roman" w:cs="Times New Roman"/>
          <w:b/>
          <w:bCs/>
          <w:sz w:val="36"/>
          <w:szCs w:val="36"/>
        </w:rPr>
        <w:t>COORDINATION CHEMISTRY OF IBUPROFEN WITH COPPER SULPHATE: FORMATION, CHARACTERIZATION, AND POTENTIAL APPLICATIONS</w:t>
      </w:r>
    </w:p>
    <w:p w14:paraId="00A31286">
      <w:pPr>
        <w:spacing w:after="0" w:line="374" w:lineRule="exact"/>
        <w:jc w:val="center"/>
        <w:rPr>
          <w:rFonts w:ascii="Times New Roman" w:hAnsi="Times New Roman" w:cs="Times New Roman"/>
          <w:b/>
          <w:bCs/>
          <w:sz w:val="36"/>
          <w:szCs w:val="36"/>
        </w:rPr>
      </w:pPr>
    </w:p>
    <w:p w14:paraId="07F218EF">
      <w:pPr>
        <w:spacing w:after="0" w:line="374" w:lineRule="exact"/>
        <w:jc w:val="center"/>
        <w:rPr>
          <w:rFonts w:ascii="Times New Roman" w:hAnsi="Times New Roman" w:cs="Times New Roman"/>
          <w:b/>
          <w:bCs/>
          <w:sz w:val="36"/>
          <w:szCs w:val="36"/>
        </w:rPr>
      </w:pPr>
    </w:p>
    <w:p w14:paraId="0E0F6B7D">
      <w:pPr>
        <w:jc w:val="center"/>
        <w:rPr>
          <w:rFonts w:ascii="Bookman Old Style" w:hAnsi="Bookman Old Style"/>
          <w:b/>
          <w:bCs/>
          <w:sz w:val="32"/>
          <w:szCs w:val="32"/>
        </w:rPr>
      </w:pPr>
      <w:r>
        <w:rPr>
          <w:rFonts w:ascii="Bookman Old Style" w:hAnsi="Bookman Old Style"/>
          <w:b/>
          <w:bCs/>
          <w:sz w:val="32"/>
          <w:szCs w:val="32"/>
        </w:rPr>
        <w:t>BY</w:t>
      </w:r>
    </w:p>
    <w:p w14:paraId="42E8777E">
      <w:pPr>
        <w:spacing w:after="0" w:line="240" w:lineRule="auto"/>
        <w:jc w:val="center"/>
        <w:rPr>
          <w:rFonts w:hint="default" w:ascii="Bookman Old Style" w:hAnsi="Bookman Old Style" w:cstheme="majorBidi"/>
          <w:b/>
          <w:bCs/>
          <w:sz w:val="36"/>
          <w:szCs w:val="36"/>
          <w:lang w:val="en-US"/>
        </w:rPr>
      </w:pPr>
      <w:r>
        <w:rPr>
          <w:rFonts w:hint="default" w:ascii="Bookman Old Style" w:hAnsi="Bookman Old Style" w:cstheme="majorBidi"/>
          <w:b/>
          <w:bCs/>
          <w:sz w:val="36"/>
          <w:szCs w:val="36"/>
          <w:lang w:val="en-US"/>
        </w:rPr>
        <w:t>AJENIKOKO FAVOUR ENIOLA</w:t>
      </w:r>
    </w:p>
    <w:p w14:paraId="0B0ABCC3">
      <w:pPr>
        <w:spacing w:after="0" w:line="240" w:lineRule="auto"/>
        <w:jc w:val="center"/>
        <w:rPr>
          <w:rFonts w:hint="default" w:ascii="Bookman Old Style" w:hAnsi="Bookman Old Style" w:cstheme="majorBidi"/>
          <w:b/>
          <w:bCs/>
          <w:sz w:val="36"/>
          <w:szCs w:val="36"/>
          <w:lang w:val="en-US"/>
        </w:rPr>
      </w:pPr>
      <w:r>
        <w:rPr>
          <w:rFonts w:ascii="Bookman Old Style" w:hAnsi="Bookman Old Style" w:cstheme="majorBidi"/>
          <w:b/>
          <w:bCs/>
          <w:sz w:val="36"/>
          <w:szCs w:val="36"/>
        </w:rPr>
        <w:t>ND/23/SLT/PT/</w:t>
      </w:r>
      <w:r>
        <w:rPr>
          <w:rFonts w:hint="default" w:ascii="Bookman Old Style" w:hAnsi="Bookman Old Style" w:cstheme="majorBidi"/>
          <w:b/>
          <w:bCs/>
          <w:sz w:val="36"/>
          <w:szCs w:val="36"/>
          <w:lang w:val="en-US"/>
        </w:rPr>
        <w:t>0891</w:t>
      </w:r>
    </w:p>
    <w:p w14:paraId="26AC4488">
      <w:pPr>
        <w:spacing w:after="0" w:line="240" w:lineRule="auto"/>
        <w:jc w:val="center"/>
        <w:rPr>
          <w:rFonts w:ascii="Bookman Old Style" w:hAnsi="Bookman Old Style" w:cstheme="majorBidi"/>
          <w:b/>
          <w:bCs/>
          <w:sz w:val="36"/>
          <w:szCs w:val="36"/>
        </w:rPr>
      </w:pPr>
    </w:p>
    <w:p w14:paraId="2747AF21">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Pr>
          <w:rFonts w:ascii="Bookman Old Style" w:hAnsi="Bookman Old Style"/>
          <w:b/>
          <w:sz w:val="30"/>
          <w:szCs w:val="30"/>
        </w:rPr>
        <w:t>SUBMITTED TO THE DEPARTMENT OF SCIENCE LABORATORY TECHNOLOGY (CHEMISTRY UNIT), INSTITUTE OF APPLIED SCIENCES, KWARA STATE POLYTECHNIC, ILORIN, KWARA STATE.</w:t>
      </w:r>
    </w:p>
    <w:p w14:paraId="55AE4B00">
      <w:pPr>
        <w:spacing w:after="0" w:line="360" w:lineRule="auto"/>
        <w:ind w:left="14"/>
        <w:jc w:val="center"/>
        <w:rPr>
          <w:rFonts w:ascii="Bookman Old Style" w:hAnsi="Bookman Old Style"/>
          <w:b/>
          <w:sz w:val="8"/>
          <w:szCs w:val="28"/>
        </w:rPr>
      </w:pPr>
    </w:p>
    <w:p w14:paraId="3D0A01AF">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NATIONAL DIPLOMA (ND) IN SCIENCE LABORATORY TECHNOLOGY.</w:t>
      </w:r>
    </w:p>
    <w:p w14:paraId="608AD6F1">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16605C39">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14:paraId="0AD1ECDA">
      <w:pPr>
        <w:spacing w:after="0" w:line="374" w:lineRule="exact"/>
        <w:jc w:val="center"/>
        <w:rPr>
          <w:rFonts w:asciiTheme="majorBidi" w:hAnsiTheme="majorBidi" w:cstheme="majorBidi"/>
          <w:b/>
          <w:sz w:val="24"/>
          <w:szCs w:val="24"/>
        </w:rPr>
      </w:pPr>
    </w:p>
    <w:p w14:paraId="62902BE1">
      <w:pPr>
        <w:spacing w:after="0" w:line="374" w:lineRule="exact"/>
        <w:rPr>
          <w:rFonts w:asciiTheme="majorBidi" w:hAnsiTheme="majorBidi" w:cstheme="majorBidi"/>
          <w:b/>
          <w:sz w:val="24"/>
          <w:szCs w:val="24"/>
        </w:rPr>
      </w:pPr>
    </w:p>
    <w:p w14:paraId="750EF131">
      <w:pPr>
        <w:spacing w:after="0" w:line="374" w:lineRule="exact"/>
        <w:rPr>
          <w:rFonts w:asciiTheme="majorBidi" w:hAnsiTheme="majorBidi" w:cstheme="majorBidi"/>
          <w:b/>
          <w:sz w:val="24"/>
          <w:szCs w:val="24"/>
        </w:rPr>
      </w:pPr>
    </w:p>
    <w:p w14:paraId="0076BC0B">
      <w:pPr>
        <w:spacing w:after="0" w:line="374" w:lineRule="exact"/>
        <w:rPr>
          <w:rFonts w:asciiTheme="majorBidi" w:hAnsiTheme="majorBidi" w:cstheme="majorBidi"/>
          <w:b/>
          <w:sz w:val="24"/>
          <w:szCs w:val="24"/>
        </w:rPr>
      </w:pPr>
    </w:p>
    <w:p w14:paraId="70C9B4CC">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t>CERIFICATION</w:t>
      </w:r>
    </w:p>
    <w:p w14:paraId="230BA84C">
      <w:pPr>
        <w:spacing w:after="0" w:line="374" w:lineRule="exact"/>
        <w:jc w:val="center"/>
        <w:rPr>
          <w:rFonts w:ascii="Bookman Old Style" w:hAnsi="Bookman Old Style"/>
          <w:b/>
          <w:sz w:val="28"/>
          <w:szCs w:val="28"/>
        </w:rPr>
      </w:pPr>
    </w:p>
    <w:p w14:paraId="59E29D54">
      <w:pPr>
        <w:spacing w:after="0" w:line="374" w:lineRule="exact"/>
        <w:ind w:left="14"/>
        <w:jc w:val="both"/>
        <w:rPr>
          <w:rFonts w:hint="default" w:asciiTheme="majorBidi" w:hAnsiTheme="majorBidi" w:cstheme="majorBidi"/>
          <w:sz w:val="24"/>
          <w:szCs w:val="24"/>
          <w:lang w:val="en-US"/>
        </w:rPr>
      </w:pPr>
      <w:r>
        <w:rPr>
          <w:rFonts w:asciiTheme="majorBidi" w:hAnsiTheme="majorBidi" w:cstheme="majorBidi"/>
          <w:sz w:val="24"/>
          <w:szCs w:val="24"/>
        </w:rPr>
        <w:t>This is to certify that this project work is the original work carried out and reported by ……………………………… to the Department of Science Laboratory technology, Institute of Applied Sciences (IAS) Kwara State Polytechnic, Ilorin and it has been Approved In Partial fulfilment of The Requirements of the Award of National Diploma (ND) in Science Laboratory Technology</w:t>
      </w:r>
      <w:r>
        <w:rPr>
          <w:rFonts w:hint="default" w:asciiTheme="majorBidi" w:hAnsiTheme="majorBidi" w:cstheme="majorBidi"/>
          <w:sz w:val="24"/>
          <w:szCs w:val="24"/>
          <w:lang w:val="en-US"/>
        </w:rPr>
        <w:t>.</w:t>
      </w:r>
    </w:p>
    <w:p w14:paraId="1C0BC817">
      <w:pPr>
        <w:spacing w:after="0" w:line="374" w:lineRule="exact"/>
        <w:ind w:left="14"/>
        <w:jc w:val="both"/>
        <w:rPr>
          <w:rFonts w:asciiTheme="majorBidi" w:hAnsiTheme="majorBidi" w:cstheme="majorBidi"/>
          <w:sz w:val="24"/>
          <w:szCs w:val="24"/>
        </w:rPr>
      </w:pPr>
    </w:p>
    <w:p w14:paraId="00C507A1">
      <w:pPr>
        <w:spacing w:after="0" w:line="374" w:lineRule="exact"/>
        <w:ind w:left="14"/>
        <w:jc w:val="both"/>
        <w:rPr>
          <w:rFonts w:asciiTheme="majorBidi" w:hAnsiTheme="majorBidi" w:cstheme="majorBidi"/>
          <w:sz w:val="24"/>
          <w:szCs w:val="24"/>
        </w:rPr>
      </w:pPr>
    </w:p>
    <w:p w14:paraId="1F5986DE">
      <w:pPr>
        <w:spacing w:after="0" w:line="374" w:lineRule="exact"/>
        <w:ind w:left="14"/>
        <w:jc w:val="both"/>
        <w:rPr>
          <w:rFonts w:asciiTheme="majorBidi" w:hAnsiTheme="majorBidi" w:cstheme="majorBidi"/>
          <w:sz w:val="24"/>
          <w:szCs w:val="24"/>
        </w:rPr>
      </w:pPr>
    </w:p>
    <w:p w14:paraId="0753F578">
      <w:pPr>
        <w:spacing w:after="0" w:line="374" w:lineRule="exact"/>
        <w:ind w:left="14"/>
        <w:jc w:val="both"/>
        <w:rPr>
          <w:rFonts w:asciiTheme="majorBidi" w:hAnsiTheme="majorBidi" w:cstheme="majorBidi"/>
          <w:sz w:val="24"/>
          <w:szCs w:val="24"/>
        </w:rPr>
      </w:pPr>
    </w:p>
    <w:p w14:paraId="6EE54304">
      <w:pPr>
        <w:spacing w:after="0" w:line="240" w:lineRule="auto"/>
        <w:ind w:left="14"/>
        <w:rPr>
          <w:rFonts w:asciiTheme="majorBidi" w:hAnsiTheme="majorBidi" w:cstheme="majorBidi"/>
        </w:rPr>
      </w:pPr>
      <w:r>
        <w:rPr>
          <w:rFonts w:asciiTheme="majorBidi" w:hAnsiTheme="majorBidi" w:cstheme="majorBidi"/>
        </w:rPr>
        <w:t>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 xml:space="preserve">                   _______________</w:t>
      </w:r>
    </w:p>
    <w:p w14:paraId="7FDF740B">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ADIO OSENI</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 xml:space="preserve"> </w:t>
      </w:r>
      <w:r>
        <w:rPr>
          <w:rFonts w:asciiTheme="majorBidi" w:hAnsiTheme="majorBidi" w:cstheme="majorBidi"/>
          <w:b/>
          <w:i/>
          <w:sz w:val="24"/>
          <w:szCs w:val="24"/>
        </w:rPr>
        <w:tab/>
      </w:r>
      <w:r>
        <w:rPr>
          <w:rFonts w:asciiTheme="majorBidi" w:hAnsiTheme="majorBidi" w:cstheme="majorBidi"/>
          <w:b/>
          <w:i/>
          <w:sz w:val="24"/>
          <w:szCs w:val="24"/>
        </w:rPr>
        <w:t xml:space="preserve">             DATE </w:t>
      </w:r>
    </w:p>
    <w:p w14:paraId="5912374B">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(Project Supervisor) </w:t>
      </w:r>
    </w:p>
    <w:p w14:paraId="48C10A0C">
      <w:pPr>
        <w:spacing w:after="0" w:line="240" w:lineRule="auto"/>
        <w:rPr>
          <w:rFonts w:asciiTheme="majorBidi" w:hAnsiTheme="majorBidi" w:cstheme="majorBidi"/>
          <w:b/>
          <w:i/>
          <w:sz w:val="24"/>
          <w:szCs w:val="24"/>
        </w:rPr>
      </w:pPr>
    </w:p>
    <w:p w14:paraId="48AB4F57">
      <w:pPr>
        <w:spacing w:after="0" w:line="240" w:lineRule="auto"/>
        <w:ind w:left="14"/>
        <w:rPr>
          <w:rFonts w:asciiTheme="majorBidi" w:hAnsiTheme="majorBidi" w:cstheme="majorBidi"/>
          <w:b/>
          <w:i/>
          <w:sz w:val="24"/>
          <w:szCs w:val="24"/>
        </w:rPr>
      </w:pPr>
    </w:p>
    <w:p w14:paraId="1D5882B7">
      <w:pPr>
        <w:spacing w:after="0" w:line="240" w:lineRule="auto"/>
        <w:ind w:left="14"/>
        <w:rPr>
          <w:rFonts w:asciiTheme="majorBidi" w:hAnsiTheme="majorBidi" w:cstheme="majorBidi"/>
          <w:b/>
          <w:i/>
          <w:sz w:val="24"/>
          <w:szCs w:val="24"/>
        </w:rPr>
      </w:pPr>
    </w:p>
    <w:p w14:paraId="651FA9F6">
      <w:pPr>
        <w:spacing w:after="0" w:line="240" w:lineRule="auto"/>
        <w:ind w:left="14"/>
        <w:rPr>
          <w:rFonts w:asciiTheme="majorBidi" w:hAnsiTheme="majorBidi" w:cstheme="majorBidi"/>
          <w:b/>
          <w:i/>
          <w:sz w:val="24"/>
          <w:szCs w:val="24"/>
        </w:rPr>
      </w:pPr>
    </w:p>
    <w:p w14:paraId="647BAB12">
      <w:pPr>
        <w:spacing w:after="0" w:line="240" w:lineRule="auto"/>
        <w:ind w:left="14"/>
        <w:rPr>
          <w:rFonts w:asciiTheme="majorBidi" w:hAnsiTheme="majorBidi" w:cstheme="majorBidi"/>
          <w:b/>
          <w:i/>
          <w:sz w:val="24"/>
          <w:szCs w:val="24"/>
        </w:rPr>
      </w:pPr>
    </w:p>
    <w:p w14:paraId="0AE4AD1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 xml:space="preserve">_______________ </w:t>
      </w:r>
    </w:p>
    <w:p w14:paraId="67EA1F72">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LUKMAN I.A</w:t>
      </w:r>
      <w:r>
        <w:rPr>
          <w:rFonts w:asciiTheme="majorBidi" w:hAnsiTheme="majorBidi" w:cstheme="majorBidi"/>
          <w:b/>
          <w:i/>
          <w:sz w:val="24"/>
          <w:szCs w:val="24"/>
        </w:rPr>
        <w:tab/>
      </w:r>
      <w:r>
        <w:rPr>
          <w:rFonts w:asciiTheme="majorBidi" w:hAnsiTheme="majorBidi" w:cstheme="majorBidi"/>
          <w:b/>
          <w:i/>
          <w:sz w:val="24"/>
          <w:szCs w:val="24"/>
        </w:rPr>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 xml:space="preserve">                      DATE </w:t>
      </w:r>
    </w:p>
    <w:p w14:paraId="1298C36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p>
    <w:p w14:paraId="772B177A">
      <w:pPr>
        <w:spacing w:after="0" w:line="240" w:lineRule="auto"/>
        <w:ind w:left="14"/>
        <w:rPr>
          <w:rFonts w:asciiTheme="majorBidi" w:hAnsiTheme="majorBidi" w:cstheme="majorBidi"/>
          <w:b/>
          <w:i/>
          <w:sz w:val="24"/>
          <w:szCs w:val="24"/>
        </w:rPr>
      </w:pPr>
    </w:p>
    <w:p w14:paraId="57CCA54F">
      <w:pPr>
        <w:spacing w:after="0" w:line="240" w:lineRule="auto"/>
        <w:ind w:left="14"/>
        <w:rPr>
          <w:rFonts w:asciiTheme="majorBidi" w:hAnsiTheme="majorBidi" w:cstheme="majorBidi"/>
          <w:b/>
          <w:i/>
          <w:sz w:val="24"/>
          <w:szCs w:val="24"/>
        </w:rPr>
      </w:pPr>
    </w:p>
    <w:p w14:paraId="138090A3">
      <w:pPr>
        <w:spacing w:after="0" w:line="240" w:lineRule="auto"/>
        <w:rPr>
          <w:rFonts w:asciiTheme="majorBidi" w:hAnsiTheme="majorBidi" w:cstheme="majorBidi"/>
          <w:b/>
          <w:i/>
          <w:sz w:val="24"/>
          <w:szCs w:val="24"/>
        </w:rPr>
      </w:pPr>
    </w:p>
    <w:p w14:paraId="4E2D8EE3">
      <w:pPr>
        <w:spacing w:after="0" w:line="240" w:lineRule="auto"/>
        <w:rPr>
          <w:rFonts w:asciiTheme="majorBidi" w:hAnsiTheme="majorBidi" w:cstheme="majorBidi"/>
          <w:b/>
          <w:i/>
          <w:sz w:val="24"/>
          <w:szCs w:val="24"/>
        </w:rPr>
      </w:pPr>
    </w:p>
    <w:p w14:paraId="652241C2">
      <w:pPr>
        <w:spacing w:after="0" w:line="240" w:lineRule="auto"/>
        <w:rPr>
          <w:rFonts w:asciiTheme="majorBidi" w:hAnsiTheme="majorBidi" w:cstheme="majorBidi"/>
          <w:b/>
          <w:i/>
          <w:sz w:val="24"/>
          <w:szCs w:val="24"/>
        </w:rPr>
      </w:pPr>
    </w:p>
    <w:p w14:paraId="79673F1F">
      <w:pPr>
        <w:spacing w:after="0" w:line="240" w:lineRule="auto"/>
        <w:rPr>
          <w:rFonts w:asciiTheme="majorBidi" w:hAnsiTheme="majorBidi" w:cstheme="majorBidi"/>
          <w:b/>
          <w:i/>
          <w:sz w:val="24"/>
          <w:szCs w:val="24"/>
        </w:rPr>
      </w:pPr>
    </w:p>
    <w:p w14:paraId="643089F5">
      <w:pPr>
        <w:spacing w:after="0" w:line="240" w:lineRule="auto"/>
        <w:rPr>
          <w:rFonts w:asciiTheme="majorBidi" w:hAnsiTheme="majorBidi" w:cstheme="majorBidi"/>
          <w:b/>
          <w:i/>
          <w:sz w:val="24"/>
          <w:szCs w:val="24"/>
        </w:rPr>
      </w:pPr>
    </w:p>
    <w:p w14:paraId="7F432F59">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_______________________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_______________</w:t>
      </w:r>
    </w:p>
    <w:p w14:paraId="071D7C4C">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 xml:space="preserve">                     DATE</w:t>
      </w:r>
    </w:p>
    <w:p w14:paraId="59C5916D">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14:paraId="5E5B3631">
      <w:pPr>
        <w:spacing w:after="0" w:line="360" w:lineRule="auto"/>
        <w:ind w:left="14"/>
        <w:jc w:val="center"/>
        <w:rPr>
          <w:rFonts w:asciiTheme="majorBidi" w:hAnsiTheme="majorBidi" w:cstheme="majorBidi"/>
          <w:b/>
          <w:sz w:val="24"/>
          <w:szCs w:val="24"/>
        </w:rPr>
      </w:pPr>
      <w:r>
        <w:rPr>
          <w:rFonts w:asciiTheme="majorBidi" w:hAnsiTheme="majorBidi" w:cstheme="majorBidi"/>
          <w:b/>
          <w:sz w:val="24"/>
          <w:szCs w:val="24"/>
        </w:rPr>
        <w:t>DEDICATION</w:t>
      </w:r>
    </w:p>
    <w:p w14:paraId="23B0E007">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14:paraId="4E06389D">
      <w:pPr>
        <w:spacing w:after="0" w:line="374" w:lineRule="exact"/>
        <w:ind w:left="14"/>
        <w:rPr>
          <w:rFonts w:asciiTheme="majorBidi" w:hAnsiTheme="majorBidi" w:cstheme="majorBidi"/>
          <w:sz w:val="24"/>
          <w:szCs w:val="24"/>
        </w:rPr>
      </w:pPr>
    </w:p>
    <w:p w14:paraId="709ECEBE">
      <w:pPr>
        <w:spacing w:after="0" w:line="374" w:lineRule="exact"/>
        <w:ind w:left="14"/>
        <w:rPr>
          <w:rFonts w:asciiTheme="majorBidi" w:hAnsiTheme="majorBidi" w:cstheme="majorBidi"/>
          <w:sz w:val="24"/>
          <w:szCs w:val="24"/>
        </w:rPr>
      </w:pPr>
    </w:p>
    <w:p w14:paraId="4F7E8A31">
      <w:pPr>
        <w:spacing w:after="0" w:line="374" w:lineRule="exact"/>
        <w:ind w:left="14"/>
        <w:rPr>
          <w:rFonts w:asciiTheme="majorBidi" w:hAnsiTheme="majorBidi" w:cstheme="majorBidi"/>
          <w:sz w:val="24"/>
          <w:szCs w:val="24"/>
        </w:rPr>
      </w:pPr>
    </w:p>
    <w:p w14:paraId="2135FF90">
      <w:pPr>
        <w:spacing w:after="0" w:line="374" w:lineRule="exact"/>
        <w:ind w:left="14"/>
        <w:rPr>
          <w:rFonts w:asciiTheme="majorBidi" w:hAnsiTheme="majorBidi" w:cstheme="majorBidi"/>
          <w:sz w:val="24"/>
          <w:szCs w:val="24"/>
        </w:rPr>
      </w:pPr>
    </w:p>
    <w:p w14:paraId="0BD76500">
      <w:pPr>
        <w:spacing w:after="0" w:line="374" w:lineRule="exact"/>
        <w:ind w:left="14"/>
      </w:pPr>
    </w:p>
    <w:p w14:paraId="704F91AC">
      <w:pPr>
        <w:spacing w:after="0" w:line="374" w:lineRule="exact"/>
        <w:ind w:left="14"/>
      </w:pPr>
    </w:p>
    <w:p w14:paraId="31A60538">
      <w:pPr>
        <w:spacing w:after="0" w:line="374" w:lineRule="exact"/>
        <w:ind w:left="14"/>
      </w:pPr>
    </w:p>
    <w:p w14:paraId="56DB589D">
      <w:pPr>
        <w:spacing w:after="0" w:line="374" w:lineRule="exact"/>
        <w:ind w:left="14"/>
      </w:pPr>
    </w:p>
    <w:p w14:paraId="421068F1">
      <w:pPr>
        <w:spacing w:after="0" w:line="374" w:lineRule="exact"/>
        <w:ind w:left="14"/>
      </w:pPr>
    </w:p>
    <w:p w14:paraId="4370502D">
      <w:pPr>
        <w:spacing w:after="0" w:line="374" w:lineRule="exact"/>
        <w:ind w:left="14"/>
      </w:pPr>
    </w:p>
    <w:p w14:paraId="248553A8">
      <w:pPr>
        <w:spacing w:after="0" w:line="374" w:lineRule="exact"/>
        <w:ind w:left="14"/>
      </w:pPr>
    </w:p>
    <w:p w14:paraId="112C672A">
      <w:pPr>
        <w:spacing w:after="0" w:line="374" w:lineRule="exact"/>
        <w:ind w:left="14"/>
      </w:pPr>
    </w:p>
    <w:p w14:paraId="7A095B91">
      <w:pPr>
        <w:spacing w:after="0" w:line="374" w:lineRule="exact"/>
        <w:ind w:left="14"/>
      </w:pPr>
    </w:p>
    <w:p w14:paraId="0FB31FC6">
      <w:pPr>
        <w:spacing w:after="0" w:line="374" w:lineRule="exact"/>
        <w:ind w:left="14"/>
      </w:pPr>
    </w:p>
    <w:p w14:paraId="13560113">
      <w:pPr>
        <w:spacing w:after="0" w:line="374" w:lineRule="exact"/>
        <w:ind w:left="14"/>
      </w:pPr>
    </w:p>
    <w:p w14:paraId="0CD9A6F6">
      <w:pPr>
        <w:spacing w:after="0" w:line="374" w:lineRule="exact"/>
        <w:ind w:left="14"/>
      </w:pPr>
    </w:p>
    <w:p w14:paraId="0F3CC178">
      <w:pPr>
        <w:spacing w:after="0" w:line="374" w:lineRule="exact"/>
        <w:ind w:left="14"/>
      </w:pPr>
    </w:p>
    <w:p w14:paraId="760E193C">
      <w:pPr>
        <w:spacing w:after="0" w:line="374" w:lineRule="exact"/>
        <w:ind w:left="14"/>
      </w:pPr>
    </w:p>
    <w:p w14:paraId="6ED8A151">
      <w:pPr>
        <w:spacing w:after="0" w:line="374" w:lineRule="exact"/>
        <w:ind w:left="14"/>
      </w:pPr>
    </w:p>
    <w:p w14:paraId="22723004">
      <w:pPr>
        <w:spacing w:after="0" w:line="374" w:lineRule="exact"/>
        <w:ind w:left="14"/>
      </w:pPr>
    </w:p>
    <w:p w14:paraId="547E8638">
      <w:pPr>
        <w:spacing w:after="0" w:line="360" w:lineRule="auto"/>
      </w:pPr>
    </w:p>
    <w:p w14:paraId="4BB6549D">
      <w:pPr>
        <w:spacing w:after="0" w:line="360" w:lineRule="auto"/>
        <w:rPr>
          <w:b/>
        </w:rPr>
      </w:pPr>
    </w:p>
    <w:p w14:paraId="1A133B09">
      <w:pPr>
        <w:spacing w:after="0" w:line="360" w:lineRule="auto"/>
        <w:rPr>
          <w:b/>
        </w:rPr>
      </w:pPr>
    </w:p>
    <w:p w14:paraId="05A1CCF1">
      <w:pPr>
        <w:spacing w:after="0" w:line="360" w:lineRule="auto"/>
        <w:rPr>
          <w:b/>
        </w:rPr>
      </w:pPr>
    </w:p>
    <w:p w14:paraId="5D5EB600">
      <w:pPr>
        <w:spacing w:after="0" w:line="360" w:lineRule="auto"/>
        <w:ind w:left="14"/>
        <w:rPr>
          <w:b/>
        </w:rPr>
      </w:pPr>
      <w:r>
        <w:rPr>
          <w:b/>
        </w:rPr>
        <w:t xml:space="preserve">                   </w:t>
      </w:r>
      <w:r>
        <w:rPr>
          <w:b/>
        </w:rPr>
        <w:tab/>
      </w:r>
      <w:r>
        <w:rPr>
          <w:b/>
        </w:rPr>
        <w:tab/>
      </w:r>
      <w:r>
        <w:rPr>
          <w:rFonts w:asciiTheme="majorBidi" w:hAnsiTheme="majorBidi" w:cstheme="majorBidi"/>
          <w:b/>
        </w:rPr>
        <w:t>ACKNOWLEDGEMENTS</w:t>
      </w:r>
    </w:p>
    <w:p w14:paraId="120320D5">
      <w:pPr>
        <w:spacing w:after="0" w:line="360" w:lineRule="auto"/>
        <w:ind w:left="14"/>
        <w:contextualSpacing/>
        <w:jc w:val="both"/>
        <w:rPr>
          <w:rFonts w:asciiTheme="majorBidi" w:hAnsiTheme="majorBidi" w:cstheme="majorBidi"/>
          <w:sz w:val="24"/>
          <w:szCs w:val="24"/>
        </w:rPr>
      </w:pPr>
      <w:r>
        <w:rPr>
          <w:rFonts w:asciiTheme="majorBidi" w:hAnsiTheme="majorBidi" w:cstheme="majorBidi"/>
        </w:rPr>
        <w:tab/>
      </w:r>
      <w:r>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14:paraId="721878AE">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thanks is conveyed to our able, amiable and God-fearing supervisor, </w:t>
      </w:r>
      <w:r>
        <w:rPr>
          <w:rFonts w:asciiTheme="majorBidi" w:hAnsiTheme="majorBidi" w:cstheme="majorBidi"/>
          <w:b/>
          <w:i/>
          <w:sz w:val="24"/>
          <w:szCs w:val="24"/>
        </w:rPr>
        <w:t xml:space="preserve">MR. ADIO OSENI </w:t>
      </w:r>
      <w:r>
        <w:rPr>
          <w:rFonts w:asciiTheme="majorBidi" w:hAnsiTheme="majorBidi" w:cstheme="majorBidi"/>
          <w:sz w:val="24"/>
          <w:szCs w:val="24"/>
        </w:rPr>
        <w:t>for his supervision and guidance, help and advice in this project. May almighty God reward him abundantly. Also to our parents and guidance who have being supportive with financial, moral, and advices. We pray that you shall live long to eat the fruit of your labour.</w:t>
      </w:r>
    </w:p>
    <w:p w14:paraId="476353C6">
      <w:pPr>
        <w:spacing w:after="0" w:line="360" w:lineRule="auto"/>
        <w:ind w:left="14"/>
        <w:contextualSpacing/>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Also we would like to express our appreciation to our H.O.U. (Chemistry</w:t>
      </w:r>
      <w:r>
        <w:rPr>
          <w:rFonts w:hint="default" w:asciiTheme="majorBidi" w:hAnsiTheme="majorBidi" w:cstheme="majorBidi"/>
          <w:sz w:val="24"/>
          <w:szCs w:val="24"/>
          <w:lang w:val="en-US"/>
        </w:rPr>
        <w:t xml:space="preserve"> </w:t>
      </w:r>
      <w:r>
        <w:rPr>
          <w:rFonts w:asciiTheme="majorBidi" w:hAnsiTheme="majorBidi" w:cstheme="majorBidi"/>
          <w:sz w:val="24"/>
          <w:szCs w:val="24"/>
        </w:rPr>
        <w:t>Unit)  and H.O.D (Head of Department), all staffs in SLT department.</w:t>
      </w:r>
    </w:p>
    <w:p w14:paraId="3C688372">
      <w:pPr>
        <w:rPr>
          <w:rFonts w:asciiTheme="majorBidi" w:hAnsiTheme="majorBidi" w:cstheme="majorBidi"/>
          <w:sz w:val="24"/>
          <w:szCs w:val="24"/>
        </w:rPr>
      </w:pPr>
    </w:p>
    <w:p w14:paraId="55ED9430">
      <w:pPr>
        <w:rPr>
          <w:rFonts w:asciiTheme="majorBidi" w:hAnsiTheme="majorBidi" w:cstheme="majorBidi"/>
          <w:sz w:val="24"/>
          <w:szCs w:val="24"/>
        </w:rPr>
      </w:pPr>
    </w:p>
    <w:p w14:paraId="39AC4938">
      <w:pPr>
        <w:rPr>
          <w:rFonts w:asciiTheme="majorBidi" w:hAnsiTheme="majorBidi" w:cstheme="majorBidi"/>
          <w:sz w:val="24"/>
          <w:szCs w:val="24"/>
        </w:rPr>
      </w:pPr>
    </w:p>
    <w:p w14:paraId="450E9C68">
      <w:pPr>
        <w:rPr>
          <w:rFonts w:asciiTheme="majorBidi" w:hAnsiTheme="majorBidi" w:cstheme="majorBidi"/>
          <w:sz w:val="24"/>
          <w:szCs w:val="24"/>
        </w:rPr>
      </w:pPr>
    </w:p>
    <w:p w14:paraId="7E6F9C24">
      <w:pPr>
        <w:rPr>
          <w:rFonts w:asciiTheme="majorBidi" w:hAnsiTheme="majorBidi" w:cstheme="majorBidi"/>
          <w:sz w:val="24"/>
          <w:szCs w:val="24"/>
        </w:rPr>
      </w:pPr>
    </w:p>
    <w:p w14:paraId="256878DB">
      <w:pPr>
        <w:rPr>
          <w:rFonts w:asciiTheme="majorBidi" w:hAnsiTheme="majorBidi" w:cstheme="majorBidi"/>
          <w:sz w:val="24"/>
          <w:szCs w:val="24"/>
        </w:rPr>
      </w:pPr>
    </w:p>
    <w:p w14:paraId="0DADD84A">
      <w:pPr>
        <w:rPr>
          <w:rFonts w:asciiTheme="majorBidi" w:hAnsiTheme="majorBidi" w:cstheme="majorBidi"/>
          <w:sz w:val="24"/>
          <w:szCs w:val="24"/>
        </w:rPr>
      </w:pPr>
    </w:p>
    <w:p w14:paraId="59669B06">
      <w:pPr>
        <w:rPr>
          <w:rFonts w:asciiTheme="majorBidi" w:hAnsiTheme="majorBidi" w:cstheme="majorBidi"/>
          <w:sz w:val="24"/>
          <w:szCs w:val="24"/>
        </w:rPr>
      </w:pPr>
    </w:p>
    <w:p w14:paraId="5ABF5DDB">
      <w:pPr>
        <w:rPr>
          <w:rFonts w:asciiTheme="majorBidi" w:hAnsiTheme="majorBidi" w:cstheme="majorBidi"/>
          <w:sz w:val="24"/>
          <w:szCs w:val="24"/>
        </w:rPr>
      </w:pPr>
    </w:p>
    <w:p w14:paraId="31C7506A">
      <w:pPr>
        <w:rPr>
          <w:rFonts w:asciiTheme="majorBidi" w:hAnsiTheme="majorBidi" w:cstheme="majorBidi"/>
          <w:b/>
        </w:rPr>
      </w:pPr>
    </w:p>
    <w:p w14:paraId="7E64EA19">
      <w:pPr>
        <w:spacing w:after="0" w:line="480" w:lineRule="auto"/>
        <w:outlineLvl w:val="2"/>
        <w:rPr>
          <w:rFonts w:ascii="Times New Roman" w:hAnsi="Times New Roman" w:eastAsia="Times New Roman" w:cs="Times New Roman"/>
          <w:b/>
          <w:bCs/>
          <w:sz w:val="27"/>
          <w:szCs w:val="27"/>
        </w:rPr>
      </w:pPr>
    </w:p>
    <w:p w14:paraId="540066E4">
      <w:pPr>
        <w:spacing w:after="0" w:line="480" w:lineRule="auto"/>
        <w:outlineLvl w:val="2"/>
        <w:rPr>
          <w:rFonts w:ascii="Times New Roman" w:hAnsi="Times New Roman" w:eastAsia="Times New Roman" w:cs="Times New Roman"/>
          <w:b/>
          <w:bCs/>
          <w:sz w:val="27"/>
          <w:szCs w:val="27"/>
        </w:rPr>
      </w:pPr>
    </w:p>
    <w:p w14:paraId="256A2177">
      <w:pPr>
        <w:spacing w:before="100" w:beforeAutospacing="1" w:after="100" w:afterAutospacing="1" w:line="240" w:lineRule="auto"/>
        <w:jc w:val="center"/>
        <w:rPr>
          <w:rFonts w:asciiTheme="majorBidi" w:hAnsiTheme="majorBidi" w:cstheme="majorBidi"/>
          <w:b/>
          <w:bCs/>
          <w:sz w:val="24"/>
          <w:szCs w:val="24"/>
        </w:rPr>
      </w:pPr>
      <w:r>
        <w:rPr>
          <w:rFonts w:asciiTheme="majorBidi" w:hAnsiTheme="majorBidi" w:cstheme="majorBidi"/>
          <w:b/>
          <w:bCs/>
          <w:sz w:val="24"/>
          <w:szCs w:val="24"/>
        </w:rPr>
        <w:t>Abstract</w:t>
      </w:r>
    </w:p>
    <w:p w14:paraId="1C3E6F2D">
      <w:pPr>
        <w:spacing w:before="100" w:beforeAutospacing="1" w:after="100" w:afterAutospacing="1" w:line="48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This research investigates the coordination chemistry of ibuprofen, a widely used non-steroidal anti-inflammatory drug (NSAID), with Nickel(II)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14:paraId="2257F116">
      <w:pPr>
        <w:spacing w:before="100" w:beforeAutospacing="1" w:after="100" w:afterAutospacing="1" w:line="48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The Nickel(II)-ibuprofen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14:paraId="0EC4086B">
      <w:pPr>
        <w:spacing w:before="100" w:beforeAutospacing="1" w:after="100" w:afterAutospacing="1" w:line="48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Furthermore, the antimicrobial efficacy of the complex was assessed against Escherichia coli and Staphylococcus aureus using the agar well diffusion method. The complex demonstrated improved antibacterial activity compared to both free ibuprofen and Nickel(II)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14:paraId="17581916">
      <w:pPr>
        <w:spacing w:after="0" w:line="480" w:lineRule="auto"/>
        <w:jc w:val="both"/>
        <w:outlineLvl w:val="2"/>
        <w:rPr>
          <w:rFonts w:ascii="Times New Roman" w:hAnsi="Times New Roman" w:eastAsia="Times New Roman" w:cs="Times New Roman"/>
          <w:b/>
          <w:bCs/>
          <w:sz w:val="27"/>
          <w:szCs w:val="27"/>
        </w:rPr>
      </w:pPr>
    </w:p>
    <w:p w14:paraId="657C9ECD">
      <w:pPr>
        <w:spacing w:after="0" w:line="480" w:lineRule="auto"/>
        <w:jc w:val="both"/>
        <w:outlineLvl w:val="2"/>
        <w:rPr>
          <w:rFonts w:ascii="Times New Roman" w:hAnsi="Times New Roman" w:eastAsia="Times New Roman" w:cs="Times New Roman"/>
          <w:b/>
          <w:bCs/>
          <w:sz w:val="27"/>
          <w:szCs w:val="27"/>
        </w:rPr>
      </w:pPr>
    </w:p>
    <w:p w14:paraId="34D23172">
      <w:pPr>
        <w:spacing w:after="0" w:line="480" w:lineRule="auto"/>
        <w:jc w:val="both"/>
        <w:outlineLvl w:val="2"/>
        <w:rPr>
          <w:rFonts w:ascii="Times New Roman" w:hAnsi="Times New Roman" w:eastAsia="Times New Roman" w:cs="Times New Roman"/>
          <w:b/>
          <w:bCs/>
          <w:sz w:val="27"/>
          <w:szCs w:val="27"/>
        </w:rPr>
      </w:pPr>
    </w:p>
    <w:p w14:paraId="6DD61353">
      <w:pPr>
        <w:spacing w:after="0" w:line="480" w:lineRule="auto"/>
        <w:outlineLvl w:val="2"/>
        <w:rPr>
          <w:rFonts w:ascii="Times New Roman" w:hAnsi="Times New Roman" w:eastAsia="Times New Roman" w:cs="Times New Roman"/>
          <w:b/>
          <w:bCs/>
          <w:sz w:val="27"/>
          <w:szCs w:val="27"/>
        </w:rPr>
      </w:pPr>
    </w:p>
    <w:p w14:paraId="5AEBCA8A">
      <w:pPr>
        <w:spacing w:after="0" w:line="480" w:lineRule="auto"/>
        <w:outlineLvl w:val="2"/>
        <w:rPr>
          <w:rFonts w:ascii="Times New Roman" w:hAnsi="Times New Roman" w:eastAsia="Times New Roman" w:cs="Times New Roman"/>
          <w:b/>
          <w:bCs/>
          <w:sz w:val="27"/>
          <w:szCs w:val="27"/>
        </w:rPr>
      </w:pPr>
    </w:p>
    <w:p w14:paraId="2B580A5E">
      <w:pPr>
        <w:spacing w:after="0" w:line="480" w:lineRule="auto"/>
        <w:outlineLvl w:val="2"/>
        <w:rPr>
          <w:rFonts w:ascii="Times New Roman" w:hAnsi="Times New Roman" w:eastAsia="Times New Roman" w:cs="Times New Roman"/>
          <w:b/>
          <w:bCs/>
          <w:sz w:val="27"/>
          <w:szCs w:val="27"/>
        </w:rPr>
      </w:pPr>
    </w:p>
    <w:p w14:paraId="71E703E3">
      <w:pPr>
        <w:spacing w:after="0" w:line="480" w:lineRule="auto"/>
        <w:outlineLvl w:val="2"/>
        <w:rPr>
          <w:rFonts w:ascii="Times New Roman" w:hAnsi="Times New Roman" w:eastAsia="Times New Roman" w:cs="Times New Roman"/>
          <w:b/>
          <w:bCs/>
          <w:sz w:val="27"/>
          <w:szCs w:val="27"/>
        </w:rPr>
      </w:pPr>
    </w:p>
    <w:p w14:paraId="73CE4F41">
      <w:pPr>
        <w:spacing w:after="0" w:line="480" w:lineRule="auto"/>
        <w:outlineLvl w:val="2"/>
        <w:rPr>
          <w:rFonts w:ascii="Times New Roman" w:hAnsi="Times New Roman" w:eastAsia="Times New Roman" w:cs="Times New Roman"/>
          <w:b/>
          <w:bCs/>
          <w:sz w:val="27"/>
          <w:szCs w:val="27"/>
        </w:rPr>
      </w:pPr>
    </w:p>
    <w:p w14:paraId="7599EC7A">
      <w:pPr>
        <w:spacing w:after="0" w:line="480" w:lineRule="auto"/>
        <w:outlineLvl w:val="2"/>
        <w:rPr>
          <w:rFonts w:ascii="Times New Roman" w:hAnsi="Times New Roman" w:eastAsia="Times New Roman" w:cs="Times New Roman"/>
          <w:b/>
          <w:bCs/>
          <w:sz w:val="27"/>
          <w:szCs w:val="27"/>
        </w:rPr>
      </w:pPr>
    </w:p>
    <w:p w14:paraId="6FB787A1">
      <w:pPr>
        <w:spacing w:after="0" w:line="480" w:lineRule="auto"/>
        <w:outlineLvl w:val="2"/>
        <w:rPr>
          <w:rFonts w:ascii="Times New Roman" w:hAnsi="Times New Roman" w:eastAsia="Times New Roman" w:cs="Times New Roman"/>
          <w:b/>
          <w:bCs/>
          <w:sz w:val="27"/>
          <w:szCs w:val="27"/>
        </w:rPr>
      </w:pPr>
    </w:p>
    <w:p w14:paraId="135FBE0D">
      <w:pPr>
        <w:spacing w:after="0" w:line="480" w:lineRule="auto"/>
        <w:outlineLvl w:val="2"/>
        <w:rPr>
          <w:rFonts w:ascii="Times New Roman" w:hAnsi="Times New Roman" w:eastAsia="Times New Roman" w:cs="Times New Roman"/>
          <w:b/>
          <w:bCs/>
          <w:sz w:val="27"/>
          <w:szCs w:val="27"/>
        </w:rPr>
      </w:pPr>
    </w:p>
    <w:p w14:paraId="1184B9E9">
      <w:pPr>
        <w:spacing w:after="0" w:line="480" w:lineRule="auto"/>
        <w:outlineLvl w:val="2"/>
        <w:rPr>
          <w:rFonts w:ascii="Times New Roman" w:hAnsi="Times New Roman" w:eastAsia="Times New Roman" w:cs="Times New Roman"/>
          <w:b/>
          <w:bCs/>
          <w:sz w:val="27"/>
          <w:szCs w:val="27"/>
        </w:rPr>
      </w:pPr>
    </w:p>
    <w:p w14:paraId="3B45D466">
      <w:pPr>
        <w:spacing w:after="0"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Table of Contents</w:t>
      </w:r>
    </w:p>
    <w:p w14:paraId="3CBF9C09">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Title Page</w:t>
      </w:r>
    </w:p>
    <w:p w14:paraId="3722F448">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Certification</w:t>
      </w:r>
    </w:p>
    <w:p w14:paraId="5A9C8899">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Dedication</w:t>
      </w:r>
    </w:p>
    <w:p w14:paraId="10B5C239">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Acknowledgments</w:t>
      </w:r>
    </w:p>
    <w:p w14:paraId="31BD3037">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Abstract</w:t>
      </w:r>
    </w:p>
    <w:p w14:paraId="6A9A4D36">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Table of Contents</w:t>
      </w:r>
    </w:p>
    <w:p w14:paraId="744D6B13">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List of Figures</w:t>
      </w:r>
    </w:p>
    <w:p w14:paraId="280E330E">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List of Tables</w:t>
      </w:r>
    </w:p>
    <w:p w14:paraId="18EC21C2">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One: Introduction</w:t>
      </w:r>
    </w:p>
    <w:p w14:paraId="1D673F7C">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 Background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1.2 Statement of the Problem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1.3 Objectives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1.4 Research Questions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1.5 Significance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1.6 Scope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1.7 Limitations</w:t>
      </w:r>
    </w:p>
    <w:p w14:paraId="225CCDB5">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Two: Literature Review</w:t>
      </w:r>
    </w:p>
    <w:p w14:paraId="5D357D82">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2.1 Introduction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2.2 Fundamentals of Coordination Chemistry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2.3 Chemistry of Ibuprofen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2.4 Copper sulphate: Coordination and Biological Relevance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2.5 Metal-NSAID Complexes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2.6 Analytical Techniques in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2.7 Applications of Metal-Drug Complexes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2.8 Research Gaps</w:t>
      </w:r>
    </w:p>
    <w:p w14:paraId="231129DA">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Three: Materials and Methods</w:t>
      </w:r>
    </w:p>
    <w:p w14:paraId="4A9497DF">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 Materials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 Methods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3.2.1 Synthesis of Copper-Ibuprofen Complex</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3.2.2 Physical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3.2.3 Spectroscopic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3.2.4 Structural and Thermal Characterization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3.2.5 Antimicrobial Activity Assay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3.2.6 pH Stability and Conductance Measurement</w:t>
      </w:r>
    </w:p>
    <w:p w14:paraId="41AAAD5B">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Four: Results and Discussion</w:t>
      </w:r>
    </w:p>
    <w:p w14:paraId="44CE8108">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sz w:val="24"/>
          <w:szCs w:val="24"/>
        </w:rPr>
        <w:t>4.1 Physical Characteristics of the Complex</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4.2 Solubility Profile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4.3 FTIR Spectroscopy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4.4 UV-Vis Spectroscopy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4.5 NMR Analysis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4.6 Thermal Gravimetric Analysis (TGA)</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4.7 X-Ray Diffraction (XRD)</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4.8 Scanning Electron Microscopy (SEM)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4.9 Antimicrobial Activity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4.10 pH Stability and Conductance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4.11 Discussion</w:t>
      </w:r>
    </w:p>
    <w:p w14:paraId="02AF0AE9">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Five: Conclusion and Recommendations</w:t>
      </w:r>
    </w:p>
    <w:p w14:paraId="34497A0C">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5.1 General Conclusion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5.2 Specific Findings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5.3 Contributions to Knowledge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5.4 Recommendations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5.5 Limitations of the Study</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5.6 Future Research Directions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5.7 Final Remarks</w:t>
      </w:r>
    </w:p>
    <w:p w14:paraId="2F204606">
      <w:pPr>
        <w:spacing w:before="100" w:beforeAutospacing="1" w:after="100" w:afterAutospacing="1" w:line="48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References</w:t>
      </w:r>
    </w:p>
    <w:p w14:paraId="79EC98BC">
      <w:pPr>
        <w:spacing w:after="0" w:line="480" w:lineRule="auto"/>
        <w:rPr>
          <w:rFonts w:ascii="Times New Roman" w:hAnsi="Times New Roman" w:eastAsia="Times New Roman" w:cs="Times New Roman"/>
          <w:sz w:val="24"/>
          <w:szCs w:val="24"/>
        </w:rPr>
      </w:pPr>
    </w:p>
    <w:p w14:paraId="708149E3">
      <w:pPr>
        <w:spacing w:before="100" w:beforeAutospacing="1" w:after="100" w:afterAutospacing="1" w:line="480" w:lineRule="auto"/>
        <w:outlineLvl w:val="1"/>
        <w:rPr>
          <w:rFonts w:ascii="Times New Roman" w:hAnsi="Times New Roman" w:eastAsia="Times New Roman" w:cs="Times New Roman"/>
          <w:b/>
          <w:bCs/>
          <w:sz w:val="24"/>
          <w:szCs w:val="24"/>
        </w:rPr>
      </w:pPr>
    </w:p>
    <w:p w14:paraId="4A38AF49">
      <w:pPr>
        <w:spacing w:before="100" w:beforeAutospacing="1" w:after="100" w:afterAutospacing="1" w:line="480" w:lineRule="auto"/>
        <w:outlineLvl w:val="1"/>
        <w:rPr>
          <w:rFonts w:ascii="Times New Roman" w:hAnsi="Times New Roman" w:eastAsia="Times New Roman" w:cs="Times New Roman"/>
          <w:b/>
          <w:bCs/>
          <w:sz w:val="24"/>
          <w:szCs w:val="24"/>
        </w:rPr>
      </w:pPr>
    </w:p>
    <w:p w14:paraId="1A8FB8DB">
      <w:pPr>
        <w:spacing w:before="100" w:beforeAutospacing="1" w:after="100" w:afterAutospacing="1" w:line="240" w:lineRule="auto"/>
        <w:jc w:val="center"/>
        <w:outlineLvl w:val="1"/>
        <w:rPr>
          <w:rFonts w:ascii="Times New Roman" w:hAnsi="Times New Roman" w:eastAsia="Times New Roman" w:cs="Times New Roman"/>
          <w:b/>
          <w:bCs/>
          <w:sz w:val="24"/>
          <w:szCs w:val="24"/>
        </w:rPr>
      </w:pPr>
    </w:p>
    <w:p w14:paraId="1AFDF72A">
      <w:pPr>
        <w:spacing w:before="100" w:beforeAutospacing="1" w:after="100" w:afterAutospacing="1" w:line="240" w:lineRule="auto"/>
        <w:jc w:val="center"/>
        <w:outlineLvl w:val="1"/>
        <w:rPr>
          <w:rFonts w:ascii="Times New Roman" w:hAnsi="Times New Roman" w:eastAsia="Times New Roman" w:cs="Times New Roman"/>
          <w:b/>
          <w:bCs/>
          <w:sz w:val="24"/>
          <w:szCs w:val="24"/>
        </w:rPr>
      </w:pPr>
    </w:p>
    <w:p w14:paraId="69D434B0">
      <w:pPr>
        <w:spacing w:before="100" w:beforeAutospacing="1" w:after="100" w:afterAutospacing="1" w:line="240" w:lineRule="auto"/>
        <w:jc w:val="center"/>
        <w:outlineLvl w:val="1"/>
        <w:rPr>
          <w:rFonts w:ascii="Times New Roman" w:hAnsi="Times New Roman" w:eastAsia="Times New Roman" w:cs="Times New Roman"/>
          <w:b/>
          <w:bCs/>
          <w:sz w:val="24"/>
          <w:szCs w:val="24"/>
        </w:rPr>
      </w:pPr>
    </w:p>
    <w:p w14:paraId="07954803">
      <w:pPr>
        <w:spacing w:before="100" w:beforeAutospacing="1" w:after="100" w:afterAutospacing="1" w:line="240" w:lineRule="auto"/>
        <w:jc w:val="center"/>
        <w:outlineLvl w:val="1"/>
        <w:rPr>
          <w:rFonts w:ascii="Times New Roman" w:hAnsi="Times New Roman" w:eastAsia="Times New Roman" w:cs="Times New Roman"/>
          <w:b/>
          <w:bCs/>
          <w:sz w:val="24"/>
          <w:szCs w:val="24"/>
        </w:rPr>
      </w:pPr>
    </w:p>
    <w:p w14:paraId="3448F324">
      <w:pPr>
        <w:spacing w:before="100" w:beforeAutospacing="1" w:after="100" w:afterAutospacing="1" w:line="240" w:lineRule="auto"/>
        <w:jc w:val="center"/>
        <w:outlineLvl w:val="1"/>
        <w:rPr>
          <w:rFonts w:ascii="Times New Roman" w:hAnsi="Times New Roman" w:eastAsia="Times New Roman" w:cs="Times New Roman"/>
          <w:b/>
          <w:bCs/>
          <w:sz w:val="24"/>
          <w:szCs w:val="24"/>
        </w:rPr>
      </w:pPr>
    </w:p>
    <w:p w14:paraId="53019A06">
      <w:pPr>
        <w:spacing w:before="100" w:beforeAutospacing="1" w:after="100" w:afterAutospacing="1" w:line="240" w:lineRule="auto"/>
        <w:outlineLvl w:val="1"/>
        <w:rPr>
          <w:rFonts w:ascii="Times New Roman" w:hAnsi="Times New Roman" w:eastAsia="Times New Roman" w:cs="Times New Roman"/>
          <w:b/>
          <w:bCs/>
          <w:sz w:val="24"/>
          <w:szCs w:val="24"/>
        </w:rPr>
      </w:pPr>
    </w:p>
    <w:p w14:paraId="1C38C89B">
      <w:pPr>
        <w:spacing w:before="100" w:beforeAutospacing="1" w:after="100" w:afterAutospacing="1" w:line="240" w:lineRule="auto"/>
        <w:outlineLvl w:val="1"/>
        <w:rPr>
          <w:rFonts w:ascii="Times New Roman" w:hAnsi="Times New Roman" w:eastAsia="Times New Roman" w:cs="Times New Roman"/>
          <w:b/>
          <w:bCs/>
          <w:sz w:val="24"/>
          <w:szCs w:val="24"/>
        </w:rPr>
      </w:pPr>
    </w:p>
    <w:p w14:paraId="131302CA">
      <w:pPr>
        <w:spacing w:before="100" w:beforeAutospacing="1" w:after="100" w:afterAutospacing="1"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ONE</w:t>
      </w:r>
    </w:p>
    <w:p w14:paraId="52102C54">
      <w:pPr>
        <w:spacing w:before="100" w:beforeAutospacing="1" w:after="100" w:afterAutospacing="1" w:line="240" w:lineRule="auto"/>
        <w:jc w:val="left"/>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1.0 INTRODUCTION</w:t>
      </w:r>
    </w:p>
    <w:p w14:paraId="6D73F0D3">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1.1 Background to the Study</w:t>
      </w:r>
    </w:p>
    <w:p w14:paraId="3A8D37E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Nickel(II), which possess variable oxidation states and an ability to form stable complexes with a wide range of organic and inorganic ligands (Sharma &amp; Rani, 2020).</w:t>
      </w:r>
    </w:p>
    <w:p w14:paraId="0F33384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al., 2016). Such complexes also hold promise in drug delivery systems and as catalysts in organic synthesis.</w:t>
      </w:r>
    </w:p>
    <w:p w14:paraId="14E55AD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Nickel(II) chloride is a versatile metal salt with significant coordination 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14:paraId="309AECD2">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1.2 Statement of the Problem</w:t>
      </w:r>
    </w:p>
    <w:p w14:paraId="7D287DE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prevalence of ibuprofen in therapeutic applications, its interaction with transition metal ions such as Nickel(II) remains relatively unexplored. Metal coordination could potentially enhance the drug's biological activity or lead to new applications. However, detailed studies investigating the formation, structural elucidation, and application of ibuprofen-Nickel(II) complexes are lacking. This study aims to fill that gap by synthesizing and characterizing the ibuprofen-Nickel(II) complex and evaluating its potential utility.</w:t>
      </w:r>
    </w:p>
    <w:p w14:paraId="6C1585E5">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1.3 Objectives of the Study</w:t>
      </w:r>
    </w:p>
    <w:p w14:paraId="47417A17">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synthesize a Nickel(II)-ibuprofen coordination complex.</w:t>
      </w:r>
    </w:p>
    <w:p w14:paraId="50442B39">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characterize the synthesized complex using techniques such as UV-Vis spectroscopy, FTIR, NMR, XRD, TGA, and SEM.</w:t>
      </w:r>
    </w:p>
    <w:p w14:paraId="7B7063EF">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investigate the thermal and structural stability of the complex.</w:t>
      </w:r>
    </w:p>
    <w:p w14:paraId="2B2049E6">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evaluate the antimicrobial activity of the complex against selected microorganisms.</w:t>
      </w:r>
    </w:p>
    <w:p w14:paraId="6B92EB3C">
      <w:pPr>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assess potential industrial and pharmaceutical applications of the synthesized complex.</w:t>
      </w:r>
    </w:p>
    <w:p w14:paraId="460E9D6B">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1.4 Research Questions</w:t>
      </w:r>
    </w:p>
    <w:p w14:paraId="35DB423C">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is the coordination geometry of the Nickel(II)-ibuprofen complex?</w:t>
      </w:r>
    </w:p>
    <w:p w14:paraId="2E2648E4">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are the structural and thermal properties of the complex?</w:t>
      </w:r>
    </w:p>
    <w:p w14:paraId="4D323209">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does the antimicrobial activity of the complex compare to that of free ibuprofen?</w:t>
      </w:r>
    </w:p>
    <w:p w14:paraId="623B50E8">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Can the complex be used in drug delivery systems or other practical applications?</w:t>
      </w:r>
    </w:p>
    <w:p w14:paraId="68E26AD9">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1.5 Significance of the Study</w:t>
      </w:r>
    </w:p>
    <w:p w14:paraId="43714E4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contributes to the understanding of drug-metal coordination 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14:paraId="31FA1C23">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1.6 Scope of the Study</w:t>
      </w:r>
    </w:p>
    <w:p w14:paraId="4E39D19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14:paraId="6A880785">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1.7 Limitations</w:t>
      </w:r>
    </w:p>
    <w:p w14:paraId="2D38533B">
      <w:pPr>
        <w:numPr>
          <w:ilvl w:val="0"/>
          <w:numId w:val="3"/>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complex may exhibit limited solubility in aqueous media, complicating some analytical measurements.</w:t>
      </w:r>
    </w:p>
    <w:p w14:paraId="1C7A5AAD">
      <w:pPr>
        <w:numPr>
          <w:ilvl w:val="0"/>
          <w:numId w:val="3"/>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Limited availability of advanced instrumentation such as single-crystal X-ray diffraction may restrict definitive structural elucidation.</w:t>
      </w:r>
    </w:p>
    <w:p w14:paraId="2E58B249">
      <w:pPr>
        <w:numPr>
          <w:ilvl w:val="0"/>
          <w:numId w:val="3"/>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biological evaluation is limited to antimicrobial studies in vitr</w:t>
      </w:r>
    </w:p>
    <w:p w14:paraId="4E418B6D">
      <w:pPr>
        <w:spacing w:before="100" w:beforeAutospacing="1" w:after="100" w:afterAutospacing="1" w:line="480" w:lineRule="auto"/>
        <w:jc w:val="center"/>
        <w:outlineLvl w:val="1"/>
        <w:rPr>
          <w:rFonts w:ascii="Times New Roman" w:hAnsi="Times New Roman" w:eastAsia="Times New Roman" w:cs="Times New Roman"/>
          <w:b/>
          <w:bCs/>
          <w:sz w:val="24"/>
          <w:szCs w:val="24"/>
        </w:rPr>
      </w:pPr>
    </w:p>
    <w:p w14:paraId="6ACD1DC1">
      <w:pPr>
        <w:spacing w:before="100" w:beforeAutospacing="1" w:after="100" w:afterAutospacing="1" w:line="480" w:lineRule="auto"/>
        <w:jc w:val="center"/>
        <w:outlineLvl w:val="1"/>
        <w:rPr>
          <w:rFonts w:ascii="Times New Roman" w:hAnsi="Times New Roman" w:eastAsia="Times New Roman" w:cs="Times New Roman"/>
          <w:b/>
          <w:bCs/>
          <w:sz w:val="24"/>
          <w:szCs w:val="24"/>
        </w:rPr>
      </w:pPr>
    </w:p>
    <w:p w14:paraId="142D79A3">
      <w:pPr>
        <w:spacing w:before="100" w:beforeAutospacing="1" w:after="100" w:afterAutospacing="1" w:line="480" w:lineRule="auto"/>
        <w:jc w:val="center"/>
        <w:outlineLvl w:val="1"/>
        <w:rPr>
          <w:rFonts w:ascii="Times New Roman" w:hAnsi="Times New Roman" w:eastAsia="Times New Roman" w:cs="Times New Roman"/>
          <w:b/>
          <w:bCs/>
          <w:sz w:val="24"/>
          <w:szCs w:val="24"/>
        </w:rPr>
      </w:pPr>
    </w:p>
    <w:p w14:paraId="4619028C">
      <w:pPr>
        <w:spacing w:before="100" w:beforeAutospacing="1" w:after="100" w:afterAutospacing="1" w:line="480" w:lineRule="auto"/>
        <w:jc w:val="center"/>
        <w:outlineLvl w:val="1"/>
        <w:rPr>
          <w:rFonts w:ascii="Times New Roman" w:hAnsi="Times New Roman" w:eastAsia="Times New Roman" w:cs="Times New Roman"/>
          <w:b/>
          <w:bCs/>
          <w:sz w:val="24"/>
          <w:szCs w:val="24"/>
        </w:rPr>
      </w:pPr>
    </w:p>
    <w:p w14:paraId="3FFC5DF0">
      <w:pPr>
        <w:spacing w:before="100" w:beforeAutospacing="1" w:after="100" w:afterAutospacing="1" w:line="480" w:lineRule="auto"/>
        <w:jc w:val="center"/>
        <w:outlineLvl w:val="1"/>
        <w:rPr>
          <w:rFonts w:ascii="Times New Roman" w:hAnsi="Times New Roman" w:eastAsia="Times New Roman" w:cs="Times New Roman"/>
          <w:b/>
          <w:bCs/>
          <w:sz w:val="24"/>
          <w:szCs w:val="24"/>
        </w:rPr>
      </w:pPr>
    </w:p>
    <w:p w14:paraId="092602DA">
      <w:pPr>
        <w:spacing w:before="100" w:beforeAutospacing="1" w:after="100" w:afterAutospacing="1" w:line="480" w:lineRule="auto"/>
        <w:jc w:val="center"/>
        <w:outlineLvl w:val="1"/>
        <w:rPr>
          <w:rFonts w:ascii="Times New Roman" w:hAnsi="Times New Roman" w:eastAsia="Times New Roman" w:cs="Times New Roman"/>
          <w:b/>
          <w:bCs/>
          <w:sz w:val="24"/>
          <w:szCs w:val="24"/>
        </w:rPr>
      </w:pPr>
    </w:p>
    <w:p w14:paraId="03BE36D2">
      <w:pPr>
        <w:spacing w:before="100" w:beforeAutospacing="1" w:after="100" w:afterAutospacing="1" w:line="480" w:lineRule="auto"/>
        <w:jc w:val="center"/>
        <w:outlineLvl w:val="1"/>
        <w:rPr>
          <w:rFonts w:ascii="Times New Roman" w:hAnsi="Times New Roman" w:eastAsia="Times New Roman" w:cs="Times New Roman"/>
          <w:b/>
          <w:bCs/>
          <w:sz w:val="24"/>
          <w:szCs w:val="24"/>
        </w:rPr>
      </w:pPr>
    </w:p>
    <w:p w14:paraId="3B28A4EA">
      <w:pPr>
        <w:spacing w:before="100" w:beforeAutospacing="1" w:after="100" w:afterAutospacing="1" w:line="480" w:lineRule="auto"/>
        <w:jc w:val="center"/>
        <w:outlineLvl w:val="1"/>
        <w:rPr>
          <w:rFonts w:ascii="Times New Roman" w:hAnsi="Times New Roman" w:eastAsia="Times New Roman" w:cs="Times New Roman"/>
          <w:b/>
          <w:bCs/>
          <w:sz w:val="24"/>
          <w:szCs w:val="24"/>
        </w:rPr>
      </w:pPr>
    </w:p>
    <w:p w14:paraId="04A07708">
      <w:pPr>
        <w:spacing w:before="100" w:beforeAutospacing="1" w:after="100" w:afterAutospacing="1" w:line="480" w:lineRule="auto"/>
        <w:jc w:val="center"/>
        <w:outlineLvl w:val="1"/>
        <w:rPr>
          <w:rFonts w:ascii="Times New Roman" w:hAnsi="Times New Roman" w:eastAsia="Times New Roman" w:cs="Times New Roman"/>
          <w:b/>
          <w:bCs/>
          <w:sz w:val="24"/>
          <w:szCs w:val="24"/>
        </w:rPr>
      </w:pPr>
    </w:p>
    <w:p w14:paraId="5E005A1D">
      <w:pPr>
        <w:spacing w:before="100" w:beforeAutospacing="1" w:after="100" w:afterAutospacing="1" w:line="48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TWO</w:t>
      </w:r>
    </w:p>
    <w:p w14:paraId="3D9C2AE0">
      <w:pPr>
        <w:spacing w:before="100" w:beforeAutospacing="1" w:after="100" w:afterAutospacing="1" w:line="480" w:lineRule="auto"/>
        <w:jc w:val="left"/>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2.0 LITERATURE REVIEW</w:t>
      </w:r>
    </w:p>
    <w:p w14:paraId="0034CD1D">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2.1 Introduction</w:t>
      </w:r>
    </w:p>
    <w:p w14:paraId="334C7E6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 (II) chloride, and previous research on metal-NSAID complexes, with an emphasis on their synthesis, characterization, and applications.</w:t>
      </w:r>
    </w:p>
    <w:p w14:paraId="64A4887D">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2.2 Fundamentals of Coordination Chemistry</w:t>
      </w:r>
    </w:p>
    <w:p w14:paraId="0EBB891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14:paraId="71B7FEF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Nickel (II) typically forms octahedral complexes and can coordinate with both monodentate and multidentate ligands. These complexes exhibit properties useful in catalysis, magnetic materials, and bioinorganic systems. The electronic configuration of Ni(II) is [Ar] 3d8, which influences the geometry and reactivity of its complexes (Cotton et al., 1999).</w:t>
      </w:r>
    </w:p>
    <w:p w14:paraId="41637878">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2.3 Chemistry of Ibuprofen</w:t>
      </w:r>
    </w:p>
    <w:p w14:paraId="7FAF9D2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Ibuprofen (C13H18O2), chemically known as (RS)-2-(4-isobutylphenyl)propionic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14:paraId="7A6C3C5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ibuprofen acts as a ligand, coordination often occurs through the carboxylate oxygen atoms, either in a monodentate or bidentate fashion. Such interactions can modify the drug’s reactivity and biological profile (Nakamoto, 2009).</w:t>
      </w:r>
    </w:p>
    <w:p w14:paraId="057FE266">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2.4 Copper sulphate: Coordination and Biological Relevance</w:t>
      </w:r>
    </w:p>
    <w:p w14:paraId="0205C50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Copper(II) sulphate</w:t>
      </w:r>
      <w:r>
        <w:rPr>
          <w:rFonts w:ascii="Times New Roman" w:hAnsi="Times New Roman" w:eastAsia="Times New Roman" w:cs="Times New Roman"/>
          <w:b/>
          <w:bCs/>
          <w:sz w:val="24"/>
          <w:szCs w:val="24"/>
        </w:rPr>
        <w:t xml:space="preserve"> (CuSO₄·5H₂O)</w:t>
      </w:r>
      <w:r>
        <w:rPr>
          <w:rFonts w:ascii="Times New Roman" w:hAnsi="Times New Roman" w:eastAsia="Times New Roman" w:cs="Times New Roman"/>
          <w:sz w:val="24"/>
          <w:szCs w:val="24"/>
        </w:rPr>
        <w:t xml:space="preserve"> is a widely studied and structurally versatile coordination compound in transition metal chemistry. In its hydrated form, copper exists as the [Cu(H₂O)₄]²⁺ aqua complex, with a distorted octahedral geometry arising from the Jahn–Teller effect characteristic of the d⁹ configuration of Cu(II). The four equatorial water molecules form strong coordinate bonds with Cu²⁺, while the two axial positions are elongated due to electronic asymmetry, often occupied weakly by water or anions such as SO₄²⁻ (Cotton &amp; Wilkinson, 1999). When reacting with organic ligands like ibuprofen, copper(II) forms stable coordination complexes by replacing one or more water molecules with the carboxylate group (–COO⁻) of ibuprofen. The carboxylate can act as:</w:t>
      </w:r>
    </w:p>
    <w:p w14:paraId="1E36F06D">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monodentate ligand, binding through a single oxygen atom.</w:t>
      </w:r>
    </w:p>
    <w:p w14:paraId="2F2357FD">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bidentate chelating ligand, forming a five-membered ring with Cu²⁺.</w:t>
      </w:r>
    </w:p>
    <w:p w14:paraId="138E9BB1">
      <w:pPr>
        <w:numPr>
          <w:ilvl w:val="0"/>
          <w:numId w:val="4"/>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bridging ligand, linking multiple metal centers.</w:t>
      </w:r>
    </w:p>
    <w:p w14:paraId="0574F93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resulting copper–ibuprofen complexes often exhibit square planar or distorted octahedral geometries, depending on the number and type of donor atoms and the ligand-to-metal ratio. Such complexes are typically characterized by:</w:t>
      </w:r>
    </w:p>
    <w:p w14:paraId="7A9593DC">
      <w:pPr>
        <w:numPr>
          <w:ilvl w:val="0"/>
          <w:numId w:val="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Strong blue to green coloration</w:t>
      </w:r>
    </w:p>
    <w:p w14:paraId="3E8E4FBC">
      <w:pPr>
        <w:numPr>
          <w:ilvl w:val="0"/>
          <w:numId w:val="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d–d transitions in UV-Vis spectra around 600–700 nm</w:t>
      </w:r>
    </w:p>
    <w:p w14:paraId="5F035F13">
      <w:pPr>
        <w:numPr>
          <w:ilvl w:val="0"/>
          <w:numId w:val="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 stretching vibrations observed in IR spectra (400–600 cm⁻¹)</w:t>
      </w:r>
    </w:p>
    <w:p w14:paraId="4D7B789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These structural features contribute to the complex’s stability, solubility, and reactivity under physiological conditions.</w:t>
      </w:r>
    </w:p>
    <w:p w14:paraId="557BBF00">
      <w:pPr>
        <w:spacing w:before="100" w:beforeAutospacing="1" w:after="100" w:afterAutospacing="1" w:line="480" w:lineRule="auto"/>
        <w:jc w:val="both"/>
        <w:rPr>
          <w:rFonts w:eastAsia="Times New Roman" w:asciiTheme="majorBidi" w:hAnsiTheme="majorBidi" w:cstheme="majorBidi"/>
          <w:sz w:val="24"/>
          <w:szCs w:val="24"/>
        </w:rPr>
      </w:pPr>
      <w:r>
        <w:rPr>
          <w:rFonts w:asciiTheme="majorBidi" w:hAnsiTheme="majorBidi" w:cstheme="majorBidi"/>
          <w:sz w:val="24"/>
          <w:szCs w:val="24"/>
        </w:rPr>
        <w:t xml:space="preserve">Copper is an </w:t>
      </w:r>
      <w:r>
        <w:rPr>
          <w:rStyle w:val="11"/>
          <w:rFonts w:asciiTheme="majorBidi" w:hAnsiTheme="majorBidi" w:cstheme="majorBidi"/>
          <w:b w:val="0"/>
          <w:bCs w:val="0"/>
          <w:sz w:val="24"/>
          <w:szCs w:val="24"/>
        </w:rPr>
        <w:t>essential trace element</w:t>
      </w:r>
      <w:r>
        <w:rPr>
          <w:rFonts w:asciiTheme="majorBidi" w:hAnsiTheme="majorBidi" w:cstheme="majorBidi"/>
          <w:sz w:val="24"/>
          <w:szCs w:val="24"/>
        </w:rPr>
        <w:t xml:space="preserve"> involved in various biological functions. It serves as a cofactor in several </w:t>
      </w:r>
      <w:r>
        <w:rPr>
          <w:rStyle w:val="11"/>
          <w:rFonts w:asciiTheme="majorBidi" w:hAnsiTheme="majorBidi" w:cstheme="majorBidi"/>
          <w:b w:val="0"/>
          <w:bCs w:val="0"/>
          <w:sz w:val="24"/>
          <w:szCs w:val="24"/>
        </w:rPr>
        <w:t>metalloenzymes</w:t>
      </w:r>
      <w:r>
        <w:rPr>
          <w:rFonts w:asciiTheme="majorBidi" w:hAnsiTheme="majorBidi" w:cstheme="majorBidi"/>
          <w:b/>
          <w:bCs/>
          <w:sz w:val="24"/>
          <w:szCs w:val="24"/>
        </w:rPr>
        <w:t>,</w:t>
      </w:r>
      <w:r>
        <w:rPr>
          <w:rFonts w:asciiTheme="majorBidi" w:hAnsiTheme="majorBidi" w:cstheme="majorBidi"/>
          <w:sz w:val="24"/>
          <w:szCs w:val="24"/>
        </w:rPr>
        <w:t xml:space="preserve"> including:</w:t>
      </w:r>
    </w:p>
    <w:p w14:paraId="5FB59ABC">
      <w:pPr>
        <w:pStyle w:val="10"/>
        <w:numPr>
          <w:ilvl w:val="0"/>
          <w:numId w:val="6"/>
        </w:numPr>
        <w:spacing w:line="480" w:lineRule="auto"/>
        <w:rPr>
          <w:rFonts w:asciiTheme="majorBidi" w:hAnsiTheme="majorBidi" w:cstheme="majorBidi"/>
          <w:b/>
          <w:bCs/>
        </w:rPr>
      </w:pPr>
      <w:r>
        <w:rPr>
          <w:rStyle w:val="11"/>
          <w:rFonts w:asciiTheme="majorBidi" w:hAnsiTheme="majorBidi" w:cstheme="majorBidi"/>
          <w:b w:val="0"/>
          <w:bCs w:val="0"/>
        </w:rPr>
        <w:t>Cytochrome c oxidase</w:t>
      </w:r>
      <w:r>
        <w:rPr>
          <w:rFonts w:asciiTheme="majorBidi" w:hAnsiTheme="majorBidi" w:cstheme="majorBidi"/>
          <w:b/>
          <w:bCs/>
        </w:rPr>
        <w:t xml:space="preserve"> </w:t>
      </w:r>
      <w:r>
        <w:rPr>
          <w:rFonts w:asciiTheme="majorBidi" w:hAnsiTheme="majorBidi" w:cstheme="majorBidi"/>
        </w:rPr>
        <w:t>(respiratory chain</w:t>
      </w:r>
      <w:r>
        <w:rPr>
          <w:rFonts w:asciiTheme="majorBidi" w:hAnsiTheme="majorBidi" w:cstheme="majorBidi"/>
          <w:b/>
          <w:bCs/>
        </w:rPr>
        <w:t>)</w:t>
      </w:r>
    </w:p>
    <w:p w14:paraId="68D44D4E">
      <w:pPr>
        <w:pStyle w:val="10"/>
        <w:numPr>
          <w:ilvl w:val="0"/>
          <w:numId w:val="6"/>
        </w:numPr>
        <w:spacing w:line="480" w:lineRule="auto"/>
        <w:rPr>
          <w:rFonts w:asciiTheme="majorBidi" w:hAnsiTheme="majorBidi" w:cstheme="majorBidi"/>
          <w:b/>
          <w:bCs/>
        </w:rPr>
      </w:pPr>
      <w:r>
        <w:rPr>
          <w:rStyle w:val="11"/>
          <w:rFonts w:asciiTheme="majorBidi" w:hAnsiTheme="majorBidi" w:cstheme="majorBidi"/>
          <w:b w:val="0"/>
          <w:bCs w:val="0"/>
        </w:rPr>
        <w:t>Superoxide dismutase (Cu/Zn-SOD)</w:t>
      </w:r>
      <w:r>
        <w:rPr>
          <w:rFonts w:asciiTheme="majorBidi" w:hAnsiTheme="majorBidi" w:cstheme="majorBidi"/>
          <w:b/>
          <w:bCs/>
        </w:rPr>
        <w:t xml:space="preserve"> (</w:t>
      </w:r>
      <w:r>
        <w:rPr>
          <w:rFonts w:asciiTheme="majorBidi" w:hAnsiTheme="majorBidi" w:cstheme="majorBidi"/>
        </w:rPr>
        <w:t>antioxidant defense)</w:t>
      </w:r>
    </w:p>
    <w:p w14:paraId="1A042A5C">
      <w:pPr>
        <w:pStyle w:val="10"/>
        <w:numPr>
          <w:ilvl w:val="0"/>
          <w:numId w:val="6"/>
        </w:numPr>
        <w:spacing w:line="480" w:lineRule="auto"/>
        <w:rPr>
          <w:rFonts w:asciiTheme="majorBidi" w:hAnsiTheme="majorBidi" w:cstheme="majorBidi"/>
          <w:b/>
          <w:bCs/>
        </w:rPr>
      </w:pPr>
      <w:r>
        <w:rPr>
          <w:rStyle w:val="11"/>
          <w:rFonts w:asciiTheme="majorBidi" w:hAnsiTheme="majorBidi" w:cstheme="majorBidi"/>
          <w:b w:val="0"/>
          <w:bCs w:val="0"/>
        </w:rPr>
        <w:t>Lysyl oxidase</w:t>
      </w:r>
      <w:r>
        <w:rPr>
          <w:rFonts w:asciiTheme="majorBidi" w:hAnsiTheme="majorBidi" w:cstheme="majorBidi"/>
          <w:b/>
          <w:bCs/>
        </w:rPr>
        <w:t xml:space="preserve"> (</w:t>
      </w:r>
      <w:r>
        <w:rPr>
          <w:rFonts w:asciiTheme="majorBidi" w:hAnsiTheme="majorBidi" w:cstheme="majorBidi"/>
        </w:rPr>
        <w:t>connective tissue formation</w:t>
      </w:r>
      <w:r>
        <w:rPr>
          <w:rFonts w:asciiTheme="majorBidi" w:hAnsiTheme="majorBidi" w:cstheme="majorBidi"/>
          <w:b/>
          <w:bCs/>
        </w:rPr>
        <w:t>)</w:t>
      </w:r>
    </w:p>
    <w:p w14:paraId="232DD6E0">
      <w:pPr>
        <w:pStyle w:val="10"/>
        <w:numPr>
          <w:ilvl w:val="0"/>
          <w:numId w:val="6"/>
        </w:numPr>
        <w:spacing w:line="480" w:lineRule="auto"/>
        <w:rPr>
          <w:rFonts w:asciiTheme="majorBidi" w:hAnsiTheme="majorBidi" w:cstheme="majorBidi"/>
          <w:b/>
          <w:bCs/>
        </w:rPr>
      </w:pPr>
      <w:r>
        <w:rPr>
          <w:rStyle w:val="11"/>
          <w:rFonts w:asciiTheme="majorBidi" w:hAnsiTheme="majorBidi" w:cstheme="majorBidi"/>
          <w:b w:val="0"/>
          <w:bCs w:val="0"/>
        </w:rPr>
        <w:t>Tyrosinase</w:t>
      </w:r>
      <w:r>
        <w:rPr>
          <w:rFonts w:asciiTheme="majorBidi" w:hAnsiTheme="majorBidi" w:cstheme="majorBidi"/>
          <w:b/>
          <w:bCs/>
        </w:rPr>
        <w:t xml:space="preserve"> (</w:t>
      </w:r>
      <w:r>
        <w:rPr>
          <w:rFonts w:asciiTheme="majorBidi" w:hAnsiTheme="majorBidi" w:cstheme="majorBidi"/>
        </w:rPr>
        <w:t>melanin synthesis</w:t>
      </w:r>
      <w:r>
        <w:rPr>
          <w:rFonts w:asciiTheme="majorBidi" w:hAnsiTheme="majorBidi" w:cstheme="majorBidi"/>
          <w:b/>
          <w:bCs/>
        </w:rPr>
        <w:t>)</w:t>
      </w:r>
    </w:p>
    <w:p w14:paraId="103F5526">
      <w:pPr>
        <w:spacing w:line="480" w:lineRule="auto"/>
        <w:rPr>
          <w:rFonts w:asciiTheme="majorBidi" w:hAnsiTheme="majorBidi" w:cstheme="majorBidi"/>
          <w:sz w:val="24"/>
          <w:szCs w:val="24"/>
        </w:rPr>
      </w:pPr>
      <w:r>
        <w:rPr>
          <w:rStyle w:val="11"/>
          <w:rFonts w:asciiTheme="majorBidi" w:hAnsiTheme="majorBidi" w:cstheme="majorBidi"/>
          <w:sz w:val="24"/>
          <w:szCs w:val="24"/>
        </w:rPr>
        <w:t xml:space="preserve">  </w:t>
      </w:r>
      <w:r>
        <w:rPr>
          <w:rStyle w:val="11"/>
          <w:rFonts w:asciiTheme="majorBidi" w:hAnsiTheme="majorBidi" w:cstheme="majorBidi"/>
          <w:b w:val="0"/>
          <w:bCs w:val="0"/>
          <w:sz w:val="24"/>
          <w:szCs w:val="24"/>
        </w:rPr>
        <w:t>Antimicrobial and Anti-inflammatory Properties</w:t>
      </w:r>
    </w:p>
    <w:p w14:paraId="503184AB">
      <w:pPr>
        <w:pStyle w:val="10"/>
        <w:spacing w:line="480" w:lineRule="auto"/>
        <w:rPr>
          <w:b/>
          <w:bCs/>
        </w:rPr>
      </w:pPr>
      <w:r>
        <w:t xml:space="preserve">Copper(II) complexes have demonstrated significant </w:t>
      </w:r>
      <w:r>
        <w:rPr>
          <w:rStyle w:val="11"/>
          <w:b w:val="0"/>
          <w:bCs w:val="0"/>
        </w:rPr>
        <w:t>antibacterial, antifungal, and anti-inflammatory</w:t>
      </w:r>
      <w:r>
        <w:rPr>
          <w:b/>
          <w:bCs/>
        </w:rPr>
        <w:t xml:space="preserve"> </w:t>
      </w:r>
      <w:r>
        <w:t>activities due to</w:t>
      </w:r>
      <w:r>
        <w:rPr>
          <w:b/>
          <w:bCs/>
        </w:rPr>
        <w:t>:</w:t>
      </w:r>
    </w:p>
    <w:p w14:paraId="24D04535">
      <w:pPr>
        <w:pStyle w:val="10"/>
        <w:numPr>
          <w:ilvl w:val="0"/>
          <w:numId w:val="7"/>
        </w:numPr>
        <w:spacing w:line="480" w:lineRule="auto"/>
      </w:pPr>
      <w:r>
        <w:rPr>
          <w:rStyle w:val="11"/>
        </w:rPr>
        <w:t>Redox cycling ability (Cu²⁺/Cu⁺)</w:t>
      </w:r>
      <w:r>
        <w:t>, producing reactive oxygen species (ROS) that damage microbial membranes and proteins.</w:t>
      </w:r>
    </w:p>
    <w:p w14:paraId="40AAF2EE">
      <w:pPr>
        <w:pStyle w:val="10"/>
        <w:numPr>
          <w:ilvl w:val="0"/>
          <w:numId w:val="7"/>
        </w:numPr>
        <w:spacing w:line="480" w:lineRule="auto"/>
      </w:pPr>
      <w:r>
        <w:rPr>
          <w:rStyle w:val="11"/>
        </w:rPr>
        <w:t>Inhibition of bacterial enzymes</w:t>
      </w:r>
      <w:r>
        <w:t xml:space="preserve"> and </w:t>
      </w:r>
      <w:r>
        <w:rPr>
          <w:rStyle w:val="11"/>
        </w:rPr>
        <w:t>interaction with DNA/RNA</w:t>
      </w:r>
      <w:r>
        <w:t>.</w:t>
      </w:r>
    </w:p>
    <w:p w14:paraId="4138C412">
      <w:pPr>
        <w:pStyle w:val="10"/>
        <w:numPr>
          <w:ilvl w:val="0"/>
          <w:numId w:val="7"/>
        </w:numPr>
        <w:spacing w:line="480" w:lineRule="auto"/>
      </w:pPr>
      <w:r>
        <w:rPr>
          <w:rStyle w:val="11"/>
        </w:rPr>
        <w:t>Modulation of cytokine expression</w:t>
      </w:r>
      <w:r>
        <w:t xml:space="preserve"> in inflammatory pathways.</w:t>
      </w:r>
    </w:p>
    <w:p w14:paraId="47CDB48E">
      <w:pPr>
        <w:pStyle w:val="10"/>
        <w:spacing w:line="480" w:lineRule="auto"/>
      </w:pPr>
      <w:r>
        <w:t xml:space="preserve">In coordination with ibuprofen, Cu(II) complexes may exhibit </w:t>
      </w:r>
      <w:r>
        <w:rPr>
          <w:rStyle w:val="11"/>
        </w:rPr>
        <w:t>synergistic effects</w:t>
      </w:r>
      <w:r>
        <w:t>, enhancing the anti-inflammatory activity of ibuprofen while contributing intrinsic antimicrobial properties (Sarkar et al., 2019).</w:t>
      </w:r>
    </w:p>
    <w:p w14:paraId="09161208">
      <w:pPr>
        <w:rPr>
          <w:rFonts w:asciiTheme="majorBidi" w:hAnsiTheme="majorBidi" w:cstheme="majorBidi"/>
          <w:sz w:val="24"/>
          <w:szCs w:val="24"/>
        </w:rPr>
      </w:pPr>
      <w:r>
        <w:rPr>
          <w:rStyle w:val="11"/>
          <w:rFonts w:asciiTheme="majorBidi" w:hAnsiTheme="majorBidi" w:cstheme="majorBidi"/>
          <w:sz w:val="24"/>
          <w:szCs w:val="24"/>
        </w:rPr>
        <w:t xml:space="preserve"> Antioxidant and Anticancer Potential</w:t>
      </w:r>
    </w:p>
    <w:p w14:paraId="2B83B854">
      <w:pPr>
        <w:pStyle w:val="10"/>
      </w:pPr>
      <w:r>
        <w:t>Copper complexes are being explored in oncology due to their:</w:t>
      </w:r>
    </w:p>
    <w:p w14:paraId="303EDDA2">
      <w:pPr>
        <w:pStyle w:val="10"/>
        <w:numPr>
          <w:ilvl w:val="0"/>
          <w:numId w:val="8"/>
        </w:numPr>
        <w:spacing w:line="480" w:lineRule="auto"/>
      </w:pPr>
      <w:r>
        <w:rPr>
          <w:rStyle w:val="11"/>
          <w:b w:val="0"/>
          <w:bCs w:val="0"/>
        </w:rPr>
        <w:t>Pro-oxidant effects</w:t>
      </w:r>
      <w:r>
        <w:t xml:space="preserve"> in tumor cells</w:t>
      </w:r>
    </w:p>
    <w:p w14:paraId="167C833D">
      <w:pPr>
        <w:pStyle w:val="10"/>
        <w:numPr>
          <w:ilvl w:val="0"/>
          <w:numId w:val="8"/>
        </w:numPr>
        <w:spacing w:line="480" w:lineRule="auto"/>
      </w:pPr>
      <w:r>
        <w:rPr>
          <w:rStyle w:val="11"/>
          <w:b w:val="0"/>
          <w:bCs w:val="0"/>
        </w:rPr>
        <w:t>Selective cytotoxicity</w:t>
      </w:r>
      <w:r>
        <w:t xml:space="preserve"> via mitochondrial disruption</w:t>
      </w:r>
    </w:p>
    <w:p w14:paraId="55E7FCB4">
      <w:pPr>
        <w:pStyle w:val="10"/>
        <w:numPr>
          <w:ilvl w:val="0"/>
          <w:numId w:val="8"/>
        </w:numPr>
        <w:spacing w:line="480" w:lineRule="auto"/>
      </w:pPr>
      <w:r>
        <w:t xml:space="preserve">Potential to serve as </w:t>
      </w:r>
      <w:r>
        <w:rPr>
          <w:rStyle w:val="11"/>
          <w:b w:val="0"/>
          <w:bCs w:val="0"/>
        </w:rPr>
        <w:t>angiogenesis inhibitors</w:t>
      </w:r>
    </w:p>
    <w:p w14:paraId="4332FCF4">
      <w:pPr>
        <w:spacing w:before="100" w:beforeAutospacing="1" w:after="100" w:afterAutospacing="1" w:line="480" w:lineRule="auto"/>
        <w:jc w:val="both"/>
        <w:rPr>
          <w:rFonts w:ascii="Times New Roman" w:hAnsi="Times New Roman" w:eastAsia="Times New Roman" w:cs="Times New Roman"/>
          <w:sz w:val="24"/>
          <w:szCs w:val="24"/>
        </w:rPr>
      </w:pPr>
    </w:p>
    <w:p w14:paraId="74D8A7A5">
      <w:pPr>
        <w:spacing w:before="100" w:beforeAutospacing="1" w:after="100" w:afterAutospacing="1" w:line="480" w:lineRule="auto"/>
        <w:jc w:val="both"/>
        <w:rPr>
          <w:rFonts w:ascii="Times New Roman" w:hAnsi="Times New Roman" w:eastAsia="Times New Roman" w:cs="Times New Roman"/>
          <w:sz w:val="24"/>
          <w:szCs w:val="24"/>
        </w:rPr>
      </w:pPr>
    </w:p>
    <w:p w14:paraId="10CB8FE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2.5 Metal-NSAID Complexes</w:t>
      </w:r>
    </w:p>
    <w:p w14:paraId="02533F5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14:paraId="077238D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14:paraId="2F5D03F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2.6 Analytical Techniques in Characterization</w:t>
      </w:r>
    </w:p>
    <w:p w14:paraId="7481D62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determine the formation and nature of metal-drug complexes, several analytical tools are employed:</w:t>
      </w:r>
    </w:p>
    <w:p w14:paraId="48E55D9F">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Fourier Transform Infrared Spectroscopy (FTIR):</w:t>
      </w:r>
      <w:r>
        <w:rPr>
          <w:rFonts w:ascii="Times New Roman" w:hAnsi="Times New Roman" w:eastAsia="Times New Roman" w:cs="Times New Roman"/>
          <w:sz w:val="24"/>
          <w:szCs w:val="24"/>
        </w:rPr>
        <w:t xml:space="preserve"> Identifies functional group shifts, indicating ligand coordination.</w:t>
      </w:r>
    </w:p>
    <w:p w14:paraId="23DF87D1">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Ultraviolet-Visible Spectroscopy (UV-Vis):</w:t>
      </w:r>
      <w:r>
        <w:rPr>
          <w:rFonts w:ascii="Times New Roman" w:hAnsi="Times New Roman" w:eastAsia="Times New Roman" w:cs="Times New Roman"/>
          <w:sz w:val="24"/>
          <w:szCs w:val="24"/>
        </w:rPr>
        <w:t xml:space="preserve"> Provides insights into electronic transitions, especially d–d transitions in transition metals.</w:t>
      </w:r>
    </w:p>
    <w:p w14:paraId="76B92829">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Nuclear Magnetic Resonance (NMR):</w:t>
      </w:r>
      <w:r>
        <w:rPr>
          <w:rFonts w:ascii="Times New Roman" w:hAnsi="Times New Roman" w:eastAsia="Times New Roman" w:cs="Times New Roman"/>
          <w:sz w:val="24"/>
          <w:szCs w:val="24"/>
        </w:rPr>
        <w:t xml:space="preserve"> Elucidates ligand structure and interaction, though often limited for paramagnetic metals.</w:t>
      </w:r>
    </w:p>
    <w:p w14:paraId="7BC0EE75">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Thermal Gravimetric Analysis (TGA):</w:t>
      </w:r>
      <w:r>
        <w:rPr>
          <w:rFonts w:ascii="Times New Roman" w:hAnsi="Times New Roman" w:eastAsia="Times New Roman" w:cs="Times New Roman"/>
          <w:sz w:val="24"/>
          <w:szCs w:val="24"/>
        </w:rPr>
        <w:t xml:space="preserve"> Determines thermal stability and composition.</w:t>
      </w:r>
    </w:p>
    <w:p w14:paraId="20A35378">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X-Ray Diffraction (XRD):</w:t>
      </w:r>
      <w:r>
        <w:rPr>
          <w:rFonts w:ascii="Times New Roman" w:hAnsi="Times New Roman" w:eastAsia="Times New Roman" w:cs="Times New Roman"/>
          <w:sz w:val="24"/>
          <w:szCs w:val="24"/>
        </w:rPr>
        <w:t xml:space="preserve"> Reveals crystalline structure and phase identification.</w:t>
      </w:r>
    </w:p>
    <w:p w14:paraId="10E6A920">
      <w:pPr>
        <w:numPr>
          <w:ilvl w:val="0"/>
          <w:numId w:val="9"/>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Scanning Electron Microscopy (SEM):</w:t>
      </w:r>
      <w:r>
        <w:rPr>
          <w:rFonts w:ascii="Times New Roman" w:hAnsi="Times New Roman" w:eastAsia="Times New Roman" w:cs="Times New Roman"/>
          <w:sz w:val="24"/>
          <w:szCs w:val="24"/>
        </w:rPr>
        <w:t xml:space="preserve"> Visualizes morphology and surface features (Nakamoto, 2009).</w:t>
      </w:r>
    </w:p>
    <w:p w14:paraId="601EF888">
      <w:pPr>
        <w:spacing w:before="100" w:beforeAutospacing="1" w:after="100" w:afterAutospacing="1" w:line="480" w:lineRule="auto"/>
        <w:jc w:val="both"/>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2.7 Applications of Metal-Drug Complexes</w:t>
      </w:r>
    </w:p>
    <w:p w14:paraId="396613F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Metal complexes of pharmaceutical compounds have found applications in various fields:</w:t>
      </w:r>
    </w:p>
    <w:p w14:paraId="503953E9">
      <w:pPr>
        <w:numPr>
          <w:ilvl w:val="0"/>
          <w:numId w:val="10"/>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Medical Applications:</w:t>
      </w:r>
      <w:r>
        <w:rPr>
          <w:rFonts w:ascii="Times New Roman" w:hAnsi="Times New Roman" w:eastAsia="Times New Roman" w:cs="Times New Roman"/>
          <w:sz w:val="24"/>
          <w:szCs w:val="24"/>
        </w:rPr>
        <w:t xml:space="preserve"> Enhanced drug activity, slower drug release, and reduced side effects.</w:t>
      </w:r>
    </w:p>
    <w:p w14:paraId="0536BD21">
      <w:pPr>
        <w:numPr>
          <w:ilvl w:val="0"/>
          <w:numId w:val="10"/>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Antimicrobial Agents:</w:t>
      </w:r>
      <w:r>
        <w:rPr>
          <w:rFonts w:ascii="Times New Roman" w:hAnsi="Times New Roman" w:eastAsia="Times New Roman" w:cs="Times New Roman"/>
          <w:sz w:val="24"/>
          <w:szCs w:val="24"/>
        </w:rPr>
        <w:t xml:space="preserve"> Increased effectiveness against bacterial strains.</w:t>
      </w:r>
    </w:p>
    <w:p w14:paraId="3A96013C">
      <w:pPr>
        <w:numPr>
          <w:ilvl w:val="0"/>
          <w:numId w:val="10"/>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Catalysis:</w:t>
      </w:r>
      <w:r>
        <w:rPr>
          <w:rFonts w:ascii="Times New Roman" w:hAnsi="Times New Roman" w:eastAsia="Times New Roman" w:cs="Times New Roman"/>
          <w:sz w:val="24"/>
          <w:szCs w:val="24"/>
        </w:rPr>
        <w:t xml:space="preserve"> Used as catalysts in organic reactions due to their unique redox properties.</w:t>
      </w:r>
    </w:p>
    <w:p w14:paraId="63E4B80A">
      <w:pPr>
        <w:numPr>
          <w:ilvl w:val="0"/>
          <w:numId w:val="10"/>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Drug Delivery Systems:</w:t>
      </w:r>
      <w:r>
        <w:rPr>
          <w:rFonts w:ascii="Times New Roman" w:hAnsi="Times New Roman" w:eastAsia="Times New Roman" w:cs="Times New Roman"/>
          <w:sz w:val="24"/>
          <w:szCs w:val="24"/>
        </w:rPr>
        <w:t xml:space="preserve"> Improved solubility and targeted delivery of drugs (Sharma &amp; Rani, 2020).</w:t>
      </w:r>
    </w:p>
    <w:p w14:paraId="1CCABCAD">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2.8 Research Gaps</w:t>
      </w:r>
    </w:p>
    <w:p w14:paraId="742A77E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14:paraId="7F3BE9D2">
      <w:pPr>
        <w:spacing w:line="480" w:lineRule="auto"/>
        <w:jc w:val="both"/>
      </w:pPr>
    </w:p>
    <w:p w14:paraId="1826180B">
      <w:pPr>
        <w:spacing w:line="480" w:lineRule="auto"/>
        <w:jc w:val="both"/>
      </w:pPr>
    </w:p>
    <w:p w14:paraId="219C37DD">
      <w:pPr>
        <w:spacing w:line="480" w:lineRule="auto"/>
        <w:jc w:val="both"/>
      </w:pPr>
    </w:p>
    <w:p w14:paraId="7F2A388C">
      <w:pPr>
        <w:spacing w:line="480" w:lineRule="auto"/>
        <w:jc w:val="both"/>
      </w:pPr>
    </w:p>
    <w:p w14:paraId="650250FF">
      <w:pPr>
        <w:spacing w:line="480" w:lineRule="auto"/>
        <w:jc w:val="both"/>
      </w:pPr>
    </w:p>
    <w:p w14:paraId="2A81524D">
      <w:pPr>
        <w:spacing w:line="480" w:lineRule="auto"/>
        <w:jc w:val="both"/>
      </w:pPr>
    </w:p>
    <w:p w14:paraId="2A2AC43F">
      <w:pPr>
        <w:pStyle w:val="2"/>
        <w:jc w:val="center"/>
        <w:rPr>
          <w:rStyle w:val="11"/>
          <w:b/>
          <w:bCs/>
          <w:sz w:val="24"/>
          <w:szCs w:val="24"/>
        </w:rPr>
      </w:pPr>
      <w:r>
        <w:rPr>
          <w:rStyle w:val="11"/>
          <w:b/>
          <w:bCs/>
          <w:sz w:val="24"/>
          <w:szCs w:val="24"/>
        </w:rPr>
        <w:t>CHAPTER THREE</w:t>
      </w:r>
    </w:p>
    <w:p w14:paraId="14379EB3">
      <w:pPr>
        <w:pStyle w:val="2"/>
        <w:jc w:val="left"/>
        <w:rPr>
          <w:sz w:val="24"/>
          <w:szCs w:val="24"/>
        </w:rPr>
      </w:pPr>
      <w:r>
        <w:rPr>
          <w:rStyle w:val="11"/>
          <w:b/>
          <w:bCs/>
          <w:sz w:val="24"/>
          <w:szCs w:val="24"/>
        </w:rPr>
        <w:t>3.0 MATERIALS AND METHODS</w:t>
      </w:r>
    </w:p>
    <w:p w14:paraId="1A03DC0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Materials</w:t>
      </w:r>
    </w:p>
    <w:p w14:paraId="5BB9EB73">
      <w:pPr>
        <w:spacing w:line="480" w:lineRule="auto"/>
        <w:jc w:val="both"/>
        <w:rPr>
          <w:rFonts w:ascii="Times New Roman" w:hAnsi="Times New Roman" w:cs="Times New Roman"/>
          <w:sz w:val="24"/>
          <w:szCs w:val="24"/>
        </w:rPr>
      </w:pPr>
      <w:r>
        <w:rPr>
          <w:rFonts w:ascii="Times New Roman" w:hAnsi="Times New Roman" w:cs="Times New Roman"/>
          <w:sz w:val="24"/>
          <w:szCs w:val="24"/>
        </w:rPr>
        <w:t>All reagents and solvents used in this study were of analytical grade and used as received without further purification. The following materials were employed:</w:t>
      </w:r>
    </w:p>
    <w:p w14:paraId="2FD38810">
      <w:pPr>
        <w:spacing w:line="480" w:lineRule="auto"/>
        <w:jc w:val="both"/>
        <w:rPr>
          <w:rFonts w:ascii="Times New Roman" w:hAnsi="Times New Roman" w:cs="Times New Roman"/>
          <w:sz w:val="24"/>
          <w:szCs w:val="24"/>
        </w:rPr>
      </w:pPr>
      <w:r>
        <w:rPr>
          <w:rFonts w:ascii="Times New Roman" w:hAnsi="Times New Roman" w:cs="Times New Roman"/>
          <w:sz w:val="24"/>
          <w:szCs w:val="24"/>
        </w:rPr>
        <w:t>Ibuprofen (≥98% purity) purchased from Sigma-Aldrich.</w:t>
      </w:r>
    </w:p>
    <w:p w14:paraId="0AA7D053">
      <w:pPr>
        <w:spacing w:line="480" w:lineRule="auto"/>
        <w:jc w:val="both"/>
        <w:rPr>
          <w:rFonts w:ascii="Times New Roman" w:hAnsi="Times New Roman" w:cs="Times New Roman"/>
          <w:sz w:val="24"/>
          <w:szCs w:val="24"/>
        </w:rPr>
      </w:pPr>
      <w:r>
        <w:rPr>
          <w:rFonts w:ascii="Times New Roman" w:hAnsi="Times New Roman" w:cs="Times New Roman"/>
          <w:sz w:val="24"/>
          <w:szCs w:val="24"/>
        </w:rPr>
        <w:t>Nickel(II) chloride hexahydrate (NiCl₂·6H₂O) obtained from Merck Chemicals.</w:t>
      </w:r>
    </w:p>
    <w:p w14:paraId="0A0A7E92">
      <w:pPr>
        <w:spacing w:line="480" w:lineRule="auto"/>
        <w:jc w:val="both"/>
        <w:rPr>
          <w:rFonts w:ascii="Times New Roman" w:hAnsi="Times New Roman" w:cs="Times New Roman"/>
          <w:sz w:val="24"/>
          <w:szCs w:val="24"/>
        </w:rPr>
      </w:pPr>
      <w:r>
        <w:rPr>
          <w:rFonts w:ascii="Times New Roman" w:hAnsi="Times New Roman" w:cs="Times New Roman"/>
          <w:sz w:val="24"/>
          <w:szCs w:val="24"/>
        </w:rPr>
        <w:t>Ethanol (absolute), methanol, dimethyl sulfoxide (DMSO), and acetone.</w:t>
      </w:r>
    </w:p>
    <w:p w14:paraId="55E7DE45">
      <w:pPr>
        <w:spacing w:line="480" w:lineRule="auto"/>
        <w:jc w:val="both"/>
        <w:rPr>
          <w:rFonts w:ascii="Times New Roman" w:hAnsi="Times New Roman" w:cs="Times New Roman"/>
          <w:sz w:val="24"/>
          <w:szCs w:val="24"/>
        </w:rPr>
      </w:pPr>
      <w:r>
        <w:rPr>
          <w:rFonts w:ascii="Times New Roman" w:hAnsi="Times New Roman" w:cs="Times New Roman"/>
          <w:sz w:val="24"/>
          <w:szCs w:val="24"/>
        </w:rPr>
        <w:t>Deionized distilled water.</w:t>
      </w:r>
    </w:p>
    <w:p w14:paraId="6135607A">
      <w:pPr>
        <w:spacing w:line="480" w:lineRule="auto"/>
        <w:jc w:val="both"/>
        <w:rPr>
          <w:rFonts w:ascii="Times New Roman" w:hAnsi="Times New Roman" w:cs="Times New Roman"/>
          <w:sz w:val="24"/>
          <w:szCs w:val="24"/>
        </w:rPr>
      </w:pPr>
      <w:r>
        <w:rPr>
          <w:rFonts w:ascii="Times New Roman" w:hAnsi="Times New Roman" w:cs="Times New Roman"/>
          <w:sz w:val="24"/>
          <w:szCs w:val="24"/>
        </w:rPr>
        <w:t>Agar media and nutrient broth for microbial studies.</w:t>
      </w:r>
    </w:p>
    <w:p w14:paraId="5720989B">
      <w:pPr>
        <w:spacing w:line="480" w:lineRule="auto"/>
        <w:jc w:val="both"/>
        <w:rPr>
          <w:rFonts w:ascii="Times New Roman" w:hAnsi="Times New Roman" w:cs="Times New Roman"/>
          <w:sz w:val="24"/>
          <w:szCs w:val="24"/>
        </w:rPr>
      </w:pPr>
      <w:r>
        <w:rPr>
          <w:rFonts w:ascii="Times New Roman" w:hAnsi="Times New Roman" w:cs="Times New Roman"/>
          <w:sz w:val="24"/>
          <w:szCs w:val="24"/>
        </w:rPr>
        <w:t>Indicator dyes and pH buffers.</w:t>
      </w:r>
    </w:p>
    <w:p w14:paraId="3096EC59">
      <w:pPr>
        <w:spacing w:line="480" w:lineRule="auto"/>
        <w:jc w:val="both"/>
        <w:rPr>
          <w:rFonts w:ascii="Times New Roman" w:hAnsi="Times New Roman" w:cs="Times New Roman"/>
          <w:sz w:val="24"/>
          <w:szCs w:val="24"/>
        </w:rPr>
      </w:pPr>
      <w:r>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14:paraId="09B029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Methods</w:t>
      </w:r>
    </w:p>
    <w:p w14:paraId="7688C34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3.2.1 Synthesis of Nickel (II)-Ibuprofen Complex</w:t>
      </w:r>
    </w:p>
    <w:p w14:paraId="4AB877A0">
      <w:pPr>
        <w:spacing w:line="480" w:lineRule="auto"/>
        <w:jc w:val="both"/>
        <w:rPr>
          <w:rFonts w:ascii="Times New Roman" w:hAnsi="Times New Roman" w:cs="Times New Roman"/>
          <w:sz w:val="24"/>
          <w:szCs w:val="24"/>
        </w:rPr>
      </w:pPr>
      <w:r>
        <w:rPr>
          <w:rFonts w:ascii="Times New Roman" w:hAnsi="Times New Roman" w:cs="Times New Roman"/>
          <w:sz w:val="24"/>
          <w:szCs w:val="24"/>
        </w:rPr>
        <w:t>The Copper sulfate-ibuprofen complex was synthesized via a simple solution-phase reaction. Equimolar solutions of ibuprofen and copper chloride chloride were prepared in ethanol and distilled water respectively.</w:t>
      </w:r>
    </w:p>
    <w:p w14:paraId="280D8E19">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Procedure:</w:t>
      </w:r>
    </w:p>
    <w:p w14:paraId="2675E694">
      <w:pPr>
        <w:spacing w:line="480" w:lineRule="auto"/>
        <w:jc w:val="both"/>
        <w:rPr>
          <w:rFonts w:ascii="Times New Roman" w:hAnsi="Times New Roman" w:cs="Times New Roman"/>
          <w:sz w:val="24"/>
          <w:szCs w:val="24"/>
        </w:rPr>
      </w:pPr>
      <w:r>
        <w:rPr>
          <w:rFonts w:ascii="Times New Roman" w:hAnsi="Times New Roman" w:cs="Times New Roman"/>
          <w:sz w:val="24"/>
          <w:szCs w:val="24"/>
        </w:rPr>
        <w:t>0.01 mol (2.06 g) of ibuprofen was dissolved in 50 mL of absolute ethanol with stirring.</w:t>
      </w:r>
    </w:p>
    <w:p w14:paraId="696B382A">
      <w:pPr>
        <w:spacing w:line="480" w:lineRule="auto"/>
        <w:jc w:val="both"/>
        <w:rPr>
          <w:rFonts w:ascii="Times New Roman" w:hAnsi="Times New Roman" w:cs="Times New Roman"/>
          <w:sz w:val="24"/>
          <w:szCs w:val="24"/>
        </w:rPr>
      </w:pPr>
      <w:r>
        <w:rPr>
          <w:rFonts w:ascii="Times New Roman" w:hAnsi="Times New Roman" w:cs="Times New Roman"/>
          <w:sz w:val="24"/>
          <w:szCs w:val="24"/>
        </w:rPr>
        <w:t>Simultaneously, 0.01 mol (2.38 g) of NiCl₂·6H₂O was dissolved in 30 mL of deionized water.</w:t>
      </w:r>
    </w:p>
    <w:p w14:paraId="76207680">
      <w:pPr>
        <w:spacing w:line="480" w:lineRule="auto"/>
        <w:jc w:val="both"/>
        <w:rPr>
          <w:rFonts w:ascii="Times New Roman" w:hAnsi="Times New Roman" w:cs="Times New Roman"/>
          <w:sz w:val="24"/>
          <w:szCs w:val="24"/>
        </w:rPr>
      </w:pPr>
      <w:r>
        <w:rPr>
          <w:rFonts w:ascii="Times New Roman" w:hAnsi="Times New Roman" w:cs="Times New Roman"/>
          <w:sz w:val="24"/>
          <w:szCs w:val="24"/>
        </w:rPr>
        <w:t>The nickel solution was added dropwise to the ibuprofen solution under constant magnetic stirring.</w:t>
      </w:r>
    </w:p>
    <w:p w14:paraId="1C3FFFB8">
      <w:pPr>
        <w:spacing w:line="480" w:lineRule="auto"/>
        <w:jc w:val="both"/>
        <w:rPr>
          <w:rFonts w:ascii="Times New Roman" w:hAnsi="Times New Roman" w:cs="Times New Roman"/>
          <w:sz w:val="24"/>
          <w:szCs w:val="24"/>
        </w:rPr>
      </w:pPr>
      <w:r>
        <w:rPr>
          <w:rFonts w:ascii="Times New Roman" w:hAnsi="Times New Roman" w:cs="Times New Roman"/>
          <w:sz w:val="24"/>
          <w:szCs w:val="24"/>
        </w:rPr>
        <w:t>The reaction mixture was refluxed at 70–80°C for 3 hours.</w:t>
      </w:r>
    </w:p>
    <w:p w14:paraId="153BDF75">
      <w:pPr>
        <w:spacing w:line="480" w:lineRule="auto"/>
        <w:jc w:val="both"/>
        <w:rPr>
          <w:rFonts w:ascii="Times New Roman" w:hAnsi="Times New Roman" w:cs="Times New Roman"/>
          <w:sz w:val="24"/>
          <w:szCs w:val="24"/>
        </w:rPr>
      </w:pPr>
      <w:r>
        <w:rPr>
          <w:rFonts w:ascii="Times New Roman" w:hAnsi="Times New Roman" w:cs="Times New Roman"/>
          <w:sz w:val="24"/>
          <w:szCs w:val="24"/>
        </w:rPr>
        <w:t>A greenish precipitate formed was filtered, washed with cold ethanol and acetone, and dried in a desiccator over silica gel.</w:t>
      </w:r>
    </w:p>
    <w:p w14:paraId="08A3DD73">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resulting compound was stored in airtight vials for subsequent characterization.</w:t>
      </w:r>
    </w:p>
    <w:p w14:paraId="48BA06A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3.2.2 Physical Characterization</w:t>
      </w:r>
    </w:p>
    <w:p w14:paraId="481DF582">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Melting Point Determination:</w:t>
      </w:r>
      <w:r>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14:paraId="590420FF">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Solubility Test:</w:t>
      </w:r>
      <w:r>
        <w:rPr>
          <w:rFonts w:ascii="Times New Roman" w:hAnsi="Times New Roman" w:cs="Times New Roman"/>
          <w:sz w:val="24"/>
          <w:szCs w:val="24"/>
        </w:rPr>
        <w:t xml:space="preserve"> Solubility behavior of the complex was evaluated in various solvents (water, ethanol, DMSO, chloroform) to assess polarity and compatibility.</w:t>
      </w:r>
    </w:p>
    <w:p w14:paraId="6E2C01C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3.2.3 Spectroscopic Characterization</w:t>
      </w:r>
    </w:p>
    <w:p w14:paraId="028283BC">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Fourier Transform Infrared Spectroscopy (FTIR):</w:t>
      </w:r>
      <w:r>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14:paraId="2FBCE9F8">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Ultraviolet-Visible (UV-Vis) Spectroscopy:</w:t>
      </w:r>
      <w:r>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Ni(II) complexes (Cotton et al., 1999).</w:t>
      </w:r>
    </w:p>
    <w:p w14:paraId="200E2399">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Nuclear Magnetic Resonance (NMR) Spectroscopy:</w:t>
      </w:r>
      <w:r>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(Basu et al., 2016).</w:t>
      </w:r>
    </w:p>
    <w:p w14:paraId="3C1DF63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3.2.4 Structural and Thermal Characterization</w:t>
      </w:r>
    </w:p>
    <w:p w14:paraId="7C056AF1">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Thermal Gravimetric Analysis (TGA):</w:t>
      </w:r>
      <w:r>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14:paraId="5A188751">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X-Ray Diffraction (XRD):</w:t>
      </w:r>
      <w:r>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14:paraId="73C8CB6E">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Scanning Electron Microscopy (SEM):</w:t>
      </w:r>
      <w:r>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14:paraId="580AE1AE">
      <w:pPr>
        <w:spacing w:line="480" w:lineRule="auto"/>
        <w:jc w:val="both"/>
        <w:rPr>
          <w:rFonts w:ascii="Times New Roman" w:hAnsi="Times New Roman" w:cs="Times New Roman"/>
          <w:sz w:val="24"/>
          <w:szCs w:val="24"/>
        </w:rPr>
      </w:pPr>
      <w:r>
        <w:rPr>
          <w:rFonts w:ascii="Times New Roman" w:hAnsi="Times New Roman" w:cs="Times New Roman"/>
          <w:sz w:val="24"/>
          <w:szCs w:val="24"/>
        </w:rPr>
        <w:t>3.2.5 Antimicrobial Activity Assay</w:t>
      </w:r>
    </w:p>
    <w:p w14:paraId="3BF1FB38">
      <w:pPr>
        <w:spacing w:line="480" w:lineRule="auto"/>
        <w:jc w:val="both"/>
        <w:rPr>
          <w:rFonts w:ascii="Times New Roman" w:hAnsi="Times New Roman" w:cs="Times New Roman"/>
          <w:sz w:val="24"/>
          <w:szCs w:val="24"/>
        </w:rPr>
      </w:pPr>
      <w:r>
        <w:rPr>
          <w:rFonts w:ascii="Times New Roman" w:hAnsi="Times New Roman" w:cs="Times New Roman"/>
          <w:sz w:val="24"/>
          <w:szCs w:val="24"/>
        </w:rPr>
        <w:t>The antimicrobial activity of the synthesized complex was assessed using the agar well diffusion method.</w:t>
      </w:r>
    </w:p>
    <w:p w14:paraId="18618A6F">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Microorganisms:</w:t>
      </w:r>
    </w:p>
    <w:p w14:paraId="73D36372">
      <w:pPr>
        <w:spacing w:line="480" w:lineRule="auto"/>
        <w:jc w:val="both"/>
        <w:rPr>
          <w:rFonts w:ascii="Times New Roman" w:hAnsi="Times New Roman" w:cs="Times New Roman"/>
          <w:sz w:val="24"/>
          <w:szCs w:val="24"/>
        </w:rPr>
      </w:pPr>
      <w:r>
        <w:rPr>
          <w:rStyle w:val="7"/>
          <w:rFonts w:ascii="Times New Roman" w:hAnsi="Times New Roman" w:cs="Times New Roman"/>
          <w:sz w:val="24"/>
          <w:szCs w:val="24"/>
        </w:rPr>
        <w:t>Escherichia coli</w:t>
      </w:r>
      <w:r>
        <w:rPr>
          <w:rFonts w:ascii="Times New Roman" w:hAnsi="Times New Roman" w:cs="Times New Roman"/>
          <w:sz w:val="24"/>
          <w:szCs w:val="24"/>
        </w:rPr>
        <w:t xml:space="preserve"> (Gram-negative)</w:t>
      </w:r>
    </w:p>
    <w:p w14:paraId="6CBEF11F">
      <w:pPr>
        <w:spacing w:line="480" w:lineRule="auto"/>
        <w:jc w:val="both"/>
        <w:rPr>
          <w:rFonts w:ascii="Times New Roman" w:hAnsi="Times New Roman" w:cs="Times New Roman"/>
          <w:sz w:val="24"/>
          <w:szCs w:val="24"/>
        </w:rPr>
      </w:pPr>
      <w:r>
        <w:rPr>
          <w:rStyle w:val="7"/>
          <w:rFonts w:ascii="Times New Roman" w:hAnsi="Times New Roman" w:cs="Times New Roman"/>
          <w:sz w:val="24"/>
          <w:szCs w:val="24"/>
        </w:rPr>
        <w:t>Staphylococcus aureus</w:t>
      </w:r>
      <w:r>
        <w:rPr>
          <w:rFonts w:ascii="Times New Roman" w:hAnsi="Times New Roman" w:cs="Times New Roman"/>
          <w:sz w:val="24"/>
          <w:szCs w:val="24"/>
        </w:rPr>
        <w:t xml:space="preserve"> (Gram-positive)</w:t>
      </w:r>
    </w:p>
    <w:p w14:paraId="4B9F55FF">
      <w:pPr>
        <w:spacing w:line="480" w:lineRule="auto"/>
        <w:jc w:val="both"/>
        <w:rPr>
          <w:rFonts w:ascii="Times New Roman" w:hAnsi="Times New Roman" w:cs="Times New Roman"/>
          <w:sz w:val="24"/>
          <w:szCs w:val="24"/>
        </w:rPr>
      </w:pPr>
      <w:r>
        <w:rPr>
          <w:rStyle w:val="11"/>
          <w:rFonts w:ascii="Times New Roman" w:hAnsi="Times New Roman" w:cs="Times New Roman"/>
          <w:sz w:val="24"/>
          <w:szCs w:val="24"/>
        </w:rPr>
        <w:t>Procedure:</w:t>
      </w:r>
    </w:p>
    <w:p w14:paraId="1370C7BA">
      <w:pPr>
        <w:spacing w:line="480" w:lineRule="auto"/>
        <w:jc w:val="both"/>
        <w:rPr>
          <w:rFonts w:ascii="Times New Roman" w:hAnsi="Times New Roman" w:cs="Times New Roman"/>
          <w:sz w:val="24"/>
          <w:szCs w:val="24"/>
        </w:rPr>
      </w:pPr>
      <w:r>
        <w:rPr>
          <w:rFonts w:ascii="Times New Roman" w:hAnsi="Times New Roman" w:cs="Times New Roman"/>
          <w:sz w:val="24"/>
          <w:szCs w:val="24"/>
        </w:rPr>
        <w:t>Petri dishes were prepared with nutrient agar and inoculated with 0.1 mL of microbial suspension (10⁶ CFU/mL).</w:t>
      </w:r>
    </w:p>
    <w:p w14:paraId="09D8BA47">
      <w:pPr>
        <w:spacing w:line="480" w:lineRule="auto"/>
        <w:jc w:val="both"/>
        <w:rPr>
          <w:rFonts w:ascii="Times New Roman" w:hAnsi="Times New Roman" w:cs="Times New Roman"/>
          <w:sz w:val="24"/>
          <w:szCs w:val="24"/>
        </w:rPr>
      </w:pPr>
      <w:r>
        <w:rPr>
          <w:rFonts w:ascii="Times New Roman" w:hAnsi="Times New Roman" w:cs="Times New Roman"/>
          <w:sz w:val="24"/>
          <w:szCs w:val="24"/>
        </w:rPr>
        <w:t>Wells of 6 mm diameter were bored and filled with 50 µL of complex solution (10 mg/mL in DMSO).</w:t>
      </w:r>
    </w:p>
    <w:p w14:paraId="23F7E947">
      <w:pPr>
        <w:spacing w:line="480" w:lineRule="auto"/>
        <w:jc w:val="both"/>
        <w:rPr>
          <w:rFonts w:ascii="Times New Roman" w:hAnsi="Times New Roman" w:cs="Times New Roman"/>
          <w:sz w:val="24"/>
          <w:szCs w:val="24"/>
        </w:rPr>
      </w:pPr>
      <w:r>
        <w:rPr>
          <w:rFonts w:ascii="Times New Roman" w:hAnsi="Times New Roman" w:cs="Times New Roman"/>
          <w:sz w:val="24"/>
          <w:szCs w:val="24"/>
        </w:rPr>
        <w:t>Controls: pure ibuprofen, NiCl₂, and DMSO (solvent blank).</w:t>
      </w:r>
    </w:p>
    <w:p w14:paraId="05BDDA25">
      <w:pPr>
        <w:spacing w:line="480" w:lineRule="auto"/>
        <w:jc w:val="both"/>
        <w:rPr>
          <w:rFonts w:ascii="Times New Roman" w:hAnsi="Times New Roman" w:cs="Times New Roman"/>
          <w:sz w:val="24"/>
          <w:szCs w:val="24"/>
        </w:rPr>
      </w:pPr>
      <w:r>
        <w:rPr>
          <w:rFonts w:ascii="Times New Roman" w:hAnsi="Times New Roman" w:cs="Times New Roman"/>
          <w:sz w:val="24"/>
          <w:szCs w:val="24"/>
        </w:rPr>
        <w:t>Plates were incubated at 37°C for 24 hours and zones of inhibition were measured in millimeters.</w:t>
      </w:r>
    </w:p>
    <w:p w14:paraId="4628385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3.2.6 pH Stability and Conductance Measurement</w:t>
      </w:r>
    </w:p>
    <w:p w14:paraId="5AD0B393">
      <w:pPr>
        <w:spacing w:line="480" w:lineRule="auto"/>
        <w:jc w:val="both"/>
        <w:rPr>
          <w:rFonts w:ascii="Times New Roman" w:hAnsi="Times New Roman" w:cs="Times New Roman"/>
          <w:sz w:val="24"/>
          <w:szCs w:val="24"/>
        </w:rPr>
      </w:pPr>
      <w:r>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nature and electrolytic behavior</w:t>
      </w:r>
    </w:p>
    <w:p w14:paraId="63AEC744">
      <w:pPr>
        <w:spacing w:before="100" w:beforeAutospacing="1" w:after="100" w:afterAutospacing="1"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FOUR</w:t>
      </w:r>
    </w:p>
    <w:p w14:paraId="5630FFB9">
      <w:pPr>
        <w:spacing w:before="100" w:beforeAutospacing="1" w:after="100" w:afterAutospacing="1"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RESULTS AND DISCUSSION</w:t>
      </w:r>
    </w:p>
    <w:p w14:paraId="0EC46D23">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4.1 Physical Characteristics of the Complex</w:t>
      </w:r>
    </w:p>
    <w:p w14:paraId="525CA95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Nickel (II)-ibuprofen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14:paraId="502AF94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4.1:</w:t>
      </w:r>
      <w:r>
        <w:rPr>
          <w:rFonts w:ascii="Times New Roman" w:hAnsi="Times New Roman" w:eastAsia="Times New Roman" w:cs="Times New Roman"/>
          <w:sz w:val="24"/>
          <w:szCs w:val="24"/>
        </w:rPr>
        <w:t xml:space="preserve"> Photographs of Ibuprofen, NiCl₂·6H₂O, and the Nickel(II)-Ibuprofen Complex (green solid)</w:t>
      </w:r>
    </w:p>
    <w:p w14:paraId="02DAA877">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4.2 Solubility Profile</w:t>
      </w:r>
    </w:p>
    <w:p w14:paraId="5E72587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14:paraId="124DB072">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4.3 FTIR Spectroscopy</w:t>
      </w:r>
    </w:p>
    <w:p w14:paraId="5D74243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14:paraId="364224C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4.2:</w:t>
      </w:r>
      <w:r>
        <w:rPr>
          <w:rFonts w:ascii="Times New Roman" w:hAnsi="Times New Roman" w:eastAsia="Times New Roman" w:cs="Times New Roman"/>
          <w:sz w:val="24"/>
          <w:szCs w:val="24"/>
        </w:rPr>
        <w:t xml:space="preserve"> FTIR Spectra of Ibuprofen and Ni(II)-Ibuprofen Complex</w:t>
      </w:r>
    </w:p>
    <w:p w14:paraId="2D123750">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4.4 UV-Vis Spectroscopy</w:t>
      </w:r>
    </w:p>
    <w:p w14:paraId="6CA5CD4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UV-Vis spectrum of the complex exhibited an absorption band at ~720 nm corresponding to d–d transitions characteristic of octahedral Ni(II) complexes. An additional band near 280 nm was due to π–π* transitions from the aromatic ring of ibuprofen.</w:t>
      </w:r>
    </w:p>
    <w:p w14:paraId="5A6A561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4.3:</w:t>
      </w:r>
      <w:r>
        <w:rPr>
          <w:rFonts w:ascii="Times New Roman" w:hAnsi="Times New Roman" w:eastAsia="Times New Roman" w:cs="Times New Roman"/>
          <w:sz w:val="24"/>
          <w:szCs w:val="24"/>
        </w:rPr>
        <w:t xml:space="preserve"> UV-Vis Spectra of Ibuprofen and the Complex in DMSO</w:t>
      </w:r>
    </w:p>
    <w:p w14:paraId="1712E43A">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4.5 NMR Analysis</w:t>
      </w:r>
    </w:p>
    <w:p w14:paraId="661B680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14:paraId="1F80BCC0">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4.6 Thermal Gravimetric Analysis (TGA)</w:t>
      </w:r>
    </w:p>
    <w:p w14:paraId="3C205A9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TGA curve of the complex displayed a multi-step degradation:</w:t>
      </w:r>
    </w:p>
    <w:p w14:paraId="20BB8D37">
      <w:pPr>
        <w:numPr>
          <w:ilvl w:val="0"/>
          <w:numId w:val="1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Initial weight loss (~8%) below 150°C due to adsorbed and coordinated water.</w:t>
      </w:r>
    </w:p>
    <w:p w14:paraId="3C12E8A1">
      <w:pPr>
        <w:numPr>
          <w:ilvl w:val="0"/>
          <w:numId w:val="1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Major weight loss between 200–450°C, indicating decomposition of organic ligands.</w:t>
      </w:r>
    </w:p>
    <w:p w14:paraId="47BBA6A1">
      <w:pPr>
        <w:numPr>
          <w:ilvl w:val="0"/>
          <w:numId w:val="1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Residual mass (~20%) attributed to nickel oxide.</w:t>
      </w:r>
    </w:p>
    <w:p w14:paraId="3BAB718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4.4:</w:t>
      </w:r>
      <w:r>
        <w:rPr>
          <w:rFonts w:ascii="Times New Roman" w:hAnsi="Times New Roman" w:eastAsia="Times New Roman" w:cs="Times New Roman"/>
          <w:sz w:val="24"/>
          <w:szCs w:val="24"/>
        </w:rPr>
        <w:t xml:space="preserve"> TGA Curve of Ni(II)-Ibuprofen Complex</w:t>
      </w:r>
    </w:p>
    <w:p w14:paraId="648666EB">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4.7 X-Ray Diffraction (XRD)</w:t>
      </w:r>
    </w:p>
    <w:p w14:paraId="4EFABB8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14:paraId="5B77809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4.5:</w:t>
      </w:r>
      <w:r>
        <w:rPr>
          <w:rFonts w:ascii="Times New Roman" w:hAnsi="Times New Roman" w:eastAsia="Times New Roman" w:cs="Times New Roman"/>
          <w:sz w:val="24"/>
          <w:szCs w:val="24"/>
        </w:rPr>
        <w:t xml:space="preserve"> Powder XRD Pattern of Ni(II)-Ibuprofen Complex</w:t>
      </w:r>
    </w:p>
    <w:p w14:paraId="36DB8099">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4.8 Scanning Electron Microscopy (SEM)</w:t>
      </w:r>
    </w:p>
    <w:p w14:paraId="1612308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14:paraId="1CBF513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4.6:</w:t>
      </w:r>
      <w:r>
        <w:rPr>
          <w:rFonts w:ascii="Times New Roman" w:hAnsi="Times New Roman" w:eastAsia="Times New Roman" w:cs="Times New Roman"/>
          <w:sz w:val="24"/>
          <w:szCs w:val="24"/>
        </w:rPr>
        <w:t xml:space="preserve"> SEM Images of Ni(II)-Ibuprofen Complex at Different Magnifications</w:t>
      </w:r>
    </w:p>
    <w:p w14:paraId="05671ECA">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4.9 Antimicrobial Activity</w:t>
      </w:r>
    </w:p>
    <w:p w14:paraId="136BC7E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complex exhibited moderate antimicrobial activity against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S. aureus</w:t>
      </w:r>
      <w:r>
        <w:rPr>
          <w:rFonts w:ascii="Times New Roman" w:hAnsi="Times New Roman" w:eastAsia="Times New Roman" w:cs="Times New Roman"/>
          <w:sz w:val="24"/>
          <w:szCs w:val="24"/>
        </w:rPr>
        <w:t>. The zone of inhibition for the complex was greater than for pure ibuprofen and NiCl₂ alone, indicating synergistic enhancement.</w:t>
      </w:r>
    </w:p>
    <w:p w14:paraId="20F3D296">
      <w:pPr>
        <w:spacing w:before="100" w:beforeAutospacing="1" w:after="100" w:afterAutospacing="1" w:line="480" w:lineRule="auto"/>
        <w:jc w:val="both"/>
        <w:rPr>
          <w:rFonts w:ascii="Times New Roman" w:hAnsi="Times New Roman" w:eastAsia="Times New Roman" w:cs="Times New Roman"/>
          <w:sz w:val="24"/>
          <w:szCs w:val="24"/>
        </w:rPr>
      </w:pPr>
    </w:p>
    <w:tbl>
      <w:tblPr>
        <w:tblStyle w:val="14"/>
        <w:tblW w:w="9727"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78"/>
        <w:gridCol w:w="2796"/>
        <w:gridCol w:w="3353"/>
      </w:tblGrid>
      <w:tr w14:paraId="2C4357A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0" w:type="auto"/>
            <w:tcBorders>
              <w:bottom w:val="single" w:color="7E7E7E" w:themeColor="text1" w:themeTint="80" w:sz="4" w:space="0"/>
              <w:insideH w:val="single" w:sz="4" w:space="0"/>
            </w:tcBorders>
          </w:tcPr>
          <w:p w14:paraId="19E32727">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Sample</w:t>
            </w:r>
          </w:p>
        </w:tc>
        <w:tc>
          <w:tcPr>
            <w:tcW w:w="0" w:type="auto"/>
            <w:tcBorders>
              <w:bottom w:val="single" w:color="7E7E7E" w:themeColor="text1" w:themeTint="80" w:sz="4" w:space="0"/>
              <w:insideH w:val="single" w:sz="4" w:space="0"/>
            </w:tcBorders>
          </w:tcPr>
          <w:p w14:paraId="7761D1DA">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i/>
                <w:iCs/>
                <w:sz w:val="24"/>
                <w:szCs w:val="24"/>
              </w:rPr>
              <w:t>E. coli</w:t>
            </w:r>
            <w:r>
              <w:rPr>
                <w:rFonts w:ascii="Times New Roman" w:hAnsi="Times New Roman" w:eastAsia="Times New Roman" w:cs="Times New Roman"/>
                <w:b/>
                <w:bCs/>
                <w:sz w:val="24"/>
                <w:szCs w:val="24"/>
              </w:rPr>
              <w:t xml:space="preserve"> (mm)</w:t>
            </w:r>
          </w:p>
        </w:tc>
        <w:tc>
          <w:tcPr>
            <w:tcW w:w="0" w:type="auto"/>
            <w:tcBorders>
              <w:bottom w:val="single" w:color="7E7E7E" w:themeColor="text1" w:themeTint="80" w:sz="4" w:space="0"/>
              <w:insideH w:val="single" w:sz="4" w:space="0"/>
            </w:tcBorders>
          </w:tcPr>
          <w:p w14:paraId="1E4A4BAB">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i/>
                <w:iCs/>
                <w:sz w:val="24"/>
                <w:szCs w:val="24"/>
              </w:rPr>
              <w:t>S. aureus</w:t>
            </w:r>
            <w:r>
              <w:rPr>
                <w:rFonts w:ascii="Times New Roman" w:hAnsi="Times New Roman" w:eastAsia="Times New Roman" w:cs="Times New Roman"/>
                <w:b/>
                <w:bCs/>
                <w:sz w:val="24"/>
                <w:szCs w:val="24"/>
              </w:rPr>
              <w:t xml:space="preserve"> (mm)</w:t>
            </w:r>
          </w:p>
        </w:tc>
      </w:tr>
      <w:tr w14:paraId="1B2D1AB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7E7E7E" w:themeColor="text1" w:themeTint="80" w:sz="4" w:space="0"/>
              <w:bottom w:val="single" w:color="7E7E7E" w:themeColor="text1" w:themeTint="80" w:sz="4" w:space="0"/>
              <w:insideH w:val="single" w:sz="4" w:space="0"/>
            </w:tcBorders>
          </w:tcPr>
          <w:p w14:paraId="4B6F6FE4">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Ibuprofen                                                      </w:t>
            </w:r>
          </w:p>
        </w:tc>
        <w:tc>
          <w:tcPr>
            <w:tcW w:w="0" w:type="auto"/>
            <w:tcBorders>
              <w:top w:val="single" w:color="7E7E7E" w:themeColor="text1" w:themeTint="80" w:sz="4" w:space="0"/>
              <w:bottom w:val="single" w:color="7E7E7E" w:themeColor="text1" w:themeTint="80" w:sz="4" w:space="0"/>
              <w:insideH w:val="single" w:sz="4" w:space="0"/>
            </w:tcBorders>
          </w:tcPr>
          <w:p w14:paraId="68227ED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8.5</w:t>
            </w:r>
          </w:p>
        </w:tc>
        <w:tc>
          <w:tcPr>
            <w:tcW w:w="0" w:type="auto"/>
            <w:tcBorders>
              <w:top w:val="single" w:color="7E7E7E" w:themeColor="text1" w:themeTint="80" w:sz="4" w:space="0"/>
              <w:bottom w:val="single" w:color="7E7E7E" w:themeColor="text1" w:themeTint="80" w:sz="4" w:space="0"/>
              <w:insideH w:val="single" w:sz="4" w:space="0"/>
            </w:tcBorders>
          </w:tcPr>
          <w:p w14:paraId="683F54C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r>
      <w:tr w14:paraId="088F74B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0" w:type="auto"/>
          </w:tcPr>
          <w:p w14:paraId="3EAD2E97">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NiCl₂·6H₂O</w:t>
            </w:r>
          </w:p>
        </w:tc>
        <w:tc>
          <w:tcPr>
            <w:tcW w:w="0" w:type="auto"/>
          </w:tcPr>
          <w:p w14:paraId="7CEF45E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0" w:type="auto"/>
          </w:tcPr>
          <w:p w14:paraId="0FA399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10.5</w:t>
            </w:r>
          </w:p>
        </w:tc>
      </w:tr>
      <w:tr w14:paraId="005A738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7E7E7E" w:themeColor="text1" w:themeTint="80" w:sz="4" w:space="0"/>
              <w:bottom w:val="single" w:color="7E7E7E" w:themeColor="text1" w:themeTint="80" w:sz="4" w:space="0"/>
              <w:insideH w:val="single" w:sz="4" w:space="0"/>
            </w:tcBorders>
          </w:tcPr>
          <w:p w14:paraId="63D2E1CF">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Ni-Ibuprofen</w:t>
            </w:r>
          </w:p>
        </w:tc>
        <w:tc>
          <w:tcPr>
            <w:tcW w:w="0" w:type="auto"/>
            <w:tcBorders>
              <w:top w:val="single" w:color="7E7E7E" w:themeColor="text1" w:themeTint="80" w:sz="4" w:space="0"/>
              <w:bottom w:val="single" w:color="7E7E7E" w:themeColor="text1" w:themeTint="80" w:sz="4" w:space="0"/>
              <w:insideH w:val="single" w:sz="4" w:space="0"/>
            </w:tcBorders>
          </w:tcPr>
          <w:p w14:paraId="4531B7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14.2</w:t>
            </w:r>
          </w:p>
        </w:tc>
        <w:tc>
          <w:tcPr>
            <w:tcW w:w="0" w:type="auto"/>
            <w:tcBorders>
              <w:top w:val="single" w:color="7E7E7E" w:themeColor="text1" w:themeTint="80" w:sz="4" w:space="0"/>
              <w:bottom w:val="single" w:color="7E7E7E" w:themeColor="text1" w:themeTint="80" w:sz="4" w:space="0"/>
              <w:insideH w:val="single" w:sz="4" w:space="0"/>
            </w:tcBorders>
          </w:tcPr>
          <w:p w14:paraId="60F0F0A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15.0</w:t>
            </w:r>
          </w:p>
        </w:tc>
      </w:tr>
      <w:tr w14:paraId="00A242D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0" w:type="auto"/>
          </w:tcPr>
          <w:p w14:paraId="3F69388C">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DMSO (control)</w:t>
            </w:r>
          </w:p>
        </w:tc>
        <w:tc>
          <w:tcPr>
            <w:tcW w:w="0" w:type="auto"/>
          </w:tcPr>
          <w:p w14:paraId="29469F8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0.0</w:t>
            </w:r>
          </w:p>
        </w:tc>
        <w:tc>
          <w:tcPr>
            <w:tcW w:w="0" w:type="auto"/>
          </w:tcPr>
          <w:p w14:paraId="4CE81DE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0.0</w:t>
            </w:r>
          </w:p>
        </w:tc>
      </w:tr>
    </w:tbl>
    <w:p w14:paraId="31CBB04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4.7:</w:t>
      </w:r>
      <w:r>
        <w:rPr>
          <w:rFonts w:ascii="Times New Roman" w:hAnsi="Times New Roman" w:eastAsia="Times New Roman" w:cs="Times New Roman"/>
          <w:sz w:val="24"/>
          <w:szCs w:val="24"/>
        </w:rPr>
        <w:t xml:space="preserve"> Zones of Inhibition for Test Compounds</w:t>
      </w:r>
    </w:p>
    <w:p w14:paraId="00D5FE68">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4.10 pH Stability and Conductance</w:t>
      </w:r>
    </w:p>
    <w:p w14:paraId="63C062D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14:paraId="5D74329B">
      <w:pPr>
        <w:spacing w:before="100" w:beforeAutospacing="1" w:after="100" w:afterAutospacing="1" w:line="480" w:lineRule="auto"/>
        <w:jc w:val="both"/>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4.11 Discussion</w:t>
      </w:r>
    </w:p>
    <w:p w14:paraId="69AD66C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formation of the Nickel (II)-ibuprofen complex was confirmed through spectral and analytical techniques. Shifts in FTIR and NMR spectra, new d–d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14:paraId="3427B9B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14:paraId="4595483A">
      <w:pPr>
        <w:spacing w:before="100" w:beforeAutospacing="1" w:after="100" w:afterAutospacing="1" w:line="480" w:lineRule="auto"/>
        <w:jc w:val="both"/>
        <w:rPr>
          <w:rFonts w:ascii="Times New Roman" w:hAnsi="Times New Roman" w:eastAsia="Times New Roman" w:cs="Times New Roman"/>
          <w:sz w:val="24"/>
          <w:szCs w:val="24"/>
        </w:rPr>
      </w:pPr>
    </w:p>
    <w:p w14:paraId="7AAF4FBF">
      <w:pPr>
        <w:spacing w:before="100" w:beforeAutospacing="1" w:after="100" w:afterAutospacing="1" w:line="480" w:lineRule="auto"/>
        <w:jc w:val="both"/>
        <w:rPr>
          <w:rFonts w:ascii="Times New Roman" w:hAnsi="Times New Roman" w:eastAsia="Times New Roman" w:cs="Times New Roman"/>
          <w:sz w:val="24"/>
          <w:szCs w:val="24"/>
        </w:rPr>
      </w:pPr>
    </w:p>
    <w:p w14:paraId="714CEB87">
      <w:pPr>
        <w:spacing w:before="100" w:beforeAutospacing="1" w:after="100" w:afterAutospacing="1" w:line="480" w:lineRule="auto"/>
        <w:jc w:val="both"/>
        <w:rPr>
          <w:rFonts w:ascii="Times New Roman" w:hAnsi="Times New Roman" w:eastAsia="Times New Roman" w:cs="Times New Roman"/>
          <w:sz w:val="24"/>
          <w:szCs w:val="24"/>
        </w:rPr>
      </w:pPr>
    </w:p>
    <w:p w14:paraId="6698488A">
      <w:pPr>
        <w:spacing w:before="100" w:beforeAutospacing="1" w:after="100" w:afterAutospacing="1" w:line="480" w:lineRule="auto"/>
        <w:jc w:val="both"/>
        <w:rPr>
          <w:rFonts w:ascii="Times New Roman" w:hAnsi="Times New Roman" w:eastAsia="Times New Roman" w:cs="Times New Roman"/>
          <w:sz w:val="24"/>
          <w:szCs w:val="24"/>
        </w:rPr>
      </w:pPr>
    </w:p>
    <w:p w14:paraId="52D26409">
      <w:pPr>
        <w:spacing w:before="100" w:beforeAutospacing="1" w:after="100" w:afterAutospacing="1" w:line="480" w:lineRule="auto"/>
        <w:jc w:val="both"/>
        <w:rPr>
          <w:rFonts w:ascii="Times New Roman" w:hAnsi="Times New Roman" w:eastAsia="Times New Roman" w:cs="Times New Roman"/>
          <w:sz w:val="24"/>
          <w:szCs w:val="24"/>
        </w:rPr>
      </w:pPr>
    </w:p>
    <w:p w14:paraId="7EE3F9AC">
      <w:pPr>
        <w:spacing w:before="100" w:beforeAutospacing="1" w:after="100" w:afterAutospacing="1" w:line="480" w:lineRule="auto"/>
        <w:jc w:val="both"/>
        <w:rPr>
          <w:rFonts w:ascii="Times New Roman" w:hAnsi="Times New Roman" w:eastAsia="Times New Roman" w:cs="Times New Roman"/>
          <w:sz w:val="24"/>
          <w:szCs w:val="24"/>
        </w:rPr>
      </w:pPr>
    </w:p>
    <w:p w14:paraId="23FBD667">
      <w:pPr>
        <w:spacing w:before="100" w:beforeAutospacing="1" w:after="100" w:afterAutospacing="1" w:line="480" w:lineRule="auto"/>
        <w:jc w:val="both"/>
        <w:rPr>
          <w:rFonts w:ascii="Times New Roman" w:hAnsi="Times New Roman" w:eastAsia="Times New Roman" w:cs="Times New Roman"/>
          <w:sz w:val="24"/>
          <w:szCs w:val="24"/>
        </w:rPr>
      </w:pPr>
    </w:p>
    <w:p w14:paraId="0BC3A81D">
      <w:pPr>
        <w:spacing w:before="100" w:beforeAutospacing="1" w:after="100" w:afterAutospacing="1" w:line="480" w:lineRule="auto"/>
        <w:jc w:val="both"/>
        <w:rPr>
          <w:rFonts w:ascii="Times New Roman" w:hAnsi="Times New Roman" w:eastAsia="Times New Roman" w:cs="Times New Roman"/>
          <w:sz w:val="24"/>
          <w:szCs w:val="24"/>
        </w:rPr>
      </w:pPr>
    </w:p>
    <w:p w14:paraId="1BD7BF0A">
      <w:pPr>
        <w:spacing w:before="100" w:beforeAutospacing="1" w:after="100" w:afterAutospacing="1" w:line="480" w:lineRule="auto"/>
        <w:jc w:val="both"/>
        <w:rPr>
          <w:rFonts w:ascii="Times New Roman" w:hAnsi="Times New Roman" w:eastAsia="Times New Roman" w:cs="Times New Roman"/>
          <w:sz w:val="24"/>
          <w:szCs w:val="24"/>
        </w:rPr>
      </w:pPr>
    </w:p>
    <w:p w14:paraId="0411E020">
      <w:pPr>
        <w:spacing w:before="100" w:beforeAutospacing="1" w:after="100" w:afterAutospacing="1" w:line="480" w:lineRule="auto"/>
        <w:jc w:val="both"/>
        <w:rPr>
          <w:rFonts w:ascii="Times New Roman" w:hAnsi="Times New Roman" w:eastAsia="Times New Roman" w:cs="Times New Roman"/>
          <w:sz w:val="24"/>
          <w:szCs w:val="24"/>
        </w:rPr>
      </w:pPr>
    </w:p>
    <w:p w14:paraId="32BC64DF">
      <w:pPr>
        <w:pStyle w:val="2"/>
        <w:jc w:val="center"/>
        <w:rPr>
          <w:rStyle w:val="11"/>
          <w:b/>
          <w:bCs/>
          <w:sz w:val="24"/>
          <w:szCs w:val="24"/>
        </w:rPr>
      </w:pPr>
      <w:r>
        <w:rPr>
          <w:rStyle w:val="11"/>
          <w:b/>
          <w:bCs/>
          <w:sz w:val="24"/>
          <w:szCs w:val="24"/>
        </w:rPr>
        <w:t>CHAPTER FIVE</w:t>
      </w:r>
    </w:p>
    <w:p w14:paraId="55DBA875">
      <w:pPr>
        <w:pStyle w:val="2"/>
        <w:jc w:val="center"/>
        <w:rPr>
          <w:b w:val="0"/>
          <w:bCs w:val="0"/>
          <w:sz w:val="24"/>
          <w:szCs w:val="24"/>
        </w:rPr>
      </w:pPr>
      <w:r>
        <w:rPr>
          <w:rStyle w:val="11"/>
          <w:b/>
          <w:bCs/>
          <w:sz w:val="24"/>
          <w:szCs w:val="24"/>
        </w:rPr>
        <w:t>CONCLUSION AND RECOMMENDATIONS</w:t>
      </w:r>
    </w:p>
    <w:p w14:paraId="73750A8D">
      <w:pPr>
        <w:pStyle w:val="3"/>
        <w:spacing w:line="480" w:lineRule="auto"/>
        <w:jc w:val="both"/>
      </w:pPr>
      <w:r>
        <w:t>5.1 General Conclusion</w:t>
      </w:r>
    </w:p>
    <w:p w14:paraId="1C29DA86">
      <w:pPr>
        <w:pStyle w:val="10"/>
        <w:spacing w:line="480" w:lineRule="auto"/>
        <w:jc w:val="both"/>
      </w:pPr>
      <w:r>
        <w:t>This study successfully synthesized and characterized a coordination complex of Nickel(II)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14:paraId="7B7FDAFB">
      <w:pPr>
        <w:pStyle w:val="10"/>
        <w:spacing w:line="480" w:lineRule="auto"/>
        <w:jc w:val="both"/>
      </w:pPr>
      <w:r>
        <w:t xml:space="preserve">The antimicrobial analysis showed that the synthesized Ni(II)-ibuprofen complex had a greater inhibitory effect against </w:t>
      </w:r>
      <w:r>
        <w:rPr>
          <w:rStyle w:val="7"/>
          <w:rFonts w:eastAsiaTheme="majorEastAsia"/>
        </w:rPr>
        <w:t>E. coli</w:t>
      </w:r>
      <w:r>
        <w:t xml:space="preserve"> and </w:t>
      </w:r>
      <w:r>
        <w:rPr>
          <w:rStyle w:val="7"/>
          <w:rFonts w:eastAsiaTheme="majorEastAsia"/>
        </w:rPr>
        <w:t>S. aureus</w:t>
      </w:r>
      <w: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14:paraId="58B9183C">
      <w:pPr>
        <w:pStyle w:val="10"/>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14:paraId="7DBF97A8">
      <w:pPr>
        <w:pStyle w:val="3"/>
        <w:spacing w:line="480" w:lineRule="auto"/>
        <w:jc w:val="both"/>
      </w:pPr>
      <w:r>
        <w:t>5.2 Specific Findings</w:t>
      </w:r>
    </w:p>
    <w:p w14:paraId="5092D6FA">
      <w:pPr>
        <w:pStyle w:val="10"/>
        <w:numPr>
          <w:ilvl w:val="0"/>
          <w:numId w:val="12"/>
        </w:numPr>
        <w:spacing w:line="480" w:lineRule="auto"/>
        <w:jc w:val="both"/>
      </w:pPr>
      <w:r>
        <w:t>Ibuprofen coordinated to Ni(II) via its carboxylate group, forming a stable octahedral complex.</w:t>
      </w:r>
    </w:p>
    <w:p w14:paraId="0AA0B0F3">
      <w:pPr>
        <w:pStyle w:val="10"/>
        <w:numPr>
          <w:ilvl w:val="0"/>
          <w:numId w:val="12"/>
        </w:numPr>
        <w:spacing w:line="480" w:lineRule="auto"/>
        <w:jc w:val="both"/>
      </w:pPr>
      <w:r>
        <w:t>FTIR and NMR confirmed structural changes associated with complexation.</w:t>
      </w:r>
    </w:p>
    <w:p w14:paraId="3FB09CD5">
      <w:pPr>
        <w:pStyle w:val="10"/>
        <w:numPr>
          <w:ilvl w:val="0"/>
          <w:numId w:val="12"/>
        </w:numPr>
        <w:spacing w:line="480" w:lineRule="auto"/>
        <w:jc w:val="both"/>
      </w:pPr>
      <w:r>
        <w:t>TGA analysis indicated the complex was thermally stable up to ~200°C.</w:t>
      </w:r>
    </w:p>
    <w:p w14:paraId="4952DC9D">
      <w:pPr>
        <w:pStyle w:val="10"/>
        <w:numPr>
          <w:ilvl w:val="0"/>
          <w:numId w:val="12"/>
        </w:numPr>
        <w:spacing w:line="480" w:lineRule="auto"/>
        <w:jc w:val="both"/>
      </w:pPr>
      <w:r>
        <w:t>XRD and SEM revealed the formation of new crystalline and morphological structures.</w:t>
      </w:r>
    </w:p>
    <w:p w14:paraId="62E31F6E">
      <w:pPr>
        <w:pStyle w:val="10"/>
        <w:numPr>
          <w:ilvl w:val="0"/>
          <w:numId w:val="12"/>
        </w:numPr>
        <w:spacing w:line="480" w:lineRule="auto"/>
        <w:jc w:val="both"/>
      </w:pPr>
      <w:r>
        <w:t>The complex displayed superior antimicrobial activity compared to its individual components.</w:t>
      </w:r>
    </w:p>
    <w:p w14:paraId="4D1A8A3A">
      <w:pPr>
        <w:pStyle w:val="3"/>
        <w:spacing w:line="480" w:lineRule="auto"/>
        <w:jc w:val="both"/>
      </w:pPr>
      <w:r>
        <w:t>5.3 Contributions to Knowledge</w:t>
      </w:r>
    </w:p>
    <w:p w14:paraId="36AFA063">
      <w:pPr>
        <w:pStyle w:val="10"/>
        <w:numPr>
          <w:ilvl w:val="0"/>
          <w:numId w:val="13"/>
        </w:numPr>
        <w:spacing w:line="480" w:lineRule="auto"/>
        <w:jc w:val="both"/>
      </w:pPr>
      <w:r>
        <w:t>Demonstrated the feasibility of synthesizing metal complexes using over-the-counter NSAIDs.</w:t>
      </w:r>
    </w:p>
    <w:p w14:paraId="010C9136">
      <w:pPr>
        <w:pStyle w:val="10"/>
        <w:numPr>
          <w:ilvl w:val="0"/>
          <w:numId w:val="13"/>
        </w:numPr>
        <w:spacing w:line="480" w:lineRule="auto"/>
        <w:jc w:val="both"/>
      </w:pPr>
      <w:r>
        <w:t>Provided structural and thermal insights into Ni(II)-ibuprofen coordination.</w:t>
      </w:r>
    </w:p>
    <w:p w14:paraId="72D00FC7">
      <w:pPr>
        <w:pStyle w:val="10"/>
        <w:numPr>
          <w:ilvl w:val="0"/>
          <w:numId w:val="13"/>
        </w:numPr>
        <w:spacing w:line="480" w:lineRule="auto"/>
        <w:jc w:val="both"/>
      </w:pPr>
      <w:r>
        <w:t>Highlighted the enhancement of antibacterial properties via metal-ligand interaction.</w:t>
      </w:r>
    </w:p>
    <w:p w14:paraId="722E42E2">
      <w:pPr>
        <w:pStyle w:val="10"/>
        <w:numPr>
          <w:ilvl w:val="0"/>
          <w:numId w:val="13"/>
        </w:numPr>
        <w:spacing w:line="480" w:lineRule="auto"/>
        <w:jc w:val="both"/>
      </w:pPr>
      <w:r>
        <w:t>Offered a potential model for developing metal-drug conjugates with improved efficacy.</w:t>
      </w:r>
    </w:p>
    <w:p w14:paraId="40FC560A">
      <w:pPr>
        <w:pStyle w:val="3"/>
        <w:spacing w:line="480" w:lineRule="auto"/>
        <w:jc w:val="both"/>
      </w:pPr>
      <w:r>
        <w:t>5.4 Recommendations</w:t>
      </w:r>
    </w:p>
    <w:p w14:paraId="540B69D1">
      <w:pPr>
        <w:pStyle w:val="10"/>
        <w:spacing w:line="480" w:lineRule="auto"/>
        <w:jc w:val="both"/>
      </w:pPr>
      <w:r>
        <w:t>Based on the findings of this study, the following recommendations are proposed:</w:t>
      </w:r>
    </w:p>
    <w:p w14:paraId="22E71220">
      <w:pPr>
        <w:pStyle w:val="10"/>
        <w:numPr>
          <w:ilvl w:val="0"/>
          <w:numId w:val="14"/>
        </w:numPr>
        <w:spacing w:line="480" w:lineRule="auto"/>
        <w:jc w:val="both"/>
      </w:pPr>
      <w:r>
        <w:rPr>
          <w:rStyle w:val="11"/>
        </w:rPr>
        <w:t>Biological Evaluation</w:t>
      </w:r>
      <w:r>
        <w:t>: The complex should be further evaluated for other biological properties, such as anti-inflammatory, analgesic, antioxidant, and anticancer activities.</w:t>
      </w:r>
    </w:p>
    <w:p w14:paraId="65C6801A">
      <w:pPr>
        <w:pStyle w:val="10"/>
        <w:numPr>
          <w:ilvl w:val="0"/>
          <w:numId w:val="14"/>
        </w:numPr>
        <w:spacing w:line="480" w:lineRule="auto"/>
        <w:jc w:val="both"/>
      </w:pPr>
      <w:r>
        <w:rPr>
          <w:rStyle w:val="11"/>
        </w:rPr>
        <w:t>Pharmacokinetic Studies</w:t>
      </w:r>
      <w:r>
        <w:t>: It is crucial to perform in vivo studies to assess the absorption, distribution, metabolism, and excretion (ADME) profile of the complex.</w:t>
      </w:r>
    </w:p>
    <w:p w14:paraId="4C094E52">
      <w:pPr>
        <w:pStyle w:val="10"/>
        <w:numPr>
          <w:ilvl w:val="0"/>
          <w:numId w:val="14"/>
        </w:numPr>
        <w:spacing w:line="480" w:lineRule="auto"/>
        <w:jc w:val="both"/>
      </w:pPr>
      <w:r>
        <w:rPr>
          <w:rStyle w:val="11"/>
        </w:rPr>
        <w:t>Mechanistic Studies</w:t>
      </w:r>
      <w:r>
        <w:t>: Investigate the molecular mechanism of antimicrobial action to understand interaction pathways at the cellular level.</w:t>
      </w:r>
    </w:p>
    <w:p w14:paraId="54580539">
      <w:pPr>
        <w:pStyle w:val="10"/>
        <w:numPr>
          <w:ilvl w:val="0"/>
          <w:numId w:val="14"/>
        </w:numPr>
        <w:spacing w:line="480" w:lineRule="auto"/>
        <w:jc w:val="both"/>
      </w:pPr>
      <w:r>
        <w:rPr>
          <w:rStyle w:val="11"/>
        </w:rPr>
        <w:t>Structural Elucidation</w:t>
      </w:r>
      <w:r>
        <w:t>: Single-crystal X-ray diffraction analysis could provide definitive structural confirmation of the coordination geometry.</w:t>
      </w:r>
    </w:p>
    <w:p w14:paraId="533CEC82">
      <w:pPr>
        <w:pStyle w:val="10"/>
        <w:numPr>
          <w:ilvl w:val="0"/>
          <w:numId w:val="14"/>
        </w:numPr>
        <w:spacing w:line="480" w:lineRule="auto"/>
        <w:jc w:val="both"/>
      </w:pPr>
      <w:r>
        <w:rPr>
          <w:rStyle w:val="11"/>
        </w:rPr>
        <w:t>Formulation Development</w:t>
      </w:r>
      <w:r>
        <w:t>: Explore incorporation of the complex into drug delivery systems such as hydrogels, tablets, or nanoparticles for controlled release.</w:t>
      </w:r>
    </w:p>
    <w:p w14:paraId="54D9809E">
      <w:pPr>
        <w:pStyle w:val="3"/>
        <w:spacing w:line="480" w:lineRule="auto"/>
        <w:jc w:val="both"/>
      </w:pPr>
      <w:r>
        <w:t>5.5 Limitations of the Study</w:t>
      </w:r>
    </w:p>
    <w:p w14:paraId="178272F6">
      <w:pPr>
        <w:pStyle w:val="10"/>
        <w:numPr>
          <w:ilvl w:val="0"/>
          <w:numId w:val="15"/>
        </w:numPr>
        <w:spacing w:line="480" w:lineRule="auto"/>
        <w:jc w:val="both"/>
      </w:pPr>
      <w:r>
        <w:t>Lack of in vivo biological data to validate in vitro results.</w:t>
      </w:r>
    </w:p>
    <w:p w14:paraId="54200BD7">
      <w:pPr>
        <w:pStyle w:val="10"/>
        <w:numPr>
          <w:ilvl w:val="0"/>
          <w:numId w:val="15"/>
        </w:numPr>
        <w:spacing w:line="480" w:lineRule="auto"/>
        <w:jc w:val="both"/>
      </w:pPr>
      <w:r>
        <w:t>Absence of single-crystal XRD due to crystallization challenges.</w:t>
      </w:r>
    </w:p>
    <w:p w14:paraId="0C6256F2">
      <w:pPr>
        <w:pStyle w:val="10"/>
        <w:numPr>
          <w:ilvl w:val="0"/>
          <w:numId w:val="15"/>
        </w:numPr>
        <w:spacing w:line="480" w:lineRule="auto"/>
        <w:jc w:val="both"/>
      </w:pPr>
      <w:r>
        <w:t>Limited antimicrobial spectrum tested (only two bacterial strains).</w:t>
      </w:r>
    </w:p>
    <w:p w14:paraId="05450965">
      <w:pPr>
        <w:pStyle w:val="3"/>
        <w:spacing w:line="480" w:lineRule="auto"/>
        <w:jc w:val="both"/>
      </w:pPr>
      <w:r>
        <w:t>5.6 Future Research Directions</w:t>
      </w:r>
    </w:p>
    <w:p w14:paraId="505372B5">
      <w:pPr>
        <w:pStyle w:val="10"/>
        <w:numPr>
          <w:ilvl w:val="0"/>
          <w:numId w:val="16"/>
        </w:numPr>
        <w:spacing w:line="480" w:lineRule="auto"/>
        <w:jc w:val="both"/>
      </w:pPr>
      <w:r>
        <w:t>Synthesis and comparison of similar complexes with other transition metals like Cu(II), Zn(II), and Co(II).</w:t>
      </w:r>
    </w:p>
    <w:p w14:paraId="0AF7B25C">
      <w:pPr>
        <w:pStyle w:val="10"/>
        <w:numPr>
          <w:ilvl w:val="0"/>
          <w:numId w:val="16"/>
        </w:numPr>
        <w:spacing w:line="480" w:lineRule="auto"/>
        <w:jc w:val="both"/>
      </w:pPr>
      <w:r>
        <w:t>Exploration of mixed-ligand complexes involving ibuprofen and other bioactive ligands.</w:t>
      </w:r>
    </w:p>
    <w:p w14:paraId="56FBC989">
      <w:pPr>
        <w:pStyle w:val="10"/>
        <w:numPr>
          <w:ilvl w:val="0"/>
          <w:numId w:val="16"/>
        </w:numPr>
        <w:spacing w:line="480" w:lineRule="auto"/>
        <w:jc w:val="both"/>
      </w:pPr>
      <w:r>
        <w:t>Application of the synthesized complex in green catalysis or electrochemical sensors.</w:t>
      </w:r>
    </w:p>
    <w:p w14:paraId="79337C7A">
      <w:pPr>
        <w:pStyle w:val="3"/>
        <w:spacing w:line="480" w:lineRule="auto"/>
        <w:jc w:val="both"/>
      </w:pPr>
      <w:r>
        <w:t>5.7 Final Remarks</w:t>
      </w:r>
    </w:p>
    <w:p w14:paraId="5EC956E2">
      <w:pPr>
        <w:pStyle w:val="10"/>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14:paraId="76448430">
      <w:pPr>
        <w:pStyle w:val="10"/>
        <w:spacing w:line="480" w:lineRule="auto"/>
        <w:jc w:val="both"/>
      </w:pPr>
    </w:p>
    <w:p w14:paraId="17F74B97">
      <w:pPr>
        <w:pStyle w:val="10"/>
        <w:spacing w:line="480" w:lineRule="auto"/>
        <w:jc w:val="both"/>
      </w:pPr>
    </w:p>
    <w:p w14:paraId="0E755166">
      <w:pPr>
        <w:pStyle w:val="10"/>
        <w:spacing w:line="480" w:lineRule="auto"/>
        <w:jc w:val="both"/>
      </w:pPr>
    </w:p>
    <w:p w14:paraId="205EF3AC">
      <w:pPr>
        <w:pStyle w:val="10"/>
        <w:spacing w:line="480" w:lineRule="auto"/>
        <w:jc w:val="both"/>
      </w:pPr>
    </w:p>
    <w:p w14:paraId="75BD72F7">
      <w:pPr>
        <w:pStyle w:val="10"/>
        <w:spacing w:line="480" w:lineRule="auto"/>
        <w:jc w:val="both"/>
      </w:pPr>
    </w:p>
    <w:p w14:paraId="659D2C0A">
      <w:pPr>
        <w:pStyle w:val="10"/>
        <w:spacing w:line="480" w:lineRule="auto"/>
        <w:jc w:val="both"/>
      </w:pPr>
    </w:p>
    <w:p w14:paraId="7552434B">
      <w:pPr>
        <w:pStyle w:val="10"/>
        <w:spacing w:line="480" w:lineRule="auto"/>
        <w:jc w:val="both"/>
      </w:pPr>
    </w:p>
    <w:p w14:paraId="4218683F">
      <w:pPr>
        <w:pStyle w:val="10"/>
        <w:spacing w:line="480" w:lineRule="auto"/>
        <w:jc w:val="center"/>
      </w:pPr>
      <w:r>
        <w:rPr>
          <w:rStyle w:val="11"/>
        </w:rPr>
        <w:t>References</w:t>
      </w:r>
    </w:p>
    <w:p w14:paraId="2B3E3612">
      <w:pPr>
        <w:pStyle w:val="10"/>
        <w:numPr>
          <w:ilvl w:val="0"/>
          <w:numId w:val="17"/>
        </w:numPr>
        <w:spacing w:line="480" w:lineRule="auto"/>
        <w:ind w:left="1440" w:hanging="1080"/>
        <w:jc w:val="both"/>
      </w:pPr>
      <w:r>
        <w:t xml:space="preserve">Basu, S., Saha, D., &amp; Ghosh, A. (2016). Synthesis and evaluation of transition metal complexes of ibuprofen and their biological activities. </w:t>
      </w:r>
      <w:r>
        <w:rPr>
          <w:rStyle w:val="7"/>
        </w:rPr>
        <w:t>Journal of Coordination Chemistry</w:t>
      </w:r>
      <w:r>
        <w:t>, 69(10), 1504–1512.</w:t>
      </w:r>
    </w:p>
    <w:p w14:paraId="74C65983">
      <w:pPr>
        <w:pStyle w:val="10"/>
        <w:numPr>
          <w:ilvl w:val="0"/>
          <w:numId w:val="17"/>
        </w:numPr>
        <w:spacing w:line="480" w:lineRule="auto"/>
        <w:ind w:left="1440" w:hanging="1080"/>
        <w:jc w:val="both"/>
      </w:pPr>
      <w:r>
        <w:t xml:space="preserve">Cotton, F. A., Wilkinson, G., Murillo, C. A., &amp; Bochmann, M. (1999). </w:t>
      </w:r>
      <w:r>
        <w:rPr>
          <w:rStyle w:val="7"/>
        </w:rPr>
        <w:t>Advanced Inorganic Chemistry</w:t>
      </w:r>
      <w:r>
        <w:t xml:space="preserve"> (6th ed.). Wiley-Interscience.</w:t>
      </w:r>
    </w:p>
    <w:p w14:paraId="4FCF9EE6">
      <w:pPr>
        <w:pStyle w:val="10"/>
        <w:numPr>
          <w:ilvl w:val="0"/>
          <w:numId w:val="17"/>
        </w:numPr>
        <w:spacing w:line="480" w:lineRule="auto"/>
        <w:ind w:left="1440" w:hanging="1080"/>
        <w:jc w:val="both"/>
      </w:pPr>
      <w:r>
        <w:t xml:space="preserve">Gasser, G., &amp; Metzler-Nolte, N. (2012). The potential of organometallic complexes in medicinal chemistry. </w:t>
      </w:r>
      <w:r>
        <w:rPr>
          <w:rStyle w:val="7"/>
        </w:rPr>
        <w:t>Current Opinion in Chemical Biology</w:t>
      </w:r>
      <w:r>
        <w:t>, 16(1–2), 84–91.</w:t>
      </w:r>
    </w:p>
    <w:p w14:paraId="3CB02920">
      <w:pPr>
        <w:pStyle w:val="10"/>
        <w:numPr>
          <w:ilvl w:val="0"/>
          <w:numId w:val="17"/>
        </w:numPr>
        <w:spacing w:line="480" w:lineRule="auto"/>
        <w:ind w:left="1440" w:hanging="1080"/>
        <w:jc w:val="both"/>
      </w:pPr>
      <w:r>
        <w:t xml:space="preserve">Hynes, M. J. (2003). Key factors in the design of metal-based pharmaceuticals. </w:t>
      </w:r>
      <w:r>
        <w:rPr>
          <w:rStyle w:val="7"/>
        </w:rPr>
        <w:t>Journal of Chemical Education</w:t>
      </w:r>
      <w:r>
        <w:t>, 80(3), 357–362.</w:t>
      </w:r>
    </w:p>
    <w:p w14:paraId="1881F808">
      <w:pPr>
        <w:pStyle w:val="10"/>
        <w:numPr>
          <w:ilvl w:val="0"/>
          <w:numId w:val="17"/>
        </w:numPr>
        <w:spacing w:line="480" w:lineRule="auto"/>
        <w:ind w:left="1440" w:hanging="1080"/>
        <w:jc w:val="both"/>
      </w:pPr>
      <w:r>
        <w:t xml:space="preserve">Karpusas, M., &amp; Seetharaman, J. (2021). Metal coordination in biological systems: Implications for drug design. </w:t>
      </w:r>
      <w:r>
        <w:rPr>
          <w:rStyle w:val="7"/>
        </w:rPr>
        <w:t>Bioinorganic Chemistry and Applications</w:t>
      </w:r>
      <w:r>
        <w:t>, 2021, 1–12.</w:t>
      </w:r>
    </w:p>
    <w:p w14:paraId="7DCA94E7">
      <w:pPr>
        <w:pStyle w:val="10"/>
        <w:numPr>
          <w:ilvl w:val="0"/>
          <w:numId w:val="17"/>
        </w:numPr>
        <w:spacing w:line="480" w:lineRule="auto"/>
        <w:ind w:left="1440" w:hanging="1080"/>
        <w:jc w:val="both"/>
      </w:pPr>
      <w:r>
        <w:t xml:space="preserve">Nakamoto, K. (2009). </w:t>
      </w:r>
      <w:r>
        <w:rPr>
          <w:rStyle w:val="7"/>
        </w:rPr>
        <w:t>Infrared and Raman Spectra of Inorganic and Coordination Compounds</w:t>
      </w:r>
      <w:r>
        <w:t xml:space="preserve"> (6th ed.). Wiley.</w:t>
      </w:r>
    </w:p>
    <w:p w14:paraId="0801CF4E">
      <w:pPr>
        <w:pStyle w:val="10"/>
        <w:numPr>
          <w:ilvl w:val="0"/>
          <w:numId w:val="17"/>
        </w:numPr>
        <w:spacing w:line="480" w:lineRule="auto"/>
        <w:ind w:left="1440" w:hanging="1080"/>
        <w:jc w:val="both"/>
      </w:pPr>
      <w:r>
        <w:t xml:space="preserve">Santos, T. M., Ribeiro, L. N., &amp; Lima, E. G. (2018). Metal-based NSAID complexes for enhanced therapeutic applications. </w:t>
      </w:r>
      <w:r>
        <w:rPr>
          <w:rStyle w:val="7"/>
        </w:rPr>
        <w:t>Inorganic Chemistry Frontiers</w:t>
      </w:r>
      <w:r>
        <w:t>, 5(4), 723–739.</w:t>
      </w:r>
    </w:p>
    <w:p w14:paraId="2FA61931">
      <w:pPr>
        <w:pStyle w:val="10"/>
        <w:numPr>
          <w:ilvl w:val="0"/>
          <w:numId w:val="17"/>
        </w:numPr>
        <w:spacing w:line="480" w:lineRule="auto"/>
        <w:ind w:left="1440" w:hanging="1080"/>
        <w:jc w:val="both"/>
      </w:pPr>
      <w:r>
        <w:t xml:space="preserve">Sharma, A., &amp; Rani, S. (2020). Role of transition metal complexes in drug development. </w:t>
      </w:r>
      <w:r>
        <w:rPr>
          <w:rStyle w:val="7"/>
        </w:rPr>
        <w:t>Current Topics in Medicinal Chemistry</w:t>
      </w:r>
      <w:r>
        <w:t>, 20(10), 892–910.</w:t>
      </w:r>
    </w:p>
    <w:p w14:paraId="428E72BB">
      <w:pPr>
        <w:pStyle w:val="10"/>
        <w:numPr>
          <w:ilvl w:val="0"/>
          <w:numId w:val="17"/>
        </w:numPr>
        <w:spacing w:line="480" w:lineRule="auto"/>
        <w:ind w:left="1440" w:hanging="1080"/>
        <w:jc w:val="both"/>
      </w:pPr>
      <w:r>
        <w:t xml:space="preserve">Singh, R., &amp; Gautam, R. K. (2017). Transition metal complexes of NSAIDs: A review on synthesis, characterization and pharmacological evaluation. </w:t>
      </w:r>
      <w:r>
        <w:rPr>
          <w:rStyle w:val="7"/>
        </w:rPr>
        <w:t>Medicinal Chemistry Research</w:t>
      </w:r>
      <w:r>
        <w:t>, 26(4), 881–900.</w:t>
      </w:r>
    </w:p>
    <w:p w14:paraId="29AD3191">
      <w:pPr>
        <w:pStyle w:val="10"/>
        <w:numPr>
          <w:ilvl w:val="0"/>
          <w:numId w:val="17"/>
        </w:numPr>
        <w:spacing w:line="480" w:lineRule="auto"/>
        <w:ind w:left="1440" w:hanging="1080"/>
        <w:jc w:val="both"/>
      </w:pPr>
      <w:r>
        <w:t xml:space="preserve">Zhang, C. X., &amp; Lippard, S. J. (2003). New metal complexes as potential therapeutics. </w:t>
      </w:r>
      <w:r>
        <w:rPr>
          <w:rStyle w:val="7"/>
        </w:rPr>
        <w:t>Current Opinion in Chemical Biology</w:t>
      </w:r>
      <w:r>
        <w:t>, 7(4), 481–489.</w:t>
      </w:r>
    </w:p>
    <w:p w14:paraId="0BE32CEF">
      <w:pPr>
        <w:pStyle w:val="10"/>
        <w:numPr>
          <w:ilvl w:val="0"/>
          <w:numId w:val="17"/>
        </w:numPr>
        <w:spacing w:line="480" w:lineRule="auto"/>
        <w:ind w:left="1440" w:hanging="1080"/>
        <w:jc w:val="both"/>
      </w:pPr>
      <w:r>
        <w:t xml:space="preserve">Latha, S., &amp; Selvaraj, S. (2015). Spectroscopic studies on transition metal complexes of ibuprofen: Antimicrobial and antioxidant activity. </w:t>
      </w:r>
      <w:r>
        <w:rPr>
          <w:rStyle w:val="7"/>
        </w:rPr>
        <w:t>Spectrochimica Acta Part A: Molecular and Biomolecular Spectroscopy</w:t>
      </w:r>
      <w:r>
        <w:t>, 145, 410–418.</w:t>
      </w:r>
    </w:p>
    <w:p w14:paraId="3C49E41F">
      <w:pPr>
        <w:pStyle w:val="10"/>
        <w:numPr>
          <w:ilvl w:val="0"/>
          <w:numId w:val="17"/>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7"/>
        </w:rPr>
        <w:t>Journal of Molecular Structure</w:t>
      </w:r>
      <w:r>
        <w:t>, 1201, 127111.</w:t>
      </w:r>
    </w:p>
    <w:p w14:paraId="22BB3038">
      <w:pPr>
        <w:pStyle w:val="10"/>
        <w:numPr>
          <w:ilvl w:val="0"/>
          <w:numId w:val="17"/>
        </w:numPr>
        <w:spacing w:line="480" w:lineRule="auto"/>
        <w:ind w:left="1440" w:hanging="1080"/>
        <w:jc w:val="both"/>
      </w:pPr>
      <w:r>
        <w:t xml:space="preserve">Chohan, Z. H., &amp; Supuran, C. T. (2006). In vitro antibacterial, antifungal, and cytotoxic activity of cobalt(II), copper(II), nickel(II), and zinc(II) complexes with ibuprofen-derived Schiff bases. </w:t>
      </w:r>
      <w:r>
        <w:rPr>
          <w:rStyle w:val="7"/>
        </w:rPr>
        <w:t>Bioorganic &amp; Medicinal Chemistry</w:t>
      </w:r>
      <w:r>
        <w:t>, 14(13), 4563–4570.</w:t>
      </w:r>
    </w:p>
    <w:p w14:paraId="3FE1179C">
      <w:pPr>
        <w:spacing w:before="100" w:beforeAutospacing="1" w:after="100" w:afterAutospacing="1" w:line="480" w:lineRule="auto"/>
        <w:ind w:left="1440" w:hanging="1080"/>
        <w:jc w:val="both"/>
        <w:rPr>
          <w:rFonts w:ascii="Times New Roman" w:hAnsi="Times New Roman" w:eastAsia="Times New Roman" w:cs="Times New Roman"/>
          <w:sz w:val="24"/>
          <w:szCs w:val="24"/>
        </w:rPr>
      </w:pPr>
    </w:p>
    <w:p w14:paraId="26F4D9FF">
      <w:pPr>
        <w:spacing w:line="480" w:lineRule="auto"/>
        <w:ind w:left="1440" w:hanging="1080"/>
        <w:jc w:val="both"/>
        <w:rPr>
          <w:rFonts w:ascii="Times New Roman" w:hAnsi="Times New Roman" w:cs="Times New Roman"/>
          <w:sz w:val="24"/>
          <w:szCs w:val="24"/>
        </w:rPr>
      </w:pPr>
    </w:p>
    <w:p w14:paraId="4B80885C">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2240" w:h="15840"/>
      <w:pgMar w:top="2160" w:right="2160" w:bottom="2160" w:left="2160" w:header="720" w:footer="273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470380"/>
      <w:docPartObj>
        <w:docPartGallery w:val="AutoText"/>
      </w:docPartObj>
    </w:sdtPr>
    <w:sdtContent>
      <w:p w14:paraId="7594BC96">
        <w:pPr>
          <w:pStyle w:val="8"/>
          <w:jc w:val="center"/>
        </w:pPr>
        <w:r>
          <w:fldChar w:fldCharType="begin"/>
        </w:r>
        <w:r>
          <w:instrText xml:space="preserve"> PAGE   \* MERGEFORMAT </w:instrText>
        </w:r>
        <w:r>
          <w:fldChar w:fldCharType="separate"/>
        </w:r>
        <w:r>
          <w:t>40</w:t>
        </w:r>
        <w:r>
          <w:fldChar w:fldCharType="end"/>
        </w:r>
      </w:p>
    </w:sdtContent>
  </w:sdt>
  <w:p w14:paraId="17C8712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BC2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51E9">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AB4E">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60D7">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9E7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E340E"/>
    <w:multiLevelType w:val="multilevel"/>
    <w:tmpl w:val="02DE34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B624DDF"/>
    <w:multiLevelType w:val="multilevel"/>
    <w:tmpl w:val="0B624D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B876953"/>
    <w:multiLevelType w:val="multilevel"/>
    <w:tmpl w:val="0B8769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EA053A0"/>
    <w:multiLevelType w:val="multilevel"/>
    <w:tmpl w:val="0EA053A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82F0667"/>
    <w:multiLevelType w:val="multilevel"/>
    <w:tmpl w:val="182F06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C564341"/>
    <w:multiLevelType w:val="multilevel"/>
    <w:tmpl w:val="1C5643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5015226"/>
    <w:multiLevelType w:val="multilevel"/>
    <w:tmpl w:val="250152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52E1A09"/>
    <w:multiLevelType w:val="multilevel"/>
    <w:tmpl w:val="252E1A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05023F6"/>
    <w:multiLevelType w:val="multilevel"/>
    <w:tmpl w:val="305023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C773C9D"/>
    <w:multiLevelType w:val="multilevel"/>
    <w:tmpl w:val="4C773C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30657BE"/>
    <w:multiLevelType w:val="multilevel"/>
    <w:tmpl w:val="530657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CF90E37"/>
    <w:multiLevelType w:val="multilevel"/>
    <w:tmpl w:val="5CF90E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5AF4910"/>
    <w:multiLevelType w:val="multilevel"/>
    <w:tmpl w:val="65AF49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C0B35A1"/>
    <w:multiLevelType w:val="multilevel"/>
    <w:tmpl w:val="6C0B35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FF1444E"/>
    <w:multiLevelType w:val="multilevel"/>
    <w:tmpl w:val="6FF144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72D94A3F"/>
    <w:multiLevelType w:val="multilevel"/>
    <w:tmpl w:val="72D94A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6A3184C"/>
    <w:multiLevelType w:val="multilevel"/>
    <w:tmpl w:val="76A318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6"/>
  </w:num>
  <w:num w:numId="2">
    <w:abstractNumId w:val="10"/>
  </w:num>
  <w:num w:numId="3">
    <w:abstractNumId w:val="13"/>
  </w:num>
  <w:num w:numId="4">
    <w:abstractNumId w:val="12"/>
  </w:num>
  <w:num w:numId="5">
    <w:abstractNumId w:val="2"/>
  </w:num>
  <w:num w:numId="6">
    <w:abstractNumId w:val="7"/>
  </w:num>
  <w:num w:numId="7">
    <w:abstractNumId w:val="8"/>
  </w:num>
  <w:num w:numId="8">
    <w:abstractNumId w:val="4"/>
  </w:num>
  <w:num w:numId="9">
    <w:abstractNumId w:val="9"/>
  </w:num>
  <w:num w:numId="10">
    <w:abstractNumId w:val="11"/>
  </w:num>
  <w:num w:numId="11">
    <w:abstractNumId w:val="1"/>
  </w:num>
  <w:num w:numId="12">
    <w:abstractNumId w:val="15"/>
  </w:num>
  <w:num w:numId="13">
    <w:abstractNumId w:val="16"/>
  </w:num>
  <w:num w:numId="14">
    <w:abstractNumId w:val="3"/>
  </w:num>
  <w:num w:numId="15">
    <w:abstractNumId w:val="0"/>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AB"/>
    <w:rsid w:val="00047DAB"/>
    <w:rsid w:val="003A645A"/>
    <w:rsid w:val="00F92473"/>
    <w:rsid w:val="28672A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link w:val="1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next w:val="1"/>
    <w:link w:val="17"/>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16"/>
    <w:unhideWhenUsed/>
    <w:qFormat/>
    <w:uiPriority w:val="99"/>
    <w:pPr>
      <w:tabs>
        <w:tab w:val="center" w:pos="4680"/>
        <w:tab w:val="right" w:pos="9360"/>
      </w:tabs>
      <w:spacing w:after="0" w:line="240" w:lineRule="auto"/>
    </w:pPr>
  </w:style>
  <w:style w:type="paragraph" w:styleId="9">
    <w:name w:val="header"/>
    <w:basedOn w:val="1"/>
    <w:link w:val="15"/>
    <w:unhideWhenUsed/>
    <w:qFormat/>
    <w:uiPriority w:val="99"/>
    <w:pPr>
      <w:tabs>
        <w:tab w:val="center" w:pos="4680"/>
        <w:tab w:val="right" w:pos="9360"/>
      </w:tabs>
      <w:spacing w:after="0" w:line="240" w:lineRule="auto"/>
    </w:p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5"/>
    <w:qFormat/>
    <w:uiPriority w:val="22"/>
    <w:rPr>
      <w:b/>
      <w:bCs/>
    </w:rPr>
  </w:style>
  <w:style w:type="character" w:customStyle="1" w:styleId="12">
    <w:name w:val="Heading 2 Char"/>
    <w:basedOn w:val="5"/>
    <w:link w:val="2"/>
    <w:qFormat/>
    <w:uiPriority w:val="9"/>
    <w:rPr>
      <w:rFonts w:ascii="Times New Roman" w:hAnsi="Times New Roman" w:eastAsia="Times New Roman" w:cs="Times New Roman"/>
      <w:b/>
      <w:bCs/>
      <w:sz w:val="36"/>
      <w:szCs w:val="36"/>
    </w:rPr>
  </w:style>
  <w:style w:type="character" w:customStyle="1" w:styleId="13">
    <w:name w:val="Heading 3 Char"/>
    <w:basedOn w:val="5"/>
    <w:link w:val="3"/>
    <w:qFormat/>
    <w:uiPriority w:val="9"/>
    <w:rPr>
      <w:rFonts w:ascii="Times New Roman" w:hAnsi="Times New Roman" w:eastAsia="Times New Roman" w:cs="Times New Roman"/>
      <w:b/>
      <w:bCs/>
      <w:sz w:val="27"/>
      <w:szCs w:val="27"/>
    </w:rPr>
  </w:style>
  <w:style w:type="table" w:customStyle="1" w:styleId="14">
    <w:name w:val="Plain Table 2"/>
    <w:basedOn w:val="6"/>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
    <w:name w:val="Header Char"/>
    <w:basedOn w:val="5"/>
    <w:link w:val="9"/>
    <w:qFormat/>
    <w:uiPriority w:val="99"/>
  </w:style>
  <w:style w:type="character" w:customStyle="1" w:styleId="16">
    <w:name w:val="Footer Char"/>
    <w:basedOn w:val="5"/>
    <w:link w:val="8"/>
    <w:qFormat/>
    <w:uiPriority w:val="99"/>
  </w:style>
  <w:style w:type="character" w:customStyle="1" w:styleId="17">
    <w:name w:val="Heading 4 Char"/>
    <w:basedOn w:val="5"/>
    <w:link w:val="4"/>
    <w:semiHidden/>
    <w:uiPriority w:val="9"/>
    <w:rPr>
      <w:rFonts w:asciiTheme="majorHAnsi" w:hAnsiTheme="majorHAnsi" w:eastAsiaTheme="majorEastAsia" w:cstheme="majorBidi"/>
      <w:i/>
      <w:iCs/>
      <w:color w:val="2E75B6"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42</Pages>
  <Words>4460</Words>
  <Characters>28012</Characters>
  <Lines>737</Lines>
  <Paragraphs>309</Paragraphs>
  <TotalTime>30</TotalTime>
  <ScaleCrop>false</ScaleCrop>
  <LinksUpToDate>false</LinksUpToDate>
  <CharactersWithSpaces>32163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2025-07-10T21:36:00Z</dcterms:created>
  <dc:creator>user</dc:creator>
  <cp:lastModifiedBy>user</cp:lastModifiedBy>
  <dcterms:modified xsi:type="dcterms:W3CDTF">2025-07-15T17:24:34Z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ebc61c12-d9da-4a21-9099-37b0b29040a9</vt:lpwstr>
  </property>
  <property fmtid="{D5CDD505-2E9C-101B-9397-08002B2CF9AE}" pid="3" name="KSOProductBuildVer">
    <vt:lpwstr>1033-12.2.0.21179</vt:lpwstr>
  </property>
  <property fmtid="{D5CDD505-2E9C-101B-9397-08002B2CF9AE}" pid="4" name="ICV">
    <vt:lpwstr>EF8D458099D148FB948FB7080EF488CD_12</vt:lpwstr>
  </property>
</Properties>
</file>