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ANTIBACTERIAL EFFICACY OF</w:t>
      </w:r>
      <w:r>
        <w:rPr>
          <w:rFonts w:ascii="Times New Roman" w:cs="Times New Roman" w:hAnsi="Times New Roman"/>
          <w:b/>
          <w:sz w:val="28"/>
          <w:szCs w:val="28"/>
        </w:rPr>
        <w:t xml:space="preserve"> BLUE GUM</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EUCALYPTUS GLOBULUS</w:t>
      </w:r>
      <w:r>
        <w:rPr>
          <w:rFonts w:ascii="Times New Roman" w:cs="Times New Roman" w:hAnsi="Times New Roman"/>
          <w:b/>
          <w:sz w:val="28"/>
          <w:szCs w:val="28"/>
        </w:rPr>
        <w:t>)</w:t>
      </w:r>
      <w:r>
        <w:rPr>
          <w:rFonts w:ascii="Times New Roman" w:cs="Times New Roman" w:hAnsi="Times New Roman"/>
          <w:b/>
          <w:sz w:val="28"/>
          <w:szCs w:val="28"/>
        </w:rPr>
        <w:t xml:space="preserve"> ON METHICILLIN RESISTANT </w:t>
      </w:r>
      <w:r>
        <w:rPr>
          <w:rFonts w:ascii="Times New Roman" w:cs="Times New Roman" w:hAnsi="Times New Roman"/>
          <w:b/>
          <w:i/>
          <w:sz w:val="28"/>
          <w:szCs w:val="28"/>
        </w:rPr>
        <w:t>S</w:t>
      </w:r>
      <w:r>
        <w:rPr>
          <w:rFonts w:ascii="Times New Roman" w:cs="Times New Roman" w:hAnsi="Times New Roman"/>
          <w:b/>
          <w:i/>
          <w:sz w:val="28"/>
          <w:szCs w:val="28"/>
        </w:rPr>
        <w:t>taphylococcus</w:t>
      </w:r>
      <w:r>
        <w:rPr>
          <w:rFonts w:ascii="Times New Roman" w:cs="Times New Roman" w:hAnsi="Times New Roman"/>
          <w:b/>
          <w:i/>
          <w:sz w:val="28"/>
          <w:szCs w:val="28"/>
        </w:rPr>
        <w:t xml:space="preserve"> </w:t>
      </w:r>
      <w:r>
        <w:rPr>
          <w:rFonts w:ascii="Times New Roman" w:cs="Times New Roman" w:hAnsi="Times New Roman"/>
          <w:b/>
          <w:i/>
          <w:sz w:val="28"/>
          <w:szCs w:val="28"/>
        </w:rPr>
        <w:t>aureus</w:t>
      </w:r>
      <w:r>
        <w:rPr>
          <w:rFonts w:ascii="Times New Roman" w:cs="Times New Roman" w:hAnsi="Times New Roman"/>
          <w:b/>
          <w:sz w:val="28"/>
          <w:szCs w:val="28"/>
        </w:rPr>
        <w:t xml:space="preserve"> </w:t>
      </w:r>
      <w:r>
        <w:rPr>
          <w:rFonts w:ascii="Times New Roman" w:cs="Times New Roman" w:hAnsi="Times New Roman"/>
          <w:b/>
          <w:sz w:val="28"/>
          <w:szCs w:val="28"/>
        </w:rPr>
        <w:t>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SALAUDEEN ABDULAZEEZ AYINLA </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HND/23/SLT/FT/0540</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r>
        <w:rPr>
          <w:rFonts w:ascii="Times New Roman" w:cs="Times New Roman" w:hAnsi="Times New Roman"/>
          <w:b/>
          <w:bCs/>
          <w:sz w:val="28"/>
          <w:szCs w:val="28"/>
        </w:rPr>
        <w:t xml:space="preserve">: </w:t>
      </w:r>
      <w:r>
        <w:rPr>
          <w:rFonts w:ascii="Times New Roman" w:cs="Times New Roman" w:hAnsi="Times New Roman"/>
          <w:b/>
          <w:bCs/>
          <w:sz w:val="28"/>
          <w:szCs w:val="28"/>
        </w:rPr>
        <w:t>DAGBA IB</w:t>
      </w:r>
      <w:r>
        <w:rPr>
          <w:rFonts w:ascii="Times New Roman" w:cs="Times New Roman" w:hAnsi="Times New Roman"/>
          <w:b/>
          <w:bCs/>
          <w:sz w:val="28"/>
          <w:szCs w:val="28"/>
        </w:rPr>
        <w:t xml:space="preserve">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ind w:right="27"/>
        <w:rPr>
          <w:rFonts w:ascii="Times New Roman" w:cs="Times New Roman" w:hAnsi="Times New Roman"/>
          <w:b/>
          <w:bCs/>
          <w:sz w:val="28"/>
          <w:szCs w:val="28"/>
        </w:rPr>
      </w:pPr>
    </w:p>
    <w:bookmarkStart w:id="0" w:name="_Toc203100984"/>
    <w:bookmarkStart w:id="1" w:name="_Toc203146280"/>
    <w:p>
      <w:pPr>
        <w:pStyle w:val="style1"/>
        <w:spacing w:lineRule="auto" w:line="480"/>
        <w:jc w:val="center"/>
        <w:rPr>
          <w:rFonts w:cs="Times New Roman" w:eastAsia="Times New Roman"/>
          <w:b w:val="false"/>
          <w:color w:val="auto"/>
          <w:sz w:val="28"/>
          <w:szCs w:val="28"/>
        </w:rPr>
      </w:pPr>
      <w:r>
        <w:rPr>
          <w:rFonts w:cs="Times New Roman" w:eastAsia="Times New Roman"/>
          <w:color w:val="auto"/>
          <w:sz w:val="28"/>
          <w:szCs w:val="28"/>
        </w:rPr>
        <w:t>CERTIFICATION</w:t>
      </w:r>
      <w:bookmarkEnd w:id="0"/>
      <w:bookmarkEnd w:id="1"/>
    </w:p>
    <w:p>
      <w:pPr>
        <w:pStyle w:val="style0"/>
        <w:spacing w:lineRule="auto" w:line="480"/>
        <w:ind w:right="27" w:firstLine="72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report was written by </w:t>
      </w:r>
      <w:r>
        <w:rPr>
          <w:rFonts w:ascii="Times New Roman" w:cs="Times New Roman" w:hAnsi="Times New Roman"/>
          <w:sz w:val="24"/>
          <w:szCs w:val="24"/>
        </w:rPr>
        <w:t xml:space="preserve">SALAUDEEN ABDULAZEEZ AYINLA </w:t>
      </w:r>
      <w:r>
        <w:rPr>
          <w:rFonts w:ascii="Times New Roman" w:cs="Times New Roman" w:hAnsi="Times New Roman"/>
          <w:sz w:val="24"/>
          <w:szCs w:val="24"/>
        </w:rPr>
        <w:t xml:space="preserve">with matric number </w:t>
      </w:r>
      <w:r>
        <w:rPr>
          <w:rFonts w:ascii="Times New Roman" w:cs="Times New Roman" w:hAnsi="Times New Roman"/>
          <w:sz w:val="24"/>
          <w:szCs w:val="24"/>
        </w:rPr>
        <w:t>HND/23/SLT/FT/0540</w:t>
      </w:r>
      <w:r>
        <w:rPr>
          <w:rFonts w:ascii="Times New Roman" w:cs="Times New Roman" w:hAnsi="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pStyle w:val="style0"/>
        <w:rPr>
          <w:rFonts w:ascii="Times New Roman" w:cs="Times New Roman" w:hAnsi="Times New Roman"/>
          <w:sz w:val="24"/>
          <w:szCs w:val="24"/>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4"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4;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2"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DAGBA IB</w:t>
      </w:r>
      <w:r>
        <w:rPr>
          <w:rFonts w:ascii="Times New Roman" w:cs="Times New Roman" w:hAnsi="Times New Roman"/>
          <w:sz w:val="26"/>
          <w:szCs w:val="26"/>
        </w:rPr>
        <w:t xml:space="preserve"> ( </w:t>
      </w:r>
      <w:r>
        <w:rPr>
          <w:rFonts w:ascii="Times New Roman" w:cs="Times New Roman" w:hAnsi="Times New Roman"/>
          <w:sz w:val="26"/>
          <w:szCs w:val="26"/>
        </w:rPr>
        <w:t>MRS</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3"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5;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7"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7;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6"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6;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bookmarkStart w:id="2" w:name="_Toc203100985"/>
    <w:p>
      <w:pPr>
        <w:pStyle w:val="style1"/>
        <w:spacing w:lineRule="auto" w:line="480"/>
        <w:rPr>
          <w:rFonts w:cs="Times New Roman" w:eastAsia="Times New Roman"/>
          <w:color w:val="auto"/>
          <w:szCs w:val="24"/>
        </w:rPr>
      </w:pPr>
    </w:p>
    <w:p>
      <w:pPr>
        <w:pStyle w:val="style1"/>
        <w:spacing w:lineRule="auto" w:line="480"/>
        <w:jc w:val="center"/>
        <w:rPr>
          <w:rFonts w:cs="Times New Roman" w:eastAsia="Times New Roman"/>
          <w:color w:val="auto"/>
          <w:szCs w:val="24"/>
        </w:rPr>
      </w:pPr>
    </w:p>
    <w:p>
      <w:pPr>
        <w:pStyle w:val="style0"/>
        <w:rPr/>
      </w:pPr>
    </w:p>
    <w:p>
      <w:pPr>
        <w:pStyle w:val="style0"/>
        <w:rPr/>
      </w:pPr>
    </w:p>
    <w:bookmarkStart w:id="3" w:name="_Toc203146281"/>
    <w:p>
      <w:pPr>
        <w:pStyle w:val="style1"/>
        <w:spacing w:lineRule="auto" w:line="480"/>
        <w:jc w:val="center"/>
        <w:rPr>
          <w:b w:val="false"/>
        </w:rPr>
      </w:pPr>
      <w:r>
        <w:rPr>
          <w:rFonts w:cs="Times New Roman" w:eastAsia="Times New Roman"/>
          <w:color w:val="auto"/>
          <w:szCs w:val="24"/>
        </w:rPr>
        <w:t>DEDICATION</w:t>
      </w:r>
      <w:bookmarkEnd w:id="2"/>
      <w:bookmarkEnd w:id="3"/>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 xml:space="preserve">I dedicated this project to almighty God for He is the one that makes this </w:t>
      </w:r>
      <w:r>
        <w:rPr>
          <w:rFonts w:ascii="Times New Roman" w:cs="Times New Roman" w:eastAsia="Times New Roman" w:hAnsi="Times New Roman"/>
          <w:szCs w:val="24"/>
        </w:rPr>
        <w:t>Programme</w:t>
      </w:r>
      <w:r>
        <w:rPr>
          <w:rFonts w:ascii="Times New Roman" w:cs="Times New Roman" w:eastAsia="Times New Roman" w:hAnsi="Times New Roman"/>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4" w:name="_Toc203100986"/>
    <w:p>
      <w:pPr>
        <w:pStyle w:val="style1"/>
        <w:spacing w:lineRule="auto" w:line="480"/>
        <w:jc w:val="center"/>
        <w:rPr>
          <w:rFonts w:cs="Times New Roman" w:eastAsia="Times New Roman"/>
          <w:b w:val="false"/>
          <w:color w:val="auto"/>
          <w:szCs w:val="24"/>
        </w:rPr>
      </w:pPr>
    </w:p>
    <w:p>
      <w:pPr>
        <w:pStyle w:val="style0"/>
        <w:rPr/>
      </w:pPr>
    </w:p>
    <w:p>
      <w:pPr>
        <w:pStyle w:val="style0"/>
        <w:rPr/>
      </w:pPr>
    </w:p>
    <w:p>
      <w:pPr>
        <w:pStyle w:val="style0"/>
        <w:rPr/>
      </w:pPr>
    </w:p>
    <w:bookmarkStart w:id="5" w:name="_Toc203146282"/>
    <w:p>
      <w:pPr>
        <w:pStyle w:val="style1"/>
        <w:spacing w:lineRule="auto" w:line="480"/>
        <w:jc w:val="center"/>
        <w:rPr>
          <w:rFonts w:cs="Times New Roman" w:eastAsia="Times New Roman"/>
          <w:b w:val="false"/>
          <w:color w:val="auto"/>
          <w:szCs w:val="24"/>
        </w:rPr>
      </w:pPr>
      <w:r>
        <w:rPr>
          <w:rFonts w:cs="Times New Roman" w:eastAsia="Times New Roman"/>
          <w:color w:val="auto"/>
          <w:szCs w:val="24"/>
        </w:rPr>
        <w:t>ACKNOWLEDGEMENT</w:t>
      </w:r>
      <w:bookmarkEnd w:id="4"/>
      <w:bookmarkEnd w:id="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First and foremost, I express my sincere gratitude to the Almighty God for granting me the strength, wisdom, and perseverance to successfully complete this report.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am deeply grateful to my supervisor, </w:t>
      </w:r>
      <w:r>
        <w:rPr>
          <w:rFonts w:ascii="Times New Roman" w:cs="Times New Roman" w:eastAsia="Times New Roman" w:hAnsi="Times New Roman"/>
          <w:sz w:val="24"/>
          <w:szCs w:val="24"/>
        </w:rPr>
        <w:t>Dagba</w:t>
      </w:r>
      <w:r>
        <w:rPr>
          <w:rFonts w:ascii="Times New Roman" w:cs="Times New Roman" w:eastAsia="Times New Roman" w:hAnsi="Times New Roman"/>
          <w:sz w:val="24"/>
          <w:szCs w:val="24"/>
        </w:rPr>
        <w:t xml:space="preserve"> I</w:t>
      </w:r>
      <w:r>
        <w:rPr>
          <w:rFonts w:ascii="Times New Roman" w:cs="Times New Roman" w:eastAsia="Times New Roman" w:hAnsi="Times New Roman"/>
          <w:sz w:val="24"/>
          <w:szCs w:val="24"/>
        </w:rPr>
        <w:t xml:space="preserve">B ( </w:t>
      </w:r>
      <w:r>
        <w:rPr>
          <w:rFonts w:ascii="Times New Roman" w:cs="Times New Roman" w:eastAsia="Times New Roman" w:hAnsi="Times New Roman"/>
          <w:sz w:val="24"/>
          <w:szCs w:val="24"/>
        </w:rPr>
        <w:t>Mrs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for her invaluable guidance, constructive feedback, and consistent support throughout the course of this project. Her mentorship has greatly enriched my academic journey.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also extend my heartfelt appreciation to my beloved parents, Mr. and Mrs. </w:t>
      </w:r>
      <w:r>
        <w:rPr>
          <w:rFonts w:ascii="Times New Roman" w:cs="Times New Roman" w:eastAsia="Times New Roman" w:hAnsi="Times New Roman"/>
          <w:sz w:val="24"/>
          <w:szCs w:val="24"/>
        </w:rPr>
        <w:t>SALAUDEEN</w:t>
      </w:r>
      <w:r>
        <w:rPr>
          <w:rFonts w:ascii="Times New Roman" w:cs="Times New Roman" w:eastAsia="Times New Roman" w:hAnsi="Times New Roman"/>
          <w:sz w:val="24"/>
          <w:szCs w:val="24"/>
        </w:rPr>
        <w:t>, for their unwavering love, encouragement, and moral support. Their sacrifices and prayers have been the foundation of my success.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all my lecturers, colleagues, and friends who contributed directly or indirectly to the completion of this work, I say thank you.</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266"/>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宋体" w:hAnsi="Times New Roman"/>
          <w:noProof/>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noProof/>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noProof/>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noProof/>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iv</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noProof/>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vii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Statement of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Aim and Objectives of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noProof/>
          <w:sz w:val="24"/>
          <w:szCs w:val="24"/>
        </w:rPr>
        <w:t>1.3.1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Aim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noProof/>
          <w:sz w:val="24"/>
          <w:szCs w:val="24"/>
        </w:rPr>
        <w:t>1.3.2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Specific 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noProof/>
          <w:sz w:val="24"/>
          <w:szCs w:val="24"/>
        </w:rPr>
        <w:t>2.1.1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Types of 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noProof/>
          <w:sz w:val="24"/>
          <w:szCs w:val="24"/>
        </w:rPr>
        <w:t>2.1.2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Spectrum of Activity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noProof/>
          <w:sz w:val="24"/>
          <w:szCs w:val="24"/>
        </w:rPr>
        <w:t>2.1.3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noProof/>
          <w:sz w:val="24"/>
          <w:szCs w:val="24"/>
        </w:rPr>
        <w:t>2.1.4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Combination Therapy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Overview of Eucalyptus globulus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 xml:space="preserve">Methicillin -Resistant Staphylococcus </w:t>
      </w:r>
      <w:r>
        <w:rPr>
          <w:rStyle w:val="style85"/>
          <w:rFonts w:ascii="Times New Roman" w:cs="Times New Roman" w:hAnsi="Times New Roman"/>
          <w:i/>
          <w:noProof/>
          <w:sz w:val="24"/>
          <w:szCs w:val="24"/>
        </w:rPr>
        <w:t>aureus</w:t>
      </w:r>
      <w:r>
        <w:rPr>
          <w:rStyle w:val="style85"/>
          <w:rFonts w:ascii="Times New Roman" w:cs="Times New Roman" w:hAnsi="Times New Roman"/>
          <w:noProof/>
          <w:sz w:val="24"/>
          <w:szCs w:val="24"/>
        </w:rPr>
        <w:t xml:space="preserve"> (MRSA)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noProof/>
          <w:sz w:val="24"/>
          <w:szCs w:val="24"/>
        </w:rPr>
        <w:t>2.3.1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noProof/>
          <w:sz w:val="24"/>
          <w:szCs w:val="24"/>
        </w:rPr>
        <w:t>2.3.2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Epidemiology and Clinical Impact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noProof/>
          <w:sz w:val="24"/>
          <w:szCs w:val="24"/>
        </w:rPr>
        <w:t>2.4</w:t>
      </w:r>
      <w:r>
        <w:rPr>
          <w:rFonts w:ascii="Times New Roman" w:cs="Times New Roman" w:eastAsia="宋体" w:hAnsi="Times New Roman"/>
          <w:noProof/>
          <w:sz w:val="24"/>
          <w:szCs w:val="24"/>
        </w:rPr>
        <w:tab/>
      </w:r>
      <w:r>
        <w:rPr>
          <w:rStyle w:val="style85"/>
          <w:rFonts w:ascii="Times New Roman" w:cs="Times New Roman" w:hAnsi="Times New Roman"/>
          <w:i/>
          <w:noProof/>
          <w:sz w:val="24"/>
          <w:szCs w:val="24"/>
        </w:rPr>
        <w:t>Escherichia coli</w:t>
      </w:r>
      <w:r>
        <w:rPr>
          <w:rStyle w:val="style85"/>
          <w:rFonts w:ascii="Times New Roman" w:cs="Times New Roman" w:hAnsi="Times New Roman"/>
          <w:noProof/>
          <w:sz w:val="24"/>
          <w:szCs w:val="24"/>
        </w:rPr>
        <w:t xml:space="preserve"> Infections and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noProof/>
          <w:sz w:val="24"/>
          <w:szCs w:val="24"/>
        </w:rPr>
        <w:t>2.4.1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Pathogenic Strains of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noProof/>
          <w:sz w:val="24"/>
          <w:szCs w:val="24"/>
        </w:rPr>
        <w:t>2.4.2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Mechanisms of Antibiotic Resistance in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20</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noProof/>
          <w:sz w:val="24"/>
          <w:szCs w:val="24"/>
        </w:rPr>
        <w:t>2.4.3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Clinical Impact of </w:t>
      </w:r>
      <w:r>
        <w:rPr>
          <w:rStyle w:val="style85"/>
          <w:rFonts w:ascii="Times New Roman" w:cs="Times New Roman" w:hAnsi="Times New Roman"/>
          <w:i/>
          <w:iCs/>
          <w:noProof/>
          <w:sz w:val="24"/>
          <w:szCs w:val="24"/>
        </w:rPr>
        <w:t xml:space="preserve">E. coli </w:t>
      </w:r>
      <w:r>
        <w:rPr>
          <w:rStyle w:val="style85"/>
          <w:rFonts w:ascii="Times New Roman" w:cs="Times New Roman" w:hAnsi="Times New Roman"/>
          <w:noProof/>
          <w:sz w:val="24"/>
          <w:szCs w:val="24"/>
        </w:rPr>
        <w:t>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noProof/>
          <w:sz w:val="24"/>
          <w:szCs w:val="24"/>
        </w:rPr>
        <w:t>MATERIALS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noProof/>
          <w:sz w:val="24"/>
          <w:szCs w:val="24"/>
        </w:rPr>
        <w:t>3.1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Study Area and Sample Collection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Collection and Preparation of Plant Material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noProof/>
          <w:sz w:val="24"/>
          <w:szCs w:val="24"/>
        </w:rPr>
        <w:t>3.3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Preparation of Plant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noProof/>
          <w:sz w:val="24"/>
          <w:szCs w:val="24"/>
        </w:rPr>
        <w:t>3.3.1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Ethanol Extraction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noProof/>
          <w:sz w:val="24"/>
          <w:szCs w:val="24"/>
        </w:rPr>
        <w:t>3.4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noProof/>
          <w:sz w:val="24"/>
          <w:szCs w:val="24"/>
        </w:rPr>
        <w:t>3.4.1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Alkaloids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noProof/>
          <w:sz w:val="24"/>
          <w:szCs w:val="24"/>
        </w:rPr>
        <w:t>3.4.2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Flavonoids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noProof/>
          <w:sz w:val="24"/>
          <w:szCs w:val="24"/>
        </w:rPr>
        <w:t>3.4.3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Tannins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noProof/>
          <w:sz w:val="24"/>
          <w:szCs w:val="24"/>
        </w:rPr>
        <w:t>3.4.4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Saponins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noProof/>
          <w:sz w:val="24"/>
          <w:szCs w:val="24"/>
        </w:rPr>
        <w:t>3.4.5</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Phenolic Compounds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Standardization of Bacterial Inoculum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noProof/>
          <w:sz w:val="24"/>
          <w:szCs w:val="24"/>
        </w:rPr>
        <w:t>3.6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Susceptibility Testing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noProof/>
          <w:sz w:val="24"/>
          <w:szCs w:val="24"/>
        </w:rPr>
        <w:t xml:space="preserve">3.6.1 </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noProof/>
          <w:sz w:val="24"/>
          <w:szCs w:val="24"/>
        </w:rPr>
        <w:t>3.6.2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Minimum Inhibitory Concentration (MIC) Determination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noProof/>
          <w:sz w:val="24"/>
          <w:szCs w:val="24"/>
        </w:rPr>
        <w:t>RESULTS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noProof/>
          <w:sz w:val="24"/>
          <w:szCs w:val="24"/>
        </w:rPr>
        <w:t>4.1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 of Eucalyptus globulus Leaf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noProof/>
          <w:sz w:val="24"/>
          <w:szCs w:val="24"/>
        </w:rPr>
        <w:t>4.2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Activity of Eucalyptus globulus Extracts Using 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Minimum Inhibitory Concentration (MIC) Determination of Ethanol Extract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noProof/>
          <w:sz w:val="24"/>
          <w:szCs w:val="24"/>
        </w:rPr>
        <w:t>4.5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noProof/>
          <w:sz w:val="24"/>
          <w:szCs w:val="24"/>
        </w:rPr>
        <w:t>SUMMARY, CONCLUSION AND RECOMMENDATION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noProof/>
          <w:sz w:val="24"/>
          <w:szCs w:val="24"/>
        </w:rPr>
        <w:t>APPENDIX</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bookmarkStart w:id="6" w:name="_Toc203146283"/>
    <w:p>
      <w:pPr>
        <w:pStyle w:val="style1"/>
        <w:spacing w:lineRule="auto" w:line="480"/>
        <w:jc w:val="center"/>
        <w:rPr/>
      </w:pPr>
      <w:r>
        <w:t>ABSTRACT</w:t>
      </w:r>
      <w:bookmarkEnd w:id="6"/>
    </w:p>
    <w:p>
      <w:pPr>
        <w:pStyle w:val="style94"/>
        <w:spacing w:before="0" w:beforeAutospacing="false" w:after="0" w:afterAutospacing="false"/>
        <w:ind w:firstLine="720"/>
        <w:jc w:val="both"/>
        <w:rPr>
          <w:i/>
          <w:iCs/>
        </w:rPr>
      </w:pPr>
      <w:r>
        <w:rPr>
          <w:i/>
          <w:iCs/>
        </w:rPr>
        <w:t xml:space="preserve">This study investigated the antibacterial efficacy of aqueous and ethanol extracts of Eucalyptus </w:t>
      </w:r>
      <w:r>
        <w:rPr>
          <w:i/>
          <w:iCs/>
        </w:rPr>
        <w:t>globulus</w:t>
      </w:r>
      <w:r>
        <w:rPr>
          <w:i/>
          <w:iCs/>
        </w:rPr>
        <w:t xml:space="preserve">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w:t>
      </w:r>
      <w:r>
        <w:rPr>
          <w:i/>
          <w:iCs/>
        </w:rPr>
        <w:t>globulus</w:t>
      </w:r>
      <w:r>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Pr>
          <w:i/>
          <w:iCs/>
        </w:rPr>
        <w:t xml:space="preserve"> flavonoids, tannins</w:t>
      </w:r>
      <w:r>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Pr>
          <w:i/>
          <w:iCs/>
        </w:rPr>
        <w:t>E. coli</w:t>
      </w:r>
      <w:r>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r>
        <w:rPr>
          <w:i/>
          <w:iCs/>
        </w:rPr>
        <w:t>globulus</w:t>
      </w:r>
      <w:r>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footerReference w:type="even" r:id="rId3"/>
          <w:footerReference w:type="default" r:id="rId4"/>
          <w:pgSz w:w="12240" w:h="15840" w:orient="portrait"/>
          <w:pgMar w:top="1440" w:right="1440" w:bottom="1440" w:left="1440" w:header="708" w:footer="708" w:gutter="0"/>
          <w:pgNumType w:fmt="lowerRoman" w:start="1"/>
          <w:cols w:space="708"/>
          <w:docGrid w:linePitch="360"/>
        </w:sectPr>
      </w:pPr>
    </w:p>
    <w:bookmarkStart w:id="7"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7"/>
    </w:p>
    <w:bookmarkStart w:id="8" w:name="_Toc203146285"/>
    <w:p>
      <w:pPr>
        <w:pStyle w:val="style1"/>
        <w:spacing w:lineRule="auto" w:line="480"/>
        <w:jc w:val="center"/>
        <w:rPr/>
      </w:pPr>
      <w:r>
        <w:t>INTRODUCTION</w:t>
      </w:r>
      <w:bookmarkEnd w:id="8"/>
    </w:p>
    <w:bookmarkStart w:id="9" w:name="_Toc203146286"/>
    <w:p>
      <w:pPr>
        <w:pStyle w:val="style2"/>
        <w:spacing w:lineRule="auto" w:line="480"/>
        <w:rPr/>
      </w:pPr>
      <w:r>
        <w:t>1.1</w:t>
      </w:r>
      <w:r>
        <w:tab/>
      </w:r>
      <w:r>
        <w:t>Background to the Study</w:t>
      </w:r>
      <w:bookmarkEnd w:id="9"/>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have been linked to serious infections such as urinary tract infections and bloodstream infections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commonly known as the Blue Gum tree, is one such plant that ha</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shown promising antimicrobial properties. It belongs to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essential oils extracted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 are known to contain compounds such as 1,8-cineole (eucalyptol), α-</w:t>
      </w:r>
      <w:r>
        <w:rPr>
          <w:rFonts w:ascii="Times New Roman" w:cs="Times New Roman" w:eastAsia="Times New Roman" w:hAnsi="Times New Roman"/>
          <w:sz w:val="24"/>
          <w:szCs w:val="24"/>
        </w:rPr>
        <w:t>pinene</w:t>
      </w:r>
      <w:r>
        <w:rPr>
          <w:rFonts w:ascii="Times New Roman" w:cs="Times New Roman" w:eastAsia="Times New Roman" w:hAnsi="Times New Roman"/>
          <w:sz w:val="24"/>
          <w:szCs w:val="24"/>
        </w:rPr>
        <w:t xml:space="preserve">, and limonene. These compounds have demonstrated 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Notably, 1,8-cineole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Moreover, essential oils are generally considered safe, biodegradable, and less toxic compared to synthetic antibiotics when used appropriately (</w:t>
      </w:r>
      <w:r>
        <w:rPr>
          <w:rFonts w:ascii="Times New Roman" w:cs="Times New Roman" w:eastAsia="Times New Roman" w:hAnsi="Times New Roman"/>
          <w:sz w:val="24"/>
          <w:szCs w:val="24"/>
        </w:rPr>
        <w:t>Júnior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w:t>
      </w: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the face of the global antibiotic resistance crisis, exploring natural resources like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is not just timely but necessary. Natural products offer a rich and relatively untapped reservoir of potential solutions to one of the most pressing medical challenges of the 21st century.</w:t>
      </w:r>
    </w:p>
    <w:bookmarkStart w:id="10"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 Most available studies have focused on general antimicrobial properties, but few have directly compared its activity against these two clinically significant bacteria</w:t>
      </w:r>
      <w:r>
        <w:rPr>
          <w:rFonts w:ascii="Times New Roman" w:cs="Times New Roman" w:eastAsia="Times New Roman" w:hAnsi="Times New Roman"/>
          <w:sz w:val="24"/>
          <w:szCs w:val="24"/>
        </w:rPr>
        <w:t xml:space="preserve">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r>
        <w:rPr>
          <w:rFonts w:ascii="Times New Roman" w:cs="Times New Roman" w:eastAsia="Times New Roman" w:hAnsi="Times New Roman"/>
          <w:i/>
          <w:sz w:val="24"/>
          <w:szCs w:val="24"/>
        </w:rPr>
        <w:t>.</w:t>
      </w:r>
    </w:p>
    <w:bookmarkStart w:id="11"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w:t>
      </w:r>
      <w:r>
        <w:rPr>
          <w:rFonts w:eastAsia="Times New Roman"/>
        </w:rPr>
        <w:t>ustification</w:t>
      </w:r>
      <w:bookmarkEnd w:id="11"/>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The study could contribute valuable knowledge to the search for new, plant-based therapies to combat resistant infections.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proves effective, it could offer a safer, cheaper, and more natural alternative to synthetic antibiotics, especially in low- and middle-income countries where access to modern drugs is limited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12" w:name="_Toc203146289"/>
    <w:p>
      <w:pPr>
        <w:pStyle w:val="style2"/>
        <w:spacing w:lineRule="auto" w:line="480"/>
        <w:rPr>
          <w:rFonts w:eastAsia="Times New Roman"/>
        </w:rPr>
      </w:pPr>
      <w:r>
        <w:rPr>
          <w:rFonts w:eastAsia="Times New Roman"/>
        </w:rPr>
        <w:t>1.</w:t>
      </w:r>
      <w:r>
        <w:rPr>
          <w:rFonts w:eastAsia="Times New Roman"/>
        </w:rPr>
        <w:t>3</w:t>
      </w:r>
      <w:r>
        <w:rPr>
          <w:rFonts w:eastAsia="Times New Roman"/>
        </w:rPr>
        <w:tab/>
      </w:r>
      <w:r>
        <w:rPr>
          <w:rFonts w:eastAsia="Times New Roman"/>
        </w:rPr>
        <w:t>Aim and Objectives of Study</w:t>
      </w:r>
      <w:bookmarkEnd w:id="12"/>
      <w:r>
        <w:rPr>
          <w:rFonts w:eastAsia="Times New Roman"/>
        </w:rPr>
        <w:t xml:space="preserve"> </w:t>
      </w:r>
    </w:p>
    <w:bookmarkStart w:id="13"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4" w:name="_Toc203146291"/>
    <w:p>
      <w:pPr>
        <w:pStyle w:val="style3"/>
        <w:rPr>
          <w:bCs w:val="false"/>
          <w:szCs w:val="24"/>
        </w:rPr>
      </w:pPr>
      <w:r>
        <w:rPr>
          <w:bCs w:val="false"/>
          <w:szCs w:val="24"/>
        </w:rPr>
        <w:t>1.3.2</w:t>
      </w:r>
      <w:r>
        <w:rPr>
          <w:bCs w:val="false"/>
          <w:szCs w:val="24"/>
        </w:rPr>
        <w:tab/>
      </w:r>
      <w:r>
        <w:rPr>
          <w:bCs w:val="false"/>
          <w:szCs w:val="24"/>
        </w:rPr>
        <w:t>Specific Objectives</w:t>
      </w:r>
      <w:bookmarkEnd w:id="14"/>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xtract and prepare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extracts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w:t>
      </w:r>
      <w:r>
        <w:rPr>
          <w:rFonts w:ascii="Times New Roman" w:cs="Times New Roman" w:eastAsia="Times New Roman" w:hAnsi="Times New Roman"/>
          <w:bCs/>
          <w:sz w:val="24"/>
          <w:szCs w:val="24"/>
        </w:rPr>
        <w:t>etermine the antibacterial activity</w:t>
      </w:r>
      <w:r>
        <w:rPr>
          <w:rFonts w:ascii="Times New Roman" w:cs="Times New Roman" w:eastAsia="Times New Roman" w:hAnsi="Times New Roman"/>
          <w:sz w:val="24"/>
          <w:szCs w:val="24"/>
        </w:rPr>
        <w:t xml:space="preserve"> of </w:t>
      </w:r>
      <w:bookmarkStart w:id="15" w:name="_Hlk199157975"/>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bookmarkEnd w:id="15"/>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w:t>
      </w:r>
      <w:r>
        <w:rPr>
          <w:rFonts w:ascii="Times New Roman" w:cs="Times New Roman" w:eastAsia="Times New Roman" w:hAnsi="Times New Roman"/>
          <w:bCs/>
          <w:sz w:val="24"/>
          <w:szCs w:val="24"/>
        </w:rPr>
        <w:t>ssess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6" w:name="_Toc203146292"/>
    <w:p>
      <w:pPr>
        <w:pStyle w:val="style1"/>
        <w:spacing w:lineRule="auto" w:line="480"/>
        <w:jc w:val="center"/>
        <w:rPr/>
      </w:pPr>
      <w:r>
        <w:t>CHAPTER TWO</w:t>
      </w:r>
      <w:bookmarkEnd w:id="16"/>
    </w:p>
    <w:bookmarkStart w:id="17" w:name="_Toc203146293"/>
    <w:p>
      <w:pPr>
        <w:pStyle w:val="style1"/>
        <w:spacing w:lineRule="auto" w:line="480"/>
        <w:jc w:val="center"/>
        <w:rPr/>
      </w:pPr>
      <w:r>
        <w:t>LITERATURE REVIEW</w:t>
      </w:r>
      <w:bookmarkEnd w:id="17"/>
    </w:p>
    <w:bookmarkStart w:id="18" w:name="_Toc203146294"/>
    <w:p>
      <w:pPr>
        <w:pStyle w:val="style2"/>
        <w:spacing w:lineRule="auto" w:line="480"/>
        <w:rPr/>
      </w:pPr>
      <w:r>
        <w:t>2.1</w:t>
      </w:r>
      <w:r>
        <w:tab/>
      </w:r>
      <w:r>
        <w:t>Antibacterial Agents</w:t>
      </w:r>
      <w:bookmarkEnd w:id="1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r>
        <w:rPr>
          <w:rFonts w:ascii="Times New Roman" w:cs="Times New Roman" w:hAnsi="Times New Roman"/>
          <w:bCs/>
          <w:sz w:val="24"/>
          <w:szCs w:val="24"/>
        </w:rPr>
        <w:t>Ventola</w:t>
      </w:r>
      <w:r>
        <w:rPr>
          <w:rFonts w:ascii="Times New Roman" w:cs="Times New Roman" w:hAnsi="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r>
        <w:rPr>
          <w:rFonts w:ascii="Times New Roman" w:cs="Times New Roman" w:hAnsi="Times New Roman"/>
          <w:bCs/>
          <w:sz w:val="24"/>
          <w:szCs w:val="24"/>
        </w:rPr>
        <w:t>Gajdács</w:t>
      </w:r>
      <w:r>
        <w:rPr>
          <w:rFonts w:ascii="Times New Roman" w:cs="Times New Roman" w:hAnsi="Times New Roman"/>
          <w:bCs/>
          <w:sz w:val="24"/>
          <w:szCs w:val="24"/>
        </w:rPr>
        <w:t xml:space="preserve">, 2020). Plant extracts, essential oils, and phytochemicals such as flavonoids, tannins, and </w:t>
      </w:r>
      <w:r>
        <w:rPr>
          <w:rFonts w:ascii="Times New Roman" w:cs="Times New Roman" w:hAnsi="Times New Roman"/>
          <w:bCs/>
          <w:sz w:val="24"/>
          <w:szCs w:val="24"/>
        </w:rPr>
        <w:t>terpenoids</w:t>
      </w:r>
      <w:r>
        <w:rPr>
          <w:rFonts w:ascii="Times New Roman" w:cs="Times New Roman" w:hAnsi="Times New Roman"/>
          <w:bCs/>
          <w:sz w:val="24"/>
          <w:szCs w:val="24"/>
        </w:rPr>
        <w:t xml:space="preserve"> have shown significant antibacterial activities against both Gram-positive and Gram-negative bacteria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r>
        <w:rPr>
          <w:rFonts w:ascii="Times New Roman" w:cs="Times New Roman" w:hAnsi="Times New Roman"/>
          <w:bCs/>
          <w:sz w:val="24"/>
          <w:szCs w:val="24"/>
        </w:rPr>
        <w:t>globulus</w:t>
      </w:r>
      <w:r>
        <w:rPr>
          <w:rFonts w:ascii="Times New Roman" w:cs="Times New Roman" w:hAnsi="Times New Roman"/>
          <w:bCs/>
          <w:sz w:val="24"/>
          <w:szCs w:val="24"/>
        </w:rPr>
        <w:t>, contain essential oils and phytochemicals with strong antibacterial properties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 These natural compounds offer the advantage of being less likely to induce resistance compared to synthetic antibiotics, and they may provide multiple mechanisms of action against bacterial pathogens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r>
        <w:rPr>
          <w:rFonts w:ascii="Times New Roman" w:cs="Times New Roman" w:hAnsi="Times New Roman"/>
          <w:bCs/>
          <w:sz w:val="24"/>
          <w:szCs w:val="24"/>
        </w:rPr>
        <w:t>Elbehiry</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19"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are derived from naturally occurring sources, such as microorganisms, plants, and other natural substances. One of the most notable examples is penicillin, discovered from the mold </w:t>
      </w:r>
      <w:r>
        <w:rPr>
          <w:rFonts w:ascii="Times New Roman" w:cs="Times New Roman" w:hAnsi="Times New Roman"/>
          <w:bCs/>
          <w:sz w:val="24"/>
          <w:szCs w:val="24"/>
        </w:rPr>
        <w:t>Penicillium</w:t>
      </w:r>
      <w:r>
        <w:rPr>
          <w:rFonts w:ascii="Times New Roman" w:cs="Times New Roman" w:hAnsi="Times New Roman"/>
          <w:bCs/>
          <w:sz w:val="24"/>
          <w:szCs w:val="24"/>
        </w:rPr>
        <w:t xml:space="preserve"> . Natural compounds have been a cornerstone of antibiotic development, with many modern antibiotics still based on their natural origins. Plant-based antibacterial agents, such as those derived from Eucalyptus </w:t>
      </w:r>
      <w:r>
        <w:rPr>
          <w:rFonts w:ascii="Times New Roman" w:cs="Times New Roman" w:hAnsi="Times New Roman"/>
          <w:bCs/>
          <w:sz w:val="24"/>
          <w:szCs w:val="24"/>
        </w:rPr>
        <w:t>globulus</w:t>
      </w:r>
      <w:r>
        <w:rPr>
          <w:rFonts w:ascii="Times New Roman" w:cs="Times New Roman" w:hAnsi="Times New Roman"/>
          <w:bCs/>
          <w:sz w:val="24"/>
          <w:szCs w:val="24"/>
        </w:rPr>
        <w:t>, have also gained attention for their promising antibacterial properties, offering an alternative to synthetic antibiotics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2015). The advantage of synthetic agents lies in their ability to be tailored for specific therapeutic needs, providing a wide range of options for clinicians.</w:t>
      </w:r>
    </w:p>
    <w:bookmarkStart w:id="20" w:name="_Toc203146296"/>
    <w:p>
      <w:pPr>
        <w:pStyle w:val="style3"/>
        <w:rPr>
          <w:bCs w:val="false"/>
          <w:szCs w:val="24"/>
        </w:rPr>
      </w:pPr>
      <w:r>
        <w:rPr>
          <w:bCs w:val="false"/>
          <w:szCs w:val="24"/>
        </w:rPr>
        <w:t>2.1.2</w:t>
      </w:r>
      <w:r>
        <w:rPr>
          <w:bCs w:val="false"/>
          <w:szCs w:val="24"/>
        </w:rPr>
        <w:tab/>
      </w:r>
      <w:r>
        <w:rPr>
          <w:bCs w:val="false"/>
          <w:szCs w:val="24"/>
        </w:rPr>
        <w:t>Spectrum of Activity</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w:t>
      </w:r>
      <w:r>
        <w:rPr>
          <w:rFonts w:ascii="Times New Roman" w:cs="Times New Roman" w:hAnsi="Times New Roman"/>
          <w:bCs/>
          <w:sz w:val="24"/>
          <w:szCs w:val="24"/>
        </w:rPr>
        <w:t>Tetracyclines</w:t>
      </w:r>
      <w:r>
        <w:rPr>
          <w:rFonts w:ascii="Times New Roman" w:cs="Times New Roman" w:hAnsi="Times New Roman"/>
          <w:bCs/>
          <w:sz w:val="24"/>
          <w:szCs w:val="24"/>
        </w:rPr>
        <w:t xml:space="preserve"> and </w:t>
      </w:r>
      <w:r>
        <w:rPr>
          <w:rFonts w:ascii="Times New Roman" w:cs="Times New Roman" w:hAnsi="Times New Roman"/>
          <w:bCs/>
          <w:sz w:val="24"/>
          <w:szCs w:val="24"/>
        </w:rPr>
        <w:t>fluoroquinolones</w:t>
      </w:r>
      <w:r>
        <w:rPr>
          <w:rFonts w:ascii="Times New Roman" w:cs="Times New Roman" w:hAnsi="Times New Roman"/>
          <w:bCs/>
          <w:sz w:val="24"/>
          <w:szCs w:val="24"/>
        </w:rPr>
        <w:t xml:space="preserve"> are prime examples of broad-spectrum antibiotics (</w:t>
      </w:r>
      <w:r>
        <w:rPr>
          <w:rFonts w:ascii="Times New Roman" w:cs="Times New Roman" w:hAnsi="Times New Roman"/>
          <w:bCs/>
          <w:sz w:val="24"/>
          <w:szCs w:val="24"/>
        </w:rPr>
        <w:t>Deo</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21" w:name="_Toc203146297"/>
    <w:p>
      <w:pPr>
        <w:pStyle w:val="style3"/>
        <w:rPr/>
      </w:pPr>
      <w:r>
        <w:t>2.1.3</w:t>
      </w:r>
      <w:r>
        <w:tab/>
      </w:r>
      <w:r>
        <w:t>Mechanisms of Action</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Many antibiotics, such as β-lactams (including penicillin and </w:t>
      </w:r>
      <w:r>
        <w:rPr>
          <w:rFonts w:ascii="Times New Roman" w:cs="Times New Roman" w:hAnsi="Times New Roman"/>
          <w:bCs/>
          <w:sz w:val="24"/>
          <w:szCs w:val="24"/>
        </w:rPr>
        <w:t>cephalosporins</w:t>
      </w:r>
      <w:r>
        <w:rPr>
          <w:rFonts w:ascii="Times New Roman" w:cs="Times New Roman" w:hAnsi="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r>
        <w:rPr>
          <w:rFonts w:ascii="Times New Roman" w:cs="Times New Roman" w:hAnsi="Times New Roman"/>
          <w:bCs/>
          <w:sz w:val="24"/>
          <w:szCs w:val="24"/>
        </w:rPr>
        <w:t>Gajdács</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Tetracyclines</w:t>
      </w:r>
      <w:r>
        <w:rPr>
          <w:rFonts w:ascii="Times New Roman" w:cs="Times New Roman" w:hAnsi="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Polymyxins</w:t>
      </w:r>
      <w:r>
        <w:rPr>
          <w:rFonts w:ascii="Times New Roman" w:cs="Times New Roman" w:hAnsi="Times New Roman"/>
          <w:bCs/>
          <w:sz w:val="24"/>
          <w:szCs w:val="24"/>
        </w:rPr>
        <w:t xml:space="preserve">, such as </w:t>
      </w:r>
      <w:r>
        <w:rPr>
          <w:rFonts w:ascii="Times New Roman" w:cs="Times New Roman" w:hAnsi="Times New Roman"/>
          <w:bCs/>
          <w:sz w:val="24"/>
          <w:szCs w:val="24"/>
        </w:rPr>
        <w:t>polymyxin</w:t>
      </w:r>
      <w:r>
        <w:rPr>
          <w:rFonts w:ascii="Times New Roman" w:cs="Times New Roman" w:hAnsi="Times New Roman"/>
          <w:bCs/>
          <w:sz w:val="24"/>
          <w:szCs w:val="24"/>
        </w:rPr>
        <w:t xml:space="preserve"> B and </w:t>
      </w:r>
      <w:r>
        <w:rPr>
          <w:rFonts w:ascii="Times New Roman" w:cs="Times New Roman" w:hAnsi="Times New Roman"/>
          <w:bCs/>
          <w:sz w:val="24"/>
          <w:szCs w:val="24"/>
        </w:rPr>
        <w:t>colistin</w:t>
      </w:r>
      <w:r>
        <w:rPr>
          <w:rFonts w:ascii="Times New Roman" w:cs="Times New Roman" w:hAnsi="Times New Roman"/>
          <w:bCs/>
          <w:sz w:val="24"/>
          <w:szCs w:val="24"/>
        </w:rPr>
        <w:t xml:space="preserve">, interact with the outer membrane of Gram-negative bacteria, increasing membrane permeability. This leads to the leakage of vital cellular contents, causing cell death. </w:t>
      </w:r>
      <w:r>
        <w:rPr>
          <w:rFonts w:ascii="Times New Roman" w:cs="Times New Roman" w:hAnsi="Times New Roman"/>
          <w:bCs/>
          <w:sz w:val="24"/>
          <w:szCs w:val="24"/>
        </w:rPr>
        <w:t>Polymyxins</w:t>
      </w:r>
      <w:r>
        <w:rPr>
          <w:rFonts w:ascii="Times New Roman" w:cs="Times New Roman" w:hAnsi="Times New Roman"/>
          <w:bCs/>
          <w:sz w:val="24"/>
          <w:szCs w:val="24"/>
        </w:rPr>
        <w:t xml:space="preserve"> are often reserved for multi-drug-resistant Gram-negative infections due to their potency and potential toxicity (</w:t>
      </w:r>
      <w:r>
        <w:rPr>
          <w:rFonts w:ascii="Times New Roman" w:cs="Times New Roman" w:hAnsi="Times New Roman"/>
          <w:bCs/>
          <w:sz w:val="24"/>
          <w:szCs w:val="24"/>
        </w:rPr>
        <w:t>Gorib</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22" w:name="_Toc203146298"/>
    <w:p>
      <w:pPr>
        <w:pStyle w:val="style3"/>
        <w:rPr/>
      </w:pPr>
      <w:r>
        <w:t>2.1.4</w:t>
      </w:r>
      <w:r>
        <w:tab/>
      </w:r>
      <w:r>
        <w:t>Combination Therapy</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r>
        <w:rPr>
          <w:rFonts w:ascii="Times New Roman" w:cs="Times New Roman" w:hAnsi="Times New Roman"/>
          <w:bCs/>
          <w:sz w:val="24"/>
          <w:szCs w:val="24"/>
        </w:rPr>
        <w:t>Bonomo</w:t>
      </w:r>
      <w:r>
        <w:rPr>
          <w:rFonts w:ascii="Times New Roman" w:cs="Times New Roman" w:hAnsi="Times New Roman"/>
          <w:bCs/>
          <w:sz w:val="24"/>
          <w:szCs w:val="24"/>
        </w:rPr>
        <w:t>, 2020). For example, combining β-lactams with β-lactamase inhibitors can restore the effectiveness of the former against bacteria that produce β-lactamase, an enzyme that degrades penicillin and related drugs.</w:t>
      </w:r>
    </w:p>
    <w:bookmarkStart w:id="23" w:name="_Toc203146299"/>
    <w:p>
      <w:pPr>
        <w:pStyle w:val="style2"/>
        <w:rPr/>
      </w:pPr>
      <w:r>
        <w:t>2.2</w:t>
      </w:r>
      <w:r>
        <w:tab/>
      </w:r>
      <w:r>
        <w:t xml:space="preserve">Overview of Eucalyptus </w:t>
      </w:r>
      <w:r>
        <w:t>globulus</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commonly known as the blue gum tree and it is a species of evergreen tree native to Australia. It belongs to the </w:t>
      </w:r>
      <w:r>
        <w:rPr>
          <w:rFonts w:ascii="Times New Roman" w:cs="Times New Roman" w:hAnsi="Times New Roman"/>
          <w:bCs/>
          <w:sz w:val="24"/>
          <w:szCs w:val="24"/>
        </w:rPr>
        <w:t>Myrtaceae</w:t>
      </w:r>
      <w:r>
        <w:rPr>
          <w:rFonts w:ascii="Times New Roman" w:cs="Times New Roman" w:hAnsi="Times New Roman"/>
          <w:bCs/>
          <w:sz w:val="24"/>
          <w:szCs w:val="24"/>
        </w:rPr>
        <w:t xml:space="preserve"> family, which includes a diverse range of trees and shrubs.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and its essential oil has been the subject of numerous studies, which have demonstrated its effectiveness against a variety of bacterial strains, including Gram-positive and Gram-negative bacteria (</w:t>
      </w:r>
      <w:r>
        <w:rPr>
          <w:rFonts w:ascii="Times New Roman" w:cs="Times New Roman" w:hAnsi="Times New Roman"/>
          <w:bCs/>
          <w:sz w:val="24"/>
          <w:szCs w:val="24"/>
        </w:rPr>
        <w:t>Fadeyi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4" w:name="_Toc203146300"/>
    <w:p>
      <w:pPr>
        <w:pStyle w:val="style2"/>
        <w:spacing w:lineRule="auto" w:line="480"/>
        <w:rPr/>
      </w:pPr>
      <w:r>
        <w:t>2.3</w:t>
      </w:r>
      <w:r>
        <w:tab/>
      </w:r>
      <w:r>
        <w:t xml:space="preserve">Methicillin -Resistant Staphylococcus </w:t>
      </w:r>
      <w:r>
        <w:rPr>
          <w:i/>
        </w:rPr>
        <w:t>aureus</w:t>
      </w:r>
      <w:r>
        <w:t xml:space="preserve"> (MRSA)</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w:t>
      </w:r>
      <w:r>
        <w:rPr>
          <w:rFonts w:ascii="Times New Roman" w:cs="Times New Roman" w:hAnsi="Times New Roman"/>
          <w:bCs/>
          <w:sz w:val="24"/>
          <w:szCs w:val="24"/>
        </w:rPr>
        <w:t>oxacillin</w:t>
      </w:r>
      <w:r>
        <w:rPr>
          <w:rFonts w:ascii="Times New Roman" w:cs="Times New Roman" w:hAnsi="Times New Roman"/>
          <w:bCs/>
          <w:sz w:val="24"/>
          <w:szCs w:val="24"/>
        </w:rPr>
        <w:t xml:space="preserve">, and penicillin. This resistance is due to the acquisition of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encodes a modified penicillin-binding protein (PBP2a) that has a low affinity for beta-lactam antibiotics (</w:t>
      </w:r>
      <w:r>
        <w:rPr>
          <w:rFonts w:ascii="Times New Roman" w:cs="Times New Roman" w:hAnsi="Times New Roman"/>
          <w:bCs/>
          <w:sz w:val="24"/>
          <w:szCs w:val="24"/>
        </w:rPr>
        <w:t>Bouchiat</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5" w:name="_Toc203146301"/>
    <w:p>
      <w:pPr>
        <w:pStyle w:val="style3"/>
        <w:rPr/>
      </w:pPr>
      <w:r>
        <w:t>2.3.1</w:t>
      </w:r>
      <w:r>
        <w:tab/>
      </w:r>
      <w:r>
        <w:t>Mechanisms of Resistance</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resistance of S. aureus to methicillin and other antibiotics is primarily mediated by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is located on a mobile genetic element known as the staphylococcal cassette chromosome </w:t>
      </w:r>
      <w:r>
        <w:rPr>
          <w:rFonts w:ascii="Times New Roman" w:cs="Times New Roman" w:hAnsi="Times New Roman"/>
          <w:bCs/>
          <w:sz w:val="24"/>
          <w:szCs w:val="24"/>
        </w:rPr>
        <w:t>mec</w:t>
      </w:r>
      <w:r>
        <w:rPr>
          <w:rFonts w:ascii="Times New Roman" w:cs="Times New Roman" w:hAnsi="Times New Roman"/>
          <w:bCs/>
          <w:sz w:val="24"/>
          <w:szCs w:val="24"/>
        </w:rPr>
        <w:t xml:space="preserve"> (</w:t>
      </w:r>
      <w:r>
        <w:rPr>
          <w:rFonts w:ascii="Times New Roman" w:cs="Times New Roman" w:hAnsi="Times New Roman"/>
          <w:bCs/>
          <w:sz w:val="24"/>
          <w:szCs w:val="24"/>
        </w:rPr>
        <w:t>SCCmec</w:t>
      </w:r>
      <w:r>
        <w:rPr>
          <w:rFonts w:ascii="Times New Roman" w:cs="Times New Roman" w:hAnsi="Times New Roman"/>
          <w:bCs/>
          <w:sz w:val="24"/>
          <w:szCs w:val="24"/>
        </w:rPr>
        <w:t>). This gene encodes PBP2a, which alters the structure of the bacterial cell wall, rendering it less susceptible to beta-lactams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w:t>
      </w:r>
      <w:r>
        <w:rPr>
          <w:rFonts w:ascii="Times New Roman" w:cs="Times New Roman" w:hAnsi="Times New Roman"/>
          <w:bCs/>
          <w:sz w:val="24"/>
          <w:szCs w:val="24"/>
        </w:rPr>
        <w:t>mecA</w:t>
      </w:r>
      <w:r>
        <w:rPr>
          <w:rFonts w:ascii="Times New Roman" w:cs="Times New Roman" w:hAnsi="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6" w:name="_Toc203146302"/>
    <w:p>
      <w:pPr>
        <w:pStyle w:val="style3"/>
        <w:rPr/>
      </w:pPr>
      <w:r>
        <w:t>2.3.2</w:t>
      </w:r>
      <w:r>
        <w:tab/>
      </w:r>
      <w:r>
        <w:t>Epidemiology and Clinical Impact</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7" w:name="_Toc203146303"/>
    <w:p>
      <w:pPr>
        <w:pStyle w:val="style2"/>
        <w:spacing w:lineRule="auto" w:line="480"/>
        <w:rPr/>
      </w:pPr>
      <w:r>
        <w:t>2.4</w:t>
      </w:r>
      <w:r>
        <w:tab/>
      </w:r>
      <w:r>
        <w:rPr>
          <w:i/>
        </w:rPr>
        <w:t>Escherichia coli</w:t>
      </w:r>
      <w:r>
        <w:t xml:space="preserve"> Infections and Resistance</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r>
        <w:rPr>
          <w:rFonts w:ascii="Times New Roman" w:cs="Times New Roman" w:hAnsi="Times New Roman"/>
          <w:bCs/>
          <w:sz w:val="24"/>
          <w:szCs w:val="24"/>
        </w:rPr>
        <w:t>Ranjbar</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8" w:name="_Toc203146304"/>
    <w:p>
      <w:pPr>
        <w:pStyle w:val="style3"/>
        <w:rPr/>
      </w:pPr>
      <w:r>
        <w:t>2.4.1</w:t>
      </w:r>
      <w:r>
        <w:tab/>
      </w:r>
      <w:r>
        <w:t xml:space="preserve">Pathogenic Strains of </w:t>
      </w:r>
      <w:r>
        <w:rPr>
          <w:i/>
          <w:iCs/>
        </w:rPr>
        <w:t>Escherichia coli</w:t>
      </w:r>
      <w:bookmarkEnd w:id="2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are caused by specific pathogenic strains. Among the most notable of these are </w:t>
      </w:r>
      <w:r>
        <w:rPr>
          <w:rFonts w:ascii="Times New Roman" w:cs="Times New Roman" w:hAnsi="Times New Roman"/>
          <w:bCs/>
          <w:sz w:val="24"/>
          <w:szCs w:val="24"/>
        </w:rPr>
        <w:t>Enterotoxigenic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w:t>
      </w:r>
      <w:r>
        <w:rPr>
          <w:rFonts w:ascii="Times New Roman" w:cs="Times New Roman" w:hAnsi="Times New Roman"/>
          <w:bCs/>
          <w:sz w:val="24"/>
          <w:szCs w:val="24"/>
        </w:rPr>
        <w:t>Enteropathogenic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significant pathogenic strain, </w:t>
      </w:r>
      <w:r>
        <w:rPr>
          <w:rFonts w:ascii="Times New Roman" w:cs="Times New Roman" w:hAnsi="Times New Roman"/>
          <w:bCs/>
          <w:sz w:val="24"/>
          <w:szCs w:val="24"/>
        </w:rPr>
        <w:t>Enterohemorrhagic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(EHEC), has been linked to outbreaks of foodborne illness, with some strains producing Shiga toxins that can cause hemolytic uremic syndrome (HUS), a potentially fatal condition. </w:t>
      </w:r>
      <w:r>
        <w:rPr>
          <w:rFonts w:ascii="Times New Roman" w:cs="Times New Roman" w:hAnsi="Times New Roman"/>
          <w:bCs/>
          <w:sz w:val="24"/>
          <w:szCs w:val="24"/>
        </w:rPr>
        <w:t>Uropathogenic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pathogenic strains are equipped with a range of virulence factors, including </w:t>
      </w:r>
      <w:r>
        <w:rPr>
          <w:rFonts w:ascii="Times New Roman" w:cs="Times New Roman" w:hAnsi="Times New Roman"/>
          <w:bCs/>
          <w:sz w:val="24"/>
          <w:szCs w:val="24"/>
        </w:rPr>
        <w:t>adhesins</w:t>
      </w:r>
      <w:r>
        <w:rPr>
          <w:rFonts w:ascii="Times New Roman" w:cs="Times New Roman" w:hAnsi="Times New Roman"/>
          <w:bCs/>
          <w:sz w:val="24"/>
          <w:szCs w:val="24"/>
        </w:rPr>
        <w:t>, toxins, and the ability to form biofilms, which enable them to adhere to and invade host tissues, evade immune responses, and resist antibiotic treatment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2019).</w:t>
      </w:r>
    </w:p>
    <w:bookmarkStart w:id="29" w:name="_Toc203146305"/>
    <w:p>
      <w:pPr>
        <w:pStyle w:val="style3"/>
        <w:rPr/>
      </w:pPr>
    </w:p>
    <w:p>
      <w:pPr>
        <w:pStyle w:val="style3"/>
        <w:rPr/>
      </w:pPr>
      <w:r>
        <w:t>2.4.2</w:t>
      </w:r>
      <w:r>
        <w:tab/>
      </w:r>
      <w:r>
        <w:t xml:space="preserve">Mechanisms of Antibiotic Resistance in </w:t>
      </w:r>
      <w:r>
        <w:rPr>
          <w:i/>
          <w:iCs/>
        </w:rPr>
        <w:t>Escherichia coli</w:t>
      </w:r>
      <w:bookmarkEnd w:id="2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r>
        <w:rPr>
          <w:rFonts w:ascii="Times New Roman" w:cs="Times New Roman" w:hAnsi="Times New Roman"/>
          <w:bCs/>
          <w:sz w:val="24"/>
          <w:szCs w:val="24"/>
        </w:rPr>
        <w:t>penicillins</w:t>
      </w:r>
      <w:r>
        <w:rPr>
          <w:rFonts w:ascii="Times New Roman" w:cs="Times New Roman" w:hAnsi="Times New Roman"/>
          <w:bCs/>
          <w:sz w:val="24"/>
          <w:szCs w:val="24"/>
        </w:rPr>
        <w:t xml:space="preserve"> and </w:t>
      </w:r>
      <w:r>
        <w:rPr>
          <w:rFonts w:ascii="Times New Roman" w:cs="Times New Roman" w:hAnsi="Times New Roman"/>
          <w:bCs/>
          <w:sz w:val="24"/>
          <w:szCs w:val="24"/>
        </w:rPr>
        <w:t>cephalosporins</w:t>
      </w:r>
      <w:r>
        <w:rPr>
          <w:rFonts w:ascii="Times New Roman" w:cs="Times New Roman" w:hAnsi="Times New Roman"/>
          <w:bCs/>
          <w:sz w:val="24"/>
          <w:szCs w:val="24"/>
        </w:rPr>
        <w:t xml:space="preserve">, rendering them ineffective. Extended-spectrum beta-lactamases (ESBLs) are particularly problematic, as they can hydrolyze third-generation </w:t>
      </w:r>
      <w:r>
        <w:rPr>
          <w:rFonts w:ascii="Times New Roman" w:cs="Times New Roman" w:hAnsi="Times New Roman"/>
          <w:bCs/>
          <w:sz w:val="24"/>
          <w:szCs w:val="24"/>
        </w:rPr>
        <w:t>cephalosporins</w:t>
      </w:r>
      <w:r>
        <w:rPr>
          <w:rFonts w:ascii="Times New Roman" w:cs="Times New Roman" w:hAnsi="Times New Roman"/>
          <w:bCs/>
          <w:sz w:val="24"/>
          <w:szCs w:val="24"/>
        </w:rPr>
        <w:t xml:space="preserve"> and </w:t>
      </w:r>
      <w:r>
        <w:rPr>
          <w:rFonts w:ascii="Times New Roman" w:cs="Times New Roman" w:hAnsi="Times New Roman"/>
          <w:bCs/>
          <w:sz w:val="24"/>
          <w:szCs w:val="24"/>
        </w:rPr>
        <w:t>monobactams</w:t>
      </w:r>
      <w:r>
        <w:rPr>
          <w:rFonts w:ascii="Times New Roman" w:cs="Times New Roman" w:hAnsi="Times New Roman"/>
          <w:bCs/>
          <w:sz w:val="24"/>
          <w:szCs w:val="24"/>
        </w:rPr>
        <w:t xml:space="preserve">, which are often used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w:t>
      </w:r>
      <w:r>
        <w:rPr>
          <w:rFonts w:ascii="Times New Roman" w:cs="Times New Roman" w:hAnsi="Times New Roman"/>
          <w:bCs/>
          <w:sz w:val="24"/>
          <w:szCs w:val="24"/>
        </w:rPr>
        <w:t>carbapenem</w:t>
      </w:r>
      <w:r>
        <w:rPr>
          <w:rFonts w:ascii="Times New Roman" w:cs="Times New Roman" w:hAnsi="Times New Roman"/>
          <w:bCs/>
          <w:sz w:val="24"/>
          <w:szCs w:val="24"/>
        </w:rPr>
        <w:t xml:space="preserve"> resistance. </w:t>
      </w:r>
      <w:r>
        <w:rPr>
          <w:rFonts w:ascii="Times New Roman" w:cs="Times New Roman" w:hAnsi="Times New Roman"/>
          <w:bCs/>
          <w:sz w:val="24"/>
          <w:szCs w:val="24"/>
        </w:rPr>
        <w:t>Carbapenems</w:t>
      </w:r>
      <w:r>
        <w:rPr>
          <w:rFonts w:ascii="Times New Roman" w:cs="Times New Roman" w:hAnsi="Times New Roman"/>
          <w:bCs/>
          <w:sz w:val="24"/>
          <w:szCs w:val="24"/>
        </w:rPr>
        <w:t xml:space="preserve">, such as </w:t>
      </w:r>
      <w:r>
        <w:rPr>
          <w:rFonts w:ascii="Times New Roman" w:cs="Times New Roman" w:hAnsi="Times New Roman"/>
          <w:bCs/>
          <w:sz w:val="24"/>
          <w:szCs w:val="24"/>
        </w:rPr>
        <w:t>meropenem</w:t>
      </w:r>
      <w:r>
        <w:rPr>
          <w:rFonts w:ascii="Times New Roman" w:cs="Times New Roman" w:hAnsi="Times New Roman"/>
          <w:bCs/>
          <w:sz w:val="24"/>
          <w:szCs w:val="24"/>
        </w:rPr>
        <w:t xml:space="preserve">, are considered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w:t>
      </w:r>
      <w:r>
        <w:rPr>
          <w:rFonts w:ascii="Times New Roman" w:cs="Times New Roman" w:hAnsi="Times New Roman"/>
          <w:bCs/>
          <w:sz w:val="24"/>
          <w:szCs w:val="24"/>
        </w:rPr>
        <w:t>carbapenemases</w:t>
      </w:r>
      <w:r>
        <w:rPr>
          <w:rFonts w:ascii="Times New Roman" w:cs="Times New Roman" w:hAnsi="Times New Roman"/>
          <w:bCs/>
          <w:sz w:val="24"/>
          <w:szCs w:val="24"/>
        </w:rPr>
        <w:t xml:space="preserve">, such as New Delhi </w:t>
      </w:r>
      <w:r>
        <w:rPr>
          <w:rFonts w:ascii="Times New Roman" w:cs="Times New Roman" w:hAnsi="Times New Roman"/>
          <w:bCs/>
          <w:sz w:val="24"/>
          <w:szCs w:val="24"/>
        </w:rPr>
        <w:t>metallo</w:t>
      </w:r>
      <w:r>
        <w:rPr>
          <w:rFonts w:ascii="Times New Roman" w:cs="Times New Roman" w:hAnsi="Times New Roman"/>
          <w:bCs/>
          <w:sz w:val="24"/>
          <w:szCs w:val="24"/>
        </w:rPr>
        <w:t xml:space="preserve">-beta-lactamase (NDM) and </w:t>
      </w:r>
      <w:r>
        <w:rPr>
          <w:rFonts w:ascii="Times New Roman" w:cs="Times New Roman" w:hAnsi="Times New Roman"/>
          <w:bCs/>
          <w:sz w:val="24"/>
          <w:szCs w:val="24"/>
        </w:rPr>
        <w:t>Klebsiella</w:t>
      </w:r>
      <w:r>
        <w:rPr>
          <w:rFonts w:ascii="Times New Roman" w:cs="Times New Roman" w:hAnsi="Times New Roman"/>
          <w:bCs/>
          <w:sz w:val="24"/>
          <w:szCs w:val="24"/>
        </w:rPr>
        <w:t xml:space="preserve"> </w:t>
      </w:r>
      <w:r>
        <w:rPr>
          <w:rFonts w:ascii="Times New Roman" w:cs="Times New Roman" w:hAnsi="Times New Roman"/>
          <w:bCs/>
          <w:sz w:val="24"/>
          <w:szCs w:val="24"/>
        </w:rPr>
        <w:t>pneumoniae</w:t>
      </w:r>
      <w:r>
        <w:rPr>
          <w:rFonts w:ascii="Times New Roman" w:cs="Times New Roman" w:hAnsi="Times New Roman"/>
          <w:bCs/>
          <w:sz w:val="24"/>
          <w:szCs w:val="24"/>
        </w:rPr>
        <w:t xml:space="preserve"> </w:t>
      </w:r>
      <w:r>
        <w:rPr>
          <w:rFonts w:ascii="Times New Roman" w:cs="Times New Roman" w:hAnsi="Times New Roman"/>
          <w:bCs/>
          <w:sz w:val="24"/>
          <w:szCs w:val="24"/>
        </w:rPr>
        <w:t>carbapenemase</w:t>
      </w:r>
      <w:r>
        <w:rPr>
          <w:rFonts w:ascii="Times New Roman" w:cs="Times New Roman" w:hAnsi="Times New Roman"/>
          <w:bCs/>
          <w:sz w:val="24"/>
          <w:szCs w:val="24"/>
        </w:rPr>
        <w:t xml:space="preserv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30" w:name="_Toc203146306"/>
    <w:p>
      <w:pPr>
        <w:pStyle w:val="style3"/>
        <w:rPr/>
      </w:pPr>
    </w:p>
    <w:p>
      <w:pPr>
        <w:pStyle w:val="style3"/>
        <w:rPr/>
      </w:pPr>
      <w:r>
        <w:t>2.4.3</w:t>
      </w:r>
      <w:r>
        <w:tab/>
      </w:r>
      <w:r>
        <w:t xml:space="preserve">Clinical Impact of </w:t>
      </w:r>
      <w:r>
        <w:rPr>
          <w:i/>
          <w:iCs/>
        </w:rPr>
        <w:t>E. coli</w:t>
      </w:r>
      <w:r>
        <w:rPr>
          <w:i/>
          <w:iCs/>
        </w:rPr>
        <w:t xml:space="preserve"> </w:t>
      </w:r>
      <w:r>
        <w:t>Resistance</w:t>
      </w:r>
      <w:bookmarkEnd w:id="3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xml:space="preserve">,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bookmarkStart w:id="31" w:name="_Toc203146307"/>
    <w:p>
      <w:pPr>
        <w:pStyle w:val="style1"/>
        <w:jc w:val="center"/>
        <w:rPr/>
      </w:pPr>
    </w:p>
    <w:p>
      <w:pPr>
        <w:pStyle w:val="style0"/>
        <w:rPr/>
      </w:pPr>
    </w:p>
    <w:p>
      <w:pPr>
        <w:pStyle w:val="style0"/>
        <w:rPr/>
      </w:pPr>
    </w:p>
    <w:p>
      <w:pPr>
        <w:pStyle w:val="style0"/>
        <w:rPr/>
      </w:pPr>
    </w:p>
    <w:p>
      <w:pPr>
        <w:pStyle w:val="style1"/>
        <w:jc w:val="center"/>
        <w:rPr/>
      </w:pPr>
    </w:p>
    <w:p>
      <w:pPr>
        <w:pStyle w:val="style1"/>
        <w:jc w:val="center"/>
        <w:rPr/>
      </w:pPr>
      <w:r>
        <w:t>CHAPTER THREE</w:t>
      </w:r>
      <w:bookmarkEnd w:id="31"/>
    </w:p>
    <w:bookmarkStart w:id="32" w:name="_Toc203146308"/>
    <w:p>
      <w:pPr>
        <w:pStyle w:val="style1"/>
        <w:spacing w:lineRule="auto" w:line="480"/>
        <w:jc w:val="center"/>
        <w:rPr/>
      </w:pPr>
      <w:r>
        <w:t>MATERIALS AND METHODS</w:t>
      </w:r>
      <w:bookmarkEnd w:id="32"/>
    </w:p>
    <w:bookmarkStart w:id="33"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3"/>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was conducted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 coli</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were obtained from the University of Ilorin Teaching Hospital (UITH), Ilorin, Kwara State. These isolates were selected for their clinical significance and resistance patterns.</w:t>
      </w:r>
    </w:p>
    <w:bookmarkStart w:id="34" w:name="_Toc203146310"/>
    <w:p>
      <w:pPr>
        <w:pStyle w:val="style2"/>
        <w:rPr/>
      </w:pPr>
      <w:r>
        <w:t>3.2</w:t>
      </w:r>
      <w:r>
        <w:tab/>
      </w:r>
      <w:r>
        <w:t>Collection and Preparation of Plant Material</w:t>
      </w:r>
      <w:bookmarkEnd w:id="34"/>
    </w:p>
    <w:p>
      <w:pPr>
        <w:pStyle w:val="style94"/>
        <w:spacing w:lineRule="auto" w:line="480"/>
        <w:jc w:val="both"/>
        <w:rPr/>
      </w:pPr>
      <w:r>
        <w:t xml:space="preserve">Fresh leaves of </w:t>
      </w:r>
      <w:r>
        <w:rPr>
          <w:rStyle w:val="style88"/>
          <w:rFonts w:eastAsia="宋体"/>
        </w:rPr>
        <w:t xml:space="preserve">Eucalyptus </w:t>
      </w:r>
      <w:r>
        <w:rPr>
          <w:rStyle w:val="style88"/>
          <w:rFonts w:eastAsia="宋体"/>
        </w:rPr>
        <w:t>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t xml:space="preserve"> and pestle. </w:t>
      </w:r>
    </w:p>
    <w:bookmarkStart w:id="35" w:name="_Toc203146311"/>
    <w:p>
      <w:pPr>
        <w:pStyle w:val="style2"/>
        <w:rPr/>
      </w:pPr>
      <w:r>
        <w:t>3.3</w:t>
      </w:r>
      <w:r>
        <w:tab/>
      </w:r>
      <w:r>
        <w:t>Preparation of Plant Extracts</w:t>
      </w:r>
      <w:bookmarkEnd w:id="35"/>
    </w:p>
    <w:bookmarkStart w:id="36" w:name="_Toc203146312"/>
    <w:p>
      <w:pPr>
        <w:pStyle w:val="style3"/>
        <w:rPr>
          <w:rFonts w:eastAsia="Calibri"/>
        </w:rPr>
      </w:pPr>
      <w:r>
        <w:rPr>
          <w:rFonts w:eastAsia="Calibri"/>
        </w:rPr>
        <w:t>3.3.1</w:t>
      </w:r>
      <w:r>
        <w:rPr>
          <w:rFonts w:eastAsia="Calibri"/>
        </w:rPr>
        <w:tab/>
      </w:r>
      <w:r>
        <w:rPr>
          <w:rFonts w:eastAsia="Calibri"/>
        </w:rPr>
        <w:t>Ethanol Extraction</w:t>
      </w:r>
      <w:bookmarkEnd w:id="36"/>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was placed in a shaking incubator at 42 °C and 80 rpm for 7 days. After extraction, the solution was filtered using </w:t>
      </w:r>
      <w:r>
        <w:t>Whatman</w:t>
      </w:r>
      <w:r>
        <w:t xml:space="preserve"> No.1 filter paper. The filtrate was concentrated by evaporation in a water bath at 40 °C to remove residual ethanol and then stored in sterile bottles at 4 °C for further analysis. </w:t>
      </w:r>
    </w:p>
    <w:p>
      <w:pPr>
        <w:pStyle w:val="style3"/>
        <w:spacing w:before="0"/>
        <w:rPr>
          <w:bCs w:val="false"/>
          <w:szCs w:val="24"/>
        </w:rPr>
      </w:pPr>
    </w:p>
    <w:bookmarkStart w:id="37" w:name="_Toc203146313"/>
    <w:p>
      <w:pPr>
        <w:pStyle w:val="style2"/>
        <w:rPr>
          <w:bCs/>
        </w:rPr>
      </w:pPr>
      <w:r>
        <w:t>3.4</w:t>
      </w:r>
      <w:r>
        <w:tab/>
      </w:r>
      <w:r>
        <w:t>Phytochemical Screening</w:t>
      </w:r>
      <w:bookmarkEnd w:id="37"/>
    </w:p>
    <w:p>
      <w:pPr>
        <w:pStyle w:val="style94"/>
        <w:spacing w:before="0" w:beforeAutospacing="false" w:lineRule="auto" w:line="480"/>
        <w:jc w:val="both"/>
        <w:rPr/>
      </w:pPr>
      <w:r>
        <w:t>Preliminary phytochemical screening was conducted</w:t>
      </w:r>
      <w:r>
        <w:t>,</w:t>
      </w:r>
      <w:r>
        <w:t xml:space="preserve"> ethanol extracts of </w:t>
      </w:r>
      <w:r>
        <w:rPr>
          <w:rStyle w:val="style88"/>
          <w:rFonts w:eastAsia="宋体"/>
        </w:rPr>
        <w:t xml:space="preserve">Eucalyptus </w:t>
      </w:r>
      <w:r>
        <w:rPr>
          <w:rStyle w:val="style88"/>
          <w:rFonts w:eastAsia="宋体"/>
        </w:rPr>
        <w:t>globulus</w:t>
      </w:r>
      <w:r>
        <w:t xml:space="preserve"> leaves to detect the presence of key secondary metabolites, including alkaloids, flavonoids, tannins, </w:t>
      </w:r>
      <w:r>
        <w:t>saponins</w:t>
      </w:r>
      <w:r>
        <w:t xml:space="preserve">, and phenolic compounds. These tests were performed using standard qualitative methods described by </w:t>
      </w:r>
      <w:r>
        <w:t>Yakubu</w:t>
      </w:r>
      <w:r>
        <w:t xml:space="preserve"> </w:t>
      </w:r>
      <w:r>
        <w:rPr>
          <w:i/>
        </w:rPr>
        <w:t>et al</w:t>
      </w:r>
      <w:r>
        <w:t>. (2020). Each test is detailed below.</w:t>
      </w:r>
    </w:p>
    <w:bookmarkStart w:id="38" w:name="_Toc203146314"/>
    <w:p>
      <w:pPr>
        <w:pStyle w:val="style3"/>
        <w:rPr/>
      </w:pPr>
      <w:r>
        <w:t>3.</w:t>
      </w:r>
      <w:r>
        <w:t>4</w:t>
      </w:r>
      <w:r>
        <w:t>.</w:t>
      </w:r>
      <w:r>
        <w:t>1</w:t>
      </w:r>
      <w:r>
        <w:tab/>
      </w:r>
      <w:r>
        <w:t>Test for Alkaloids</w:t>
      </w:r>
      <w:bookmarkEnd w:id="38"/>
    </w:p>
    <w:p>
      <w:pPr>
        <w:pStyle w:val="style94"/>
        <w:spacing w:before="0" w:beforeAutospacing="false" w:lineRule="auto" w:line="480"/>
        <w:jc w:val="both"/>
        <w:rPr/>
      </w:pPr>
      <w:r>
        <w:t>Two drops of Mayer’s reagent were added</w:t>
      </w:r>
      <w:r>
        <w:t xml:space="preserve"> to</w:t>
      </w:r>
      <w:r>
        <w:t xml:space="preserve"> 2 ml of each extract . The formation of a cream-colored precipitate indicated the presence of alkaloids in the extract.</w:t>
      </w:r>
    </w:p>
    <w:bookmarkStart w:id="39" w:name="_Toc203146315"/>
    <w:p>
      <w:pPr>
        <w:pStyle w:val="style3"/>
        <w:rPr/>
      </w:pPr>
      <w:r>
        <w:t>3.4.2</w:t>
      </w:r>
      <w:r>
        <w:tab/>
      </w:r>
      <w:r>
        <w:t>Test for Flavonoids</w:t>
      </w:r>
      <w:bookmarkEnd w:id="39"/>
    </w:p>
    <w:p>
      <w:pPr>
        <w:pStyle w:val="style94"/>
        <w:spacing w:before="0" w:beforeAutospacing="false" w:lineRule="auto" w:line="480"/>
        <w:jc w:val="both"/>
        <w:rPr/>
      </w:pPr>
      <w:r>
        <w:t xml:space="preserve">One </w:t>
      </w:r>
      <w:r>
        <w:t>millilitre</w:t>
      </w:r>
      <w:r>
        <w:t xml:space="preserve"> of the extract was mixed with a few drops of dilute sodium hydroxide solution. An intense yellow color appeared, which became colorless upon the addition of dilute hydrochloric acid. This color change confirmed the presence of flavonoids.</w:t>
      </w:r>
    </w:p>
    <w:bookmarkStart w:id="40" w:name="_Toc203146316"/>
    <w:p>
      <w:pPr>
        <w:pStyle w:val="style3"/>
        <w:rPr/>
      </w:pPr>
      <w:r>
        <w:t>3.4.3</w:t>
      </w:r>
      <w:r>
        <w:tab/>
      </w:r>
      <w:r>
        <w:t>Test for Tannins</w:t>
      </w:r>
      <w:bookmarkEnd w:id="40"/>
    </w:p>
    <w:p>
      <w:pPr>
        <w:pStyle w:val="style94"/>
        <w:spacing w:before="0" w:beforeAutospacing="false" w:lineRule="auto" w:line="480"/>
        <w:jc w:val="both"/>
        <w:rPr/>
      </w:pPr>
      <w:r>
        <w:t>A few drops of 0.1% ferric chloride solution were added to 2ml of the extracts. The formation of a blue-black or greenish-black coloration indicated the presence of tannins.</w:t>
      </w:r>
    </w:p>
    <w:bookmarkStart w:id="41" w:name="_Toc203146317"/>
    <w:p>
      <w:pPr>
        <w:pStyle w:val="style3"/>
        <w:rPr/>
      </w:pPr>
      <w:r>
        <w:t>3.4.4</w:t>
      </w:r>
      <w:r>
        <w:tab/>
      </w:r>
      <w:r>
        <w:t xml:space="preserve">Test for </w:t>
      </w:r>
      <w:r>
        <w:t>Saponins</w:t>
      </w:r>
      <w:bookmarkEnd w:id="41"/>
    </w:p>
    <w:p>
      <w:pPr>
        <w:pStyle w:val="style94"/>
        <w:spacing w:before="0" w:beforeAutospacing="false" w:lineRule="auto" w:line="480"/>
        <w:jc w:val="both"/>
        <w:rPr/>
      </w:pPr>
      <w:r>
        <w:t xml:space="preserve">About 5 ml of the extract was mixed with 5 ml of distilled water in a test tube. The mixture was vigorously shaken for 30 seconds and allowed to stand for 10 minutes. The presence of persistent frothing (foam layer) indicated the presence of </w:t>
      </w:r>
      <w:r>
        <w:t>saponins</w:t>
      </w:r>
      <w:r>
        <w:t>.</w:t>
      </w:r>
    </w:p>
    <w:bookmarkStart w:id="42" w:name="_Toc203146318"/>
    <w:p>
      <w:pPr>
        <w:pStyle w:val="style3"/>
        <w:rPr/>
      </w:pPr>
      <w:r>
        <w:t>3.4.5</w:t>
      </w:r>
      <w:r>
        <w:tab/>
      </w:r>
      <w:r>
        <w:t>Test for Phenolic Compounds</w:t>
      </w:r>
      <w:bookmarkEnd w:id="42"/>
    </w:p>
    <w:p>
      <w:pPr>
        <w:pStyle w:val="style94"/>
        <w:spacing w:before="0" w:beforeAutospacing="false" w:after="0" w:afterAutospacing="false" w:lineRule="auto" w:line="480"/>
        <w:jc w:val="both"/>
        <w:rPr/>
      </w:pPr>
      <w:r>
        <w:t xml:space="preserve">Two </w:t>
      </w:r>
      <w:r>
        <w:t>millilitres</w:t>
      </w:r>
      <w:r>
        <w:t xml:space="preserve"> of the extract were treated with a few drops of 5% ferric chloride solution. The appearance of a deep blue or dark green coloration confirmed the presence of phenolic compounds. </w:t>
      </w:r>
    </w:p>
    <w:bookmarkStart w:id="43" w:name="_Toc203146319"/>
    <w:p>
      <w:pPr>
        <w:pStyle w:val="style2"/>
        <w:spacing w:lineRule="auto" w:line="480"/>
        <w:rPr/>
      </w:pPr>
      <w:r>
        <w:t>3.5</w:t>
      </w:r>
      <w:r>
        <w:tab/>
      </w:r>
      <w:r>
        <w:t>Standardization of Bacterial Inoculum</w:t>
      </w:r>
      <w:bookmarkEnd w:id="43"/>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4" w:name="_Toc203146320"/>
    <w:p>
      <w:pPr>
        <w:pStyle w:val="style2"/>
        <w:spacing w:lineRule="auto" w:line="480"/>
        <w:rPr/>
      </w:pPr>
      <w:r>
        <w:t>3.6</w:t>
      </w:r>
      <w:r>
        <w:tab/>
      </w:r>
      <w:r>
        <w:t>Antibacterial Susceptibility Testing</w:t>
      </w:r>
      <w:bookmarkEnd w:id="44"/>
    </w:p>
    <w:bookmarkStart w:id="45"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5"/>
    </w:p>
    <w:p>
      <w:pPr>
        <w:pStyle w:val="style94"/>
        <w:spacing w:before="0" w:beforeAutospacing="false" w:after="0" w:afterAutospacing="false" w:lineRule="auto" w:line="480"/>
        <w:jc w:val="both"/>
        <w:rPr/>
      </w:pPr>
      <w:r>
        <w:t xml:space="preserve">Mueller-Hinton Agar (MHA) plates were prepared and sterilized. The standardized bacterial inoculum was uniformly spread over the surface of the agar plates using a sterile swab. Wells of 6 mm diameter were made using a sterile cork borer. Different volumes (100 </w:t>
      </w:r>
      <w:r>
        <w:t>μl</w:t>
      </w:r>
      <w:r>
        <w:t xml:space="preserve">, 200 </w:t>
      </w:r>
      <w:r>
        <w:t>μl</w:t>
      </w:r>
      <w:r>
        <w:t xml:space="preserve">, and 300 </w:t>
      </w:r>
      <w:r>
        <w:t>μl</w:t>
      </w:r>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bookmarkStart w:id="46" w:name="_Toc203146322"/>
    <w:p>
      <w:pPr>
        <w:pStyle w:val="style3"/>
        <w:rPr>
          <w:rFonts w:eastAsia="Calibri"/>
        </w:rPr>
      </w:pPr>
      <w:r>
        <w:rPr>
          <w:rFonts w:eastAsia="Calibri"/>
        </w:rPr>
        <w:t>3.6</w:t>
      </w:r>
      <w:r>
        <w:rPr>
          <w:rFonts w:eastAsia="Calibri"/>
        </w:rPr>
        <w:t>.2</w:t>
      </w:r>
      <w:r>
        <w:rPr>
          <w:rFonts w:eastAsia="Calibri"/>
        </w:rPr>
        <w:tab/>
      </w:r>
      <w:r>
        <w:rPr>
          <w:rFonts w:eastAsia="Calibri"/>
        </w:rPr>
        <w:t>Minimum Inhibitory Concentration (MIC) Determination</w:t>
      </w:r>
      <w:bookmarkEnd w:id="46"/>
    </w:p>
    <w:p>
      <w:pPr>
        <w:pStyle w:val="style94"/>
        <w:spacing w:lineRule="auto" w:line="480"/>
        <w:jc w:val="both"/>
        <w:rPr/>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style88"/>
          <w:rFonts w:eastAsia="宋体"/>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pPr>
        <w:pStyle w:val="style0"/>
        <w:rPr>
          <w:rFonts w:ascii="Times New Roman" w:cs="Times New Roman" w:eastAsia="Times New Roman" w:hAnsi="Times New Roman"/>
          <w:sz w:val="24"/>
          <w:szCs w:val="24"/>
        </w:rPr>
      </w:pPr>
      <w:r>
        <w:br w:type="page"/>
      </w:r>
    </w:p>
    <w:bookmarkStart w:id="47" w:name="_Toc203146323"/>
    <w:p>
      <w:pPr>
        <w:pStyle w:val="style1"/>
        <w:spacing w:lineRule="auto" w:line="480"/>
        <w:jc w:val="center"/>
        <w:rPr>
          <w:rFonts w:eastAsia="Times New Roman"/>
          <w:szCs w:val="24"/>
        </w:rPr>
      </w:pPr>
      <w:r>
        <w:t>CHAPTER FOUR</w:t>
      </w:r>
      <w:bookmarkEnd w:id="47"/>
    </w:p>
    <w:bookmarkStart w:id="48" w:name="_Toc203146324"/>
    <w:p>
      <w:pPr>
        <w:pStyle w:val="style1"/>
        <w:spacing w:lineRule="auto" w:line="480"/>
        <w:jc w:val="center"/>
        <w:rPr/>
      </w:pPr>
      <w:r>
        <w:t>RESULTS</w:t>
      </w:r>
      <w:bookmarkEnd w:id="48"/>
    </w:p>
    <w:bookmarkStart w:id="49" w:name="_Toc203146325"/>
    <w:p>
      <w:pPr>
        <w:pStyle w:val="style2"/>
        <w:rPr/>
      </w:pPr>
      <w:r>
        <w:t>4.1</w:t>
      </w:r>
      <w:r>
        <w:tab/>
      </w:r>
      <w:r>
        <w:t xml:space="preserve">Phytochemical Screening of Eucalyptus </w:t>
      </w:r>
      <w:r>
        <w:t>globulus</w:t>
      </w:r>
      <w:r>
        <w:t xml:space="preserve"> Leaf Extracts</w:t>
      </w:r>
      <w:bookmarkEnd w:id="49"/>
    </w:p>
    <w:p>
      <w:pPr>
        <w:pStyle w:val="style94"/>
        <w:spacing w:lineRule="auto" w:line="480"/>
        <w:jc w:val="both"/>
        <w:rPr/>
      </w:pPr>
      <w:r>
        <w:t xml:space="preserve">The phytochemical analysis of  ethanol extracts of </w:t>
      </w:r>
      <w:r>
        <w:rPr>
          <w:rStyle w:val="style88"/>
        </w:rPr>
        <w:t xml:space="preserve">Eucalyptus </w:t>
      </w:r>
      <w:r>
        <w:rPr>
          <w:rStyle w:val="style88"/>
        </w:rPr>
        <w:t>globulus</w:t>
      </w:r>
      <w:r>
        <w:t xml:space="preserve"> revealed the presence of several bioactive compounds known for their antimicrobial properties. The results are summarized in Table 4.1 below.</w:t>
      </w:r>
    </w:p>
    <w:p>
      <w:pPr>
        <w:pStyle w:val="style94"/>
        <w:rPr/>
      </w:pPr>
      <w:r>
        <w:rPr>
          <w:rStyle w:val="style87"/>
        </w:rPr>
        <w:t xml:space="preserve">Table 4.1: Phytochemical Constituents of Ethanol Extracts of </w:t>
      </w:r>
      <w:r>
        <w:rPr>
          <w:rStyle w:val="style88"/>
        </w:rPr>
        <w:t xml:space="preserve">Eucalyptus </w:t>
      </w:r>
      <w:r>
        <w:rPr>
          <w:rStyle w:val="style88"/>
        </w:rPr>
        <w:t>globulus</w:t>
      </w:r>
    </w:p>
    <w:tbl>
      <w:tblPr>
        <w:tblStyle w:val="style4100"/>
        <w:tblW w:w="5888" w:type="dxa"/>
        <w:shd w:val="clear" w:color="auto" w:fill="ffffff"/>
        <w:tblLook w:val="04A0" w:firstRow="1" w:lastRow="0" w:firstColumn="1" w:lastColumn="0" w:noHBand="0" w:noVBand="1"/>
      </w:tblPr>
      <w:tblGrid>
        <w:gridCol w:w="3218"/>
        <w:gridCol w:w="2669"/>
      </w:tblGrid>
      <w:tr>
        <w:trPr>
          <w:trHeight w:val="304" w:hRule="atLeast"/>
        </w:trPr>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Phytochemical</w:t>
            </w:r>
          </w:p>
        </w:tc>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Ethanol Extract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50" w:name="_Toc203146326"/>
    <w:p>
      <w:pPr>
        <w:pStyle w:val="style2"/>
        <w:rPr/>
      </w:pPr>
      <w:r>
        <w:t>4.2</w:t>
      </w:r>
      <w:r>
        <w:tab/>
      </w:r>
      <w:r>
        <w:t xml:space="preserve">Antibacterial Activity of Eucalyptus </w:t>
      </w:r>
      <w:r>
        <w:t>globulus</w:t>
      </w:r>
      <w:r>
        <w:t xml:space="preserve"> Extracts Using Agar Well Diffusion Method</w:t>
      </w:r>
      <w:bookmarkEnd w:id="50"/>
    </w:p>
    <w:p>
      <w:pPr>
        <w:pStyle w:val="style94"/>
        <w:spacing w:lineRule="auto" w:line="480"/>
        <w:jc w:val="both"/>
        <w:rPr/>
      </w:pPr>
      <w:r>
        <w:t xml:space="preserve">The antibacterial effects of both aqueous and ethanol extracts of </w:t>
      </w:r>
      <w:r>
        <w:rPr>
          <w:rStyle w:val="style88"/>
        </w:rPr>
        <w:t xml:space="preserve">Eucalyptus </w:t>
      </w:r>
      <w:r>
        <w:rPr>
          <w:rStyle w:val="style88"/>
        </w:rPr>
        <w:t>globulus</w:t>
      </w:r>
      <w:r>
        <w:t xml:space="preserve"> leaves were evaluated against MRSA and </w:t>
      </w:r>
      <w:r>
        <w:rPr>
          <w:rStyle w:val="style8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Zones of Inhibition (mm) of Eucalyptus </w:t>
      </w:r>
      <w:r>
        <w:rPr>
          <w:rFonts w:ascii="Times New Roman" w:cs="Times New Roman" w:eastAsia="Times New Roman" w:hAnsi="Times New Roman"/>
          <w:b/>
          <w:sz w:val="24"/>
          <w:szCs w:val="24"/>
        </w:rPr>
        <w:t>globulus</w:t>
      </w:r>
      <w:r>
        <w:rPr>
          <w:rFonts w:ascii="Times New Roman" w:cs="Times New Roman" w:eastAsia="Times New Roman" w:hAnsi="Times New Roman"/>
          <w:b/>
          <w:sz w:val="24"/>
          <w:szCs w:val="24"/>
        </w:rPr>
        <w:t xml:space="preserve"> Extracts Against MRSA and </w:t>
      </w:r>
      <w:r>
        <w:rPr>
          <w:rFonts w:ascii="Times New Roman" w:cs="Times New Roman" w:eastAsia="Times New Roman" w:hAnsi="Times New Roman"/>
          <w:b/>
          <w:sz w:val="24"/>
          <w:szCs w:val="24"/>
        </w:rPr>
        <w:t>E. coli</w:t>
      </w:r>
      <w:r>
        <w:rPr>
          <w:rFonts w:ascii="Times New Roman" w:cs="Times New Roman" w:eastAsia="Times New Roman" w:hAnsi="Times New Roman"/>
          <w:b/>
          <w:sz w:val="24"/>
          <w:szCs w:val="24"/>
        </w:rPr>
        <w:t xml:space="preserve">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shd w:val="clear" w:color="auto" w:fill="ffffff"/>
        <w:tblLook w:val="04A0" w:firstRow="1" w:lastRow="0" w:firstColumn="1" w:lastColumn="0" w:noHBand="0" w:noVBand="1"/>
      </w:tblPr>
      <w:tblGrid>
        <w:gridCol w:w="2654"/>
        <w:gridCol w:w="1299"/>
        <w:gridCol w:w="2726"/>
        <w:gridCol w:w="2681"/>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Type</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Volume (µl)</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Zone of Inhibition (mm) MRSA</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Zone of Inhibition (mm) </w:t>
            </w:r>
            <w:r>
              <w:rPr>
                <w:rFonts w:ascii="Times New Roman" w:cs="Times New Roman" w:eastAsia="Times New Roman" w:hAnsi="Times New Roman"/>
                <w:i/>
                <w:iCs/>
                <w:sz w:val="24"/>
                <w:szCs w:val="24"/>
              </w:rPr>
              <w:t>E. coli</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0.30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0.45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0.55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0.70 ± 0.02</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Control</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Control (Ionized Water)</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51" w:name="_Toc203146327"/>
    <w:p>
      <w:pPr>
        <w:pStyle w:val="style2"/>
        <w:spacing w:lineRule="auto" w:line="480"/>
        <w:rPr/>
      </w:pPr>
      <w:r>
        <w:t>4.3</w:t>
      </w:r>
      <w:r>
        <w:tab/>
      </w:r>
      <w:r>
        <w:t>Minimum Inhibitory Concentration (MIC) Determination of Ethanol Extract</w:t>
      </w:r>
      <w:bookmarkEnd w:id="51"/>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 xml:space="preserve">Eucalyptus </w:t>
      </w:r>
      <w:r>
        <w:rPr>
          <w:rFonts w:ascii="Times New Roman" w:cs="Times New Roman" w:eastAsia="Times New Roman" w:hAnsi="Times New Roman"/>
          <w:b/>
          <w:bCs/>
          <w:i/>
          <w:iCs/>
          <w:sz w:val="24"/>
          <w:szCs w:val="24"/>
        </w:rPr>
        <w:t>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shd w:val="clear" w:color="auto" w:fill="ffffff"/>
        <w:tblLook w:val="04A0" w:firstRow="1" w:lastRow="0" w:firstColumn="1" w:lastColumn="0" w:noHBand="0" w:noVBand="1"/>
      </w:tblPr>
      <w:tblGrid>
        <w:gridCol w:w="3056"/>
        <w:gridCol w:w="1783"/>
        <w:gridCol w:w="1716"/>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Concentration (v/v)</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MRSA Growth</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Growth</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0.15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p>
            <w:pPr>
              <w:pStyle w:val="style0"/>
              <w:rPr>
                <w:rFonts w:ascii="Times New Roman" w:cs="Times New Roman" w:eastAsia="Times New Roman" w:hAnsi="Times New Roman"/>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0.20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 Inhibition</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52" w:name="_Toc203146328"/>
    <w:p>
      <w:pPr>
        <w:pStyle w:val="style2"/>
        <w:spacing w:lineRule="auto" w:line="480"/>
        <w:rPr/>
      </w:pPr>
      <w:r>
        <w:t>4.5</w:t>
      </w:r>
      <w:r>
        <w:tab/>
      </w:r>
      <w:r>
        <w:t>Discussion</w:t>
      </w:r>
      <w:bookmarkEnd w:id="52"/>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 xml:space="preserve">Eucalyptus </w:t>
      </w:r>
      <w:r>
        <w:rPr>
          <w:rStyle w:val="style88"/>
        </w:rPr>
        <w:t>globulus</w:t>
      </w:r>
      <w:r>
        <w:t xml:space="preserve"> leaf extracts against two clinically significant bacteria: Methicillin-Resistant </w:t>
      </w:r>
      <w:r>
        <w:rPr>
          <w:rStyle w:val="style88"/>
        </w:rPr>
        <w:t>Staphylococcus aureus</w:t>
      </w:r>
      <w:r>
        <w:t xml:space="preserve"> (MRSA) </w:t>
      </w:r>
      <w:r>
        <w:t>alkaloids,and</w:t>
      </w:r>
      <w:r>
        <w:t xml:space="preserve">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 xml:space="preserve">Phytochemical screening of the extracts revealed the presence of several important secondary metabolites, including flavonoids, tannins,  and phenolic compounds but </w:t>
      </w:r>
      <w:r>
        <w:t>alkanoids</w:t>
      </w:r>
      <w:r>
        <w:t xml:space="preserve"> and </w:t>
      </w:r>
      <w:r>
        <w:t>saponin</w:t>
      </w:r>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r>
        <w:t>phenolics</w:t>
      </w:r>
      <w:r>
        <w:t xml:space="preserve"> and </w:t>
      </w:r>
      <w:r>
        <w:t>saponins</w:t>
      </w:r>
      <w:r>
        <w:t xml:space="preserve"> possess both bacteriostatic and bactericidal effects (</w:t>
      </w:r>
      <w:r>
        <w:t>Sasidharan</w:t>
      </w:r>
      <w:r>
        <w:t xml:space="preserve"> </w:t>
      </w:r>
      <w:r>
        <w:rPr>
          <w:i/>
        </w:rPr>
        <w:t>et al</w:t>
      </w:r>
      <w:r>
        <w:t xml:space="preserve">., 2011; Singh </w:t>
      </w:r>
      <w:r>
        <w:rPr>
          <w:i/>
        </w:rPr>
        <w:t>et al</w:t>
      </w:r>
      <w:r>
        <w:t xml:space="preserve">., 2021). The presence of these phytochemicals in </w:t>
      </w:r>
      <w:r>
        <w:rPr>
          <w:rStyle w:val="style88"/>
        </w:rPr>
        <w:t xml:space="preserve">Eucalyptus </w:t>
      </w:r>
      <w:r>
        <w:rPr>
          <w:rStyle w:val="style88"/>
        </w:rPr>
        <w:t>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r>
        <w:t>Alabi</w:t>
      </w:r>
      <w:r>
        <w:t xml:space="preserve"> </w:t>
      </w:r>
      <w:r>
        <w:rPr>
          <w:i/>
        </w:rPr>
        <w:t>et al</w:t>
      </w:r>
      <w:r>
        <w:t xml:space="preserve">., 2019; </w:t>
      </w:r>
      <w:r>
        <w:t>Ogunyemi</w:t>
      </w:r>
      <w:r>
        <w:t xml:space="preserve"> </w:t>
      </w:r>
      <w:r>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 xml:space="preserve">Eucalyptus </w:t>
      </w:r>
      <w:r>
        <w:rPr>
          <w:rStyle w:val="style88"/>
        </w:rPr>
        <w:t>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style8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style88"/>
        </w:rPr>
        <w:t xml:space="preserve">Eucalyptus </w:t>
      </w:r>
      <w:r>
        <w:rPr>
          <w:rStyle w:val="style88"/>
        </w:rPr>
        <w:t>globulus</w:t>
      </w:r>
      <w:r>
        <w:t xml:space="preserve"> against multidrug-resistant </w:t>
      </w:r>
      <w:r>
        <w:rPr>
          <w:rStyle w:val="style88"/>
        </w:rPr>
        <w:t>Staphylococcus aureus</w:t>
      </w:r>
      <w:r>
        <w:t xml:space="preserve"> and other Gram-negative pathogens.</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style88"/>
        </w:rPr>
        <w:t xml:space="preserve">Eucalyptus </w:t>
      </w:r>
      <w:r>
        <w:rPr>
          <w:rStyle w:val="style88"/>
        </w:rPr>
        <w:t>globulus</w:t>
      </w:r>
      <w:r>
        <w:t xml:space="preserve"> may act through multiple mechanisms that overcome this structural barrier. This supports earlier findings by </w:t>
      </w:r>
      <w:r>
        <w:t>Akinmoladun</w:t>
      </w:r>
      <w:r>
        <w:t xml:space="preserve"> </w:t>
      </w:r>
      <w:r>
        <w:rPr>
          <w:i/>
        </w:rPr>
        <w:t>et al</w:t>
      </w:r>
      <w:r>
        <w:t xml:space="preserve">. (2020), who noted that </w:t>
      </w:r>
      <w:r>
        <w:rPr>
          <w:rStyle w:val="style88"/>
        </w:rPr>
        <w:t xml:space="preserve">Eucalyptus </w:t>
      </w:r>
      <w:r>
        <w:rPr>
          <w:rStyle w:val="style88"/>
        </w:rPr>
        <w:t>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 xml:space="preserve">Eucalyptus </w:t>
      </w:r>
      <w:r>
        <w:rPr>
          <w:rStyle w:val="style88"/>
        </w:rPr>
        <w:t>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pPr>
        <w:pStyle w:val="style0"/>
        <w:rPr/>
      </w:pPr>
    </w:p>
    <w:bookmarkStart w:id="53" w:name="_Toc203146329"/>
    <w:p>
      <w:pPr>
        <w:pStyle w:val="style1"/>
        <w:jc w:val="center"/>
        <w:rPr/>
      </w:pPr>
      <w:r>
        <w:t>CHAPTER FIVE</w:t>
      </w:r>
      <w:bookmarkEnd w:id="53"/>
    </w:p>
    <w:bookmarkStart w:id="54" w:name="_Toc203146330"/>
    <w:p>
      <w:pPr>
        <w:pStyle w:val="style1"/>
        <w:spacing w:lineRule="auto" w:line="480"/>
        <w:jc w:val="center"/>
        <w:rPr/>
      </w:pPr>
      <w:r>
        <w:t>SUMMARY, CONCLUSION AND RECOMMENDATION</w:t>
      </w:r>
      <w:bookmarkEnd w:id="54"/>
    </w:p>
    <w:bookmarkStart w:id="55"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5"/>
    </w:p>
    <w:p>
      <w:pPr>
        <w:pStyle w:val="style94"/>
        <w:spacing w:lineRule="auto" w:line="480"/>
        <w:jc w:val="both"/>
        <w:rPr/>
      </w:pPr>
      <w:r>
        <w:t xml:space="preserve">This study evaluated the antibacterial efficacy of aqueous and ethanol extracts of </w:t>
      </w:r>
      <w:r>
        <w:rPr>
          <w:rStyle w:val="style88"/>
          <w:rFonts w:eastAsia="宋体"/>
        </w:rPr>
        <w:t xml:space="preserve">Eucalyptus </w:t>
      </w:r>
      <w:r>
        <w:rPr>
          <w:rStyle w:val="style88"/>
          <w:rFonts w:eastAsia="宋体"/>
        </w:rPr>
        <w:t>globulus</w:t>
      </w:r>
      <w:r>
        <w:t xml:space="preserve"> leaves against clinically important bacterial isolates of Methicillin-Resistant </w:t>
      </w:r>
      <w:r>
        <w:rPr>
          <w:rStyle w:val="style88"/>
          <w:rFonts w:eastAsia="宋体"/>
        </w:rPr>
        <w:t>Staphylococcus aureus</w:t>
      </w:r>
      <w:r>
        <w:t xml:space="preserve"> (MRSA) and </w:t>
      </w:r>
      <w:r>
        <w:rPr>
          <w:rStyle w:val="style88"/>
          <w:rFonts w:eastAsia="宋体"/>
        </w:rPr>
        <w:t>Escherichia coli</w:t>
      </w:r>
      <w:r>
        <w:t xml:space="preserve">. The bacterial isolates were obtained from the University of Ilorin Teaching Hospital and confirmed using standard microbiological and biochemical methods. Preliminary phytochemical screening revealed  </w:t>
      </w:r>
      <w:r>
        <w:t xml:space="preserve">no </w:t>
      </w:r>
      <w:r>
        <w:t>p</w:t>
      </w:r>
      <w:r>
        <w:t xml:space="preserve">resence of alkaloids and </w:t>
      </w:r>
      <w:r>
        <w:t>saponins</w:t>
      </w:r>
      <w:r>
        <w:t xml:space="preserve"> while  flavonoids, tannins</w:t>
      </w:r>
      <w:r>
        <w:t>, and phenolic compounds</w:t>
      </w:r>
      <w:r>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6" w:name="_Toc203146332"/>
    <w:p>
      <w:pPr>
        <w:pStyle w:val="style2"/>
        <w:spacing w:lineRule="auto" w:line="480"/>
        <w:rPr/>
      </w:pPr>
      <w:r>
        <w:t>5.2</w:t>
      </w:r>
      <w:r>
        <w:tab/>
      </w:r>
      <w:r>
        <w:t>Conclusion</w:t>
      </w:r>
      <w:bookmarkEnd w:id="56"/>
    </w:p>
    <w:p>
      <w:pPr>
        <w:pStyle w:val="style94"/>
        <w:spacing w:before="0" w:beforeAutospacing="false" w:after="0" w:afterAutospacing="false" w:lineRule="auto" w:line="480"/>
        <w:jc w:val="both"/>
        <w:rPr/>
      </w:pPr>
      <w:r>
        <w:t xml:space="preserve">The findings revealed that </w:t>
      </w:r>
      <w:r>
        <w:rPr>
          <w:rStyle w:val="style88"/>
          <w:rFonts w:eastAsia="宋体"/>
        </w:rPr>
        <w:t xml:space="preserve">Eucalyptus </w:t>
      </w:r>
      <w:r>
        <w:rPr>
          <w:rStyle w:val="style88"/>
          <w:rFonts w:eastAsia="宋体"/>
        </w:rPr>
        <w:t>globulus</w:t>
      </w:r>
      <w:r>
        <w:t xml:space="preserve"> leaf extracts, especially the ethanol extract, possess significant antibacterial activity against MRSA and </w:t>
      </w:r>
      <w:r>
        <w:rPr>
          <w:rStyle w:val="style88"/>
          <w:rFonts w:eastAsia="宋体"/>
        </w:rPr>
        <w:t>E. coli</w:t>
      </w:r>
      <w:r>
        <w:t>. The presence of bioactive phytochemicals</w:t>
      </w:r>
      <w:r>
        <w:t xml:space="preserve"> (flavonoids, tannins, and phenolic compounds)</w:t>
      </w:r>
      <w:r>
        <w:t xml:space="preserve"> in the extracts contributes to this effect. These results support the potential use of </w:t>
      </w:r>
      <w:r>
        <w:rPr>
          <w:rStyle w:val="style88"/>
          <w:rFonts w:eastAsia="宋体"/>
        </w:rPr>
        <w:t xml:space="preserve">Eucalyptus </w:t>
      </w:r>
      <w:r>
        <w:rPr>
          <w:rStyle w:val="style88"/>
          <w:rFonts w:eastAsia="宋体"/>
        </w:rPr>
        <w:t>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7" w:name="_Toc203146333"/>
    <w:p>
      <w:pPr>
        <w:pStyle w:val="style2"/>
        <w:spacing w:lineRule="auto" w:line="480"/>
        <w:rPr/>
      </w:pPr>
      <w:r>
        <w:t>5.3</w:t>
      </w:r>
      <w:r>
        <w:tab/>
      </w:r>
      <w:r>
        <w:t>Recommendations</w:t>
      </w:r>
      <w:bookmarkEnd w:id="57"/>
    </w:p>
    <w:p>
      <w:pPr>
        <w:pStyle w:val="style94"/>
        <w:spacing w:before="0" w:beforeAutospacing="false" w:lineRule="auto" w:line="480"/>
        <w:jc w:val="both"/>
        <w:rPr/>
      </w:pPr>
      <w:r>
        <w:t>Based on the findings of this study, the following recommendations are made:</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宋体"/>
        </w:rPr>
        <w:t xml:space="preserve">Eucalyptus </w:t>
      </w:r>
      <w:r>
        <w:rPr>
          <w:rStyle w:val="style88"/>
          <w:rFonts w:eastAsia="宋体"/>
        </w:rPr>
        <w:t>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宋体"/>
        </w:rPr>
        <w:t xml:space="preserve">Eucalyptus </w:t>
      </w:r>
      <w:r>
        <w:rPr>
          <w:rStyle w:val="style88"/>
          <w:rFonts w:eastAsia="宋体"/>
        </w:rPr>
        <w:t>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8" w:name="_Toc203146334"/>
    <w:p>
      <w:pPr>
        <w:pStyle w:val="style1"/>
        <w:rPr/>
      </w:pPr>
      <w:r>
        <w:t>REFERENCES</w:t>
      </w:r>
      <w:bookmarkEnd w:id="58"/>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w:t>
      </w:r>
      <w:r>
        <w:rPr>
          <w:rFonts w:ascii="Times New Roman" w:cs="Times New Roman" w:eastAsia="Times New Roman" w:hAnsi="Times New Roman"/>
          <w:sz w:val="24"/>
          <w:szCs w:val="24"/>
        </w:rPr>
        <w:t>Alouffi</w:t>
      </w:r>
      <w:r>
        <w:rPr>
          <w:rFonts w:ascii="Times New Roman" w:cs="Times New Roman" w:eastAsia="Times New Roman" w:hAnsi="Times New Roman"/>
          <w:sz w:val="24"/>
          <w:szCs w:val="24"/>
        </w:rPr>
        <w:t xml:space="preserve">,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Akinmoladun</w:t>
      </w:r>
      <w:r>
        <w:t xml:space="preserve">, F. O., </w:t>
      </w:r>
      <w:r>
        <w:t>Olaleye</w:t>
      </w:r>
      <w:r>
        <w:t xml:space="preserve">, T. M., &amp; </w:t>
      </w:r>
      <w:r>
        <w:t>Obuotor</w:t>
      </w:r>
      <w:r>
        <w:t xml:space="preserve">, E. M. (2020). Antibacterial activity of </w:t>
      </w:r>
      <w:r>
        <w:rPr>
          <w:rStyle w:val="style88"/>
        </w:rPr>
        <w:t xml:space="preserve">Eucalyptus </w:t>
      </w:r>
      <w:r>
        <w:rPr>
          <w:rStyle w:val="style88"/>
        </w:rPr>
        <w:t>globulus</w:t>
      </w:r>
      <w:r>
        <w:t xml:space="preserve"> leaf extracts against clinical pathogens. </w:t>
      </w:r>
      <w:r>
        <w:rPr>
          <w:rStyle w:val="style88"/>
        </w:rPr>
        <w:t>Journal of Medicinal Plants Research</w:t>
      </w:r>
      <w:r>
        <w:t>, 14(4), 156-164.</w:t>
      </w:r>
    </w:p>
    <w:p>
      <w:pPr>
        <w:pStyle w:val="style94"/>
        <w:ind w:left="567" w:hanging="567"/>
        <w:jc w:val="both"/>
        <w:rPr/>
      </w:pPr>
      <w:r>
        <w:t>Alabi</w:t>
      </w:r>
      <w:r>
        <w:t xml:space="preserve">, O. J., </w:t>
      </w:r>
      <w:r>
        <w:t>Ogunlade</w:t>
      </w:r>
      <w:r>
        <w:t xml:space="preserv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AlAli</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Badulla</w:t>
      </w:r>
      <w:r>
        <w:rPr>
          <w:rFonts w:ascii="Times New Roman" w:cs="Times New Roman" w:eastAsia="Times New Roman" w:hAnsi="Times New Roman"/>
          <w:sz w:val="24"/>
          <w:szCs w:val="24"/>
        </w:rPr>
        <w:t xml:space="preserve">, W. F. A. R., &amp; </w:t>
      </w:r>
      <w:r>
        <w:rPr>
          <w:rFonts w:ascii="Times New Roman" w:cs="Times New Roman" w:eastAsia="Times New Roman" w:hAnsi="Times New Roman"/>
          <w:sz w:val="24"/>
          <w:szCs w:val="24"/>
        </w:rPr>
        <w:t>Venkatesan</w:t>
      </w:r>
      <w:r>
        <w:rPr>
          <w:rFonts w:ascii="Times New Roman" w:cs="Times New Roman" w:eastAsia="Times New Roman" w:hAnsi="Times New Roman"/>
          <w:sz w:val="24"/>
          <w:szCs w:val="24"/>
        </w:rPr>
        <w:t xml:space="preserve">,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w:t>
      </w:r>
      <w:r>
        <w:rPr>
          <w:rFonts w:ascii="Times New Roman" w:cs="Times New Roman" w:eastAsia="Times New Roman" w:hAnsi="Times New Roman"/>
          <w:sz w:val="24"/>
          <w:szCs w:val="24"/>
        </w:rPr>
        <w:t>Parvez</w:t>
      </w:r>
      <w:r>
        <w:rPr>
          <w:rFonts w:ascii="Times New Roman" w:cs="Times New Roman" w:eastAsia="Times New Roman" w:hAnsi="Times New Roman"/>
          <w:sz w:val="24"/>
          <w:szCs w:val="24"/>
        </w:rPr>
        <w:t xml:space="preserve">, M. (2021).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w:t>
      </w:r>
      <w:r>
        <w:rPr>
          <w:rFonts w:ascii="Times New Roman" w:cs="Times New Roman" w:eastAsia="Times New Roman" w:hAnsi="Times New Roman"/>
          <w:sz w:val="24"/>
          <w:szCs w:val="24"/>
        </w:rPr>
        <w:t>Baylay</w:t>
      </w:r>
      <w:r>
        <w:rPr>
          <w:rFonts w:ascii="Times New Roman" w:cs="Times New Roman" w:eastAsia="Times New Roman" w:hAnsi="Times New Roman"/>
          <w:sz w:val="24"/>
          <w:szCs w:val="24"/>
        </w:rPr>
        <w:t xml:space="preserve">, A. J., &amp;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w:t>
      </w:r>
      <w:r>
        <w:rPr>
          <w:rFonts w:ascii="Times New Roman" w:cs="Times New Roman" w:eastAsia="Times New Roman" w:hAnsi="Times New Roman"/>
          <w:sz w:val="24"/>
          <w:szCs w:val="24"/>
        </w:rPr>
        <w:t>Simões</w:t>
      </w:r>
      <w:r>
        <w:rPr>
          <w:rFonts w:ascii="Times New Roman" w:cs="Times New Roman" w:eastAsia="Times New Roman" w:hAnsi="Times New Roman"/>
          <w:sz w:val="24"/>
          <w:szCs w:val="24"/>
        </w:rPr>
        <w:t xml:space="preserve">,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Bouchiat</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Bornet</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Lemaître</w:t>
      </w:r>
      <w:r>
        <w:rPr>
          <w:rFonts w:ascii="Times New Roman" w:cs="Times New Roman" w:eastAsia="Times New Roman" w:hAnsi="Times New Roman"/>
          <w:sz w:val="24"/>
          <w:szCs w:val="24"/>
        </w:rPr>
        <w:t xml:space="preserv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Aboud</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Ferhat</w:t>
      </w:r>
      <w:r>
        <w:rPr>
          <w:rFonts w:ascii="Times New Roman" w:cs="Times New Roman" w:eastAsia="Times New Roman" w:hAnsi="Times New Roman"/>
          <w:sz w:val="24"/>
          <w:szCs w:val="24"/>
        </w:rPr>
        <w:t xml:space="preserve">, M. (2020). Eucalyptus essential oil and its antimicrobial properties.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Byler, K. G.,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w:t>
      </w:r>
      <w:r>
        <w:rPr>
          <w:rFonts w:ascii="Times New Roman" w:cs="Times New Roman" w:eastAsia="Times New Roman" w:hAnsi="Times New Roman"/>
          <w:sz w:val="24"/>
          <w:szCs w:val="24"/>
        </w:rPr>
        <w:t>Morais</w:t>
      </w:r>
      <w:r>
        <w:rPr>
          <w:rFonts w:ascii="Times New Roman" w:cs="Times New Roman" w:eastAsia="Times New Roman" w:hAnsi="Times New Roman"/>
          <w:sz w:val="24"/>
          <w:szCs w:val="24"/>
        </w:rPr>
        <w:t xml:space="preserve">,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Deo</w:t>
      </w:r>
      <w:r>
        <w:rPr>
          <w:rFonts w:ascii="Times New Roman" w:cs="Times New Roman" w:eastAsia="Times New Roman" w:hAnsi="Times New Roman"/>
          <w:sz w:val="24"/>
          <w:szCs w:val="24"/>
        </w:rPr>
        <w:t xml:space="preserve">, S. S., Bhat, R. V., &amp; </w:t>
      </w:r>
      <w:r>
        <w:rPr>
          <w:rFonts w:ascii="Times New Roman" w:cs="Times New Roman" w:eastAsia="Times New Roman" w:hAnsi="Times New Roman"/>
          <w:sz w:val="24"/>
          <w:szCs w:val="24"/>
        </w:rPr>
        <w:t>Jayaraj</w:t>
      </w:r>
      <w:r>
        <w:rPr>
          <w:rFonts w:ascii="Times New Roman" w:cs="Times New Roman" w:eastAsia="Times New Roman" w:hAnsi="Times New Roman"/>
          <w:sz w:val="24"/>
          <w:szCs w:val="24"/>
        </w:rPr>
        <w:t xml:space="preserve">,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E., Moussa, I. M., &amp; El-</w:t>
      </w:r>
      <w:r>
        <w:rPr>
          <w:rFonts w:ascii="Times New Roman" w:cs="Times New Roman" w:eastAsia="Times New Roman" w:hAnsi="Times New Roman"/>
          <w:sz w:val="24"/>
          <w:szCs w:val="24"/>
        </w:rPr>
        <w:t>Gedawy</w:t>
      </w:r>
      <w:r>
        <w:rPr>
          <w:rFonts w:ascii="Times New Roman" w:cs="Times New Roman" w:eastAsia="Times New Roman" w:hAnsi="Times New Roman"/>
          <w:sz w:val="24"/>
          <w:szCs w:val="24"/>
        </w:rPr>
        <w:t xml:space="preserve">,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E., Moussa, I. M., </w:t>
      </w:r>
      <w:r>
        <w:rPr>
          <w:rFonts w:ascii="Times New Roman" w:cs="Times New Roman" w:eastAsia="Times New Roman" w:hAnsi="Times New Roman"/>
          <w:sz w:val="24"/>
          <w:szCs w:val="24"/>
        </w:rPr>
        <w:t>Alreshidi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Lafi</w:t>
      </w:r>
      <w:r>
        <w:rPr>
          <w:rFonts w:ascii="Times New Roman" w:cs="Times New Roman" w:eastAsia="Times New Roman" w:hAnsi="Times New Roman"/>
          <w:sz w:val="24"/>
          <w:szCs w:val="24"/>
        </w:rPr>
        <w:t xml:space="preserve">,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Fadeyi</w:t>
      </w:r>
      <w:r>
        <w:rPr>
          <w:rFonts w:ascii="Times New Roman" w:cs="Times New Roman" w:eastAsia="Times New Roman" w:hAnsi="Times New Roman"/>
          <w:sz w:val="24"/>
          <w:szCs w:val="24"/>
        </w:rPr>
        <w:t xml:space="preserve">, O. O., </w:t>
      </w:r>
      <w:r>
        <w:rPr>
          <w:rFonts w:ascii="Times New Roman" w:cs="Times New Roman" w:eastAsia="Times New Roman" w:hAnsi="Times New Roman"/>
          <w:sz w:val="24"/>
          <w:szCs w:val="24"/>
        </w:rPr>
        <w:t>Sobowale</w:t>
      </w:r>
      <w:r>
        <w:rPr>
          <w:rFonts w:ascii="Times New Roman" w:cs="Times New Roman" w:eastAsia="Times New Roman" w:hAnsi="Times New Roman"/>
          <w:sz w:val="24"/>
          <w:szCs w:val="24"/>
        </w:rPr>
        <w:t xml:space="preserve">, S. F., &amp;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O. E. (2018).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w:t>
      </w:r>
      <w:r>
        <w:rPr>
          <w:rFonts w:ascii="Times New Roman" w:cs="Times New Roman" w:eastAsia="Times New Roman" w:hAnsi="Times New Roman"/>
          <w:sz w:val="24"/>
          <w:szCs w:val="24"/>
        </w:rPr>
        <w:t>Henriques</w:t>
      </w:r>
      <w:r>
        <w:rPr>
          <w:rFonts w:ascii="Times New Roman" w:cs="Times New Roman" w:eastAsia="Times New Roman" w:hAnsi="Times New Roman"/>
          <w:sz w:val="24"/>
          <w:szCs w:val="24"/>
        </w:rPr>
        <w:t xml:space="preserve">,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w:t>
      </w:r>
      <w:r>
        <w:rPr>
          <w:rFonts w:ascii="Times New Roman" w:cs="Times New Roman" w:eastAsia="Times New Roman" w:hAnsi="Times New Roman"/>
          <w:sz w:val="24"/>
          <w:szCs w:val="24"/>
        </w:rPr>
        <w:t>Ceri</w:t>
      </w:r>
      <w:r>
        <w:rPr>
          <w:rFonts w:ascii="Times New Roman" w:cs="Times New Roman" w:eastAsia="Times New Roman" w:hAnsi="Times New Roman"/>
          <w:sz w:val="24"/>
          <w:szCs w:val="24"/>
        </w:rPr>
        <w:t xml:space="preserve">,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Gorib</w:t>
      </w:r>
      <w:r>
        <w:rPr>
          <w:rFonts w:ascii="Times New Roman" w:cs="Times New Roman" w:eastAsia="Times New Roman" w:hAnsi="Times New Roman"/>
          <w:sz w:val="24"/>
          <w:szCs w:val="24"/>
        </w:rPr>
        <w:t xml:space="preserve">, M. S., </w:t>
      </w:r>
      <w:r>
        <w:rPr>
          <w:rFonts w:ascii="Times New Roman" w:cs="Times New Roman" w:eastAsia="Times New Roman" w:hAnsi="Times New Roman"/>
          <w:sz w:val="24"/>
          <w:szCs w:val="24"/>
        </w:rPr>
        <w:t>Haque</w:t>
      </w:r>
      <w:r>
        <w:rPr>
          <w:rFonts w:ascii="Times New Roman" w:cs="Times New Roman" w:eastAsia="Times New Roman" w:hAnsi="Times New Roman"/>
          <w:sz w:val="24"/>
          <w:szCs w:val="24"/>
        </w:rPr>
        <w:t xml:space="preserve">, M. A., &amp; Ali, S. (2021). The clinical relevance of </w:t>
      </w:r>
      <w:r>
        <w:rPr>
          <w:rFonts w:ascii="Times New Roman" w:cs="Times New Roman" w:eastAsia="Times New Roman" w:hAnsi="Times New Roman"/>
          <w:sz w:val="24"/>
          <w:szCs w:val="24"/>
        </w:rPr>
        <w:t>polymyxin</w:t>
      </w:r>
      <w:r>
        <w:rPr>
          <w:rFonts w:ascii="Times New Roman" w:cs="Times New Roman" w:eastAsia="Times New Roman" w:hAnsi="Times New Roman"/>
          <w:sz w:val="24"/>
          <w:szCs w:val="24"/>
        </w:rPr>
        <w:t xml:space="preserve">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Lefroy</w:t>
      </w:r>
      <w:r>
        <w:rPr>
          <w:rFonts w:ascii="Times New Roman" w:cs="Times New Roman" w:eastAsia="Times New Roman" w:hAnsi="Times New Roman"/>
          <w:sz w:val="24"/>
          <w:szCs w:val="24"/>
        </w:rPr>
        <w:t xml:space="preserve">, T. E., </w:t>
      </w:r>
      <w:r>
        <w:rPr>
          <w:rFonts w:ascii="Times New Roman" w:cs="Times New Roman" w:eastAsia="Times New Roman" w:hAnsi="Times New Roman"/>
          <w:sz w:val="24"/>
          <w:szCs w:val="24"/>
        </w:rPr>
        <w:t>Aylward</w:t>
      </w:r>
      <w:r>
        <w:rPr>
          <w:rFonts w:ascii="Times New Roman" w:cs="Times New Roman" w:eastAsia="Times New Roman" w:hAnsi="Times New Roman"/>
          <w:sz w:val="24"/>
          <w:szCs w:val="24"/>
        </w:rPr>
        <w:t xml:space="preserve">, D., &amp; Smith, M. (2019).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w:t>
      </w:r>
      <w:r>
        <w:rPr>
          <w:rFonts w:ascii="Times New Roman" w:cs="Times New Roman" w:eastAsia="Times New Roman" w:hAnsi="Times New Roman"/>
          <w:sz w:val="24"/>
          <w:szCs w:val="24"/>
        </w:rPr>
        <w:t>Popham</w:t>
      </w:r>
      <w:r>
        <w:rPr>
          <w:rFonts w:ascii="Times New Roman" w:cs="Times New Roman" w:eastAsia="Times New Roman" w:hAnsi="Times New Roman"/>
          <w:sz w:val="24"/>
          <w:szCs w:val="24"/>
        </w:rPr>
        <w:t xml:space="preserve">, P. L., &amp; Westwood, T. J. (2019). Medicinal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 xml:space="preserve">Eucalyptus </w:t>
      </w:r>
      <w:r>
        <w:rPr>
          <w:rStyle w:val="style88"/>
        </w:rPr>
        <w:t>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V., &amp; </w:t>
      </w:r>
      <w:r>
        <w:rPr>
          <w:rFonts w:ascii="Times New Roman" w:cs="Times New Roman" w:eastAsia="Times New Roman" w:hAnsi="Times New Roman"/>
          <w:sz w:val="24"/>
          <w:szCs w:val="24"/>
        </w:rPr>
        <w:t>Giske</w:t>
      </w:r>
      <w:r>
        <w:rPr>
          <w:rFonts w:ascii="Times New Roman" w:cs="Times New Roman" w:eastAsia="Times New Roman" w:hAnsi="Times New Roman"/>
          <w:sz w:val="24"/>
          <w:szCs w:val="24"/>
        </w:rPr>
        <w:t xml:space="preserv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Nataro</w:t>
      </w:r>
      <w:r>
        <w:rPr>
          <w:rFonts w:ascii="Times New Roman" w:cs="Times New Roman" w:eastAsia="Times New Roman" w:hAnsi="Times New Roman"/>
          <w:sz w:val="24"/>
          <w:szCs w:val="24"/>
        </w:rPr>
        <w:t xml:space="preserve">, J. P., &amp; </w:t>
      </w:r>
      <w:r>
        <w:rPr>
          <w:rFonts w:ascii="Times New Roman" w:cs="Times New Roman" w:eastAsia="Times New Roman" w:hAnsi="Times New Roman"/>
          <w:sz w:val="24"/>
          <w:szCs w:val="24"/>
        </w:rPr>
        <w:t>Kaper</w:t>
      </w:r>
      <w:r>
        <w:rPr>
          <w:rFonts w:ascii="Times New Roman" w:cs="Times New Roman" w:eastAsia="Times New Roman" w:hAnsi="Times New Roman"/>
          <w:sz w:val="24"/>
          <w:szCs w:val="24"/>
        </w:rPr>
        <w:t xml:space="preserve">, J. B. (2019). </w:t>
      </w:r>
      <w:r>
        <w:rPr>
          <w:rFonts w:ascii="Times New Roman" w:cs="Times New Roman" w:eastAsia="Times New Roman" w:hAnsi="Times New Roman"/>
          <w:sz w:val="24"/>
          <w:szCs w:val="24"/>
        </w:rPr>
        <w:t>Diarrheagenic</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Ogunyemi</w:t>
      </w:r>
      <w:r>
        <w:t xml:space="preserve">, T. S., </w:t>
      </w:r>
      <w:r>
        <w:t>Adewale</w:t>
      </w:r>
      <w:r>
        <w:t xml:space="preserve">, O. A., &amp; </w:t>
      </w:r>
      <w:r>
        <w:t>Ajayi</w:t>
      </w:r>
      <w:r>
        <w:t xml:space="preserve">, O. A. (2022). Phytochemical and antimicrobial evaluation of ethanol and aqueous extracts of </w:t>
      </w:r>
      <w:r>
        <w:rPr>
          <w:rStyle w:val="style88"/>
        </w:rPr>
        <w:t xml:space="preserve">Eucalyptus </w:t>
      </w:r>
      <w:r>
        <w:rPr>
          <w:rStyle w:val="style88"/>
        </w:rPr>
        <w:t>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xml:space="preserve">,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Fokou</w:t>
      </w:r>
      <w:r>
        <w:rPr>
          <w:rFonts w:ascii="Times New Roman" w:cs="Times New Roman" w:eastAsia="Times New Roman" w:hAnsi="Times New Roman"/>
          <w:sz w:val="24"/>
          <w:szCs w:val="24"/>
        </w:rPr>
        <w:t xml:space="preserve">, P. V. T., &amp; </w:t>
      </w:r>
      <w:r>
        <w:rPr>
          <w:rFonts w:ascii="Times New Roman" w:cs="Times New Roman" w:eastAsia="Times New Roman" w:hAnsi="Times New Roman"/>
          <w:sz w:val="24"/>
          <w:szCs w:val="24"/>
        </w:rPr>
        <w:t>Badii</w:t>
      </w:r>
      <w:r>
        <w:rPr>
          <w:rFonts w:ascii="Times New Roman" w:cs="Times New Roman" w:eastAsia="Times New Roman" w:hAnsi="Times New Roman"/>
          <w:sz w:val="24"/>
          <w:szCs w:val="24"/>
        </w:rPr>
        <w:t xml:space="preserve">,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Sharopov</w:t>
      </w:r>
      <w:r>
        <w:rPr>
          <w:rFonts w:ascii="Times New Roman" w:cs="Times New Roman" w:eastAsia="Times New Roman" w:hAnsi="Times New Roman"/>
          <w:sz w:val="24"/>
          <w:szCs w:val="24"/>
        </w:rPr>
        <w:t xml:space="preserve">,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LD </w:t>
      </w:r>
      <w:r>
        <w:rPr>
          <w:rFonts w:ascii="Times New Roman" w:cs="Times New Roman" w:eastAsia="Times New Roman" w:hAnsi="Times New Roman"/>
          <w:sz w:val="24"/>
          <w:szCs w:val="24"/>
        </w:rPr>
        <w:t>Jayaweera</w:t>
      </w:r>
      <w:r>
        <w:rPr>
          <w:rFonts w:ascii="Times New Roman" w:cs="Times New Roman" w:eastAsia="Times New Roman" w:hAnsi="Times New Roman"/>
          <w:sz w:val="24"/>
          <w:szCs w:val="24"/>
        </w:rPr>
        <w:t xml:space="preserve">, S., Dias, D. A., ... &amp; </w:t>
      </w:r>
      <w:r>
        <w:rPr>
          <w:rFonts w:ascii="Times New Roman" w:cs="Times New Roman" w:eastAsia="Times New Roman" w:hAnsi="Times New Roman"/>
          <w:sz w:val="24"/>
          <w:szCs w:val="24"/>
        </w:rPr>
        <w:t>Sharifi</w:t>
      </w:r>
      <w:r>
        <w:rPr>
          <w:rFonts w:ascii="Times New Roman" w:cs="Times New Roman" w:eastAsia="Times New Roman" w:hAnsi="Times New Roman"/>
          <w:sz w:val="24"/>
          <w:szCs w:val="24"/>
        </w:rPr>
        <w:t xml:space="preserve">-Rad,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w:t>
      </w:r>
      <w:r>
        <w:rPr>
          <w:rFonts w:ascii="Times New Roman" w:cs="Times New Roman" w:eastAsia="Times New Roman" w:hAnsi="Times New Roman"/>
          <w:sz w:val="24"/>
          <w:szCs w:val="24"/>
        </w:rPr>
        <w:t>Sahid</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Madenda</w:t>
      </w:r>
      <w:r>
        <w:rPr>
          <w:rFonts w:ascii="Times New Roman" w:cs="Times New Roman" w:eastAsia="Times New Roman" w:hAnsi="Times New Roman"/>
          <w:sz w:val="24"/>
          <w:szCs w:val="24"/>
        </w:rPr>
        <w:t xml:space="preserve">, S. M. (2020). Phytochemical and antibacterial activities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Serrato</w:t>
      </w:r>
      <w:r>
        <w:rPr>
          <w:rFonts w:ascii="Times New Roman" w:cs="Times New Roman" w:eastAsia="Times New Roman" w:hAnsi="Times New Roman"/>
          <w:sz w:val="24"/>
          <w:szCs w:val="24"/>
        </w:rPr>
        <w:t xml:space="preserve">, L., Pereira, J., &amp; Almeida, M. S. (2020).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 xml:space="preserve">Brazilian Journal of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&amp;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from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 xml:space="preserve">Taiwo, A. O., </w:t>
      </w:r>
      <w:r>
        <w:t>Lawal</w:t>
      </w:r>
      <w:r>
        <w:t xml:space="preserve">, O. A., &amp; </w:t>
      </w:r>
      <w:r>
        <w:t>Adeyemi</w:t>
      </w:r>
      <w:r>
        <w:t xml:space="preserve">, O. A. (2021). Antibacterial effects of </w:t>
      </w:r>
      <w:r>
        <w:rPr>
          <w:rStyle w:val="style88"/>
        </w:rPr>
        <w:t xml:space="preserve">Eucalyptus </w:t>
      </w:r>
      <w:r>
        <w:rPr>
          <w:rStyle w:val="style88"/>
        </w:rPr>
        <w:t>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Zhang, H., &amp;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bookmarkStart w:id="59" w:name="_Toc203146335"/>
    <w:p>
      <w:pPr>
        <w:pStyle w:val="style1"/>
        <w:jc w:val="center"/>
        <w:rPr/>
      </w:pPr>
      <w:r>
        <w:t>APPENDIX</w:t>
      </w:r>
      <w:bookmarkEnd w:id="59"/>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noProof/>
        </w:rPr>
        <w:drawing>
          <wp:anchor distT="0" distB="0" distL="114300" distR="114300" simplePos="false" relativeHeight="9" behindDoc="false" locked="false" layoutInCell="true" allowOverlap="true">
            <wp:simplePos x="0" y="0"/>
            <wp:positionH relativeFrom="column">
              <wp:posOffset>0</wp:posOffset>
            </wp:positionH>
            <wp:positionV relativeFrom="paragraph">
              <wp:posOffset>165735</wp:posOffset>
            </wp:positionV>
            <wp:extent cx="1683385" cy="1903730"/>
            <wp:effectExtent l="0" t="0" r="0" b="1270"/>
            <wp:wrapSquare wrapText="bothSides"/>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1683385" cy="190373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L="0" distT="0" distB="0" distR="0">
            <wp:extent cx="2223770" cy="1609725"/>
            <wp:effectExtent l="0" t="0" r="5080" b="9525"/>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8" behindDoc="false" locked="false" layoutInCell="true" allowOverlap="true">
                <wp:simplePos x="0" y="0"/>
                <wp:positionH relativeFrom="column">
                  <wp:posOffset>-104775</wp:posOffset>
                </wp:positionH>
                <wp:positionV relativeFrom="paragraph">
                  <wp:posOffset>112395</wp:posOffset>
                </wp:positionV>
                <wp:extent cx="2400300" cy="438150"/>
                <wp:effectExtent l="0" t="0" r="19050" b="19050"/>
                <wp:wrapNone/>
                <wp:docPr id="1035"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00300" cy="438150"/>
                        </a:xfrm>
                        <a:prstGeom prst="rect"/>
                        <a:solidFill>
                          <a:srgbClr val="ffffff"/>
                        </a:solidFill>
                        <a:ln cmpd="sng" cap="flat" w="12700">
                          <a:solidFill>
                            <a:srgbClr val="000000"/>
                          </a:solidFill>
                          <a:prstDash val="solid"/>
                          <a:miter/>
                          <a:headEnd/>
                          <a:tailEnd/>
                        </a:ln>
                      </wps:spPr>
                      <wps:txbx id="1035">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 coli</w:t>
                            </w:r>
                            <w:r>
                              <w:rPr>
                                <w:rFonts w:ascii="Times New Roman" w:cs="Times New Roman" w:hAnsi="Times New Roman"/>
                                <w:color w:val="000000"/>
                                <w:sz w:val="24"/>
                                <w:szCs w:val="24"/>
                              </w:rPr>
                              <w:t xml:space="preserve"> at 0.2 concentration</w:t>
                            </w:r>
                          </w:p>
                          <w:p>
                            <w:pPr>
                              <w:pStyle w:val="style0"/>
                              <w:jc w:val="center"/>
                              <w:rPr>
                                <w:color w:val="00000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5" fillcolor="white" stroked="t" style="position:absolute;margin-left:-8.25pt;margin-top:8.85pt;width:189.0pt;height:34.5pt;z-index:8;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 xml:space="preserve">Plate 2: MIC result of </w:t>
                      </w:r>
                      <w:r>
                        <w:rPr>
                          <w:rFonts w:ascii="Times New Roman" w:cs="Times New Roman" w:hAnsi="Times New Roman"/>
                          <w:i/>
                          <w:color w:val="000000"/>
                          <w:sz w:val="24"/>
                          <w:szCs w:val="24"/>
                        </w:rPr>
                        <w:t>E. coli</w:t>
                      </w:r>
                      <w:r>
                        <w:rPr>
                          <w:rFonts w:ascii="Times New Roman" w:cs="Times New Roman" w:hAnsi="Times New Roman"/>
                          <w:color w:val="000000"/>
                          <w:sz w:val="24"/>
                          <w:szCs w:val="24"/>
                        </w:rPr>
                        <w:t xml:space="preserve"> at 0.2 concentration</w:t>
                      </w:r>
                    </w:p>
                    <w:p>
                      <w:pPr>
                        <w:pStyle w:val="style0"/>
                        <w:jc w:val="center"/>
                        <w:rPr>
                          <w:color w:val="000000"/>
                        </w:rPr>
                      </w:pPr>
                    </w:p>
                  </w:txbxContent>
                </v:textbox>
              </v:rect>
            </w:pict>
          </mc:Fallback>
        </mc:AlternateContent>
      </w: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noProof/>
        </w:rPr>
        <w:drawing>
          <wp:inline distL="0" distT="0" distB="0" distR="0">
            <wp:extent cx="1879240" cy="1894114"/>
            <wp:effectExtent l="0" t="0" r="6985" b="0"/>
            <wp:docPr id="103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srcRect l="0" t="0" r="0" b="0"/>
                    <a:stretch/>
                  </pic:blipFill>
                  <pic:spPr>
                    <a:xfrm rot="0">
                      <a:off x="0" y="0"/>
                      <a:ext cx="1879240" cy="1894114"/>
                    </a:xfrm>
                    <a:prstGeom prst="rect"/>
                    <a:ln>
                      <a:noFill/>
                    </a:ln>
                  </pic:spPr>
                </pic:pic>
              </a:graphicData>
            </a:graphic>
          </wp:inline>
        </w:drawing>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noProof/>
        </w:rPr>
        <w:drawing>
          <wp:anchor distT="0" distB="0" distL="0" distR="0" simplePos="false" relativeHeight="10" behindDoc="false" locked="false" layoutInCell="true" allowOverlap="true">
            <wp:simplePos x="0" y="0"/>
            <wp:positionH relativeFrom="column">
              <wp:posOffset>224790</wp:posOffset>
            </wp:positionH>
            <wp:positionV relativeFrom="paragraph">
              <wp:posOffset>403225</wp:posOffset>
            </wp:positionV>
            <wp:extent cx="1653540" cy="1858010"/>
            <wp:effectExtent l="0" t="0" r="3810" b="8890"/>
            <wp:wrapTopAndBottom/>
            <wp:docPr id="103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8" cstate="print"/>
                    <a:srcRect l="0" t="0" r="0" b="0"/>
                    <a:stretch/>
                  </pic:blipFill>
                  <pic:spPr>
                    <a:xfrm rot="0">
                      <a:off x="0" y="0"/>
                      <a:ext cx="1653540" cy="1858010"/>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sz w:val="24"/>
          <w:szCs w:val="24"/>
        </w:rPr>
        <w:t>PLATE 3: MIC result of MRSA at 0.15</w:t>
      </w:r>
      <w:r>
        <w:rPr>
          <w:rFonts w:ascii="Times New Roman" w:cs="Times New Roman" w:hAnsi="Times New Roman"/>
          <w:sz w:val="24"/>
          <w:szCs w:val="24"/>
        </w:rPr>
        <w:t xml:space="preserve"> </w:t>
      </w:r>
      <w:r>
        <w:rPr>
          <w:rFonts w:ascii="Times New Roman" w:cs="Times New Roman" w:hAnsi="Times New Roman"/>
          <w:sz w:val="24"/>
          <w:szCs w:val="24"/>
        </w:rPr>
        <w:t>concentration</w:t>
      </w:r>
    </w:p>
    <w:p>
      <w:pPr>
        <w:pStyle w:val="style0"/>
        <w:spacing w:before="240"/>
        <w:rPr>
          <w:rFonts w:ascii="Times New Roman" w:cs="Times New Roman" w:hAnsi="Times New Roman"/>
          <w:sz w:val="24"/>
          <w:szCs w:val="24"/>
        </w:rPr>
      </w:pPr>
      <w:r>
        <w:rPr>
          <w:rFonts w:ascii="Times New Roman" w:cs="Times New Roman" w:hAnsi="Times New Roman"/>
          <w:sz w:val="24"/>
          <w:szCs w:val="24"/>
        </w:rPr>
        <w:t xml:space="preserve">PLATE 4: MIC </w:t>
      </w:r>
      <w:r>
        <w:rPr>
          <w:rFonts w:ascii="Times New Roman" w:cs="Times New Roman" w:hAnsi="Times New Roman"/>
          <w:sz w:val="24"/>
          <w:szCs w:val="24"/>
        </w:rPr>
        <w:t>result of MRSA at 0.2</w:t>
      </w:r>
      <w:r>
        <w:rPr>
          <w:rFonts w:ascii="Times New Roman" w:cs="Times New Roman" w:hAnsi="Times New Roman"/>
          <w:sz w:val="24"/>
          <w:szCs w:val="24"/>
        </w:rPr>
        <w:t xml:space="preserve"> concentration </w:t>
      </w:r>
    </w:p>
    <w:p>
      <w:pPr>
        <w:pStyle w:val="style0"/>
        <w:spacing w:before="240"/>
        <w:jc w:val="center"/>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11" behindDoc="false" locked="false" layoutInCell="true" allowOverlap="true">
            <wp:simplePos x="0" y="0"/>
            <wp:positionH relativeFrom="column">
              <wp:posOffset>0</wp:posOffset>
            </wp:positionH>
            <wp:positionV relativeFrom="paragraph">
              <wp:posOffset>0</wp:posOffset>
            </wp:positionV>
            <wp:extent cx="5943600" cy="7924800"/>
            <wp:effectExtent l="0" t="0" r="0" b="0"/>
            <wp:wrapTopAndBottom/>
            <wp:docPr id="103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9" cstate="print"/>
                    <a:srcRect l="0" t="0" r="0" b="0"/>
                    <a:stretch/>
                  </pic:blipFill>
                  <pic:spPr>
                    <a:xfrm rot="0">
                      <a:off x="0" y="0"/>
                      <a:ext cx="5943600" cy="7924800"/>
                    </a:xfrm>
                    <a:prstGeom prst="rect"/>
                  </pic:spPr>
                </pic:pic>
              </a:graphicData>
            </a:graphic>
          </wp:anchor>
        </w:drawing>
      </w:r>
    </w:p>
    <w:p>
      <w:pPr>
        <w:pStyle w:val="style0"/>
        <w:rPr>
          <w:rFonts w:ascii="Times New Roman" w:cs="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multilevel"/>
    <w:tmpl w:val="4934DF20"/>
    <w:lvl w:ilvl="0">
      <w:start w:val="1"/>
      <w:numFmt w:val="decimal"/>
      <w:lvlText w:val="%1."/>
      <w:lvlJc w:val="left"/>
      <w:pPr>
        <w:tabs>
          <w:tab w:val="left" w:leader="none" w:pos="720"/>
        </w:tabs>
        <w:ind w:left="720" w:hanging="360"/>
      </w:pPr>
    </w:lvl>
    <w:lvl w:ilvl="1">
      <w:start w:val="1"/>
      <w:numFmt w:val="bullet"/>
      <w:lvlText w:val=""/>
      <w:lvlJc w:val="left"/>
      <w:pPr>
        <w:ind w:left="1440" w:hanging="360"/>
      </w:pPr>
      <w:rPr>
        <w:rFonts w:ascii="Symbol" w:cs="Times New Roman" w:eastAsia="Times New Roman" w:hAnsi="Symbol"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EAECE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宋体"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68b999db-51e4-42dd-b87e-e59b2234906b"/>
    <w:basedOn w:val="style65"/>
    <w:next w:val="style4097"/>
    <w:link w:val="style3"/>
    <w:uiPriority w:val="9"/>
    <w:rPr>
      <w:rFonts w:ascii="Times New Roman" w:cs="Times New Roman" w:eastAsia="Times New Roman" w:hAnsi="Times New Roman"/>
      <w:b/>
      <w:bCs/>
      <w:sz w:val="24"/>
      <w:szCs w:val="27"/>
    </w:rPr>
  </w:style>
  <w:style w:type="character" w:customStyle="1" w:styleId="style4098">
    <w:name w:val="Heading 5 Char_bd572a94-2ba6-45e9-8d0d-c88dfda2ae33"/>
    <w:basedOn w:val="style65"/>
    <w:next w:val="style4098"/>
    <w:link w:val="style5"/>
    <w:uiPriority w:val="9"/>
    <w:rPr>
      <w:rFonts w:ascii="Calibri Light" w:cs="宋体" w:eastAsia="宋体" w:hAnsi="Calibri Light"/>
      <w:color w:val="2e74b5"/>
    </w:rPr>
  </w:style>
  <w:style w:type="character" w:styleId="style88">
    <w:name w:val="Emphasis"/>
    <w:basedOn w:val="style65"/>
    <w:next w:val="style88"/>
    <w:qFormat/>
    <w:uiPriority w:val="20"/>
    <w:rPr>
      <w:i/>
      <w:iC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349f382b-6d28-4383-b8cc-c3e6dc836dc4"/>
    <w:basedOn w:val="style65"/>
    <w:next w:val="style4101"/>
    <w:link w:val="style1"/>
    <w:uiPriority w:val="9"/>
    <w:rPr>
      <w:rFonts w:ascii="Times New Roman" w:cs="宋体" w:eastAsia="宋体" w:hAnsi="Times New Roman"/>
      <w:b/>
      <w:color w:val="000000"/>
      <w:sz w:val="24"/>
      <w:szCs w:val="32"/>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73f30e74-3bbd-43e9-8b80-968de81b26dd"/>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dc4f7fc0-b127-4565-a52d-fd30fd50e1bb"/>
    <w:basedOn w:val="style65"/>
    <w:next w:val="style4103"/>
    <w:link w:val="style32"/>
    <w:uiPriority w:val="99"/>
  </w:style>
  <w:style w:type="character" w:styleId="style41">
    <w:name w:val="page number"/>
    <w:basedOn w:val="style65"/>
    <w:next w:val="style41"/>
    <w:uiPriority w:val="99"/>
  </w:style>
  <w:style w:type="character" w:customStyle="1" w:styleId="style4104">
    <w:name w:val="Heading 2 Char_5ea4c041-134e-400c-93bb-01d2ec45726c"/>
    <w:basedOn w:val="style65"/>
    <w:next w:val="style4104"/>
    <w:link w:val="style2"/>
    <w:uiPriority w:val="9"/>
    <w:rPr>
      <w:rFonts w:ascii="Times New Roman" w:cs="宋体" w:eastAsia="宋体" w:hAnsi="Times New Roman"/>
      <w:b/>
      <w:color w:val="000000"/>
      <w:sz w:val="24"/>
      <w:szCs w:val="26"/>
    </w:rPr>
  </w:style>
  <w:style w:type="paragraph" w:styleId="style266">
    <w:name w:val="TOC Heading"/>
    <w:basedOn w:val="style1"/>
    <w:next w:val="style0"/>
    <w:qFormat/>
    <w:uiPriority w:val="39"/>
    <w:pPr>
      <w:outlineLvl w:val="9"/>
    </w:pPr>
    <w:rPr>
      <w:rFonts w:ascii="Calibri Light" w:hAnsi="Calibri Light"/>
      <w:b w:val="false"/>
      <w:color w:val="2e74b5"/>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image" Target="media/image6.jpeg"/><Relationship Id="rId14" Type="http://schemas.openxmlformats.org/officeDocument/2006/relationships/customXml" Target="../customXml/item1.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7879</Words>
  <Pages>38</Pages>
  <Characters>48701</Characters>
  <Application>WPS Office</Application>
  <DocSecurity>0</DocSecurity>
  <Paragraphs>487</Paragraphs>
  <ScaleCrop>false</ScaleCrop>
  <LinksUpToDate>false</LinksUpToDate>
  <CharactersWithSpaces>56594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2025-07-12T10:24:00Z</dcterms:created>
  <dc:creator>Hassan Musa</dc:creator>
  <lastModifiedBy>TECNO KH6</lastModifiedBy>
  <dcterms:modified xsi:type="dcterms:W3CDTF">2025-07-15T16:22:48Z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b42c41b1834a4cda84ad5779298f454d</vt:lpwstr>
  </property>
</Properties>
</file>